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_Toc38549692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_Toc38549693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_Toc38549694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emergency period</w:t>
      </w:r>
      <w:r>
        <w:tab/>
      </w:r>
      <w:r>
        <w:fldChar w:fldCharType="begin"/>
      </w:r>
      <w:r>
        <w:instrText xml:space="preserve"> PAGEREF _Toc38549695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of Act to other Acts</w:t>
      </w:r>
      <w:r>
        <w:tab/>
      </w:r>
      <w:r>
        <w:fldChar w:fldCharType="begin"/>
      </w:r>
      <w:r>
        <w:instrText xml:space="preserve"> PAGEREF _Toc38549696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_Toc38549697 \h </w:instrText>
      </w:r>
      <w:r>
        <w:fldChar w:fldCharType="separate"/>
      </w:r>
      <w:r>
        <w:t>5</w:t>
      </w:r>
      <w:r>
        <w:fldChar w:fldCharType="end"/>
      </w:r>
    </w:p>
    <w:p>
      <w:pPr>
        <w:pStyle w:val="TOC8"/>
        <w:rPr>
          <w:rFonts w:asciiTheme="minorHAnsi" w:eastAsiaTheme="minorEastAsia" w:hAnsiTheme="minorHAnsi" w:cstheme="minorBidi"/>
          <w:szCs w:val="22"/>
        </w:rPr>
      </w:pPr>
      <w:r>
        <w:t>7.</w:t>
      </w:r>
      <w:r>
        <w:tab/>
        <w:t>Act prevails over agreements and particular Acts</w:t>
      </w:r>
      <w:r>
        <w:tab/>
      </w:r>
      <w:r>
        <w:fldChar w:fldCharType="begin"/>
      </w:r>
      <w:r>
        <w:instrText xml:space="preserve"> PAGEREF _Toc38549698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Tenancy agreements</w:t>
      </w:r>
    </w:p>
    <w:p>
      <w:pPr>
        <w:pStyle w:val="TOC4"/>
        <w:tabs>
          <w:tab w:val="right" w:leader="dot" w:pos="7077"/>
        </w:tabs>
        <w:rPr>
          <w:rFonts w:asciiTheme="minorHAnsi" w:eastAsiaTheme="minorEastAsia" w:hAnsiTheme="minorHAnsi" w:cstheme="minorBidi"/>
          <w:b w:val="0"/>
          <w:szCs w:val="22"/>
        </w:rPr>
      </w:pPr>
      <w:r>
        <w:t>Division 1 — Provisions affecting tenancy agreements (other than in relation to termination)</w:t>
      </w:r>
    </w:p>
    <w:p>
      <w:pPr>
        <w:pStyle w:val="TOC8"/>
        <w:rPr>
          <w:rFonts w:asciiTheme="minorHAnsi" w:eastAsiaTheme="minorEastAsia" w:hAnsiTheme="minorHAnsi" w:cstheme="minorBidi"/>
          <w:szCs w:val="22"/>
        </w:rPr>
      </w:pPr>
      <w:r>
        <w:t>8.</w:t>
      </w:r>
      <w:r>
        <w:tab/>
        <w:t>Rent cannot increase during emergency period</w:t>
      </w:r>
      <w:r>
        <w:tab/>
      </w:r>
      <w:r>
        <w:fldChar w:fldCharType="begin"/>
      </w:r>
      <w:r>
        <w:instrText xml:space="preserve"> PAGEREF _Toc38549701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Delayed effect of variation of rent calculated by reference to tenant’s income under </w:t>
      </w:r>
      <w:r>
        <w:rPr>
          <w:i/>
        </w:rPr>
        <w:t>Residential Tenancies Act 1987</w:t>
      </w:r>
      <w:r>
        <w:t xml:space="preserve"> s. 31A</w:t>
      </w:r>
      <w:r>
        <w:tab/>
      </w:r>
      <w:r>
        <w:fldChar w:fldCharType="begin"/>
      </w:r>
      <w:r>
        <w:instrText xml:space="preserve"> PAGEREF _Toc38549702 \h </w:instrText>
      </w:r>
      <w:r>
        <w:fldChar w:fldCharType="separate"/>
      </w:r>
      <w:r>
        <w:t>7</w:t>
      </w:r>
      <w:r>
        <w:fldChar w:fldCharType="end"/>
      </w:r>
    </w:p>
    <w:p>
      <w:pPr>
        <w:pStyle w:val="TOC8"/>
        <w:rPr>
          <w:rFonts w:asciiTheme="minorHAnsi" w:eastAsiaTheme="minorEastAsia" w:hAnsiTheme="minorHAnsi" w:cstheme="minorBidi"/>
          <w:szCs w:val="22"/>
        </w:rPr>
      </w:pPr>
      <w:r>
        <w:t>10.</w:t>
      </w:r>
      <w:r>
        <w:tab/>
        <w:t>Rent cannot increase after renegotiation of lease during emergency period</w:t>
      </w:r>
      <w:r>
        <w:tab/>
      </w:r>
      <w:r>
        <w:fldChar w:fldCharType="begin"/>
      </w:r>
      <w:r>
        <w:instrText xml:space="preserve"> PAGEREF _Toc38549703 \h </w:instrText>
      </w:r>
      <w:r>
        <w:fldChar w:fldCharType="separate"/>
      </w:r>
      <w:r>
        <w:t>8</w:t>
      </w:r>
      <w:r>
        <w:fldChar w:fldCharType="end"/>
      </w:r>
    </w:p>
    <w:p>
      <w:pPr>
        <w:pStyle w:val="TOC8"/>
        <w:rPr>
          <w:rFonts w:asciiTheme="minorHAnsi" w:eastAsiaTheme="minorEastAsia" w:hAnsiTheme="minorHAnsi" w:cstheme="minorBidi"/>
          <w:szCs w:val="22"/>
        </w:rPr>
      </w:pPr>
      <w:r>
        <w:t>11.</w:t>
      </w:r>
      <w:r>
        <w:tab/>
        <w:t>Owner not required to maintain and repair under tenancy agreement if unable to do so during emergency period</w:t>
      </w:r>
      <w:r>
        <w:tab/>
      </w:r>
      <w:r>
        <w:fldChar w:fldCharType="begin"/>
      </w:r>
      <w:r>
        <w:instrText xml:space="preserve"> PAGEREF _Toc38549704 \h </w:instrText>
      </w:r>
      <w:r>
        <w:fldChar w:fldCharType="separate"/>
      </w:r>
      <w:r>
        <w:t>9</w:t>
      </w:r>
      <w:r>
        <w:fldChar w:fldCharType="end"/>
      </w:r>
    </w:p>
    <w:p>
      <w:pPr>
        <w:pStyle w:val="TOC8"/>
        <w:rPr>
          <w:rFonts w:asciiTheme="minorHAnsi" w:eastAsiaTheme="minorEastAsia" w:hAnsiTheme="minorHAnsi" w:cstheme="minorBidi"/>
          <w:szCs w:val="22"/>
        </w:rPr>
      </w:pPr>
      <w:r>
        <w:t>12.</w:t>
      </w:r>
      <w:r>
        <w:tab/>
        <w:t>Fixed</w:t>
      </w:r>
      <w:r>
        <w:noBreakHyphen/>
        <w:t>term tenancy ending during emergency period to continue as periodic tenancy</w:t>
      </w:r>
      <w:r>
        <w:tab/>
      </w:r>
      <w:r>
        <w:fldChar w:fldCharType="begin"/>
      </w:r>
      <w:r>
        <w:instrText xml:space="preserve"> PAGEREF _Toc38549705 \h </w:instrText>
      </w:r>
      <w:r>
        <w:fldChar w:fldCharType="separate"/>
      </w:r>
      <w:r>
        <w:t>10</w:t>
      </w:r>
      <w:r>
        <w:fldChar w:fldCharType="end"/>
      </w:r>
    </w:p>
    <w:p>
      <w:pPr>
        <w:pStyle w:val="TOC8"/>
        <w:rPr>
          <w:rFonts w:asciiTheme="minorHAnsi" w:eastAsiaTheme="minorEastAsia" w:hAnsiTheme="minorHAnsi" w:cstheme="minorBidi"/>
          <w:szCs w:val="22"/>
        </w:rPr>
      </w:pPr>
      <w:r>
        <w:t>13.</w:t>
      </w:r>
      <w:r>
        <w:tab/>
        <w:t>Repossession of property during emergency period subject to tenancy agreement</w:t>
      </w:r>
      <w:r>
        <w:tab/>
      </w:r>
      <w:r>
        <w:fldChar w:fldCharType="begin"/>
      </w:r>
      <w:r>
        <w:instrText xml:space="preserve"> PAGEREF _Toc38549706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14.</w:t>
      </w:r>
      <w:r>
        <w:tab/>
        <w:t>Giving rent default notices under tenancy Acts for failure to pay rent during emergency period</w:t>
      </w:r>
      <w:r>
        <w:tab/>
      </w:r>
      <w:r>
        <w:fldChar w:fldCharType="begin"/>
      </w:r>
      <w:r>
        <w:instrText xml:space="preserve"> PAGEREF _Toc38549707 \h </w:instrText>
      </w:r>
      <w:r>
        <w:fldChar w:fldCharType="separate"/>
      </w:r>
      <w:r>
        <w:t>12</w:t>
      </w:r>
      <w:r>
        <w:fldChar w:fldCharType="end"/>
      </w:r>
    </w:p>
    <w:p>
      <w:pPr>
        <w:pStyle w:val="TOC8"/>
        <w:rPr>
          <w:rFonts w:asciiTheme="minorHAnsi" w:eastAsiaTheme="minorEastAsia" w:hAnsiTheme="minorHAnsi" w:cstheme="minorBidi"/>
          <w:szCs w:val="22"/>
        </w:rPr>
      </w:pPr>
      <w:r>
        <w:t>15.</w:t>
      </w:r>
      <w:r>
        <w:tab/>
        <w:t>Recovery of interest on rent not paid under tenancy agreements during emergency period prohibited</w:t>
      </w:r>
      <w:r>
        <w:tab/>
      </w:r>
      <w:r>
        <w:fldChar w:fldCharType="begin"/>
      </w:r>
      <w:r>
        <w:instrText xml:space="preserve"> PAGEREF _Toc38549708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Provisions affecting termination of tenancy agreements during emergency period</w:t>
      </w:r>
    </w:p>
    <w:p>
      <w:pPr>
        <w:pStyle w:val="TOC8"/>
        <w:rPr>
          <w:rFonts w:asciiTheme="minorHAnsi" w:eastAsiaTheme="minorEastAsia" w:hAnsiTheme="minorHAnsi" w:cstheme="minorBidi"/>
          <w:szCs w:val="22"/>
        </w:rPr>
      </w:pPr>
      <w:r>
        <w:t>16.</w:t>
      </w:r>
      <w:r>
        <w:tab/>
        <w:t>Application of Division</w:t>
      </w:r>
      <w:r>
        <w:tab/>
      </w:r>
      <w:r>
        <w:fldChar w:fldCharType="begin"/>
      </w:r>
      <w:r>
        <w:instrText xml:space="preserve"> PAGEREF _Toc38549710 \h </w:instrText>
      </w:r>
      <w:r>
        <w:fldChar w:fldCharType="separate"/>
      </w:r>
      <w:r>
        <w:t>14</w:t>
      </w:r>
      <w:r>
        <w:fldChar w:fldCharType="end"/>
      </w:r>
    </w:p>
    <w:p>
      <w:pPr>
        <w:pStyle w:val="TOC8"/>
        <w:rPr>
          <w:rFonts w:asciiTheme="minorHAnsi" w:eastAsiaTheme="minorEastAsia" w:hAnsiTheme="minorHAnsi" w:cstheme="minorBidi"/>
          <w:szCs w:val="22"/>
        </w:rPr>
      </w:pPr>
      <w:r>
        <w:t>17.</w:t>
      </w:r>
      <w:r>
        <w:tab/>
        <w:t>Termination of tenancy agreements during emergency period to be in accordance with Division</w:t>
      </w:r>
      <w:r>
        <w:tab/>
      </w:r>
      <w:r>
        <w:fldChar w:fldCharType="begin"/>
      </w:r>
      <w:r>
        <w:instrText xml:space="preserve"> PAGEREF _Toc38549711 \h </w:instrText>
      </w:r>
      <w:r>
        <w:fldChar w:fldCharType="separate"/>
      </w:r>
      <w:r>
        <w:t>14</w:t>
      </w:r>
      <w:r>
        <w:fldChar w:fldCharType="end"/>
      </w:r>
    </w:p>
    <w:p>
      <w:pPr>
        <w:pStyle w:val="TOC8"/>
        <w:rPr>
          <w:rFonts w:asciiTheme="minorHAnsi" w:eastAsiaTheme="minorEastAsia" w:hAnsiTheme="minorHAnsi" w:cstheme="minorBidi"/>
          <w:szCs w:val="22"/>
        </w:rPr>
      </w:pPr>
      <w:r>
        <w:t>18.</w:t>
      </w:r>
      <w:r>
        <w:tab/>
        <w:t>Termination of tenancy agreements arising out of family violence</w:t>
      </w:r>
      <w:r>
        <w:tab/>
      </w:r>
      <w:r>
        <w:fldChar w:fldCharType="begin"/>
      </w:r>
      <w:r>
        <w:instrText xml:space="preserve"> PAGEREF _Toc38549712 \h </w:instrText>
      </w:r>
      <w:r>
        <w:fldChar w:fldCharType="separate"/>
      </w:r>
      <w:r>
        <w:t>14</w:t>
      </w:r>
      <w:r>
        <w:fldChar w:fldCharType="end"/>
      </w:r>
    </w:p>
    <w:p>
      <w:pPr>
        <w:pStyle w:val="TOC8"/>
        <w:rPr>
          <w:rFonts w:asciiTheme="minorHAnsi" w:eastAsiaTheme="minorEastAsia" w:hAnsiTheme="minorHAnsi" w:cstheme="minorBidi"/>
          <w:szCs w:val="22"/>
        </w:rPr>
      </w:pPr>
      <w:r>
        <w:t>19.</w:t>
      </w:r>
      <w:r>
        <w:tab/>
        <w:t>Termination of tenancy agreement in relation to failure to pay rent during emergency period</w:t>
      </w:r>
      <w:r>
        <w:tab/>
      </w:r>
      <w:r>
        <w:fldChar w:fldCharType="begin"/>
      </w:r>
      <w:r>
        <w:instrText xml:space="preserve"> PAGEREF _Toc38549713 \h </w:instrText>
      </w:r>
      <w:r>
        <w:fldChar w:fldCharType="separate"/>
      </w:r>
      <w:r>
        <w:t>15</w:t>
      </w:r>
      <w:r>
        <w:fldChar w:fldCharType="end"/>
      </w:r>
    </w:p>
    <w:p>
      <w:pPr>
        <w:pStyle w:val="TOC8"/>
        <w:rPr>
          <w:rFonts w:asciiTheme="minorHAnsi" w:eastAsiaTheme="minorEastAsia" w:hAnsiTheme="minorHAnsi" w:cstheme="minorBidi"/>
          <w:szCs w:val="22"/>
        </w:rPr>
      </w:pPr>
      <w:r>
        <w:t>20.</w:t>
      </w:r>
      <w:r>
        <w:tab/>
        <w:t>Termination without specifying grounds</w:t>
      </w:r>
      <w:r>
        <w:tab/>
      </w:r>
      <w:r>
        <w:fldChar w:fldCharType="begin"/>
      </w:r>
      <w:r>
        <w:instrText xml:space="preserve"> PAGEREF _Toc38549714 \h </w:instrText>
      </w:r>
      <w:r>
        <w:fldChar w:fldCharType="separate"/>
      </w:r>
      <w:r>
        <w:t>17</w:t>
      </w:r>
      <w:r>
        <w:fldChar w:fldCharType="end"/>
      </w:r>
    </w:p>
    <w:p>
      <w:pPr>
        <w:pStyle w:val="TOC8"/>
        <w:rPr>
          <w:rFonts w:asciiTheme="minorHAnsi" w:eastAsiaTheme="minorEastAsia" w:hAnsiTheme="minorHAnsi" w:cstheme="minorBidi"/>
          <w:szCs w:val="22"/>
        </w:rPr>
      </w:pPr>
      <w:r>
        <w:t>21.</w:t>
      </w:r>
      <w:r>
        <w:tab/>
        <w:t>Termination in other cases</w:t>
      </w:r>
      <w:r>
        <w:tab/>
      </w:r>
      <w:r>
        <w:fldChar w:fldCharType="begin"/>
      </w:r>
      <w:r>
        <w:instrText xml:space="preserve"> PAGEREF _Toc38549715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Accommodation agreements</w:t>
      </w:r>
    </w:p>
    <w:p>
      <w:pPr>
        <w:pStyle w:val="TOC4"/>
        <w:tabs>
          <w:tab w:val="right" w:leader="dot" w:pos="7077"/>
        </w:tabs>
        <w:rPr>
          <w:rFonts w:asciiTheme="minorHAnsi" w:eastAsiaTheme="minorEastAsia" w:hAnsiTheme="minorHAnsi" w:cstheme="minorBidi"/>
          <w:b w:val="0"/>
          <w:szCs w:val="22"/>
        </w:rPr>
      </w:pPr>
      <w:r>
        <w:t>Division 1 — Provisions affecting accommodation agreements (other than in relation to termination)</w:t>
      </w:r>
    </w:p>
    <w:p>
      <w:pPr>
        <w:pStyle w:val="TOC8"/>
        <w:rPr>
          <w:rFonts w:asciiTheme="minorHAnsi" w:eastAsiaTheme="minorEastAsia" w:hAnsiTheme="minorHAnsi" w:cstheme="minorBidi"/>
          <w:szCs w:val="22"/>
        </w:rPr>
      </w:pPr>
      <w:r>
        <w:t>22.</w:t>
      </w:r>
      <w:r>
        <w:tab/>
        <w:t>Rent cannot increase during emergency period</w:t>
      </w:r>
      <w:r>
        <w:tab/>
      </w:r>
      <w:r>
        <w:fldChar w:fldCharType="begin"/>
      </w:r>
      <w:r>
        <w:instrText xml:space="preserve"> PAGEREF _Toc38549718 \h </w:instrText>
      </w:r>
      <w:r>
        <w:fldChar w:fldCharType="separate"/>
      </w:r>
      <w:r>
        <w:t>20</w:t>
      </w:r>
      <w:r>
        <w:fldChar w:fldCharType="end"/>
      </w:r>
    </w:p>
    <w:p>
      <w:pPr>
        <w:pStyle w:val="TOC8"/>
        <w:rPr>
          <w:rFonts w:asciiTheme="minorHAnsi" w:eastAsiaTheme="minorEastAsia" w:hAnsiTheme="minorHAnsi" w:cstheme="minorBidi"/>
          <w:szCs w:val="22"/>
        </w:rPr>
      </w:pPr>
      <w:r>
        <w:t>23.</w:t>
      </w:r>
      <w:r>
        <w:tab/>
        <w:t>Rent cannot increase after renegotiation of lease during emergency period</w:t>
      </w:r>
      <w:r>
        <w:tab/>
      </w:r>
      <w:r>
        <w:fldChar w:fldCharType="begin"/>
      </w:r>
      <w:r>
        <w:instrText xml:space="preserve"> PAGEREF _Toc38549719 \h </w:instrText>
      </w:r>
      <w:r>
        <w:fldChar w:fldCharType="separate"/>
      </w:r>
      <w:r>
        <w:t>21</w:t>
      </w:r>
      <w:r>
        <w:fldChar w:fldCharType="end"/>
      </w:r>
    </w:p>
    <w:p>
      <w:pPr>
        <w:pStyle w:val="TOC8"/>
        <w:rPr>
          <w:rFonts w:asciiTheme="minorHAnsi" w:eastAsiaTheme="minorEastAsia" w:hAnsiTheme="minorHAnsi" w:cstheme="minorBidi"/>
          <w:szCs w:val="22"/>
        </w:rPr>
      </w:pPr>
      <w:r>
        <w:t>24.</w:t>
      </w:r>
      <w:r>
        <w:tab/>
        <w:t>Landlord not required to maintain and repair under accommodation agreement if unable to do so during emergency period</w:t>
      </w:r>
      <w:r>
        <w:tab/>
      </w:r>
      <w:r>
        <w:fldChar w:fldCharType="begin"/>
      </w:r>
      <w:r>
        <w:instrText xml:space="preserve"> PAGEREF _Toc38549720 \h </w:instrText>
      </w:r>
      <w:r>
        <w:fldChar w:fldCharType="separate"/>
      </w:r>
      <w:r>
        <w:t>21</w:t>
      </w:r>
      <w:r>
        <w:fldChar w:fldCharType="end"/>
      </w:r>
    </w:p>
    <w:p>
      <w:pPr>
        <w:pStyle w:val="TOC8"/>
        <w:rPr>
          <w:rFonts w:asciiTheme="minorHAnsi" w:eastAsiaTheme="minorEastAsia" w:hAnsiTheme="minorHAnsi" w:cstheme="minorBidi"/>
          <w:szCs w:val="22"/>
        </w:rPr>
      </w:pPr>
      <w:r>
        <w:t>25.</w:t>
      </w:r>
      <w:r>
        <w:tab/>
        <w:t>Fixed</w:t>
      </w:r>
      <w:r>
        <w:noBreakHyphen/>
        <w:t>term tenancy ending during emergency period to continue as periodic tenancy</w:t>
      </w:r>
      <w:r>
        <w:tab/>
      </w:r>
      <w:r>
        <w:fldChar w:fldCharType="begin"/>
      </w:r>
      <w:r>
        <w:instrText xml:space="preserve"> PAGEREF _Toc38549721 \h </w:instrText>
      </w:r>
      <w:r>
        <w:fldChar w:fldCharType="separate"/>
      </w:r>
      <w:r>
        <w:t>22</w:t>
      </w:r>
      <w:r>
        <w:fldChar w:fldCharType="end"/>
      </w:r>
    </w:p>
    <w:p>
      <w:pPr>
        <w:pStyle w:val="TOC8"/>
        <w:rPr>
          <w:rFonts w:asciiTheme="minorHAnsi" w:eastAsiaTheme="minorEastAsia" w:hAnsiTheme="minorHAnsi" w:cstheme="minorBidi"/>
          <w:szCs w:val="22"/>
        </w:rPr>
      </w:pPr>
      <w:r>
        <w:t>27.</w:t>
      </w:r>
      <w:r>
        <w:tab/>
        <w:t>Giving rent default notices for failure to pay rent during emergency period</w:t>
      </w:r>
      <w:r>
        <w:tab/>
      </w:r>
      <w:r>
        <w:fldChar w:fldCharType="begin"/>
      </w:r>
      <w:r>
        <w:instrText xml:space="preserve"> PAGEREF _Toc38549722 \h </w:instrText>
      </w:r>
      <w:r>
        <w:fldChar w:fldCharType="separate"/>
      </w:r>
      <w:r>
        <w:t>23</w:t>
      </w:r>
      <w:r>
        <w:fldChar w:fldCharType="end"/>
      </w:r>
    </w:p>
    <w:p>
      <w:pPr>
        <w:pStyle w:val="TOC8"/>
        <w:rPr>
          <w:rFonts w:asciiTheme="minorHAnsi" w:eastAsiaTheme="minorEastAsia" w:hAnsiTheme="minorHAnsi" w:cstheme="minorBidi"/>
          <w:szCs w:val="22"/>
        </w:rPr>
      </w:pPr>
      <w:r>
        <w:t>28.</w:t>
      </w:r>
      <w:r>
        <w:tab/>
        <w:t>Recovery of interest on rent not paid under accommodation agreements during emergency period prohibited</w:t>
      </w:r>
      <w:r>
        <w:tab/>
      </w:r>
      <w:r>
        <w:fldChar w:fldCharType="begin"/>
      </w:r>
      <w:r>
        <w:instrText xml:space="preserve"> PAGEREF _Toc38549723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Provisions affecting termination of accommodation agreements during emergency period</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_Toc38549725 \h </w:instrText>
      </w:r>
      <w:r>
        <w:fldChar w:fldCharType="separate"/>
      </w:r>
      <w:r>
        <w:t>24</w:t>
      </w:r>
      <w:r>
        <w:fldChar w:fldCharType="end"/>
      </w:r>
    </w:p>
    <w:p>
      <w:pPr>
        <w:pStyle w:val="TOC8"/>
        <w:rPr>
          <w:rFonts w:asciiTheme="minorHAnsi" w:eastAsiaTheme="minorEastAsia" w:hAnsiTheme="minorHAnsi" w:cstheme="minorBidi"/>
          <w:szCs w:val="22"/>
        </w:rPr>
      </w:pPr>
      <w:r>
        <w:t>30.</w:t>
      </w:r>
      <w:r>
        <w:tab/>
        <w:t>Termination of accommodation agreements during emergency period to be in accordance with Division</w:t>
      </w:r>
      <w:r>
        <w:tab/>
      </w:r>
      <w:r>
        <w:fldChar w:fldCharType="begin"/>
      </w:r>
      <w:r>
        <w:instrText xml:space="preserve"> PAGEREF _Toc38549726 \h </w:instrText>
      </w:r>
      <w:r>
        <w:fldChar w:fldCharType="separate"/>
      </w:r>
      <w:r>
        <w:t>25</w:t>
      </w:r>
      <w:r>
        <w:fldChar w:fldCharType="end"/>
      </w:r>
    </w:p>
    <w:p>
      <w:pPr>
        <w:pStyle w:val="TOC8"/>
        <w:rPr>
          <w:rFonts w:asciiTheme="minorHAnsi" w:eastAsiaTheme="minorEastAsia" w:hAnsiTheme="minorHAnsi" w:cstheme="minorBidi"/>
          <w:szCs w:val="22"/>
        </w:rPr>
      </w:pPr>
      <w:r>
        <w:t>31.</w:t>
      </w:r>
      <w:r>
        <w:tab/>
        <w:t>Termination of interest in accommodation agreement arising from family violence</w:t>
      </w:r>
      <w:r>
        <w:tab/>
      </w:r>
      <w:r>
        <w:fldChar w:fldCharType="begin"/>
      </w:r>
      <w:r>
        <w:instrText xml:space="preserve"> PAGEREF _Toc38549727 \h </w:instrText>
      </w:r>
      <w:r>
        <w:fldChar w:fldCharType="separate"/>
      </w:r>
      <w:r>
        <w:t>25</w:t>
      </w:r>
      <w:r>
        <w:fldChar w:fldCharType="end"/>
      </w:r>
    </w:p>
    <w:p>
      <w:pPr>
        <w:pStyle w:val="TOC8"/>
        <w:rPr>
          <w:rFonts w:asciiTheme="minorHAnsi" w:eastAsiaTheme="minorEastAsia" w:hAnsiTheme="minorHAnsi" w:cstheme="minorBidi"/>
          <w:szCs w:val="22"/>
        </w:rPr>
      </w:pPr>
      <w:r>
        <w:t>32.</w:t>
      </w:r>
      <w:r>
        <w:tab/>
        <w:t>Termination of accommodation agreement in relation to failure to pay rent during emergency period</w:t>
      </w:r>
      <w:r>
        <w:tab/>
      </w:r>
      <w:r>
        <w:fldChar w:fldCharType="begin"/>
      </w:r>
      <w:r>
        <w:instrText xml:space="preserve"> PAGEREF _Toc38549728 \h </w:instrText>
      </w:r>
      <w:r>
        <w:fldChar w:fldCharType="separate"/>
      </w:r>
      <w:r>
        <w:t>26</w:t>
      </w:r>
      <w:r>
        <w:fldChar w:fldCharType="end"/>
      </w:r>
    </w:p>
    <w:p>
      <w:pPr>
        <w:pStyle w:val="TOC8"/>
        <w:rPr>
          <w:rFonts w:asciiTheme="minorHAnsi" w:eastAsiaTheme="minorEastAsia" w:hAnsiTheme="minorHAnsi" w:cstheme="minorBidi"/>
          <w:szCs w:val="22"/>
        </w:rPr>
      </w:pPr>
      <w:r>
        <w:t>33.</w:t>
      </w:r>
      <w:r>
        <w:tab/>
        <w:t>Termination without specifying grounds</w:t>
      </w:r>
      <w:r>
        <w:tab/>
      </w:r>
      <w:r>
        <w:fldChar w:fldCharType="begin"/>
      </w:r>
      <w:r>
        <w:instrText xml:space="preserve"> PAGEREF _Toc38549729 \h </w:instrText>
      </w:r>
      <w:r>
        <w:fldChar w:fldCharType="separate"/>
      </w:r>
      <w:r>
        <w:t>28</w:t>
      </w:r>
      <w:r>
        <w:fldChar w:fldCharType="end"/>
      </w:r>
    </w:p>
    <w:p>
      <w:pPr>
        <w:pStyle w:val="TOC8"/>
        <w:rPr>
          <w:rFonts w:asciiTheme="minorHAnsi" w:eastAsiaTheme="minorEastAsia" w:hAnsiTheme="minorHAnsi" w:cstheme="minorBidi"/>
          <w:szCs w:val="22"/>
        </w:rPr>
      </w:pPr>
      <w:r>
        <w:t>34.</w:t>
      </w:r>
      <w:r>
        <w:tab/>
        <w:t>Termination if accommodation agreement frustrated</w:t>
      </w:r>
      <w:r>
        <w:tab/>
      </w:r>
      <w:r>
        <w:fldChar w:fldCharType="begin"/>
      </w:r>
      <w:r>
        <w:instrText xml:space="preserve"> PAGEREF _Toc38549730 \h </w:instrText>
      </w:r>
      <w:r>
        <w:fldChar w:fldCharType="separate"/>
      </w:r>
      <w:r>
        <w:t>29</w:t>
      </w:r>
      <w:r>
        <w:fldChar w:fldCharType="end"/>
      </w:r>
    </w:p>
    <w:p>
      <w:pPr>
        <w:pStyle w:val="TOC8"/>
        <w:rPr>
          <w:rFonts w:asciiTheme="minorHAnsi" w:eastAsiaTheme="minorEastAsia" w:hAnsiTheme="minorHAnsi" w:cstheme="minorBidi"/>
          <w:szCs w:val="22"/>
        </w:rPr>
      </w:pPr>
      <w:r>
        <w:t>35.</w:t>
      </w:r>
      <w:r>
        <w:tab/>
        <w:t>Termination in other circumstances</w:t>
      </w:r>
      <w:r>
        <w:tab/>
      </w:r>
      <w:r>
        <w:fldChar w:fldCharType="begin"/>
      </w:r>
      <w:r>
        <w:instrText xml:space="preserve"> PAGEREF _Toc38549731 \h </w:instrText>
      </w:r>
      <w:r>
        <w:fldChar w:fldCharType="separate"/>
      </w:r>
      <w:r>
        <w:t>30</w:t>
      </w:r>
      <w:r>
        <w:fldChar w:fldCharType="end"/>
      </w:r>
    </w:p>
    <w:p>
      <w:pPr>
        <w:pStyle w:val="TOC8"/>
        <w:rPr>
          <w:rFonts w:asciiTheme="minorHAnsi" w:eastAsiaTheme="minorEastAsia" w:hAnsiTheme="minorHAnsi" w:cstheme="minorBidi"/>
          <w:szCs w:val="22"/>
        </w:rPr>
      </w:pPr>
      <w:r>
        <w:t>36.</w:t>
      </w:r>
      <w:r>
        <w:tab/>
        <w:t>Competent court may terminate agreement if resident causing serious damage or injury</w:t>
      </w:r>
      <w:r>
        <w:tab/>
      </w:r>
      <w:r>
        <w:fldChar w:fldCharType="begin"/>
      </w:r>
      <w:r>
        <w:instrText xml:space="preserve"> PAGEREF _Toc38549732 \h </w:instrText>
      </w:r>
      <w:r>
        <w:fldChar w:fldCharType="separate"/>
      </w:r>
      <w:r>
        <w:t>30</w:t>
      </w:r>
      <w:r>
        <w:fldChar w:fldCharType="end"/>
      </w:r>
    </w:p>
    <w:p>
      <w:pPr>
        <w:pStyle w:val="TOC8"/>
        <w:rPr>
          <w:rFonts w:asciiTheme="minorHAnsi" w:eastAsiaTheme="minorEastAsia" w:hAnsiTheme="minorHAnsi" w:cstheme="minorBidi"/>
          <w:szCs w:val="22"/>
        </w:rPr>
      </w:pPr>
      <w:r>
        <w:t>37.</w:t>
      </w:r>
      <w:r>
        <w:tab/>
        <w:t>Competent court may terminate agreement because of undue hardship</w:t>
      </w:r>
      <w:r>
        <w:tab/>
      </w:r>
      <w:r>
        <w:fldChar w:fldCharType="begin"/>
      </w:r>
      <w:r>
        <w:instrText xml:space="preserve"> PAGEREF _Toc38549733 \h </w:instrText>
      </w:r>
      <w:r>
        <w:fldChar w:fldCharType="separate"/>
      </w:r>
      <w:r>
        <w:t>31</w:t>
      </w:r>
      <w:r>
        <w:fldChar w:fldCharType="end"/>
      </w:r>
    </w:p>
    <w:p>
      <w:pPr>
        <w:pStyle w:val="TOC8"/>
        <w:rPr>
          <w:rFonts w:asciiTheme="minorHAnsi" w:eastAsiaTheme="minorEastAsia" w:hAnsiTheme="minorHAnsi" w:cstheme="minorBidi"/>
          <w:szCs w:val="22"/>
        </w:rPr>
      </w:pPr>
      <w:r>
        <w:t>38.</w:t>
      </w:r>
      <w:r>
        <w:tab/>
        <w:t>Termination at end of emergency period for non</w:t>
      </w:r>
      <w:r>
        <w:noBreakHyphen/>
        <w:t>compliance with rent default notice</w:t>
      </w:r>
      <w:r>
        <w:tab/>
      </w:r>
      <w:r>
        <w:fldChar w:fldCharType="begin"/>
      </w:r>
      <w:r>
        <w:instrText xml:space="preserve"> PAGEREF _Toc38549734 \h </w:instrText>
      </w:r>
      <w:r>
        <w:fldChar w:fldCharType="separate"/>
      </w:r>
      <w:r>
        <w:t>32</w:t>
      </w:r>
      <w:r>
        <w:fldChar w:fldCharType="end"/>
      </w:r>
    </w:p>
    <w:p>
      <w:pPr>
        <w:pStyle w:val="TOC8"/>
        <w:rPr>
          <w:rFonts w:asciiTheme="minorHAnsi" w:eastAsiaTheme="minorEastAsia" w:hAnsiTheme="minorHAnsi" w:cstheme="minorBidi"/>
          <w:szCs w:val="22"/>
        </w:rPr>
      </w:pPr>
      <w:r>
        <w:t>39.</w:t>
      </w:r>
      <w:r>
        <w:tab/>
        <w:t>Requirement for notice of termination given under Division</w:t>
      </w:r>
      <w:r>
        <w:tab/>
      </w:r>
      <w:r>
        <w:fldChar w:fldCharType="begin"/>
      </w:r>
      <w:r>
        <w:instrText xml:space="preserve"> PAGEREF _Toc38549735 \h </w:instrText>
      </w:r>
      <w:r>
        <w:fldChar w:fldCharType="separate"/>
      </w:r>
      <w:r>
        <w:t>33</w:t>
      </w:r>
      <w:r>
        <w:fldChar w:fldCharType="end"/>
      </w:r>
    </w:p>
    <w:p>
      <w:pPr>
        <w:pStyle w:val="TOC8"/>
        <w:rPr>
          <w:rFonts w:asciiTheme="minorHAnsi" w:eastAsiaTheme="minorEastAsia" w:hAnsiTheme="minorHAnsi" w:cstheme="minorBidi"/>
          <w:szCs w:val="22"/>
        </w:rPr>
      </w:pPr>
      <w:r>
        <w:t>40.</w:t>
      </w:r>
      <w:r>
        <w:tab/>
        <w:t xml:space="preserve">Application of </w:t>
      </w:r>
      <w:r>
        <w:rPr>
          <w:i/>
        </w:rPr>
        <w:t xml:space="preserve">Residential Tenancies Act 1987 </w:t>
      </w:r>
      <w:r>
        <w:t>s. 71 to termination notice given under s. 34 or 38</w:t>
      </w:r>
      <w:r>
        <w:tab/>
      </w:r>
      <w:r>
        <w:fldChar w:fldCharType="begin"/>
      </w:r>
      <w:r>
        <w:instrText xml:space="preserve"> PAGEREF _Toc38549736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Part</w:t>
      </w:r>
    </w:p>
    <w:p>
      <w:pPr>
        <w:pStyle w:val="TOC8"/>
        <w:rPr>
          <w:rFonts w:asciiTheme="minorHAnsi" w:eastAsiaTheme="minorEastAsia" w:hAnsiTheme="minorHAnsi" w:cstheme="minorBidi"/>
          <w:szCs w:val="22"/>
        </w:rPr>
      </w:pPr>
      <w:r>
        <w:t>41.</w:t>
      </w:r>
      <w:r>
        <w:tab/>
        <w:t>Recovery of amounts paid in contravention of s. 22</w:t>
      </w:r>
      <w:r>
        <w:tab/>
      </w:r>
      <w:r>
        <w:fldChar w:fldCharType="begin"/>
      </w:r>
      <w:r>
        <w:instrText xml:space="preserve"> PAGEREF _Toc38549738 \h </w:instrText>
      </w:r>
      <w:r>
        <w:fldChar w:fldCharType="separate"/>
      </w:r>
      <w:r>
        <w:t>34</w:t>
      </w:r>
      <w:r>
        <w:fldChar w:fldCharType="end"/>
      </w:r>
    </w:p>
    <w:p>
      <w:pPr>
        <w:pStyle w:val="TOC8"/>
        <w:rPr>
          <w:rFonts w:asciiTheme="minorHAnsi" w:eastAsiaTheme="minorEastAsia" w:hAnsiTheme="minorHAnsi" w:cstheme="minorBidi"/>
          <w:szCs w:val="22"/>
        </w:rPr>
      </w:pPr>
      <w:r>
        <w:t>42.</w:t>
      </w:r>
      <w:r>
        <w:tab/>
        <w:t xml:space="preserve">Application of </w:t>
      </w:r>
      <w:r>
        <w:rPr>
          <w:i/>
        </w:rPr>
        <w:t>Residential Tenancies Act 1987</w:t>
      </w:r>
      <w:r>
        <w:t xml:space="preserve"> s. 17A and 17B to this Part</w:t>
      </w:r>
      <w:r>
        <w:tab/>
      </w:r>
      <w:r>
        <w:fldChar w:fldCharType="begin"/>
      </w:r>
      <w:r>
        <w:instrText xml:space="preserve"> PAGEREF _Toc38549739 \h </w:instrText>
      </w:r>
      <w:r>
        <w:fldChar w:fldCharType="separate"/>
      </w:r>
      <w:r>
        <w:t>34</w:t>
      </w:r>
      <w:r>
        <w:fldChar w:fldCharType="end"/>
      </w:r>
    </w:p>
    <w:p>
      <w:pPr>
        <w:pStyle w:val="TOC8"/>
        <w:rPr>
          <w:rFonts w:asciiTheme="minorHAnsi" w:eastAsiaTheme="minorEastAsia" w:hAnsiTheme="minorHAnsi" w:cstheme="minorBidi"/>
          <w:szCs w:val="22"/>
        </w:rPr>
      </w:pPr>
      <w:r>
        <w:t>43.</w:t>
      </w:r>
      <w:r>
        <w:tab/>
        <w:t>Commissioner’s functions and powers under this Part</w:t>
      </w:r>
      <w:r>
        <w:tab/>
      </w:r>
      <w:r>
        <w:fldChar w:fldCharType="begin"/>
      </w:r>
      <w:r>
        <w:instrText xml:space="preserve"> PAGEREF _Toc38549740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_Toc38549743 \h </w:instrText>
      </w:r>
      <w:r>
        <w:fldChar w:fldCharType="separate"/>
      </w:r>
      <w:r>
        <w:t>36</w:t>
      </w:r>
      <w:r>
        <w:fldChar w:fldCharType="end"/>
      </w:r>
    </w:p>
    <w:p>
      <w:pPr>
        <w:pStyle w:val="TOC8"/>
        <w:rPr>
          <w:rFonts w:asciiTheme="minorHAnsi" w:eastAsiaTheme="minorEastAsia" w:hAnsiTheme="minorHAnsi" w:cstheme="minorBidi"/>
          <w:szCs w:val="22"/>
        </w:rPr>
      </w:pPr>
      <w:r>
        <w:t>46.</w:t>
      </w:r>
      <w:r>
        <w:tab/>
        <w:t>Term used: relevant dispute</w:t>
      </w:r>
      <w:r>
        <w:tab/>
      </w:r>
      <w:r>
        <w:fldChar w:fldCharType="begin"/>
      </w:r>
      <w:r>
        <w:instrText xml:space="preserve"> PAGEREF _Toc38549744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relief</w:t>
      </w:r>
    </w:p>
    <w:p>
      <w:pPr>
        <w:pStyle w:val="TOC8"/>
        <w:rPr>
          <w:rFonts w:asciiTheme="minorHAnsi" w:eastAsiaTheme="minorEastAsia" w:hAnsiTheme="minorHAnsi" w:cstheme="minorBidi"/>
          <w:szCs w:val="22"/>
        </w:rPr>
      </w:pPr>
      <w:r>
        <w:t>47.</w:t>
      </w:r>
      <w:r>
        <w:tab/>
        <w:t>Application for relief in relation to relevant dispute or failure to comply with order in respect of residential tenancy agreement</w:t>
      </w:r>
      <w:r>
        <w:tab/>
      </w:r>
      <w:r>
        <w:fldChar w:fldCharType="begin"/>
      </w:r>
      <w:r>
        <w:instrText xml:space="preserve"> PAGEREF _Toc38549746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for relief in relation to relevant dispute or failure to comply with order in respect of accommodation agreements</w:t>
      </w:r>
      <w:r>
        <w:tab/>
      </w:r>
      <w:r>
        <w:fldChar w:fldCharType="begin"/>
      </w:r>
      <w:r>
        <w:instrText xml:space="preserve"> PAGEREF _Toc38549747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64.</w:t>
      </w:r>
      <w:r>
        <w:tab/>
        <w:t>Regulations</w:t>
      </w:r>
      <w:r>
        <w:tab/>
      </w:r>
      <w:r>
        <w:fldChar w:fldCharType="begin"/>
      </w:r>
      <w:r>
        <w:instrText xml:space="preserve"> PAGEREF _Toc38549749 \h </w:instrText>
      </w:r>
      <w:r>
        <w:fldChar w:fldCharType="separate"/>
      </w:r>
      <w:r>
        <w:t>39</w:t>
      </w:r>
      <w:r>
        <w:fldChar w:fldCharType="end"/>
      </w:r>
    </w:p>
    <w:p>
      <w:pPr>
        <w:pStyle w:val="TOC8"/>
        <w:rPr>
          <w:rFonts w:asciiTheme="minorHAnsi" w:eastAsiaTheme="minorEastAsia" w:hAnsiTheme="minorHAnsi" w:cstheme="minorBidi"/>
          <w:szCs w:val="22"/>
        </w:rPr>
      </w:pPr>
      <w:r>
        <w:t>65.</w:t>
      </w:r>
      <w:r>
        <w:tab/>
        <w:t>Powers of investigation under Act</w:t>
      </w:r>
      <w:r>
        <w:tab/>
      </w:r>
      <w:r>
        <w:fldChar w:fldCharType="begin"/>
      </w:r>
      <w:r>
        <w:instrText xml:space="preserve"> PAGEREF _Toc38549750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66.</w:t>
      </w:r>
      <w:r>
        <w:tab/>
        <w:t>Repeal</w:t>
      </w:r>
      <w:r>
        <w:tab/>
      </w:r>
      <w:r>
        <w:fldChar w:fldCharType="begin"/>
      </w:r>
      <w:r>
        <w:instrText xml:space="preserve"> PAGEREF _Toc38549752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_Toc38549755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events occurring before assent day</w:t>
      </w:r>
    </w:p>
    <w:p>
      <w:pPr>
        <w:pStyle w:val="TOC8"/>
        <w:rPr>
          <w:rFonts w:asciiTheme="minorHAnsi" w:eastAsiaTheme="minorEastAsia" w:hAnsiTheme="minorHAnsi" w:cstheme="minorBidi"/>
          <w:szCs w:val="22"/>
        </w:rPr>
      </w:pPr>
      <w:r>
        <w:t>68.</w:t>
      </w:r>
      <w:r>
        <w:tab/>
        <w:t>Termination notices given under tenancy Acts before 30 March 2020</w:t>
      </w:r>
      <w:r>
        <w:tab/>
      </w:r>
      <w:r>
        <w:fldChar w:fldCharType="begin"/>
      </w:r>
      <w:r>
        <w:instrText xml:space="preserve"> PAGEREF _Toc38549757 \h </w:instrText>
      </w:r>
      <w:r>
        <w:fldChar w:fldCharType="separate"/>
      </w:r>
      <w:r>
        <w:t>41</w:t>
      </w:r>
      <w:r>
        <w:fldChar w:fldCharType="end"/>
      </w:r>
    </w:p>
    <w:p>
      <w:pPr>
        <w:pStyle w:val="TOC8"/>
        <w:rPr>
          <w:rFonts w:asciiTheme="minorHAnsi" w:eastAsiaTheme="minorEastAsia" w:hAnsiTheme="minorHAnsi" w:cstheme="minorBidi"/>
          <w:szCs w:val="22"/>
        </w:rPr>
      </w:pPr>
      <w:r>
        <w:t>69.</w:t>
      </w:r>
      <w:r>
        <w:tab/>
        <w:t>Termination of tenancy agreements during pre</w:t>
      </w:r>
      <w:r>
        <w:noBreakHyphen/>
        <w:t>assent emergency period under tenancy Acts</w:t>
      </w:r>
      <w:r>
        <w:tab/>
      </w:r>
      <w:r>
        <w:fldChar w:fldCharType="begin"/>
      </w:r>
      <w:r>
        <w:instrText xml:space="preserve"> PAGEREF _Toc38549758 \h </w:instrText>
      </w:r>
      <w:r>
        <w:fldChar w:fldCharType="separate"/>
      </w:r>
      <w:r>
        <w:t>42</w:t>
      </w:r>
      <w:r>
        <w:fldChar w:fldCharType="end"/>
      </w:r>
    </w:p>
    <w:p>
      <w:pPr>
        <w:pStyle w:val="TOC8"/>
        <w:rPr>
          <w:rFonts w:asciiTheme="minorHAnsi" w:eastAsiaTheme="minorEastAsia" w:hAnsiTheme="minorHAnsi" w:cstheme="minorBidi"/>
          <w:szCs w:val="22"/>
        </w:rPr>
      </w:pPr>
      <w:r>
        <w:t>70.</w:t>
      </w:r>
      <w:r>
        <w:tab/>
        <w:t>Termination under accommodation agreement during pre</w:t>
      </w:r>
      <w:r>
        <w:noBreakHyphen/>
        <w:t>assent emergency period</w:t>
      </w:r>
      <w:r>
        <w:tab/>
      </w:r>
      <w:r>
        <w:fldChar w:fldCharType="begin"/>
      </w:r>
      <w:r>
        <w:instrText xml:space="preserve"> PAGEREF _Toc38549759 \h </w:instrText>
      </w:r>
      <w:r>
        <w:fldChar w:fldCharType="separate"/>
      </w:r>
      <w:r>
        <w:t>42</w:t>
      </w:r>
      <w:r>
        <w:fldChar w:fldCharType="end"/>
      </w:r>
    </w:p>
    <w:p>
      <w:pPr>
        <w:pStyle w:val="TOC8"/>
        <w:rPr>
          <w:rFonts w:asciiTheme="minorHAnsi" w:eastAsiaTheme="minorEastAsia" w:hAnsiTheme="minorHAnsi" w:cstheme="minorBidi"/>
          <w:szCs w:val="22"/>
        </w:rPr>
      </w:pPr>
      <w:r>
        <w:t>71.</w:t>
      </w:r>
      <w:r>
        <w:tab/>
        <w:t>Status of termination notice under accommodation agreement before 30 March 2020</w:t>
      </w:r>
      <w:r>
        <w:tab/>
      </w:r>
      <w:r>
        <w:fldChar w:fldCharType="begin"/>
      </w:r>
      <w:r>
        <w:instrText xml:space="preserve"> PAGEREF _Toc38549760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Other transitional provisions</w:t>
      </w:r>
    </w:p>
    <w:p>
      <w:pPr>
        <w:pStyle w:val="TOC8"/>
        <w:rPr>
          <w:rFonts w:asciiTheme="minorHAnsi" w:eastAsiaTheme="minorEastAsia" w:hAnsiTheme="minorHAnsi" w:cstheme="minorBidi"/>
          <w:szCs w:val="22"/>
        </w:rPr>
      </w:pPr>
      <w:r>
        <w:t>72.</w:t>
      </w:r>
      <w:r>
        <w:tab/>
        <w:t>Mortgagee terminating tenancy agreements after emergency period</w:t>
      </w:r>
      <w:r>
        <w:tab/>
      </w:r>
      <w:r>
        <w:fldChar w:fldCharType="begin"/>
      </w:r>
      <w:r>
        <w:instrText xml:space="preserve"> PAGEREF _Toc38549762 \h </w:instrText>
      </w:r>
      <w:r>
        <w:fldChar w:fldCharType="separate"/>
      </w:r>
      <w:r>
        <w:t>43</w:t>
      </w:r>
      <w:r>
        <w:fldChar w:fldCharType="end"/>
      </w:r>
    </w:p>
    <w:p>
      <w:pPr>
        <w:pStyle w:val="TOC8"/>
        <w:rPr>
          <w:rFonts w:asciiTheme="minorHAnsi" w:eastAsiaTheme="minorEastAsia" w:hAnsiTheme="minorHAnsi" w:cstheme="minorBidi"/>
          <w:szCs w:val="22"/>
        </w:rPr>
      </w:pPr>
      <w:r>
        <w:t>73.</w:t>
      </w:r>
      <w:r>
        <w:tab/>
        <w:t>Effect of notices of termination given under tenancy Acts for termination after emergency period</w:t>
      </w:r>
      <w:r>
        <w:tab/>
      </w:r>
      <w:r>
        <w:fldChar w:fldCharType="begin"/>
      </w:r>
      <w:r>
        <w:instrText xml:space="preserve"> PAGEREF _Toc38549763 \h </w:instrText>
      </w:r>
      <w:r>
        <w:fldChar w:fldCharType="separate"/>
      </w:r>
      <w:r>
        <w:t>43</w:t>
      </w:r>
      <w:r>
        <w:fldChar w:fldCharType="end"/>
      </w:r>
    </w:p>
    <w:p>
      <w:pPr>
        <w:pStyle w:val="TOC8"/>
        <w:rPr>
          <w:rFonts w:asciiTheme="minorHAnsi" w:eastAsiaTheme="minorEastAsia" w:hAnsiTheme="minorHAnsi" w:cstheme="minorBidi"/>
          <w:szCs w:val="22"/>
        </w:rPr>
      </w:pPr>
      <w:r>
        <w:t>74.</w:t>
      </w:r>
      <w:r>
        <w:tab/>
        <w:t>Effect of notices of termination given under tenancy Acts for termination during emergency period</w:t>
      </w:r>
      <w:r>
        <w:tab/>
      </w:r>
      <w:r>
        <w:fldChar w:fldCharType="begin"/>
      </w:r>
      <w:r>
        <w:instrText xml:space="preserve"> PAGEREF _Toc38549764 \h </w:instrText>
      </w:r>
      <w:r>
        <w:fldChar w:fldCharType="separate"/>
      </w:r>
      <w:r>
        <w:t>43</w:t>
      </w:r>
      <w:r>
        <w:fldChar w:fldCharType="end"/>
      </w:r>
    </w:p>
    <w:p>
      <w:pPr>
        <w:pStyle w:val="TOC8"/>
        <w:rPr>
          <w:rFonts w:asciiTheme="minorHAnsi" w:eastAsiaTheme="minorEastAsia" w:hAnsiTheme="minorHAnsi" w:cstheme="minorBidi"/>
          <w:szCs w:val="22"/>
        </w:rPr>
      </w:pPr>
      <w:r>
        <w:t>75.</w:t>
      </w:r>
      <w:r>
        <w:tab/>
        <w:t>Effect of termination notice given under this Act that takes effect after end of emergency period</w:t>
      </w:r>
      <w:r>
        <w:tab/>
      </w:r>
      <w:r>
        <w:fldChar w:fldCharType="begin"/>
      </w:r>
      <w:r>
        <w:instrText xml:space="preserve"> PAGEREF _Toc38549765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_Toc38549767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Residential Tenancies Act 1987</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_Toc38549769 \h </w:instrText>
      </w:r>
      <w:r>
        <w:fldChar w:fldCharType="separate"/>
      </w:r>
      <w:r>
        <w:t>46</w:t>
      </w:r>
      <w:r>
        <w:fldChar w:fldCharType="end"/>
      </w:r>
    </w:p>
    <w:p>
      <w:pPr>
        <w:pStyle w:val="TOC8"/>
        <w:rPr>
          <w:rFonts w:asciiTheme="minorHAnsi" w:eastAsiaTheme="minorEastAsia" w:hAnsiTheme="minorHAnsi" w:cstheme="minorBidi"/>
          <w:szCs w:val="22"/>
        </w:rPr>
      </w:pPr>
      <w:r>
        <w:t>78.</w:t>
      </w:r>
      <w:r>
        <w:tab/>
        <w:t>Section 82E amended</w:t>
      </w:r>
      <w:r>
        <w:tab/>
      </w:r>
      <w:r>
        <w:fldChar w:fldCharType="begin"/>
      </w:r>
      <w:r>
        <w:instrText xml:space="preserve"> PAGEREF _Toc38549770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_Toc38549772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_Toc38549773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Residential Tenancies (COVID</w:t>
      </w:r>
      <w:r>
        <w:noBreakHyphen/>
        <w:t>19 Response) Act 2020</w:t>
      </w:r>
    </w:p>
    <w:p>
      <w:pPr>
        <w:pStyle w:val="LongTitle"/>
        <w:suppressLineNumbers/>
      </w:pPr>
      <w:bookmarkStart w:id="3" w:name="BillCited"/>
      <w:bookmarkEnd w:id="3"/>
      <w:r>
        <w:t xml:space="preserve">An Act — </w:t>
      </w:r>
    </w:p>
    <w:p>
      <w:pPr>
        <w:pStyle w:val="LongTitle"/>
        <w:numPr>
          <w:ilvl w:val="0"/>
          <w:numId w:val="2"/>
        </w:numPr>
        <w:suppressLineNumbers/>
      </w:pPr>
      <w:r>
        <w:t xml:space="preserve">to regulate, </w:t>
      </w:r>
      <w:r>
        <w:rPr>
          <w:snapToGrid w:val="0"/>
        </w:rPr>
        <w:t>in response to the COVID</w:t>
      </w:r>
      <w:r>
        <w:rPr>
          <w:snapToGrid w:val="0"/>
        </w:rPr>
        <w:noBreakHyphen/>
        <w:t>19 pandemic</w:t>
      </w:r>
      <w:r>
        <w:t>, certain residential tenancy agreements, long</w:t>
      </w:r>
      <w:r>
        <w:noBreakHyphen/>
        <w:t>stay agreements and accommodation agreements; and</w:t>
      </w:r>
    </w:p>
    <w:p>
      <w:pPr>
        <w:pStyle w:val="LongTitle"/>
        <w:numPr>
          <w:ilvl w:val="0"/>
          <w:numId w:val="2"/>
        </w:numPr>
        <w:suppressLineNumbers/>
      </w:pPr>
      <w:r>
        <w:t xml:space="preserve">to modify, </w:t>
      </w:r>
      <w:r>
        <w:rPr>
          <w:snapToGrid w:val="0"/>
        </w:rPr>
        <w:t>in response to the COVID</w:t>
      </w:r>
      <w:r>
        <w:rPr>
          <w:snapToGrid w:val="0"/>
        </w:rPr>
        <w:noBreakHyphen/>
        <w:t>19 pandemic</w:t>
      </w:r>
      <w:r>
        <w:t xml:space="preserve">, the operation of the </w:t>
      </w:r>
      <w:r>
        <w:rPr>
          <w:i/>
        </w:rPr>
        <w:t>Residential Parks (Long</w:t>
      </w:r>
      <w:r>
        <w:rPr>
          <w:i/>
        </w:rPr>
        <w:noBreakHyphen/>
        <w:t>stay Tenants) Act 2006</w:t>
      </w:r>
      <w:r>
        <w:t xml:space="preserve"> and the </w:t>
      </w:r>
      <w:r>
        <w:rPr>
          <w:i/>
        </w:rPr>
        <w:t>Residential Tenancies Act 1987</w:t>
      </w:r>
      <w:r>
        <w:rPr>
          <w:snapToGrid w:val="0"/>
        </w:rPr>
        <w:t>; and</w:t>
      </w:r>
    </w:p>
    <w:p>
      <w:pPr>
        <w:pStyle w:val="LongTitle"/>
        <w:numPr>
          <w:ilvl w:val="0"/>
          <w:numId w:val="2"/>
        </w:numPr>
        <w:suppressLineNumbers/>
      </w:pPr>
      <w:r>
        <w:rPr>
          <w:snapToGrid w:val="0"/>
        </w:rPr>
        <w:t>to provide for the manner in which disputes arising under the Act are to be dealt with; and</w:t>
      </w:r>
    </w:p>
    <w:p>
      <w:pPr>
        <w:pStyle w:val="LongTitle"/>
        <w:numPr>
          <w:ilvl w:val="0"/>
          <w:numId w:val="2"/>
        </w:numPr>
        <w:suppressLineNumbers/>
      </w:pPr>
      <w:r>
        <w:rPr>
          <w:snapToGrid w:val="0"/>
        </w:rPr>
        <w:t xml:space="preserve">to amend the </w:t>
      </w:r>
      <w:r>
        <w:rPr>
          <w:i/>
        </w:rPr>
        <w:t>Residential Tenancies Act 1987</w:t>
      </w:r>
      <w:r>
        <w:t>; and</w:t>
      </w:r>
    </w:p>
    <w:p>
      <w:pPr>
        <w:pStyle w:val="LongTitle"/>
        <w:numPr>
          <w:ilvl w:val="0"/>
          <w:numId w:val="2"/>
        </w:numPr>
        <w:suppressLineNumbers/>
      </w:pPr>
      <w:r>
        <w:t>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542991"/>
      <w:bookmarkStart w:id="5" w:name="_Toc38544958"/>
      <w:bookmarkStart w:id="6" w:name="_Toc38549336"/>
      <w:bookmarkStart w:id="7" w:name="_Toc3854969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8542992"/>
      <w:bookmarkStart w:id="9" w:name="_Toc38549692"/>
      <w:r>
        <w:rPr>
          <w:rStyle w:val="CharSectno"/>
        </w:rPr>
        <w:t>1</w:t>
      </w:r>
      <w:r>
        <w:t>.</w:t>
      </w:r>
      <w:r>
        <w:tab/>
        <w:t>Short title</w:t>
      </w:r>
      <w:bookmarkEnd w:id="8"/>
      <w:bookmarkEnd w:id="9"/>
    </w:p>
    <w:p>
      <w:pPr>
        <w:pStyle w:val="Subsection"/>
      </w:pPr>
      <w:r>
        <w:tab/>
      </w:r>
      <w:r>
        <w:tab/>
        <w:t>This is the</w:t>
      </w:r>
      <w:r>
        <w:rPr>
          <w:i/>
        </w:rPr>
        <w:t xml:space="preserve"> Residential Tenancies (COVID</w:t>
      </w:r>
      <w:r>
        <w:rPr>
          <w:i/>
        </w:rPr>
        <w:noBreakHyphen/>
        <w:t>19 Response) Act 2020</w:t>
      </w:r>
      <w:r>
        <w:t>.</w:t>
      </w:r>
    </w:p>
    <w:p>
      <w:pPr>
        <w:pStyle w:val="Heading5"/>
      </w:pPr>
      <w:bookmarkStart w:id="10" w:name="_Toc38542993"/>
      <w:bookmarkStart w:id="11" w:name="_Toc38549693"/>
      <w:r>
        <w:rPr>
          <w:rStyle w:val="CharSectno"/>
        </w:rPr>
        <w:t>2</w:t>
      </w:r>
      <w:r>
        <w:t>.</w:t>
      </w:r>
      <w:r>
        <w:tab/>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26 and 44 come into operation on the day after assent day;</w:t>
      </w:r>
    </w:p>
    <w:p>
      <w:pPr>
        <w:pStyle w:val="Indenta"/>
      </w:pPr>
      <w:r>
        <w:tab/>
        <w:t>(c)</w:t>
      </w:r>
      <w:r>
        <w:tab/>
        <w:t>sections 14(3)(b) and (4) to (7) and 27(3)(b) and (4) to (7) and Part 4 Divisions 3, 4 and 5 come into operation on a day fixed by proclamation;</w:t>
      </w:r>
    </w:p>
    <w:p>
      <w:pPr>
        <w:pStyle w:val="Indenta"/>
      </w:pPr>
      <w:r>
        <w:tab/>
        <w:t>(d)</w:t>
      </w:r>
      <w:r>
        <w:tab/>
        <w:t>the rest of the Act </w:t>
      </w:r>
      <w:r>
        <w:rPr>
          <w:spacing w:val="-2"/>
        </w:rPr>
        <w:t>is deemed to have come into operation</w:t>
      </w:r>
      <w:r>
        <w:t xml:space="preserve"> on 30 March 2020. </w:t>
      </w:r>
    </w:p>
    <w:p>
      <w:pPr>
        <w:pStyle w:val="Heading5"/>
      </w:pPr>
      <w:bookmarkStart w:id="12" w:name="_Toc38549694"/>
      <w:r>
        <w:rPr>
          <w:rStyle w:val="CharSectno"/>
        </w:rPr>
        <w:t>3</w:t>
      </w:r>
      <w:r>
        <w:t>.</w:t>
      </w:r>
      <w:r>
        <w:tab/>
        <w:t>Terms used</w:t>
      </w:r>
      <w:bookmarkEnd w:id="12"/>
    </w:p>
    <w:p>
      <w:pPr>
        <w:pStyle w:val="Subsection"/>
      </w:pPr>
      <w:r>
        <w:tab/>
        <w:t>(1)</w:t>
      </w:r>
      <w:r>
        <w:tab/>
        <w:t xml:space="preserve">In this Act — </w:t>
      </w:r>
    </w:p>
    <w:p>
      <w:pPr>
        <w:pStyle w:val="Defstart"/>
      </w:pPr>
      <w:r>
        <w:tab/>
      </w:r>
      <w:r>
        <w:rPr>
          <w:rStyle w:val="CharDefText"/>
        </w:rPr>
        <w:t>accommodation agreement</w:t>
      </w:r>
      <w:r>
        <w:t xml:space="preserve"> means an agreement, whether or not in writing and whether express or implied — </w:t>
      </w:r>
    </w:p>
    <w:p>
      <w:pPr>
        <w:pStyle w:val="Defpara"/>
      </w:pPr>
      <w:r>
        <w:tab/>
        <w:t>(a)</w:t>
      </w:r>
      <w:r>
        <w:tab/>
        <w:t>that grants, for valuable consideration, a right to occupy, whether exclusively or otherwise, residential premises, or part of residential premises, to a boarder or lodger for the purpose of residence; or</w:t>
      </w:r>
    </w:p>
    <w:p>
      <w:pPr>
        <w:pStyle w:val="Defpara"/>
      </w:pPr>
      <w:r>
        <w:tab/>
        <w:t>(b)</w:t>
      </w:r>
      <w:r>
        <w:tab/>
        <w:t xml:space="preserve">that is of a class of agreement that — </w:t>
      </w:r>
    </w:p>
    <w:p>
      <w:pPr>
        <w:pStyle w:val="Defsubpara"/>
      </w:pPr>
      <w:r>
        <w:tab/>
        <w:t>(i)</w:t>
      </w:r>
      <w:r>
        <w:tab/>
        <w:t xml:space="preserve">grants, for valuable consideration, a right to occupy, whether exclusively or otherwise, residential premises, or part of residential premises, to a person for the purpose of residence; and </w:t>
      </w:r>
    </w:p>
    <w:p>
      <w:pPr>
        <w:pStyle w:val="Defsubpara"/>
      </w:pPr>
      <w:r>
        <w:tab/>
        <w:t>(ii)</w:t>
      </w:r>
      <w:r>
        <w:tab/>
        <w:t>is prescribed by regulations for the purposes of this paragraph;</w:t>
      </w:r>
    </w:p>
    <w:p>
      <w:pPr>
        <w:pStyle w:val="Defstart"/>
      </w:pPr>
      <w:r>
        <w:tab/>
      </w:r>
      <w:r>
        <w:rPr>
          <w:rStyle w:val="CharDefText"/>
        </w:rPr>
        <w:t>assent day</w:t>
      </w:r>
      <w:r>
        <w:t xml:space="preserve"> has the meaning given in section 2(a);</w:t>
      </w:r>
    </w:p>
    <w:p>
      <w:pPr>
        <w:pStyle w:val="Defstart"/>
      </w:pPr>
      <w:r>
        <w:tab/>
      </w:r>
      <w:r>
        <w:rPr>
          <w:rStyle w:val="CharDefText"/>
        </w:rPr>
        <w:t>boarder</w:t>
      </w:r>
      <w:r>
        <w:t xml:space="preserve"> means a boarder as referred to in the </w:t>
      </w:r>
      <w:r>
        <w:rPr>
          <w:i/>
        </w:rPr>
        <w:t xml:space="preserve">Residential Tenancies Act 1987 </w:t>
      </w:r>
      <w:r>
        <w:t>section 5(2)(d);</w:t>
      </w:r>
    </w:p>
    <w:p>
      <w:pPr>
        <w:pStyle w:val="Defstart"/>
      </w:pPr>
      <w:r>
        <w:tab/>
      </w:r>
      <w:r>
        <w:rPr>
          <w:rStyle w:val="CharDefText"/>
        </w:rPr>
        <w:t>Commissioner</w:t>
      </w:r>
      <w:r>
        <w:t xml:space="preserve"> means the person for the time being designated as the Commissioner under the </w:t>
      </w:r>
      <w:r>
        <w:rPr>
          <w:i/>
        </w:rPr>
        <w:t>Fair Trading Act 2010</w:t>
      </w:r>
      <w:r>
        <w:t xml:space="preserve"> section 55;</w:t>
      </w:r>
    </w:p>
    <w:p>
      <w:pPr>
        <w:pStyle w:val="Defstart"/>
      </w:pPr>
      <w:r>
        <w:tab/>
      </w:r>
      <w:r>
        <w:rPr>
          <w:rStyle w:val="CharDefText"/>
        </w:rPr>
        <w:t>emergency period</w:t>
      </w:r>
      <w:r>
        <w:t xml:space="preserve"> has the meaning given in section 4;</w:t>
      </w:r>
    </w:p>
    <w:p>
      <w:pPr>
        <w:pStyle w:val="Defstart"/>
      </w:pPr>
      <w:r>
        <w:tab/>
      </w:r>
      <w:r>
        <w:rPr>
          <w:rStyle w:val="CharDefText"/>
        </w:rPr>
        <w:t>landlord</w:t>
      </w:r>
      <w:r>
        <w:t xml:space="preserve"> — </w:t>
      </w:r>
    </w:p>
    <w:p>
      <w:pPr>
        <w:pStyle w:val="Defpara"/>
      </w:pPr>
      <w:r>
        <w:tab/>
        <w:t>(a)</w:t>
      </w:r>
      <w:r>
        <w:tab/>
        <w:t>means a person who grants a right of occupancy under an accommodation agreement; and</w:t>
      </w:r>
    </w:p>
    <w:p>
      <w:pPr>
        <w:pStyle w:val="Defpara"/>
      </w:pPr>
      <w:r>
        <w:tab/>
        <w:t>(b)</w:t>
      </w:r>
      <w:r>
        <w:tab/>
        <w:t xml:space="preserve">includes — </w:t>
      </w:r>
    </w:p>
    <w:p>
      <w:pPr>
        <w:pStyle w:val="Defsubpara"/>
      </w:pPr>
      <w:r>
        <w:tab/>
        <w:t>(i)</w:t>
      </w:r>
      <w:r>
        <w:tab/>
        <w:t>a personal representative, successor or assignee of a landlord; and</w:t>
      </w:r>
    </w:p>
    <w:p>
      <w:pPr>
        <w:pStyle w:val="Defsubpara"/>
      </w:pPr>
      <w:r>
        <w:tab/>
        <w:t>(ii)</w:t>
      </w:r>
      <w:r>
        <w:tab/>
        <w:t>if the context requires — a prospective or former landlord;</w:t>
      </w:r>
    </w:p>
    <w:p>
      <w:pPr>
        <w:pStyle w:val="Defstart"/>
      </w:pPr>
      <w:r>
        <w:tab/>
      </w:r>
      <w:r>
        <w:rPr>
          <w:rStyle w:val="CharDefText"/>
        </w:rPr>
        <w:t>lodger</w:t>
      </w:r>
      <w:r>
        <w:t xml:space="preserve"> means a lodger as referred to in the </w:t>
      </w:r>
      <w:r>
        <w:rPr>
          <w:i/>
        </w:rPr>
        <w:t xml:space="preserve">Residential Tenancies Act 1987 </w:t>
      </w:r>
      <w:r>
        <w:t>section 5(2)(d);</w:t>
      </w:r>
    </w:p>
    <w:p>
      <w:pPr>
        <w:pStyle w:val="Defstart"/>
      </w:pPr>
      <w:r>
        <w:tab/>
      </w:r>
      <w:r>
        <w:rPr>
          <w:rStyle w:val="CharDefText"/>
        </w:rPr>
        <w:t>long</w:t>
      </w:r>
      <w:r>
        <w:rPr>
          <w:rStyle w:val="CharDefText"/>
        </w:rPr>
        <w:noBreakHyphen/>
        <w:t>stay agreement</w:t>
      </w:r>
      <w:r>
        <w:t xml:space="preserve"> means a long</w:t>
      </w:r>
      <w:r>
        <w:noBreakHyphen/>
        <w:t xml:space="preserve">stay agreement to which the </w:t>
      </w:r>
      <w:r>
        <w:rPr>
          <w:i/>
        </w:rPr>
        <w:t>Residential Parks (Long</w:t>
      </w:r>
      <w:r>
        <w:rPr>
          <w:i/>
        </w:rPr>
        <w:noBreakHyphen/>
        <w:t>stay Tenants) Act 2006</w:t>
      </w:r>
      <w:r>
        <w:t xml:space="preserve"> applies;</w:t>
      </w:r>
    </w:p>
    <w:p>
      <w:pPr>
        <w:pStyle w:val="Defstart"/>
      </w:pPr>
      <w:r>
        <w:tab/>
      </w:r>
      <w:r>
        <w:rPr>
          <w:rStyle w:val="CharDefText"/>
        </w:rPr>
        <w:t>owner</w:t>
      </w:r>
      <w:r>
        <w:t xml:space="preserve"> means — </w:t>
      </w:r>
    </w:p>
    <w:p>
      <w:pPr>
        <w:pStyle w:val="Defpara"/>
      </w:pPr>
      <w:r>
        <w:tab/>
        <w:t>(a)</w:t>
      </w:r>
      <w:r>
        <w:tab/>
        <w:t>in relation to a long</w:t>
      </w:r>
      <w:r>
        <w:noBreakHyphen/>
        <w:t>stay agreement — a park operator; or</w:t>
      </w:r>
    </w:p>
    <w:p>
      <w:pPr>
        <w:pStyle w:val="Defpara"/>
      </w:pPr>
      <w:r>
        <w:tab/>
        <w:t>(b)</w:t>
      </w:r>
      <w:r>
        <w:tab/>
        <w:t>in relation to a residential tenancy agreement — a lessor;</w:t>
      </w:r>
    </w:p>
    <w:p>
      <w:pPr>
        <w:pStyle w:val="Defstart"/>
      </w:pPr>
      <w:r>
        <w:tab/>
      </w:r>
      <w:r>
        <w:rPr>
          <w:rStyle w:val="CharDefText"/>
        </w:rPr>
        <w:t>resident</w:t>
      </w:r>
      <w:r>
        <w:t xml:space="preserve"> — </w:t>
      </w:r>
    </w:p>
    <w:p>
      <w:pPr>
        <w:pStyle w:val="Defpara"/>
      </w:pPr>
      <w:r>
        <w:tab/>
        <w:t>(a)</w:t>
      </w:r>
      <w:r>
        <w:tab/>
        <w:t xml:space="preserve">means a person, including a boarder or lodger, who is granted a right of occupancy under an accommodation agreement; and </w:t>
      </w:r>
    </w:p>
    <w:p>
      <w:pPr>
        <w:pStyle w:val="Defpara"/>
      </w:pPr>
      <w:r>
        <w:tab/>
        <w:t>(b)</w:t>
      </w:r>
      <w:r>
        <w:tab/>
        <w:t>includes, if the context requires, a prospective or former resident;</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tenancy</w:t>
      </w:r>
      <w:r>
        <w:t xml:space="preserve"> means — </w:t>
      </w:r>
    </w:p>
    <w:p>
      <w:pPr>
        <w:pStyle w:val="Defpara"/>
      </w:pPr>
      <w:r>
        <w:tab/>
        <w:t>(a)</w:t>
      </w:r>
      <w:r>
        <w:tab/>
        <w:t>a tenancy under a long</w:t>
      </w:r>
      <w:r>
        <w:noBreakHyphen/>
        <w:t>stay agreement; or</w:t>
      </w:r>
    </w:p>
    <w:p>
      <w:pPr>
        <w:pStyle w:val="Defpara"/>
      </w:pPr>
      <w:r>
        <w:tab/>
        <w:t>(b)</w:t>
      </w:r>
      <w:r>
        <w:tab/>
        <w:t>a right of occupancy under a residential tenancy agreement;</w:t>
      </w:r>
    </w:p>
    <w:p>
      <w:pPr>
        <w:pStyle w:val="Defstart"/>
      </w:pPr>
      <w:r>
        <w:tab/>
      </w:r>
      <w:r>
        <w:rPr>
          <w:rStyle w:val="CharDefText"/>
        </w:rPr>
        <w:t>tenancy Act</w:t>
      </w:r>
      <w:r>
        <w:t xml:space="preserve"> means — </w:t>
      </w:r>
    </w:p>
    <w:p>
      <w:pPr>
        <w:pStyle w:val="Defpara"/>
      </w:pPr>
      <w:r>
        <w:tab/>
        <w:t>(a)</w:t>
      </w:r>
      <w:r>
        <w:tab/>
        <w:t xml:space="preserve">the </w:t>
      </w:r>
      <w:r>
        <w:rPr>
          <w:i/>
        </w:rPr>
        <w:t>Residential Parks (Long</w:t>
      </w:r>
      <w:r>
        <w:rPr>
          <w:i/>
        </w:rPr>
        <w:noBreakHyphen/>
        <w:t>stay Tenants) Act 2006</w:t>
      </w:r>
      <w:r>
        <w:t>; or</w:t>
      </w:r>
    </w:p>
    <w:p>
      <w:pPr>
        <w:pStyle w:val="Defpara"/>
      </w:pPr>
      <w:r>
        <w:tab/>
        <w:t>(b)</w:t>
      </w:r>
      <w:r>
        <w:tab/>
        <w:t xml:space="preserve">the </w:t>
      </w:r>
      <w:r>
        <w:rPr>
          <w:i/>
        </w:rPr>
        <w:t>Residential Tenancies Act 1987</w:t>
      </w:r>
      <w:r>
        <w:t>;</w:t>
      </w:r>
    </w:p>
    <w:p>
      <w:pPr>
        <w:pStyle w:val="Defstart"/>
      </w:pPr>
      <w:r>
        <w:tab/>
      </w:r>
      <w:r>
        <w:rPr>
          <w:rStyle w:val="CharDefText"/>
        </w:rPr>
        <w:t>tenancy agreement</w:t>
      </w:r>
      <w:r>
        <w:t xml:space="preserve"> means a long</w:t>
      </w:r>
      <w:r>
        <w:noBreakHyphen/>
        <w:t>stay agreement or residential tenancy agreement;</w:t>
      </w:r>
    </w:p>
    <w:p>
      <w:pPr>
        <w:pStyle w:val="Defstart"/>
      </w:pPr>
      <w:r>
        <w:tab/>
      </w:r>
      <w:r>
        <w:rPr>
          <w:rStyle w:val="CharDefText"/>
        </w:rPr>
        <w:t>tenant</w:t>
      </w:r>
      <w:r>
        <w:t xml:space="preserve"> means — </w:t>
      </w:r>
    </w:p>
    <w:p>
      <w:pPr>
        <w:pStyle w:val="Defpara"/>
      </w:pPr>
      <w:r>
        <w:tab/>
        <w:t>(a)</w:t>
      </w:r>
      <w:r>
        <w:tab/>
        <w:t>a long</w:t>
      </w:r>
      <w:r>
        <w:noBreakHyphen/>
        <w:t xml:space="preserve">stay tenant within the meaning of the </w:t>
      </w:r>
      <w:r>
        <w:rPr>
          <w:i/>
        </w:rPr>
        <w:t>Residential Parks (Long</w:t>
      </w:r>
      <w:r>
        <w:rPr>
          <w:i/>
        </w:rPr>
        <w:noBreakHyphen/>
        <w:t>stay Tenants) Act 2006</w:t>
      </w:r>
      <w:r>
        <w:t xml:space="preserve"> Glossary clause 1; or</w:t>
      </w:r>
    </w:p>
    <w:p>
      <w:pPr>
        <w:pStyle w:val="Defpara"/>
      </w:pPr>
      <w:r>
        <w:tab/>
        <w:t>(b)</w:t>
      </w:r>
      <w:r>
        <w:tab/>
        <w:t xml:space="preserve">a tenant within the meaning of the </w:t>
      </w:r>
      <w:r>
        <w:rPr>
          <w:i/>
        </w:rPr>
        <w:t>Residential Tenancies Act 1987</w:t>
      </w:r>
      <w:r>
        <w:t xml:space="preserve"> section 3.</w:t>
      </w:r>
    </w:p>
    <w:p>
      <w:pPr>
        <w:pStyle w:val="Subsection"/>
      </w:pPr>
      <w:r>
        <w:tab/>
        <w:t>(2)</w:t>
      </w:r>
      <w:r>
        <w:tab/>
        <w:t xml:space="preserve">Terms used in this Act (other than to the extent to which this Act relates solely to the </w:t>
      </w:r>
      <w:r>
        <w:rPr>
          <w:i/>
        </w:rPr>
        <w:t>Residential Parks (Long</w:t>
      </w:r>
      <w:r>
        <w:rPr>
          <w:i/>
        </w:rPr>
        <w:noBreakHyphen/>
        <w:t>stay Tenants) Act 2006</w:t>
      </w:r>
      <w:r>
        <w:t xml:space="preserve">) and also in the </w:t>
      </w:r>
      <w:r>
        <w:rPr>
          <w:i/>
        </w:rPr>
        <w:t xml:space="preserve">Residential Tenancies Act 1987 </w:t>
      </w:r>
      <w:r>
        <w:t xml:space="preserve">have the same meaning in this Act as they have in that Act unless the contrary intention appears. </w:t>
      </w:r>
    </w:p>
    <w:p>
      <w:pPr>
        <w:pStyle w:val="Subsection"/>
      </w:pPr>
      <w:r>
        <w:tab/>
        <w:t>(3)</w:t>
      </w:r>
      <w:r>
        <w:tab/>
        <w:t xml:space="preserve">Terms used in this Act (other than to the extent to which this Act relates solely to the </w:t>
      </w:r>
      <w:r>
        <w:rPr>
          <w:i/>
        </w:rPr>
        <w:t>Residential Tenancies Act 1987</w:t>
      </w:r>
      <w:r>
        <w:t xml:space="preserve">) and also in the </w:t>
      </w:r>
      <w:r>
        <w:rPr>
          <w:i/>
        </w:rPr>
        <w:t>Residential Parks (Long</w:t>
      </w:r>
      <w:r>
        <w:rPr>
          <w:i/>
        </w:rPr>
        <w:noBreakHyphen/>
        <w:t>stay Tenants) Act 2006</w:t>
      </w:r>
      <w:r>
        <w:t xml:space="preserve"> have the same meaning in this Act as they have in that Act unless the contrary intention appears.</w:t>
      </w:r>
    </w:p>
    <w:p>
      <w:pPr>
        <w:pStyle w:val="Heading5"/>
      </w:pPr>
      <w:bookmarkStart w:id="13" w:name="_Toc38549695"/>
      <w:r>
        <w:rPr>
          <w:rStyle w:val="CharSectno"/>
        </w:rPr>
        <w:t>4</w:t>
      </w:r>
      <w:r>
        <w:t>.</w:t>
      </w:r>
      <w:r>
        <w:tab/>
        <w:t>Term used: emergency period</w:t>
      </w:r>
      <w:bookmarkEnd w:id="13"/>
    </w:p>
    <w:p>
      <w:pPr>
        <w:pStyle w:val="Subsection"/>
      </w:pPr>
      <w:r>
        <w:tab/>
      </w:r>
      <w:r>
        <w:tab/>
        <w:t xml:space="preserve">In this Act, the </w:t>
      </w:r>
      <w:r>
        <w:rPr>
          <w:rStyle w:val="CharDefText"/>
        </w:rPr>
        <w:t>emergency period</w:t>
      </w:r>
      <w:r>
        <w:t xml:space="preserve"> is the period — </w:t>
      </w:r>
    </w:p>
    <w:p>
      <w:pPr>
        <w:pStyle w:val="Indenta"/>
      </w:pPr>
      <w:r>
        <w:tab/>
        <w:t>(a)</w:t>
      </w:r>
      <w:r>
        <w:tab/>
        <w:t>beginning on 30 March 2020; and</w:t>
      </w:r>
    </w:p>
    <w:p>
      <w:pPr>
        <w:pStyle w:val="Indenta"/>
        <w:keepNext/>
      </w:pPr>
      <w:r>
        <w:tab/>
        <w:t>(b)</w:t>
      </w:r>
      <w:r>
        <w:tab/>
        <w:t xml:space="preserve">ending on — </w:t>
      </w:r>
    </w:p>
    <w:p>
      <w:pPr>
        <w:pStyle w:val="Indenti"/>
      </w:pPr>
      <w:r>
        <w:tab/>
        <w:t>(i)</w:t>
      </w:r>
      <w:r>
        <w:tab/>
        <w:t>a day prescribed by regulations for the purposes of this paragraph; or</w:t>
      </w:r>
    </w:p>
    <w:p>
      <w:pPr>
        <w:pStyle w:val="Indenti"/>
      </w:pPr>
      <w:r>
        <w:tab/>
        <w:t>(ii)</w:t>
      </w:r>
      <w:r>
        <w:tab/>
        <w:t>if a day has not been prescribed for the purposes of this paragraph before 29 September 2020 — 29 September 2020.</w:t>
      </w:r>
    </w:p>
    <w:p>
      <w:pPr>
        <w:pStyle w:val="Heading5"/>
      </w:pPr>
      <w:bookmarkStart w:id="14" w:name="_Toc38549696"/>
      <w:r>
        <w:rPr>
          <w:rStyle w:val="CharSectno"/>
        </w:rPr>
        <w:t>5</w:t>
      </w:r>
      <w:r>
        <w:t>.</w:t>
      </w:r>
      <w:r>
        <w:tab/>
        <w:t>Relationship of Act to other Acts</w:t>
      </w:r>
      <w:bookmarkEnd w:id="14"/>
    </w:p>
    <w:p>
      <w:pPr>
        <w:pStyle w:val="Subsection"/>
      </w:pPr>
      <w:r>
        <w:tab/>
        <w:t>(1)</w:t>
      </w:r>
      <w:r>
        <w:tab/>
        <w:t xml:space="preserve">This Act (other than to the extent to which it relates solely to the </w:t>
      </w:r>
      <w:r>
        <w:rPr>
          <w:i/>
        </w:rPr>
        <w:t>Residential Parks (Long</w:t>
      </w:r>
      <w:r>
        <w:rPr>
          <w:i/>
        </w:rPr>
        <w:noBreakHyphen/>
        <w:t>stay Tenants) Act 2006</w:t>
      </w:r>
      <w:r>
        <w:t xml:space="preserve">) is to be read with the </w:t>
      </w:r>
      <w:r>
        <w:rPr>
          <w:i/>
        </w:rPr>
        <w:t>Residential Tenancies Act 1987</w:t>
      </w:r>
      <w:r>
        <w:t xml:space="preserve"> as if they were a single Act.</w:t>
      </w:r>
    </w:p>
    <w:p>
      <w:pPr>
        <w:pStyle w:val="Subsection"/>
      </w:pPr>
      <w:r>
        <w:tab/>
        <w:t>(2)</w:t>
      </w:r>
      <w:r>
        <w:tab/>
        <w:t xml:space="preserve">This Act (other than to the extent to which it relates solely to the </w:t>
      </w:r>
      <w:r>
        <w:rPr>
          <w:i/>
        </w:rPr>
        <w:t>Residential Tenancies Act 1987</w:t>
      </w:r>
      <w:r>
        <w:t xml:space="preserve">) is to be read with the </w:t>
      </w:r>
      <w:r>
        <w:rPr>
          <w:i/>
        </w:rPr>
        <w:t>Residential Parks (Long</w:t>
      </w:r>
      <w:r>
        <w:rPr>
          <w:i/>
        </w:rPr>
        <w:noBreakHyphen/>
        <w:t>stay Tenants) Act 2006</w:t>
      </w:r>
      <w:r>
        <w:t xml:space="preserve"> as if they were a single Act.</w:t>
      </w:r>
    </w:p>
    <w:p>
      <w:pPr>
        <w:pStyle w:val="Heading5"/>
      </w:pPr>
      <w:bookmarkStart w:id="15" w:name="_Toc38549697"/>
      <w:r>
        <w:rPr>
          <w:rStyle w:val="CharSectno"/>
        </w:rPr>
        <w:t>6</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5"/>
      </w:pPr>
      <w:bookmarkStart w:id="16" w:name="_Toc38549698"/>
      <w:r>
        <w:rPr>
          <w:rStyle w:val="CharSectno"/>
        </w:rPr>
        <w:t>7</w:t>
      </w:r>
      <w:r>
        <w:t>.</w:t>
      </w:r>
      <w:r>
        <w:tab/>
        <w:t>Act prevails over agreements and particular Acts</w:t>
      </w:r>
      <w:bookmarkEnd w:id="16"/>
    </w:p>
    <w:p>
      <w:pPr>
        <w:pStyle w:val="Subsection"/>
      </w:pPr>
      <w:r>
        <w:tab/>
      </w:r>
      <w:r>
        <w:tab/>
        <w:t xml:space="preserve">The provisions of this Act prevail, to the extent of any inconsistency, over — </w:t>
      </w:r>
    </w:p>
    <w:p>
      <w:pPr>
        <w:pStyle w:val="Indenta"/>
      </w:pPr>
      <w:r>
        <w:tab/>
        <w:t>(a)</w:t>
      </w:r>
      <w:r>
        <w:tab/>
        <w:t xml:space="preserve">the provisions of the </w:t>
      </w:r>
      <w:r>
        <w:rPr>
          <w:i/>
        </w:rPr>
        <w:t>Residential Parks (Long</w:t>
      </w:r>
      <w:r>
        <w:rPr>
          <w:i/>
        </w:rPr>
        <w:noBreakHyphen/>
        <w:t>stay Tenants) Act 2006</w:t>
      </w:r>
      <w:r>
        <w:t xml:space="preserve"> and the </w:t>
      </w:r>
      <w:r>
        <w:rPr>
          <w:i/>
        </w:rPr>
        <w:t>Residential Tenancies Act 1987</w:t>
      </w:r>
      <w:r>
        <w:t>; and</w:t>
      </w:r>
    </w:p>
    <w:p>
      <w:pPr>
        <w:pStyle w:val="Indenta"/>
      </w:pPr>
      <w:r>
        <w:tab/>
        <w:t>(b)</w:t>
      </w:r>
      <w:r>
        <w:tab/>
        <w:t xml:space="preserve">except for the provisions of Part 2 — the terms of an accommodation agreement; and </w:t>
      </w:r>
    </w:p>
    <w:p>
      <w:pPr>
        <w:pStyle w:val="Indenta"/>
      </w:pPr>
      <w:r>
        <w:tab/>
        <w:t>(c)</w:t>
      </w:r>
      <w:r>
        <w:tab/>
        <w:t>except for the provisions of Part 3 — the terms of a tenancy agreement.</w:t>
      </w:r>
    </w:p>
    <w:p>
      <w:pPr>
        <w:pStyle w:val="Heading2"/>
      </w:pPr>
      <w:bookmarkStart w:id="17" w:name="_Toc38542999"/>
      <w:bookmarkStart w:id="18" w:name="_Toc38544964"/>
      <w:bookmarkStart w:id="19" w:name="_Toc38549344"/>
      <w:bookmarkStart w:id="20" w:name="_Toc38549699"/>
      <w:r>
        <w:rPr>
          <w:rStyle w:val="CharPartNo"/>
        </w:rPr>
        <w:t>Part 2</w:t>
      </w:r>
      <w:r>
        <w:t> — </w:t>
      </w:r>
      <w:r>
        <w:rPr>
          <w:rStyle w:val="CharPartText"/>
        </w:rPr>
        <w:t>Tenancy agreements</w:t>
      </w:r>
      <w:bookmarkEnd w:id="17"/>
      <w:bookmarkEnd w:id="18"/>
      <w:bookmarkEnd w:id="19"/>
      <w:bookmarkEnd w:id="20"/>
    </w:p>
    <w:p>
      <w:pPr>
        <w:pStyle w:val="Heading3"/>
      </w:pPr>
      <w:bookmarkStart w:id="21" w:name="_Toc38543000"/>
      <w:bookmarkStart w:id="22" w:name="_Toc38544965"/>
      <w:bookmarkStart w:id="23" w:name="_Toc38549345"/>
      <w:bookmarkStart w:id="24" w:name="_Toc38549700"/>
      <w:r>
        <w:rPr>
          <w:rStyle w:val="CharDivNo"/>
        </w:rPr>
        <w:t>Division 1</w:t>
      </w:r>
      <w:r>
        <w:t> — </w:t>
      </w:r>
      <w:r>
        <w:rPr>
          <w:rStyle w:val="CharDivText"/>
        </w:rPr>
        <w:t>Provisions affecting tenancy agreements (other than in relation to termination)</w:t>
      </w:r>
      <w:bookmarkEnd w:id="21"/>
      <w:bookmarkEnd w:id="22"/>
      <w:bookmarkEnd w:id="23"/>
      <w:bookmarkEnd w:id="24"/>
    </w:p>
    <w:p>
      <w:pPr>
        <w:pStyle w:val="Heading5"/>
      </w:pPr>
      <w:bookmarkStart w:id="25" w:name="_Toc38549701"/>
      <w:r>
        <w:rPr>
          <w:rStyle w:val="CharSectno"/>
        </w:rPr>
        <w:t>8</w:t>
      </w:r>
      <w:r>
        <w:t>.</w:t>
      </w:r>
      <w:r>
        <w:tab/>
        <w:t>Rent cannot increase during emergency period</w:t>
      </w:r>
      <w:bookmarkEnd w:id="25"/>
    </w:p>
    <w:p>
      <w:pPr>
        <w:pStyle w:val="Subsection"/>
      </w:pPr>
      <w:r>
        <w:tab/>
        <w:t>(1)</w:t>
      </w:r>
      <w:r>
        <w:tab/>
        <w:t xml:space="preserve">In this section — </w:t>
      </w:r>
    </w:p>
    <w:p>
      <w:pPr>
        <w:pStyle w:val="Defstart"/>
      </w:pPr>
      <w:r>
        <w:tab/>
      </w:r>
      <w:r>
        <w:rPr>
          <w:rStyle w:val="CharDefText"/>
        </w:rPr>
        <w:t>notice of increase of rent</w:t>
      </w:r>
      <w:r>
        <w:t xml:space="preserve">, in relation to a tenancy agreement, means — </w:t>
      </w:r>
    </w:p>
    <w:p>
      <w:pPr>
        <w:pStyle w:val="Defpara"/>
      </w:pPr>
      <w:r>
        <w:tab/>
        <w:t>(a)</w:t>
      </w:r>
      <w:r>
        <w:tab/>
        <w:t xml:space="preserve">for a residential tenancy agreement — a notice of increase of rent given under the </w:t>
      </w:r>
      <w:r>
        <w:rPr>
          <w:i/>
        </w:rPr>
        <w:t xml:space="preserve">Residential Tenancies Act 1987 </w:t>
      </w:r>
      <w:r>
        <w:t>section 30; or</w:t>
      </w:r>
    </w:p>
    <w:p>
      <w:pPr>
        <w:pStyle w:val="Defpara"/>
      </w:pPr>
      <w:r>
        <w:tab/>
        <w:t>(b)</w:t>
      </w:r>
      <w:r>
        <w:tab/>
        <w:t>for a long</w:t>
      </w:r>
      <w:r>
        <w:noBreakHyphen/>
        <w:t xml:space="preserve">stay agreement — </w:t>
      </w:r>
    </w:p>
    <w:p>
      <w:pPr>
        <w:pStyle w:val="Defsubpara"/>
      </w:pPr>
      <w:r>
        <w:tab/>
        <w:t>(i)</w:t>
      </w:r>
      <w:r>
        <w:tab/>
        <w:t xml:space="preserve">a notice of increase of rent given under the </w:t>
      </w:r>
      <w:r>
        <w:rPr>
          <w:i/>
        </w:rPr>
        <w:t>Residential Parks (Long</w:t>
      </w:r>
      <w:r>
        <w:rPr>
          <w:i/>
        </w:rPr>
        <w:noBreakHyphen/>
        <w:t>stay Tenants) Act 2006</w:t>
      </w:r>
      <w:r>
        <w:t xml:space="preserve"> section 30; or</w:t>
      </w:r>
    </w:p>
    <w:p>
      <w:pPr>
        <w:pStyle w:val="Defsubpara"/>
      </w:pPr>
      <w:r>
        <w:tab/>
        <w:t>(ii)</w:t>
      </w:r>
      <w:r>
        <w:tab/>
        <w:t>a notice setting out that rent has increased under an on</w:t>
      </w:r>
      <w:r>
        <w:noBreakHyphen/>
        <w:t xml:space="preserve">site home agreement that excludes or limits the right to increase rent under the </w:t>
      </w:r>
      <w:r>
        <w:rPr>
          <w:i/>
        </w:rPr>
        <w:t>Residential Parks (Long</w:t>
      </w:r>
      <w:r>
        <w:rPr>
          <w:i/>
        </w:rPr>
        <w:noBreakHyphen/>
        <w:t xml:space="preserve">stay Tenants) Act 2006 </w:t>
      </w:r>
      <w:r>
        <w:t>section 30 as referred to in Schedule 1 clause 3 of that Act; or</w:t>
      </w:r>
    </w:p>
    <w:p>
      <w:pPr>
        <w:pStyle w:val="Defsubpara"/>
      </w:pPr>
      <w:r>
        <w:tab/>
        <w:t>(iii)</w:t>
      </w:r>
      <w:r>
        <w:tab/>
        <w:t>a notice setting out that rent has increased under a provision of a site</w:t>
      </w:r>
      <w:r>
        <w:noBreakHyphen/>
        <w:t xml:space="preserve">only agreement referred to in the </w:t>
      </w:r>
      <w:r>
        <w:rPr>
          <w:i/>
        </w:rPr>
        <w:t>Residential Parks (Long</w:t>
      </w:r>
      <w:r>
        <w:rPr>
          <w:i/>
        </w:rPr>
        <w:noBreakHyphen/>
        <w:t>stay Tenants) Act 2006</w:t>
      </w:r>
      <w:r>
        <w:t xml:space="preserve"> Schedule 1 clause 4.</w:t>
      </w:r>
    </w:p>
    <w:p>
      <w:pPr>
        <w:pStyle w:val="Subsection"/>
      </w:pPr>
      <w:r>
        <w:tab/>
        <w:t>(2)</w:t>
      </w:r>
      <w:r>
        <w:tab/>
        <w:t>Rent payable under a tenancy agreement cannot be increased during the emergency period.</w:t>
      </w:r>
    </w:p>
    <w:p>
      <w:pPr>
        <w:pStyle w:val="Subsection"/>
      </w:pPr>
      <w:r>
        <w:tab/>
        <w:t>(3)</w:t>
      </w:r>
      <w:r>
        <w:tab/>
        <w:t>An increase of rent payable under a tenancy agreement in contravention of subsection (2) has no effect.</w:t>
      </w:r>
    </w:p>
    <w:p>
      <w:pPr>
        <w:pStyle w:val="Subsection"/>
      </w:pPr>
      <w:r>
        <w:tab/>
        <w:t>(4)</w:t>
      </w:r>
      <w:r>
        <w:tab/>
        <w:t xml:space="preserve">If a notice of increase of rent (whether given before, on or after 30 March 2020) in relation to a tenancy agreement specifies a day during the emergency period as the day from which the increased rent becomes payable — </w:t>
      </w:r>
    </w:p>
    <w:p>
      <w:pPr>
        <w:pStyle w:val="Indenta"/>
      </w:pPr>
      <w:r>
        <w:tab/>
        <w:t>(a)</w:t>
      </w:r>
      <w:r>
        <w:tab/>
        <w:t>the notice is taken to specify the day after the end of the emergency period; and</w:t>
      </w:r>
    </w:p>
    <w:p>
      <w:pPr>
        <w:pStyle w:val="Indenta"/>
      </w:pPr>
      <w:r>
        <w:tab/>
        <w:t>(b)</w:t>
      </w:r>
      <w:r>
        <w:tab/>
        <w:t xml:space="preserve">the tenant cannot be required to pay the increased rent until the day taken to be specified under paragraph (a). </w:t>
      </w:r>
    </w:p>
    <w:p>
      <w:pPr>
        <w:pStyle w:val="Subsection"/>
      </w:pPr>
      <w:r>
        <w:tab/>
        <w:t>(5)</w:t>
      </w:r>
      <w:r>
        <w:tab/>
        <w:t>Despite subsections (2) to (4), if the parties to a tenancy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pPr>
      <w:r>
        <w:tab/>
        <w:t>(b)</w:t>
      </w:r>
      <w:r>
        <w:tab/>
        <w:t xml:space="preserve">the increased rent is not greater than the amount of rent payable before the agreement to reduce the rent. </w:t>
      </w:r>
    </w:p>
    <w:p>
      <w:pPr>
        <w:pStyle w:val="Subsection"/>
      </w:pPr>
      <w:r>
        <w:tab/>
        <w:t>(6)</w:t>
      </w:r>
      <w:r>
        <w:tab/>
        <w:t xml:space="preserve">Rent may be increased under subsection (5) without a notice of increase of rent being given despite — </w:t>
      </w:r>
    </w:p>
    <w:p>
      <w:pPr>
        <w:pStyle w:val="Indenta"/>
      </w:pPr>
      <w:r>
        <w:tab/>
        <w:t>(a)</w:t>
      </w:r>
      <w:r>
        <w:tab/>
        <w:t xml:space="preserve">the </w:t>
      </w:r>
      <w:r>
        <w:rPr>
          <w:i/>
        </w:rPr>
        <w:t>Residential Parks (Long</w:t>
      </w:r>
      <w:r>
        <w:rPr>
          <w:i/>
        </w:rPr>
        <w:noBreakHyphen/>
        <w:t>stay Tenants) Act 2006</w:t>
      </w:r>
      <w:r>
        <w:t xml:space="preserve"> section 30; and</w:t>
      </w:r>
    </w:p>
    <w:p>
      <w:pPr>
        <w:pStyle w:val="Indenta"/>
      </w:pPr>
      <w:r>
        <w:tab/>
        <w:t>(b)</w:t>
      </w:r>
      <w:r>
        <w:tab/>
        <w:t>a provision of an on</w:t>
      </w:r>
      <w:r>
        <w:noBreakHyphen/>
        <w:t>site home agreement or site</w:t>
      </w:r>
      <w:r>
        <w:noBreakHyphen/>
        <w:t>only agreement; and</w:t>
      </w:r>
    </w:p>
    <w:p>
      <w:pPr>
        <w:pStyle w:val="Indenta"/>
      </w:pPr>
      <w:r>
        <w:tab/>
        <w:t>(c)</w:t>
      </w:r>
      <w:r>
        <w:tab/>
        <w:t xml:space="preserve">the </w:t>
      </w:r>
      <w:r>
        <w:rPr>
          <w:i/>
        </w:rPr>
        <w:t>Residential Tenancies Act 1987</w:t>
      </w:r>
      <w:r>
        <w:t xml:space="preserve"> section 30.</w:t>
      </w:r>
    </w:p>
    <w:p>
      <w:pPr>
        <w:pStyle w:val="Heading5"/>
      </w:pPr>
      <w:bookmarkStart w:id="26" w:name="_Toc38549702"/>
      <w:r>
        <w:rPr>
          <w:rStyle w:val="CharSectno"/>
        </w:rPr>
        <w:t>9</w:t>
      </w:r>
      <w:r>
        <w:t>.</w:t>
      </w:r>
      <w:r>
        <w:tab/>
        <w:t xml:space="preserve">Delayed effect of variation of rent calculated by reference to tenant’s income under </w:t>
      </w:r>
      <w:r>
        <w:rPr>
          <w:i/>
        </w:rPr>
        <w:t>Residential Tenancies Act 1987</w:t>
      </w:r>
      <w:r>
        <w:t xml:space="preserve"> s. 31A</w:t>
      </w:r>
      <w:bookmarkEnd w:id="26"/>
    </w:p>
    <w:p>
      <w:pPr>
        <w:pStyle w:val="Subsection"/>
      </w:pPr>
      <w:r>
        <w:tab/>
        <w:t>(1)</w:t>
      </w:r>
      <w:r>
        <w:tab/>
        <w:t xml:space="preserve">This section applies if — </w:t>
      </w:r>
    </w:p>
    <w:p>
      <w:pPr>
        <w:pStyle w:val="Indenta"/>
      </w:pPr>
      <w:r>
        <w:tab/>
        <w:t>(a)</w:t>
      </w:r>
      <w:r>
        <w:tab/>
        <w:t xml:space="preserve">a notice of a change to the method of calculating rent is given under the </w:t>
      </w:r>
      <w:r>
        <w:rPr>
          <w:i/>
        </w:rPr>
        <w:t xml:space="preserve">Residential Tenancies Act 1987 </w:t>
      </w:r>
      <w:r>
        <w:t xml:space="preserve">section 31A; and </w:t>
      </w:r>
    </w:p>
    <w:p>
      <w:pPr>
        <w:pStyle w:val="Indenta"/>
      </w:pPr>
      <w:r>
        <w:tab/>
        <w:t>(b)</w:t>
      </w:r>
      <w:r>
        <w:tab/>
        <w:t>the notice specifies a day during the emergency period as the day from which the change is to take effect; and</w:t>
      </w:r>
    </w:p>
    <w:p>
      <w:pPr>
        <w:pStyle w:val="Indenta"/>
      </w:pPr>
      <w:r>
        <w:tab/>
        <w:t>(c)</w:t>
      </w:r>
      <w:r>
        <w:tab/>
        <w:t>the change to the method would, if it took effect, result in an increase in the rent payable under a residential tenancy agreement.</w:t>
      </w:r>
    </w:p>
    <w:p>
      <w:pPr>
        <w:pStyle w:val="Subsection"/>
      </w:pPr>
      <w:r>
        <w:tab/>
        <w:t>(2)</w:t>
      </w:r>
      <w:r>
        <w:tab/>
        <w:t>The notice is taken to specify the day after the end of the emergency period and the tenant cannot be required to pay rent in accordance with the new method of calculating rent until the day that is taken to be specified.</w:t>
      </w:r>
    </w:p>
    <w:p>
      <w:pPr>
        <w:pStyle w:val="Heading5"/>
      </w:pPr>
      <w:bookmarkStart w:id="27" w:name="_Toc38549703"/>
      <w:r>
        <w:rPr>
          <w:rStyle w:val="CharSectno"/>
        </w:rPr>
        <w:t>10</w:t>
      </w:r>
      <w:r>
        <w:t>.</w:t>
      </w:r>
      <w:r>
        <w:tab/>
        <w:t>Rent cannot increase after renegotiation of lease during emergency period</w:t>
      </w:r>
      <w:bookmarkEnd w:id="27"/>
    </w:p>
    <w:p>
      <w:pPr>
        <w:pStyle w:val="Subsection"/>
      </w:pPr>
      <w:r>
        <w:tab/>
        <w:t>(1)</w:t>
      </w:r>
      <w:r>
        <w:tab/>
        <w:t xml:space="preserve">This section applies if — </w:t>
      </w:r>
    </w:p>
    <w:p>
      <w:pPr>
        <w:pStyle w:val="Indenta"/>
      </w:pPr>
      <w:r>
        <w:tab/>
        <w:t>(a)</w:t>
      </w:r>
      <w:r>
        <w:tab/>
        <w:t xml:space="preserve">a tenancy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tenancy agreement (the </w:t>
      </w:r>
      <w:r>
        <w:rPr>
          <w:rStyle w:val="CharDefText"/>
        </w:rPr>
        <w:t>new agreement</w:t>
      </w:r>
      <w:r>
        <w:t xml:space="preserve">) in relation to the same premises commencing immediately after the end of the term of the former agreement. </w:t>
      </w:r>
    </w:p>
    <w:p>
      <w:pPr>
        <w:pStyle w:val="Subsection"/>
      </w:pPr>
      <w:r>
        <w:tab/>
        <w:t>(2)</w:t>
      </w:r>
      <w:r>
        <w:tab/>
        <w:t>Despite the new agreement, the tenant cannot be required during the emergency period to pay an amount of rent that is more than the amount that would have been payable under the former agreement if the former agreement had continued to have effect during that period.</w:t>
      </w:r>
    </w:p>
    <w:p>
      <w:pPr>
        <w:pStyle w:val="Subsection"/>
      </w:pPr>
      <w:r>
        <w:tab/>
        <w:t>(3)</w:t>
      </w:r>
      <w:r>
        <w:tab/>
        <w:t xml:space="preserve">Subsection (4) applies if — </w:t>
      </w:r>
    </w:p>
    <w:p>
      <w:pPr>
        <w:pStyle w:val="Indenta"/>
      </w:pPr>
      <w:r>
        <w:tab/>
        <w:t>(a)</w:t>
      </w:r>
      <w:r>
        <w:tab/>
        <w:t xml:space="preserve">the first day of the first 30 days (the </w:t>
      </w:r>
      <w:r>
        <w:rPr>
          <w:rStyle w:val="CharDefText"/>
        </w:rPr>
        <w:t>30</w:t>
      </w:r>
      <w:r>
        <w:rPr>
          <w:rStyle w:val="CharDefText"/>
        </w:rPr>
        <w:noBreakHyphen/>
        <w:t>day period</w:t>
      </w:r>
      <w:r>
        <w:t xml:space="preserve">) of a new agreement (as defined in the </w:t>
      </w:r>
      <w:r>
        <w:rPr>
          <w:i/>
        </w:rPr>
        <w:t xml:space="preserve">Residential Tenancies Act 1987 </w:t>
      </w:r>
      <w:r>
        <w:t>section 31B(1)(b)) occurs within the emergency period; and</w:t>
      </w:r>
    </w:p>
    <w:p>
      <w:pPr>
        <w:pStyle w:val="Indenta"/>
      </w:pPr>
      <w:r>
        <w:tab/>
        <w:t>(b)</w:t>
      </w:r>
      <w:r>
        <w:tab/>
        <w:t>the last day of the 30</w:t>
      </w:r>
      <w:r>
        <w:noBreakHyphen/>
        <w:t>day period occurs after the end of the emergency period.</w:t>
      </w:r>
    </w:p>
    <w:p>
      <w:pPr>
        <w:pStyle w:val="Subsection"/>
      </w:pPr>
      <w:r>
        <w:tab/>
        <w:t>(4)</w:t>
      </w:r>
      <w:r>
        <w:tab/>
        <w:t xml:space="preserve">The </w:t>
      </w:r>
      <w:r>
        <w:rPr>
          <w:i/>
        </w:rPr>
        <w:t xml:space="preserve">Residential Tenancies Act 1987 </w:t>
      </w:r>
      <w:r>
        <w:t>section 31B has effect in relation to the part of the 30</w:t>
      </w:r>
      <w:r>
        <w:noBreakHyphen/>
        <w:t>day period that falls after the end of the emergency period.</w:t>
      </w:r>
    </w:p>
    <w:p>
      <w:pPr>
        <w:pStyle w:val="Heading5"/>
      </w:pPr>
      <w:bookmarkStart w:id="28" w:name="_Toc38549704"/>
      <w:r>
        <w:rPr>
          <w:rStyle w:val="CharSectno"/>
        </w:rPr>
        <w:t>11</w:t>
      </w:r>
      <w:r>
        <w:t>.</w:t>
      </w:r>
      <w:r>
        <w:tab/>
        <w:t>Owner not required to maintain and repair under tenancy agreement if unable to do so during emergency period</w:t>
      </w:r>
      <w:bookmarkEnd w:id="28"/>
    </w:p>
    <w:p>
      <w:pPr>
        <w:pStyle w:val="Subsection"/>
      </w:pPr>
      <w:r>
        <w:tab/>
        <w:t>(1)</w:t>
      </w:r>
      <w:r>
        <w:tab/>
        <w:t xml:space="preserve">In this section — </w:t>
      </w:r>
    </w:p>
    <w:p>
      <w:pPr>
        <w:pStyle w:val="Defstart"/>
      </w:pPr>
      <w:r>
        <w:tab/>
      </w:r>
      <w:r>
        <w:rPr>
          <w:rStyle w:val="CharDefText"/>
        </w:rPr>
        <w:t>maintenance term</w:t>
      </w:r>
      <w:r>
        <w:t xml:space="preserve">, of a tenancy agreement, means — </w:t>
      </w:r>
    </w:p>
    <w:p>
      <w:pPr>
        <w:pStyle w:val="Defpara"/>
      </w:pPr>
      <w:r>
        <w:tab/>
        <w:t>(a)</w:t>
      </w:r>
      <w:r>
        <w:tab/>
        <w:t xml:space="preserve">for a residential tenancy agreement — the term referred to in the </w:t>
      </w:r>
      <w:r>
        <w:rPr>
          <w:i/>
        </w:rPr>
        <w:t xml:space="preserve">Residential Tenancies Act 1987 </w:t>
      </w:r>
      <w:r>
        <w:t>section 42(2)(b); or</w:t>
      </w:r>
    </w:p>
    <w:p>
      <w:pPr>
        <w:pStyle w:val="Defpara"/>
      </w:pPr>
      <w:r>
        <w:tab/>
        <w:t>(b)</w:t>
      </w:r>
      <w:r>
        <w:tab/>
        <w:t>for a long</w:t>
      </w:r>
      <w:r>
        <w:noBreakHyphen/>
        <w:t xml:space="preserve">stay agreement — </w:t>
      </w:r>
    </w:p>
    <w:p>
      <w:pPr>
        <w:pStyle w:val="Defsubpara"/>
      </w:pPr>
      <w:r>
        <w:tab/>
        <w:t>(i)</w:t>
      </w:r>
      <w:r>
        <w:tab/>
        <w:t xml:space="preserve">the term referred to in the </w:t>
      </w:r>
      <w:r>
        <w:rPr>
          <w:i/>
        </w:rPr>
        <w:t>Residential Parks (Long</w:t>
      </w:r>
      <w:r>
        <w:rPr>
          <w:i/>
        </w:rPr>
        <w:noBreakHyphen/>
        <w:t>stay Tenants) Act 2006</w:t>
      </w:r>
      <w:r>
        <w:t xml:space="preserve"> Schedule 1 clause 7(c); or</w:t>
      </w:r>
    </w:p>
    <w:p>
      <w:pPr>
        <w:pStyle w:val="Defsubpara"/>
      </w:pPr>
      <w:r>
        <w:tab/>
        <w:t>(ii)</w:t>
      </w:r>
      <w:r>
        <w:tab/>
        <w:t>a term in the agreement that otherwise requires that the park operator maintain the agreed premises or shared premises.</w:t>
      </w:r>
    </w:p>
    <w:p>
      <w:pPr>
        <w:pStyle w:val="Subsection"/>
      </w:pPr>
      <w:r>
        <w:tab/>
        <w:t>(2)</w:t>
      </w:r>
      <w:r>
        <w:tab/>
        <w:t xml:space="preserve">During the emergency period, a maintenance term of a tenancy agreement is modified so that an owner does not contravene the term if the owner is unable to maintain the premises, or conduct repairs to the premises, due to — </w:t>
      </w:r>
    </w:p>
    <w:p>
      <w:pPr>
        <w:pStyle w:val="Indenta"/>
      </w:pPr>
      <w:r>
        <w:tab/>
        <w:t>(a)</w:t>
      </w:r>
      <w:r>
        <w:tab/>
        <w:t>financial hardship caused by the economic effects of the COVID</w:t>
      </w:r>
      <w:r>
        <w:noBreakHyphen/>
        <w:t>19 pandemic; or</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the operation of — </w:t>
      </w:r>
    </w:p>
    <w:p>
      <w:pPr>
        <w:pStyle w:val="Indenta"/>
      </w:pPr>
      <w:r>
        <w:tab/>
        <w:t>(a)</w:t>
      </w:r>
      <w:r>
        <w:tab/>
        <w:t xml:space="preserve">for a residential tenancy agreement — the </w:t>
      </w:r>
      <w:r>
        <w:rPr>
          <w:i/>
        </w:rPr>
        <w:t>Residential Tenancies Act 1987</w:t>
      </w:r>
      <w:r>
        <w:t xml:space="preserve"> section 43(2)(b) and (3)(b); or</w:t>
      </w:r>
    </w:p>
    <w:p>
      <w:pPr>
        <w:pStyle w:val="Indenta"/>
        <w:keepNext/>
      </w:pPr>
      <w:r>
        <w:tab/>
        <w:t>(b)</w:t>
      </w:r>
      <w:r>
        <w:tab/>
        <w:t>for a long</w:t>
      </w:r>
      <w:r>
        <w:noBreakHyphen/>
        <w:t xml:space="preserve">stay agreement — </w:t>
      </w:r>
    </w:p>
    <w:p>
      <w:pPr>
        <w:pStyle w:val="Indenti"/>
      </w:pPr>
      <w:r>
        <w:tab/>
        <w:t>(i)</w:t>
      </w:r>
      <w:r>
        <w:tab/>
        <w:t xml:space="preserve">the term referred to in the </w:t>
      </w:r>
      <w:r>
        <w:rPr>
          <w:i/>
        </w:rPr>
        <w:t>Residential Parks (Long</w:t>
      </w:r>
      <w:r>
        <w:rPr>
          <w:i/>
        </w:rPr>
        <w:noBreakHyphen/>
        <w:t>stay Tenants) Act 2006</w:t>
      </w:r>
      <w:r>
        <w:t xml:space="preserve"> Schedule 1 clause 8; or</w:t>
      </w:r>
    </w:p>
    <w:p>
      <w:pPr>
        <w:pStyle w:val="Indenti"/>
      </w:pPr>
      <w:r>
        <w:tab/>
        <w:t>(ii)</w:t>
      </w:r>
      <w:r>
        <w:tab/>
        <w:t>a term in the agreement that imposes obligations on the park operator in relation to urgent repairs to premises if the state of disrepair has arisen otherwise than as a result of a breach of the long</w:t>
      </w:r>
      <w:r>
        <w:noBreakHyphen/>
        <w:t>stay agreement by the tenant and is likely to cause injury to a person or property or undue inconvenience to the tenant.</w:t>
      </w:r>
    </w:p>
    <w:p>
      <w:pPr>
        <w:pStyle w:val="Heading5"/>
      </w:pPr>
      <w:bookmarkStart w:id="29" w:name="_Toc38549705"/>
      <w:r>
        <w:rPr>
          <w:rStyle w:val="CharSectno"/>
        </w:rPr>
        <w:t>12</w:t>
      </w:r>
      <w:r>
        <w:t>.</w:t>
      </w:r>
      <w:r>
        <w:tab/>
        <w:t>Fixed</w:t>
      </w:r>
      <w:r>
        <w:noBreakHyphen/>
        <w:t>term tenancy ending during emergency period to continue as periodic tenancy</w:t>
      </w:r>
      <w:bookmarkEnd w:id="29"/>
      <w:r>
        <w:t xml:space="preserve"> </w:t>
      </w:r>
    </w:p>
    <w:p>
      <w:pPr>
        <w:pStyle w:val="Subsection"/>
      </w:pPr>
      <w:r>
        <w:tab/>
        <w:t>(1)</w:t>
      </w:r>
      <w:r>
        <w:tab/>
        <w:t>This section applies if —</w:t>
      </w:r>
    </w:p>
    <w:p>
      <w:pPr>
        <w:pStyle w:val="Indenta"/>
      </w:pPr>
      <w:r>
        <w:tab/>
        <w:t>(a)</w:t>
      </w:r>
      <w:r>
        <w:tab/>
        <w:t>a tenancy agreement creates a tenancy for a fixed term; and</w:t>
      </w:r>
    </w:p>
    <w:p>
      <w:pPr>
        <w:pStyle w:val="Indenta"/>
      </w:pPr>
      <w:r>
        <w:tab/>
        <w:t>(b)</w:t>
      </w:r>
      <w:r>
        <w:tab/>
        <w:t>the term of the agreement expires during the emergency period; and</w:t>
      </w:r>
    </w:p>
    <w:p>
      <w:pPr>
        <w:pStyle w:val="Indenta"/>
      </w:pPr>
      <w:r>
        <w:tab/>
        <w:t>(c)</w:t>
      </w:r>
      <w:r>
        <w:tab/>
        <w:t xml:space="preserve">at the end of the day on which the agreement would, but for this section, expire (the </w:t>
      </w:r>
      <w:r>
        <w:rPr>
          <w:rStyle w:val="CharDefText"/>
        </w:rPr>
        <w:t>expiry day</w:t>
      </w:r>
      <w:r>
        <w:t>) the owner and tenant have not entered into a tenancy agreement in relation to the same premises that creates a tenancy for a fixed term commencing immediately after the expiry day.</w:t>
      </w:r>
    </w:p>
    <w:p>
      <w:pPr>
        <w:pStyle w:val="Subsection"/>
      </w:pPr>
      <w:r>
        <w:tab/>
        <w:t>(2)</w:t>
      </w:r>
      <w:r>
        <w:tab/>
        <w:t xml:space="preserve">The tenancy agreement </w:t>
      </w:r>
      <w:r>
        <w:rPr>
          <w:snapToGrid w:val="0"/>
        </w:rPr>
        <w:t xml:space="preserve">continues, subject to subsection (3), as a periodic tenancy after the expiry day </w:t>
      </w:r>
      <w:r>
        <w:t xml:space="preserve">on the same terms that applied immediately before the expiry day until — </w:t>
      </w:r>
    </w:p>
    <w:p>
      <w:pPr>
        <w:pStyle w:val="Indenta"/>
      </w:pPr>
      <w:r>
        <w:tab/>
        <w:t>(a)</w:t>
      </w:r>
      <w:r>
        <w:tab/>
        <w:t xml:space="preserve">the tenancy agreement is terminated — </w:t>
      </w:r>
    </w:p>
    <w:p>
      <w:pPr>
        <w:pStyle w:val="Indenti"/>
      </w:pPr>
      <w:r>
        <w:tab/>
        <w:t>(i)</w:t>
      </w:r>
      <w:r>
        <w:tab/>
        <w:t>during the emergency period — under Division 2; or</w:t>
      </w:r>
    </w:p>
    <w:p>
      <w:pPr>
        <w:pStyle w:val="Indenti"/>
        <w:keepNext/>
      </w:pPr>
      <w:r>
        <w:tab/>
        <w:t>(ii)</w:t>
      </w:r>
      <w:r>
        <w:tab/>
        <w:t>after the emergency period — under the tenancy Act that applies to the agreement;</w:t>
      </w:r>
    </w:p>
    <w:p>
      <w:pPr>
        <w:pStyle w:val="Indenta"/>
        <w:keepNext/>
      </w:pPr>
      <w:r>
        <w:tab/>
      </w:r>
      <w:r>
        <w:tab/>
        <w:t>or</w:t>
      </w:r>
    </w:p>
    <w:p>
      <w:pPr>
        <w:pStyle w:val="Indenta"/>
      </w:pPr>
      <w:r>
        <w:tab/>
        <w:t>(b)</w:t>
      </w:r>
      <w:r>
        <w:tab/>
        <w:t>the owner and tenant enter into a tenancy agreement in relation to the same premises that creates a tenancy for another fixed term.</w:t>
      </w:r>
    </w:p>
    <w:p>
      <w:pPr>
        <w:pStyle w:val="Subsection"/>
      </w:pPr>
      <w:r>
        <w:tab/>
        <w:t>(3)</w:t>
      </w:r>
      <w:r>
        <w:tab/>
        <w:t xml:space="preserve">A party to a tenancy agreement that continues under subsection (2) may apply for a modification of the terms of the tenancy agreement — </w:t>
      </w:r>
    </w:p>
    <w:p>
      <w:pPr>
        <w:pStyle w:val="Indenta"/>
      </w:pPr>
      <w:r>
        <w:tab/>
        <w:t>(a)</w:t>
      </w:r>
      <w:r>
        <w:tab/>
        <w:t xml:space="preserve">in relation to a residential tenancy agreement — to a competent court under the </w:t>
      </w:r>
      <w:r>
        <w:rPr>
          <w:i/>
        </w:rPr>
        <w:t>Residential Tenancies Act 1987</w:t>
      </w:r>
      <w:r>
        <w:t xml:space="preserve"> section 76C(3); or</w:t>
      </w:r>
    </w:p>
    <w:p>
      <w:pPr>
        <w:pStyle w:val="Indenta"/>
      </w:pPr>
      <w:r>
        <w:tab/>
        <w:t>(b)</w:t>
      </w:r>
      <w:r>
        <w:tab/>
        <w:t>in relation to a long</w:t>
      </w:r>
      <w:r>
        <w:noBreakHyphen/>
        <w:t xml:space="preserve">stay agreement — to the State Administrative Tribunal under the </w:t>
      </w:r>
      <w:r>
        <w:rPr>
          <w:i/>
        </w:rPr>
        <w:t>Residential Parks (Long</w:t>
      </w:r>
      <w:r>
        <w:rPr>
          <w:i/>
        </w:rPr>
        <w:noBreakHyphen/>
        <w:t>stay Tenants) Act 2006</w:t>
      </w:r>
      <w:r>
        <w:t xml:space="preserve"> Part 5.</w:t>
      </w:r>
    </w:p>
    <w:p>
      <w:pPr>
        <w:pStyle w:val="Subsection"/>
      </w:pPr>
      <w:r>
        <w:tab/>
        <w:t>(4)</w:t>
      </w:r>
      <w:r>
        <w:tab/>
        <w:t>However, a competent court or the State Administrative Tribunal must not make an order that increases the rent payable under the agreement during the emergency period.</w:t>
      </w:r>
    </w:p>
    <w:p>
      <w:pPr>
        <w:pStyle w:val="Subsection"/>
      </w:pPr>
      <w:r>
        <w:tab/>
        <w:t>(5)</w:t>
      </w:r>
      <w:r>
        <w:tab/>
        <w:t xml:space="preserve">An order made by a competent court or the State Administrative Tribunal may, if the court or Tribunal orders, apply on and from the day after the expiry day, even if the order is made after the end of the emergency period. </w:t>
      </w:r>
    </w:p>
    <w:p>
      <w:pPr>
        <w:pStyle w:val="Subsection"/>
      </w:pPr>
      <w:r>
        <w:tab/>
        <w:t>(6)</w:t>
      </w:r>
      <w:r>
        <w:tab/>
        <w:t xml:space="preserve">A notice of termination of a residential tenancy agreement given under the </w:t>
      </w:r>
      <w:r>
        <w:rPr>
          <w:i/>
        </w:rPr>
        <w:t xml:space="preserve">Residential Tenancies Act 1987 </w:t>
      </w:r>
      <w:r>
        <w:t xml:space="preserve">section 70A during the emergency period has no effect. </w:t>
      </w:r>
    </w:p>
    <w:p>
      <w:pPr>
        <w:pStyle w:val="Subsection"/>
      </w:pPr>
      <w:r>
        <w:tab/>
        <w:t>(7)</w:t>
      </w:r>
      <w:r>
        <w:tab/>
        <w:t xml:space="preserve">The </w:t>
      </w:r>
      <w:r>
        <w:rPr>
          <w:i/>
        </w:rPr>
        <w:t>Residential Tenancies Act 1987</w:t>
      </w:r>
      <w:r>
        <w:t xml:space="preserve"> section 76C(2) does not apply to a residential tenancy agreement that continues under subsection (2).</w:t>
      </w:r>
    </w:p>
    <w:p>
      <w:pPr>
        <w:pStyle w:val="Heading5"/>
      </w:pPr>
      <w:bookmarkStart w:id="30" w:name="_Toc38549706"/>
      <w:r>
        <w:rPr>
          <w:rStyle w:val="CharSectno"/>
        </w:rPr>
        <w:t>13</w:t>
      </w:r>
      <w:r>
        <w:t>.</w:t>
      </w:r>
      <w:r>
        <w:tab/>
        <w:t>Repossession of property during emergency period subject to tenancy agreement</w:t>
      </w:r>
      <w:bookmarkEnd w:id="30"/>
      <w:r>
        <w:t xml:space="preserve"> </w:t>
      </w:r>
    </w:p>
    <w:p>
      <w:pPr>
        <w:pStyle w:val="Subsection"/>
        <w:keepNext/>
        <w:keepLines/>
      </w:pPr>
      <w:r>
        <w:tab/>
        <w:t>(1)</w:t>
      </w:r>
      <w:r>
        <w:tab/>
        <w:t xml:space="preserve">This section applies if, but for Division 2, a tenancy agreement would have been terminated during the emergency period because — </w:t>
      </w:r>
    </w:p>
    <w:p>
      <w:pPr>
        <w:pStyle w:val="Indenta"/>
      </w:pPr>
      <w:r>
        <w:tab/>
        <w:t>(a)</w:t>
      </w:r>
      <w:r>
        <w:tab/>
        <w:t xml:space="preserve">under the </w:t>
      </w:r>
      <w:r>
        <w:rPr>
          <w:i/>
        </w:rPr>
        <w:t>Residential Parks (Long</w:t>
      </w:r>
      <w:r>
        <w:rPr>
          <w:i/>
        </w:rPr>
        <w:noBreakHyphen/>
        <w:t>stay Tenants) Act 2006</w:t>
      </w:r>
      <w:r>
        <w:t xml:space="preserve"> section 33(3)(b) or the </w:t>
      </w:r>
      <w:r>
        <w:rPr>
          <w:i/>
        </w:rPr>
        <w:t xml:space="preserve">Residential Tenancies Act 1987 </w:t>
      </w:r>
      <w:r>
        <w:t>section 60(1)(d), a person whose title is superior to the owner becomes entitled to possession of the premises the subject of the agreement; or</w:t>
      </w:r>
    </w:p>
    <w:p>
      <w:pPr>
        <w:pStyle w:val="Indenta"/>
      </w:pPr>
      <w:r>
        <w:tab/>
        <w:t>(b)</w:t>
      </w:r>
      <w:r>
        <w:tab/>
        <w:t xml:space="preserve">under the </w:t>
      </w:r>
      <w:r>
        <w:rPr>
          <w:i/>
        </w:rPr>
        <w:t>Residential Parks (Long</w:t>
      </w:r>
      <w:r>
        <w:rPr>
          <w:i/>
        </w:rPr>
        <w:noBreakHyphen/>
        <w:t>stay Tenants) Act 2006</w:t>
      </w:r>
      <w:r>
        <w:t xml:space="preserve"> section 33(3)(c) or the </w:t>
      </w:r>
      <w:r>
        <w:rPr>
          <w:i/>
        </w:rPr>
        <w:t xml:space="preserve">Residential Tenancies Act 1987 </w:t>
      </w:r>
      <w:r>
        <w:t>section 60(1)(e), a mortgagee takes possession of the premises the subject of the agreement.</w:t>
      </w:r>
    </w:p>
    <w:p>
      <w:pPr>
        <w:pStyle w:val="Subsection"/>
      </w:pPr>
      <w:r>
        <w:tab/>
        <w:t>(2)</w:t>
      </w:r>
      <w:r>
        <w:tab/>
        <w:t>The tenancy agreement binds the person with superior title or the mortgagee as if the person or mortgagee were the lessor or park operator who had entered into the agreement.</w:t>
      </w:r>
    </w:p>
    <w:p>
      <w:pPr>
        <w:pStyle w:val="Heading5"/>
      </w:pPr>
      <w:bookmarkStart w:id="31" w:name="_Toc38549707"/>
      <w:r>
        <w:rPr>
          <w:rStyle w:val="CharSectno"/>
        </w:rPr>
        <w:t>14</w:t>
      </w:r>
      <w:r>
        <w:t>.</w:t>
      </w:r>
      <w:r>
        <w:tab/>
        <w:t>Giving rent default notices under tenancy Acts for failure to pay rent during emergency period</w:t>
      </w:r>
      <w:bookmarkEnd w:id="31"/>
    </w:p>
    <w:p>
      <w:pPr>
        <w:pStyle w:val="Subsection"/>
      </w:pPr>
      <w:r>
        <w:tab/>
        <w:t>(1)</w:t>
      </w:r>
      <w:r>
        <w:tab/>
        <w:t xml:space="preserve">In this section — </w:t>
      </w:r>
    </w:p>
    <w:p>
      <w:pPr>
        <w:pStyle w:val="Defstart"/>
      </w:pPr>
      <w:r>
        <w:tab/>
      </w:r>
      <w:r>
        <w:rPr>
          <w:rStyle w:val="CharDefText"/>
        </w:rPr>
        <w:t>rent default notice</w:t>
      </w:r>
      <w:r>
        <w:t xml:space="preserve"> means — </w:t>
      </w:r>
    </w:p>
    <w:p>
      <w:pPr>
        <w:pStyle w:val="Defpara"/>
      </w:pPr>
      <w:r>
        <w:tab/>
        <w:t>(a)</w:t>
      </w:r>
      <w:r>
        <w:tab/>
        <w:t xml:space="preserve">a notice of termination or default notice under the </w:t>
      </w:r>
      <w:r>
        <w:rPr>
          <w:i/>
        </w:rPr>
        <w:t>Residential Parks (Long</w:t>
      </w:r>
      <w:r>
        <w:rPr>
          <w:i/>
        </w:rPr>
        <w:noBreakHyphen/>
        <w:t>stay Tenants) Act 2006</w:t>
      </w:r>
      <w:r>
        <w:t xml:space="preserve"> section 39; or</w:t>
      </w:r>
    </w:p>
    <w:p>
      <w:pPr>
        <w:pStyle w:val="Defpara"/>
      </w:pPr>
      <w:r>
        <w:tab/>
        <w:t>(b)</w:t>
      </w:r>
      <w:r>
        <w:tab/>
        <w:t xml:space="preserve">a notice of termination under the </w:t>
      </w:r>
      <w:r>
        <w:rPr>
          <w:i/>
        </w:rPr>
        <w:t xml:space="preserve">Residential Tenancies Act 1987 </w:t>
      </w:r>
      <w:r>
        <w:t>section 62(1) upon the ground of a breach of the agreement to pay rent, or a notice under section 62(4)(a) of that Act specifying the breach;</w:t>
      </w:r>
    </w:p>
    <w:p>
      <w:pPr>
        <w:pStyle w:val="Defstart"/>
        <w:keepNext/>
      </w:pPr>
      <w:r>
        <w:tab/>
      </w:r>
      <w:r>
        <w:rPr>
          <w:rStyle w:val="CharDefText"/>
        </w:rPr>
        <w:t>rent repayment agreement</w:t>
      </w:r>
      <w:r>
        <w:t xml:space="preserve"> means an agreement (</w:t>
      </w:r>
      <w:r>
        <w:rPr>
          <w:color w:val="333333"/>
          <w:shd w:val="clear" w:color="auto" w:fill="FFFFFF"/>
        </w:rPr>
        <w:t>in writing</w:t>
      </w:r>
      <w:r>
        <w:t xml:space="preserve">) — </w:t>
      </w:r>
    </w:p>
    <w:p>
      <w:pPr>
        <w:pStyle w:val="Defpara"/>
      </w:pPr>
      <w:r>
        <w:tab/>
        <w:t>(a)</w:t>
      </w:r>
      <w:r>
        <w:tab/>
        <w:t>made between a tenant and owner about rent not paid in accordance with a tenancy agreement during the emergency period; and</w:t>
      </w:r>
    </w:p>
    <w:p>
      <w:pPr>
        <w:pStyle w:val="Defpara"/>
      </w:pPr>
      <w:r>
        <w:tab/>
        <w:t>(b)</w:t>
      </w:r>
      <w:r>
        <w:tab/>
        <w:t>setting out how part or all of the rent not paid will be paid to the owner.</w:t>
      </w:r>
    </w:p>
    <w:p>
      <w:pPr>
        <w:pStyle w:val="Subsection"/>
      </w:pPr>
      <w:r>
        <w:tab/>
        <w:t>(2)</w:t>
      </w:r>
      <w:r>
        <w:tab/>
        <w:t xml:space="preserve">This section applies if a tenant fails to pay rent, in accordance with a tenancy agreement, due during the emergency period. </w:t>
      </w:r>
    </w:p>
    <w:p>
      <w:pPr>
        <w:pStyle w:val="Subsection"/>
      </w:pPr>
      <w:r>
        <w:tab/>
        <w:t>(3)</w:t>
      </w:r>
      <w:r>
        <w:tab/>
        <w:t xml:space="preserve">The owner cannot give a rent default notice in relation to the failure to pay the rent unless — </w:t>
      </w:r>
    </w:p>
    <w:p>
      <w:pPr>
        <w:pStyle w:val="Indenta"/>
      </w:pPr>
      <w:r>
        <w:tab/>
        <w:t>(a)</w:t>
      </w:r>
      <w:r>
        <w:tab/>
        <w:t>the tenant and owner have entered into a rent repayment agreement and the tenant has failed to make payments in accordance with that agreement; or</w:t>
      </w:r>
    </w:p>
    <w:p>
      <w:pPr>
        <w:pStyle w:val="Ednotepara"/>
      </w:pPr>
      <w:r>
        <w:tab/>
        <w:t>[(b)</w:t>
      </w:r>
      <w:r>
        <w:tab/>
        <w:t>has not come into operation.]</w:t>
      </w:r>
    </w:p>
    <w:p>
      <w:pPr>
        <w:pStyle w:val="Ednotesubsection"/>
      </w:pPr>
      <w:r>
        <w:t>[(4)-(7)</w:t>
      </w:r>
      <w:r>
        <w:tab/>
        <w:t>have not come into operation.]</w:t>
      </w:r>
    </w:p>
    <w:p>
      <w:pPr>
        <w:pStyle w:val="PermNoteHeading"/>
      </w:pPr>
      <w:r>
        <w:tab/>
        <w:t>Note for this section:</w:t>
      </w:r>
    </w:p>
    <w:p>
      <w:pPr>
        <w:pStyle w:val="PermNoteText"/>
      </w:pPr>
      <w:r>
        <w:tab/>
      </w:r>
      <w:r>
        <w:tab/>
        <w:t xml:space="preserve">See Division 2 and section 73 or 74 in relation to the effect of a notice of termination given under this section. </w:t>
      </w:r>
    </w:p>
    <w:p>
      <w:pPr>
        <w:pStyle w:val="Heading5"/>
      </w:pPr>
      <w:bookmarkStart w:id="32" w:name="_Toc38549708"/>
      <w:r>
        <w:rPr>
          <w:rStyle w:val="CharSectno"/>
        </w:rPr>
        <w:t>15</w:t>
      </w:r>
      <w:r>
        <w:t>.</w:t>
      </w:r>
      <w:r>
        <w:tab/>
        <w:t>Recovery of interest on rent not paid under tenancy agreements during emergency period prohibited</w:t>
      </w:r>
      <w:bookmarkEnd w:id="32"/>
    </w:p>
    <w:p>
      <w:pPr>
        <w:pStyle w:val="Subsection"/>
      </w:pPr>
      <w:r>
        <w:tab/>
        <w:t>(1)</w:t>
      </w:r>
      <w:r>
        <w:tab/>
        <w:t xml:space="preserve">In this section — </w:t>
      </w:r>
    </w:p>
    <w:p>
      <w:pPr>
        <w:pStyle w:val="Defstart"/>
      </w:pPr>
      <w:r>
        <w:tab/>
      </w:r>
      <w:r>
        <w:rPr>
          <w:rStyle w:val="CharDefText"/>
        </w:rPr>
        <w:t>outstanding rent</w:t>
      </w:r>
      <w:r>
        <w:t xml:space="preserve"> means rent a tenant fails to pay in accordance with a tenancy agreement that is due during the emergency period.</w:t>
      </w:r>
    </w:p>
    <w:p>
      <w:pPr>
        <w:pStyle w:val="Subsection"/>
      </w:pPr>
      <w:r>
        <w:tab/>
        <w:t>(2)</w:t>
      </w:r>
      <w:r>
        <w:tab/>
        <w:t>This section applies despite any other written law.</w:t>
      </w:r>
    </w:p>
    <w:p>
      <w:pPr>
        <w:pStyle w:val="Subsection"/>
      </w:pPr>
      <w:r>
        <w:tab/>
        <w:t>(3)</w:t>
      </w:r>
      <w:r>
        <w:tab/>
        <w:t>An owner cannot recover, whether by virtue of a right under the tenancy agreement or otherwise, an amount from a tenant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  </w:t>
      </w:r>
    </w:p>
    <w:p>
      <w:pPr>
        <w:pStyle w:val="Heading3"/>
      </w:pPr>
      <w:bookmarkStart w:id="33" w:name="_Toc38543009"/>
      <w:bookmarkStart w:id="34" w:name="_Toc38544974"/>
      <w:bookmarkStart w:id="35" w:name="_Toc38549354"/>
      <w:bookmarkStart w:id="36" w:name="_Toc38549709"/>
      <w:r>
        <w:rPr>
          <w:rStyle w:val="CharDivNo"/>
        </w:rPr>
        <w:t>Division 2</w:t>
      </w:r>
      <w:r>
        <w:t> — </w:t>
      </w:r>
      <w:r>
        <w:rPr>
          <w:rStyle w:val="CharDivText"/>
        </w:rPr>
        <w:t>Provisions affecting termination of tenancy agreements during emergency period</w:t>
      </w:r>
      <w:bookmarkEnd w:id="33"/>
      <w:bookmarkEnd w:id="34"/>
      <w:bookmarkEnd w:id="35"/>
      <w:bookmarkEnd w:id="36"/>
    </w:p>
    <w:p>
      <w:pPr>
        <w:pStyle w:val="Heading5"/>
      </w:pPr>
      <w:bookmarkStart w:id="37" w:name="_Toc38549710"/>
      <w:r>
        <w:rPr>
          <w:rStyle w:val="CharSectno"/>
        </w:rPr>
        <w:t>16</w:t>
      </w:r>
      <w:r>
        <w:t>.</w:t>
      </w:r>
      <w:r>
        <w:tab/>
        <w:t>Application of Division</w:t>
      </w:r>
      <w:bookmarkEnd w:id="37"/>
    </w:p>
    <w:p>
      <w:pPr>
        <w:pStyle w:val="Subsection"/>
      </w:pPr>
      <w:r>
        <w:tab/>
        <w:t>(1)</w:t>
      </w:r>
      <w:r>
        <w:tab/>
        <w:t xml:space="preserve">Subject to subsection (2), this Division applies during the emergency period. </w:t>
      </w:r>
    </w:p>
    <w:p>
      <w:pPr>
        <w:pStyle w:val="Subsection"/>
      </w:pPr>
      <w:r>
        <w:tab/>
        <w:t>(2)</w:t>
      </w:r>
      <w:r>
        <w:tab/>
        <w:t>Section 19 applies during and after the emergency period.</w:t>
      </w:r>
    </w:p>
    <w:p>
      <w:pPr>
        <w:pStyle w:val="Heading5"/>
      </w:pPr>
      <w:bookmarkStart w:id="38" w:name="_Toc38549711"/>
      <w:r>
        <w:rPr>
          <w:rStyle w:val="CharSectno"/>
        </w:rPr>
        <w:t>17</w:t>
      </w:r>
      <w:r>
        <w:t>.</w:t>
      </w:r>
      <w:r>
        <w:tab/>
        <w:t>Termination of tenancy agreements during emergency period to be in accordance with Division</w:t>
      </w:r>
      <w:bookmarkEnd w:id="38"/>
    </w:p>
    <w:p>
      <w:pPr>
        <w:pStyle w:val="Subsection"/>
      </w:pPr>
      <w:r>
        <w:tab/>
        <w:t>(1)</w:t>
      </w:r>
      <w:r>
        <w:tab/>
        <w:t>A tenancy agreement, or a person’s interest in a tenancy agreement, cannot terminate or be terminated during the emergency period other than under this Division.</w:t>
      </w:r>
    </w:p>
    <w:p>
      <w:pPr>
        <w:pStyle w:val="Subsection"/>
      </w:pPr>
      <w:r>
        <w:tab/>
        <w:t>(2)</w:t>
      </w:r>
      <w:r>
        <w:tab/>
        <w:t xml:space="preserve">This Division applies despite — </w:t>
      </w:r>
    </w:p>
    <w:p>
      <w:pPr>
        <w:pStyle w:val="Indenta"/>
      </w:pPr>
      <w:r>
        <w:tab/>
        <w:t>(a)</w:t>
      </w:r>
      <w:r>
        <w:tab/>
        <w:t xml:space="preserve">the </w:t>
      </w:r>
      <w:r>
        <w:rPr>
          <w:i/>
        </w:rPr>
        <w:t>Residential Tenancies Act 1987</w:t>
      </w:r>
      <w:r>
        <w:t xml:space="preserve"> section 60(1); and</w:t>
      </w:r>
    </w:p>
    <w:p>
      <w:pPr>
        <w:pStyle w:val="Indenta"/>
      </w:pPr>
      <w:r>
        <w:tab/>
        <w:t>(b)</w:t>
      </w:r>
      <w:r>
        <w:tab/>
        <w:t xml:space="preserve">the </w:t>
      </w:r>
      <w:r>
        <w:rPr>
          <w:i/>
        </w:rPr>
        <w:t>Residential Parks (Long</w:t>
      </w:r>
      <w:r>
        <w:rPr>
          <w:i/>
        </w:rPr>
        <w:noBreakHyphen/>
        <w:t>stay Tenants) Act 1987</w:t>
      </w:r>
      <w:r>
        <w:t xml:space="preserve"> section 33.</w:t>
      </w:r>
    </w:p>
    <w:p>
      <w:pPr>
        <w:pStyle w:val="Subsection"/>
      </w:pPr>
      <w:r>
        <w:tab/>
        <w:t>(3)</w:t>
      </w:r>
      <w:r>
        <w:tab/>
        <w:t xml:space="preserve">The </w:t>
      </w:r>
      <w:r>
        <w:rPr>
          <w:i/>
        </w:rPr>
        <w:t xml:space="preserve">Residential Tenancies Act 1987 </w:t>
      </w:r>
      <w:r>
        <w:t xml:space="preserve">section 60(2) applies to terminations under this Division. </w:t>
      </w:r>
    </w:p>
    <w:p>
      <w:pPr>
        <w:pStyle w:val="Subsection"/>
      </w:pPr>
      <w:r>
        <w:tab/>
        <w:t>(4)</w:t>
      </w:r>
      <w:r>
        <w:tab/>
        <w:t xml:space="preserve">The </w:t>
      </w:r>
      <w:r>
        <w:rPr>
          <w:i/>
        </w:rPr>
        <w:t>Residential Parks (Long</w:t>
      </w:r>
      <w:r>
        <w:rPr>
          <w:i/>
        </w:rPr>
        <w:noBreakHyphen/>
        <w:t>stay Tenants) Act 2006</w:t>
      </w:r>
      <w:r>
        <w:t xml:space="preserve"> section 33(2C) applies to terminations under this Division.</w:t>
      </w:r>
    </w:p>
    <w:p>
      <w:pPr>
        <w:pStyle w:val="Heading5"/>
      </w:pPr>
      <w:bookmarkStart w:id="39" w:name="_Toc38549712"/>
      <w:r>
        <w:rPr>
          <w:rStyle w:val="CharSectno"/>
        </w:rPr>
        <w:t>18</w:t>
      </w:r>
      <w:r>
        <w:t>.</w:t>
      </w:r>
      <w:r>
        <w:tab/>
        <w:t>Termination of tenancy agreements arising out of family violence</w:t>
      </w:r>
      <w:bookmarkEnd w:id="39"/>
    </w:p>
    <w:p>
      <w:pPr>
        <w:pStyle w:val="Subsection"/>
      </w:pPr>
      <w:r>
        <w:tab/>
      </w:r>
      <w:r>
        <w:tab/>
        <w:t xml:space="preserve">A tenant’s interest in a tenancy agreement is terminated if — </w:t>
      </w:r>
    </w:p>
    <w:p>
      <w:pPr>
        <w:pStyle w:val="Indenta"/>
      </w:pPr>
      <w:r>
        <w:tab/>
        <w:t>(a)</w:t>
      </w:r>
      <w:r>
        <w:tab/>
        <w:t xml:space="preserve">for a residential tenancy agreement — the interest is terminated under the </w:t>
      </w:r>
      <w:r>
        <w:rPr>
          <w:i/>
        </w:rPr>
        <w:t xml:space="preserve">Residential Tenancies Act 1987 </w:t>
      </w:r>
      <w:r>
        <w:t>section 60(1)(ba), (bb) or (bc); or</w:t>
      </w:r>
    </w:p>
    <w:p>
      <w:pPr>
        <w:pStyle w:val="Indenta"/>
      </w:pPr>
      <w:r>
        <w:tab/>
        <w:t>(b)</w:t>
      </w:r>
      <w:r>
        <w:tab/>
        <w:t>for a long</w:t>
      </w:r>
      <w:r>
        <w:noBreakHyphen/>
        <w:t>stay agreement —</w:t>
      </w:r>
    </w:p>
    <w:p>
      <w:pPr>
        <w:pStyle w:val="Indenti"/>
      </w:pPr>
      <w:r>
        <w:tab/>
        <w:t>(i)</w:t>
      </w:r>
      <w:r>
        <w:tab/>
        <w:t xml:space="preserve">the interest is terminated under the </w:t>
      </w:r>
      <w:r>
        <w:rPr>
          <w:i/>
        </w:rPr>
        <w:t>Residential Parks (Long</w:t>
      </w:r>
      <w:r>
        <w:rPr>
          <w:i/>
        </w:rPr>
        <w:noBreakHyphen/>
        <w:t>stay Tenants) Act 2006</w:t>
      </w:r>
      <w:r>
        <w:t xml:space="preserve"> section 33(2A) or (2B); or</w:t>
      </w:r>
    </w:p>
    <w:p>
      <w:pPr>
        <w:pStyle w:val="Indenti"/>
      </w:pPr>
      <w:r>
        <w:tab/>
        <w:t>(ii)</w:t>
      </w:r>
      <w:r>
        <w:tab/>
        <w:t xml:space="preserve">the State Administrative Tribunal makes an order terminating the tenant’s interest under the </w:t>
      </w:r>
      <w:r>
        <w:rPr>
          <w:i/>
        </w:rPr>
        <w:t>Residential Parks (Long</w:t>
      </w:r>
      <w:r>
        <w:rPr>
          <w:i/>
        </w:rPr>
        <w:noBreakHyphen/>
        <w:t>stay Tenants) Act 2006</w:t>
      </w:r>
      <w:r>
        <w:t xml:space="preserve"> section 74B.</w:t>
      </w:r>
    </w:p>
    <w:p>
      <w:pPr>
        <w:pStyle w:val="Heading5"/>
      </w:pPr>
      <w:bookmarkStart w:id="40" w:name="_Toc38549713"/>
      <w:r>
        <w:rPr>
          <w:rStyle w:val="CharSectno"/>
        </w:rPr>
        <w:t>19</w:t>
      </w:r>
      <w:r>
        <w:t>.</w:t>
      </w:r>
      <w:r>
        <w:tab/>
        <w:t>Termination of tenancy agreement in relation to failure to pay rent during emergency period</w:t>
      </w:r>
      <w:bookmarkEnd w:id="40"/>
    </w:p>
    <w:p>
      <w:pPr>
        <w:pStyle w:val="Subsection"/>
        <w:keepNext/>
      </w:pPr>
      <w:r>
        <w:tab/>
        <w:t>(1)</w:t>
      </w:r>
      <w:r>
        <w:tab/>
        <w:t xml:space="preserve">In this section — </w:t>
      </w:r>
    </w:p>
    <w:p>
      <w:pPr>
        <w:pStyle w:val="Defstart"/>
      </w:pPr>
      <w:r>
        <w:tab/>
      </w:r>
      <w:r>
        <w:rPr>
          <w:rStyle w:val="CharDefText"/>
        </w:rPr>
        <w:t>deciding entity</w:t>
      </w:r>
      <w:r>
        <w:t xml:space="preserve"> means — </w:t>
      </w:r>
    </w:p>
    <w:p>
      <w:pPr>
        <w:pStyle w:val="Defpara"/>
      </w:pPr>
      <w:r>
        <w:tab/>
        <w:t>(a)</w:t>
      </w:r>
      <w:r>
        <w:tab/>
        <w:t>for a long-stay agreement — the State Administrative Tribunal; or</w:t>
      </w:r>
    </w:p>
    <w:p>
      <w:pPr>
        <w:pStyle w:val="Defpara"/>
      </w:pPr>
      <w:r>
        <w:tab/>
        <w:t>(b)</w:t>
      </w:r>
      <w:r>
        <w:tab/>
        <w:t>for a residential tenancy agreement — a competent court;</w:t>
      </w:r>
    </w:p>
    <w:p>
      <w:pPr>
        <w:pStyle w:val="Defstart"/>
      </w:pPr>
      <w:r>
        <w:tab/>
      </w:r>
      <w:r>
        <w:rPr>
          <w:rStyle w:val="CharDefText"/>
        </w:rPr>
        <w:t>remedial period</w:t>
      </w:r>
      <w:r>
        <w:t xml:space="preserve"> means the 60-day period beginning on the day on which the owner gives the tenant the remedial notice;</w:t>
      </w:r>
    </w:p>
    <w:p>
      <w:pPr>
        <w:pStyle w:val="Defstart"/>
      </w:pPr>
      <w:r>
        <w:tab/>
      </w:r>
      <w:r>
        <w:rPr>
          <w:rStyle w:val="CharDefText"/>
        </w:rPr>
        <w:t>rent repayment agreement</w:t>
      </w:r>
      <w:r>
        <w:t xml:space="preserve"> has the meaning given in section 14(1).</w:t>
      </w:r>
    </w:p>
    <w:p>
      <w:pPr>
        <w:pStyle w:val="Subsection"/>
      </w:pPr>
      <w:r>
        <w:tab/>
        <w:t>(2)</w:t>
      </w:r>
      <w:r>
        <w:tab/>
        <w:t xml:space="preserve">This section applies if — </w:t>
      </w:r>
    </w:p>
    <w:p>
      <w:pPr>
        <w:pStyle w:val="Indenta"/>
      </w:pPr>
      <w:r>
        <w:tab/>
        <w:t>(a)</w:t>
      </w:r>
      <w:r>
        <w:tab/>
        <w:t>a tenant fails to pay rent, in accordance with a tenancy agreement, due during the emergency period; and</w:t>
      </w:r>
    </w:p>
    <w:p>
      <w:pPr>
        <w:pStyle w:val="Indenta"/>
      </w:pPr>
      <w:r>
        <w:tab/>
        <w:t>(b)</w:t>
      </w:r>
      <w:r>
        <w:tab/>
        <w:t>the tenant’s failure to pay rent is not due to financial hardship caused by the economic effects of the COVID</w:t>
      </w:r>
      <w:r>
        <w:noBreakHyphen/>
        <w:t>19 pandemic.</w:t>
      </w:r>
    </w:p>
    <w:p>
      <w:pPr>
        <w:pStyle w:val="Subsection"/>
      </w:pPr>
      <w:r>
        <w:tab/>
        <w:t>(3)</w:t>
      </w:r>
      <w:r>
        <w:tab/>
        <w:t xml:space="preserve">The owner may give the tenant a written notice (the </w:t>
      </w:r>
      <w:r>
        <w:rPr>
          <w:rStyle w:val="CharDefText"/>
        </w:rPr>
        <w:t>remedial notice</w:t>
      </w:r>
      <w:r>
        <w:t xml:space="preserve">) stating that — </w:t>
      </w:r>
    </w:p>
    <w:p>
      <w:pPr>
        <w:pStyle w:val="Indenta"/>
      </w:pPr>
      <w:r>
        <w:tab/>
        <w:t>(a)</w:t>
      </w:r>
      <w:r>
        <w:tab/>
        <w:t>the tenant has failed to pay the rent in accordance with the tenancy agreement; and</w:t>
      </w:r>
    </w:p>
    <w:p>
      <w:pPr>
        <w:pStyle w:val="Indenta"/>
      </w:pPr>
      <w:r>
        <w:tab/>
        <w:t>(b)</w:t>
      </w:r>
      <w:r>
        <w:tab/>
        <w:t>the owner offers to enter into a rent repayment agreement in relation to the rent; and</w:t>
      </w:r>
    </w:p>
    <w:p>
      <w:pPr>
        <w:pStyle w:val="Indenta"/>
      </w:pPr>
      <w:r>
        <w:tab/>
        <w:t>(c)</w:t>
      </w:r>
      <w:r>
        <w:tab/>
        <w:t>the tenancy agreement may be terminated under this section if the tenant fails to pay the rent, and refuses to enter into a rent repayment agreement in relation to the rent, during the 60-day period beginning on the day on which the owner gives the tenant the remedial notice.</w:t>
      </w:r>
    </w:p>
    <w:p>
      <w:pPr>
        <w:pStyle w:val="Subsection"/>
      </w:pPr>
      <w:r>
        <w:tab/>
        <w:t>(4)</w:t>
      </w:r>
      <w:r>
        <w:tab/>
        <w:t xml:space="preserve">Subsection (5) applies if the tenant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owner may apply to a deciding entity for — </w:t>
      </w:r>
    </w:p>
    <w:p>
      <w:pPr>
        <w:pStyle w:val="Indenta"/>
      </w:pPr>
      <w:r>
        <w:tab/>
        <w:t>(a)</w:t>
      </w:r>
      <w:r>
        <w:tab/>
        <w:t>an order terminating the tenancy agreement; and</w:t>
      </w:r>
    </w:p>
    <w:p>
      <w:pPr>
        <w:pStyle w:val="Indenta"/>
      </w:pPr>
      <w:r>
        <w:tab/>
        <w:t>(b)</w:t>
      </w:r>
      <w:r>
        <w:tab/>
        <w:t>an order for possession of the residential premises the subject of the tenancy agreement.</w:t>
      </w:r>
    </w:p>
    <w:p>
      <w:pPr>
        <w:pStyle w:val="Subsection"/>
      </w:pPr>
      <w:r>
        <w:tab/>
        <w:t>(6)</w:t>
      </w:r>
      <w:r>
        <w:tab/>
        <w:t xml:space="preserve">However, the owner cannot apply to a deciding entity under subsection (5) on or after the day on which Part 4 Divisions 3, 4 and 5 come into operation under section 2(c) unless — </w:t>
      </w:r>
    </w:p>
    <w:p>
      <w:pPr>
        <w:pStyle w:val="Indenta"/>
      </w:pPr>
      <w:r>
        <w:tab/>
        <w:t>(a)</w:t>
      </w:r>
      <w:r>
        <w:tab/>
        <w:t>the owner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tenant has not cooperated with the conciliation proceeding.</w:t>
      </w:r>
    </w:p>
    <w:p>
      <w:pPr>
        <w:pStyle w:val="Subsection"/>
      </w:pPr>
      <w:r>
        <w:tab/>
        <w:t>(7)</w:t>
      </w:r>
      <w:r>
        <w:tab/>
        <w:t xml:space="preserve">On an application under subsection (5), a deciding entity may make an order terminating the tenancy agreement if the deciding entity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deciding entity makes the order under subsection (7), the deciding entity — </w:t>
      </w:r>
    </w:p>
    <w:p>
      <w:pPr>
        <w:pStyle w:val="Indenta"/>
      </w:pPr>
      <w:r>
        <w:tab/>
        <w:t>(a)</w:t>
      </w:r>
      <w:r>
        <w:tab/>
        <w:t>must also make an order for possession of the residential premises the subject of the tenancy agreement; and</w:t>
      </w:r>
    </w:p>
    <w:p>
      <w:pPr>
        <w:pStyle w:val="Indenta"/>
      </w:pPr>
      <w:r>
        <w:tab/>
        <w:t>(b)</w:t>
      </w:r>
      <w:r>
        <w:tab/>
        <w:t>may make such ancillary or incidental orders as the deciding entity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the court were a reference to the deciding entity; and</w:t>
      </w:r>
    </w:p>
    <w:p>
      <w:pPr>
        <w:pStyle w:val="Indenta"/>
      </w:pPr>
      <w:r>
        <w:tab/>
        <w:t>(b)</w:t>
      </w:r>
      <w:r>
        <w:tab/>
        <w:t>section 71(2) were a reference to subsections (7) and (8) of this section; and</w:t>
      </w:r>
    </w:p>
    <w:p>
      <w:pPr>
        <w:pStyle w:val="Indenta"/>
      </w:pPr>
      <w:r>
        <w:tab/>
        <w:t>(c)</w:t>
      </w:r>
      <w:r>
        <w:tab/>
        <w:t>a lessor were, in relation to a long-stay agreement, a reference to a park operator; and</w:t>
      </w:r>
    </w:p>
    <w:p>
      <w:pPr>
        <w:pStyle w:val="Indenta"/>
      </w:pPr>
      <w:r>
        <w:tab/>
        <w:t>(d)</w:t>
      </w:r>
      <w:r>
        <w:tab/>
        <w:t>a tenant were, in relation to a long-stay agreement, a reference to a long-stay tenant; and</w:t>
      </w:r>
    </w:p>
    <w:p>
      <w:pPr>
        <w:pStyle w:val="Indenta"/>
      </w:pPr>
      <w:r>
        <w:tab/>
        <w:t>(e)</w:t>
      </w:r>
      <w:r>
        <w:tab/>
        <w:t>a notice were a reference to the remedial notice; and</w:t>
      </w:r>
    </w:p>
    <w:p>
      <w:pPr>
        <w:pStyle w:val="Indenta"/>
      </w:pPr>
      <w:r>
        <w:tab/>
        <w:t>(f)</w:t>
      </w:r>
      <w:r>
        <w:tab/>
        <w:t>a notice given by the lessor upon the ground referred to in section 69 were a reference to the remedial notice.</w:t>
      </w:r>
    </w:p>
    <w:p>
      <w:pPr>
        <w:pStyle w:val="Heading5"/>
      </w:pPr>
      <w:bookmarkStart w:id="41" w:name="_Toc38549714"/>
      <w:r>
        <w:rPr>
          <w:rStyle w:val="CharSectno"/>
        </w:rPr>
        <w:t>20</w:t>
      </w:r>
      <w:r>
        <w:t>.</w:t>
      </w:r>
      <w:r>
        <w:tab/>
        <w:t>Termination without specifying grounds</w:t>
      </w:r>
      <w:bookmarkEnd w:id="41"/>
    </w:p>
    <w:p>
      <w:pPr>
        <w:pStyle w:val="Subsection"/>
      </w:pPr>
      <w:r>
        <w:tab/>
        <w:t>(1)</w:t>
      </w:r>
      <w:r>
        <w:tab/>
        <w:t xml:space="preserve">A tenancy agreement is terminated if — </w:t>
      </w:r>
    </w:p>
    <w:p>
      <w:pPr>
        <w:pStyle w:val="Indenta"/>
      </w:pPr>
      <w:r>
        <w:tab/>
        <w:t>(a)</w:t>
      </w:r>
      <w:r>
        <w:tab/>
        <w:t xml:space="preserve">the tenant gives notice of termination of the agreement without specifying any grounds for the notice in accordance with — </w:t>
      </w:r>
    </w:p>
    <w:p>
      <w:pPr>
        <w:pStyle w:val="Indenti"/>
      </w:pPr>
      <w:r>
        <w:tab/>
        <w:t>(i)</w:t>
      </w:r>
      <w:r>
        <w:tab/>
        <w:t xml:space="preserve">for a residential tenancy agreement — the </w:t>
      </w:r>
      <w:r>
        <w:rPr>
          <w:i/>
        </w:rPr>
        <w:t>Residential Tenancies Act 1987</w:t>
      </w:r>
      <w:r>
        <w:t xml:space="preserve"> section 67(1); or</w:t>
      </w:r>
    </w:p>
    <w:p>
      <w:pPr>
        <w:pStyle w:val="Indenti"/>
        <w:keepNext/>
      </w:pPr>
      <w:r>
        <w:tab/>
        <w:t>(ii)</w:t>
      </w:r>
      <w:r>
        <w:tab/>
        <w:t>for a long</w:t>
      </w:r>
      <w:r>
        <w:noBreakHyphen/>
        <w:t xml:space="preserve">stay agreement — the </w:t>
      </w:r>
      <w:r>
        <w:rPr>
          <w:i/>
        </w:rPr>
        <w:t>Residential Parks (Long</w:t>
      </w:r>
      <w:r>
        <w:rPr>
          <w:i/>
        </w:rPr>
        <w:noBreakHyphen/>
        <w:t>stay Tenants) Act 2006</w:t>
      </w:r>
      <w:r>
        <w:t xml:space="preserve"> section 38; </w:t>
      </w:r>
    </w:p>
    <w:p>
      <w:pPr>
        <w:pStyle w:val="Indenta"/>
      </w:pPr>
      <w:r>
        <w:tab/>
      </w:r>
      <w:r>
        <w:tab/>
        <w:t>and</w:t>
      </w:r>
    </w:p>
    <w:p>
      <w:pPr>
        <w:pStyle w:val="Indenta"/>
      </w:pPr>
      <w:r>
        <w:tab/>
        <w:t>(b)</w:t>
      </w:r>
      <w:r>
        <w:tab/>
        <w:t>the notice of termination is given not less than 21 days before the day on which the agreement is to terminate; and</w:t>
      </w:r>
    </w:p>
    <w:p>
      <w:pPr>
        <w:pStyle w:val="Indenta"/>
      </w:pPr>
      <w:r>
        <w:tab/>
        <w:t>(c)</w:t>
      </w:r>
      <w:r>
        <w:tab/>
        <w:t xml:space="preserve">the tenant </w:t>
      </w:r>
      <w:r>
        <w:rPr>
          <w:snapToGrid w:val="0"/>
        </w:rPr>
        <w:t xml:space="preserve">delivers up vacant possession of the premises the subject of the agreement on or after the expiry of the period referred to in paragraph (b). </w:t>
      </w:r>
    </w:p>
    <w:p>
      <w:pPr>
        <w:pStyle w:val="Subsection"/>
        <w:keepNext/>
        <w:keepLines/>
      </w:pPr>
      <w:r>
        <w:tab/>
        <w:t>(2)</w:t>
      </w:r>
      <w:r>
        <w:tab/>
        <w:t>If a tenant in relation to a tenancy agreement for a fixed term suffers financial hardship caused by the economic effects of the COVID-19 pandemic, a notice of termination given under subsection (1)(a) by the tenant may specify a day earlier than the last day of the fixed term as the day on which the tenant intends to give vacant possession of the premises the subject of the agreement to the owner.</w:t>
      </w:r>
    </w:p>
    <w:p>
      <w:pPr>
        <w:pStyle w:val="Subsection"/>
      </w:pPr>
      <w:r>
        <w:tab/>
        <w:t>(3)</w:t>
      </w:r>
      <w:r>
        <w:tab/>
        <w:t>An owner is not entitled to compensation for loss (including</w:t>
      </w:r>
      <w:r>
        <w:rPr>
          <w:snapToGrid w:val="0"/>
        </w:rPr>
        <w:t xml:space="preserve"> loss of rent) </w:t>
      </w:r>
      <w:r>
        <w:t>arising only from a tenant terminating under subsection (1) a tenancy agreement for a fixed term.</w:t>
      </w:r>
    </w:p>
    <w:p>
      <w:pPr>
        <w:pStyle w:val="Heading5"/>
      </w:pPr>
      <w:bookmarkStart w:id="42" w:name="_Toc38549715"/>
      <w:r>
        <w:rPr>
          <w:rStyle w:val="CharSectno"/>
        </w:rPr>
        <w:t>21</w:t>
      </w:r>
      <w:r>
        <w:t>.</w:t>
      </w:r>
      <w:r>
        <w:tab/>
        <w:t>Termination in other cases</w:t>
      </w:r>
      <w:bookmarkEnd w:id="42"/>
    </w:p>
    <w:p>
      <w:pPr>
        <w:pStyle w:val="Subsection"/>
        <w:keepNext/>
      </w:pPr>
      <w:r>
        <w:tab/>
        <w:t>(1)</w:t>
      </w:r>
      <w:r>
        <w:tab/>
        <w:t xml:space="preserve">A residential tenancy agreement is terminated if — </w:t>
      </w:r>
    </w:p>
    <w:p>
      <w:pPr>
        <w:pStyle w:val="Indenta"/>
      </w:pPr>
      <w:r>
        <w:tab/>
        <w:t>(a)</w:t>
      </w:r>
      <w:r>
        <w:tab/>
        <w:t xml:space="preserve">the agreement is terminated under the </w:t>
      </w:r>
      <w:r>
        <w:rPr>
          <w:i/>
        </w:rPr>
        <w:t>Residential Tenancies Act 1987</w:t>
      </w:r>
      <w:r>
        <w:t xml:space="preserve"> section 60(1)(a) after a notice of termination is given — </w:t>
      </w:r>
    </w:p>
    <w:p>
      <w:pPr>
        <w:pStyle w:val="Indenti"/>
      </w:pPr>
      <w:r>
        <w:tab/>
        <w:t>(i)</w:t>
      </w:r>
      <w:r>
        <w:tab/>
        <w:t>by the lessor under section 63 of that Act; or</w:t>
      </w:r>
    </w:p>
    <w:p>
      <w:pPr>
        <w:pStyle w:val="Indenti"/>
      </w:pPr>
      <w:r>
        <w:tab/>
        <w:t>(ii)</w:t>
      </w:r>
      <w:r>
        <w:tab/>
        <w:t>under section 69 of that Act;</w:t>
      </w:r>
    </w:p>
    <w:p>
      <w:pPr>
        <w:pStyle w:val="Indenta"/>
      </w:pPr>
      <w:r>
        <w:tab/>
      </w:r>
      <w:r>
        <w:tab/>
        <w:t>or</w:t>
      </w:r>
    </w:p>
    <w:p>
      <w:pPr>
        <w:pStyle w:val="Indenta"/>
      </w:pPr>
      <w:r>
        <w:tab/>
        <w:t>(b)</w:t>
      </w:r>
      <w:r>
        <w:tab/>
        <w:t xml:space="preserve">the </w:t>
      </w:r>
      <w:r>
        <w:rPr>
          <w:i/>
        </w:rPr>
        <w:t xml:space="preserve">Residential Tenancies Act 1987 </w:t>
      </w:r>
      <w:r>
        <w:t>section 60(1)(f), (g) or (i) applies; or</w:t>
      </w:r>
    </w:p>
    <w:p>
      <w:pPr>
        <w:pStyle w:val="Indenta"/>
      </w:pPr>
      <w:r>
        <w:tab/>
        <w:t>(c)</w:t>
      </w:r>
      <w:r>
        <w:tab/>
        <w:t xml:space="preserve">a competent court terminates the agreement under the </w:t>
      </w:r>
      <w:r>
        <w:rPr>
          <w:i/>
        </w:rPr>
        <w:t xml:space="preserve">Residential Tenancies Act 1987 </w:t>
      </w:r>
      <w:r>
        <w:t>section 73 or 74.</w:t>
      </w:r>
    </w:p>
    <w:p>
      <w:pPr>
        <w:pStyle w:val="Subsection"/>
        <w:keepNext/>
      </w:pPr>
      <w:r>
        <w:tab/>
        <w:t>(2)</w:t>
      </w:r>
      <w:r>
        <w:tab/>
        <w:t>A long</w:t>
      </w:r>
      <w:r>
        <w:noBreakHyphen/>
        <w:t xml:space="preserve">stay agreement is terminated if — </w:t>
      </w:r>
    </w:p>
    <w:p>
      <w:pPr>
        <w:pStyle w:val="Indenta"/>
      </w:pPr>
      <w:r>
        <w:tab/>
        <w:t>(a)</w:t>
      </w:r>
      <w:r>
        <w:tab/>
        <w:t xml:space="preserve">the agreement is terminated under the </w:t>
      </w:r>
      <w:r>
        <w:rPr>
          <w:i/>
        </w:rPr>
        <w:t>Residential Parks (Long</w:t>
      </w:r>
      <w:r>
        <w:rPr>
          <w:i/>
        </w:rPr>
        <w:noBreakHyphen/>
        <w:t>stay Tenants) Act 2006</w:t>
      </w:r>
      <w:r>
        <w:t xml:space="preserve"> section 33 after a notice of termination is given — </w:t>
      </w:r>
    </w:p>
    <w:p>
      <w:pPr>
        <w:pStyle w:val="Indenti"/>
      </w:pPr>
      <w:r>
        <w:tab/>
        <w:t>(i)</w:t>
      </w:r>
      <w:r>
        <w:tab/>
        <w:t>by the park operator under section 41 of that Act; or</w:t>
      </w:r>
    </w:p>
    <w:p>
      <w:pPr>
        <w:pStyle w:val="Indenti"/>
      </w:pPr>
      <w:r>
        <w:tab/>
        <w:t>(ii)</w:t>
      </w:r>
      <w:r>
        <w:tab/>
        <w:t>under section 45(3) of that Act;</w:t>
      </w:r>
    </w:p>
    <w:p>
      <w:pPr>
        <w:pStyle w:val="Indenta"/>
      </w:pPr>
      <w:r>
        <w:tab/>
      </w:r>
      <w:r>
        <w:tab/>
        <w:t>or</w:t>
      </w:r>
    </w:p>
    <w:p>
      <w:pPr>
        <w:pStyle w:val="Indenta"/>
      </w:pPr>
      <w:r>
        <w:tab/>
        <w:t>(b)</w:t>
      </w:r>
      <w:r>
        <w:tab/>
        <w:t xml:space="preserve">the </w:t>
      </w:r>
      <w:r>
        <w:rPr>
          <w:i/>
        </w:rPr>
        <w:t>Residential Parks (Long</w:t>
      </w:r>
      <w:r>
        <w:rPr>
          <w:i/>
        </w:rPr>
        <w:noBreakHyphen/>
        <w:t>stay Tenants) Act 2006</w:t>
      </w:r>
      <w:r>
        <w:t xml:space="preserve"> section 33(3)(d) or (e) applies; or</w:t>
      </w:r>
    </w:p>
    <w:p>
      <w:pPr>
        <w:pStyle w:val="Indenta"/>
      </w:pPr>
      <w:r>
        <w:tab/>
        <w:t>(c)</w:t>
      </w:r>
      <w:r>
        <w:tab/>
        <w:t xml:space="preserve">the State Administrative Tribunal makes an order terminating the agreement under the </w:t>
      </w:r>
      <w:r>
        <w:rPr>
          <w:i/>
        </w:rPr>
        <w:t>Residential Parks (Long</w:t>
      </w:r>
      <w:r>
        <w:rPr>
          <w:i/>
        </w:rPr>
        <w:noBreakHyphen/>
        <w:t>stay Tenants) Act 2006</w:t>
      </w:r>
      <w:r>
        <w:t xml:space="preserve"> section 71 or 73.</w:t>
      </w:r>
    </w:p>
    <w:p>
      <w:pPr>
        <w:pStyle w:val="Heading2"/>
      </w:pPr>
      <w:bookmarkStart w:id="43" w:name="_Toc38543016"/>
      <w:bookmarkStart w:id="44" w:name="_Toc38544981"/>
      <w:bookmarkStart w:id="45" w:name="_Toc38549361"/>
      <w:bookmarkStart w:id="46" w:name="_Toc38549716"/>
      <w:r>
        <w:rPr>
          <w:rStyle w:val="CharPartNo"/>
        </w:rPr>
        <w:t>Part 3</w:t>
      </w:r>
      <w:r>
        <w:t> — </w:t>
      </w:r>
      <w:r>
        <w:rPr>
          <w:rStyle w:val="CharPartText"/>
        </w:rPr>
        <w:t>Accommodation agreements</w:t>
      </w:r>
      <w:bookmarkEnd w:id="43"/>
      <w:bookmarkEnd w:id="44"/>
      <w:bookmarkEnd w:id="45"/>
      <w:bookmarkEnd w:id="46"/>
    </w:p>
    <w:p>
      <w:pPr>
        <w:pStyle w:val="Heading3"/>
      </w:pPr>
      <w:bookmarkStart w:id="47" w:name="_Toc38543017"/>
      <w:bookmarkStart w:id="48" w:name="_Toc38544982"/>
      <w:bookmarkStart w:id="49" w:name="_Toc38549362"/>
      <w:bookmarkStart w:id="50" w:name="_Toc38549717"/>
      <w:r>
        <w:rPr>
          <w:rStyle w:val="CharDivNo"/>
        </w:rPr>
        <w:t>Division 1</w:t>
      </w:r>
      <w:r>
        <w:t> — </w:t>
      </w:r>
      <w:r>
        <w:rPr>
          <w:rStyle w:val="CharDivText"/>
        </w:rPr>
        <w:t>Provisions affecting accommodation agreements (other than in relation to termination)</w:t>
      </w:r>
      <w:bookmarkEnd w:id="47"/>
      <w:bookmarkEnd w:id="48"/>
      <w:bookmarkEnd w:id="49"/>
      <w:bookmarkEnd w:id="50"/>
    </w:p>
    <w:p>
      <w:pPr>
        <w:pStyle w:val="Heading5"/>
      </w:pPr>
      <w:bookmarkStart w:id="51" w:name="_Toc38549718"/>
      <w:r>
        <w:rPr>
          <w:rStyle w:val="CharSectno"/>
        </w:rPr>
        <w:t>22</w:t>
      </w:r>
      <w:r>
        <w:t>.</w:t>
      </w:r>
      <w:r>
        <w:tab/>
        <w:t>Rent cannot increase during emergency period</w:t>
      </w:r>
      <w:bookmarkEnd w:id="51"/>
    </w:p>
    <w:p>
      <w:pPr>
        <w:pStyle w:val="Subsection"/>
      </w:pPr>
      <w:r>
        <w:tab/>
        <w:t>(1)</w:t>
      </w:r>
      <w:r>
        <w:tab/>
        <w:t>Rent payable under an accommodation agreement cannot be increased during the emergency period.</w:t>
      </w:r>
    </w:p>
    <w:p>
      <w:pPr>
        <w:pStyle w:val="Subsection"/>
      </w:pPr>
      <w:r>
        <w:tab/>
        <w:t>(2)</w:t>
      </w:r>
      <w:r>
        <w:tab/>
        <w:t>An increase of rent payable under an accommodation agreement in contravention of subsection (1) has no effect.</w:t>
      </w:r>
    </w:p>
    <w:p>
      <w:pPr>
        <w:pStyle w:val="Subsection"/>
      </w:pPr>
      <w:r>
        <w:tab/>
        <w:t>(3)</w:t>
      </w:r>
      <w:r>
        <w:tab/>
        <w:t xml:space="preserve">If a landlord notifies the resident (whether before, on or after 30 March 2020) of an increase in the rent payable under an accommodation agreement and that increase would, but for this section, take effect on a day during the emergency period — </w:t>
      </w:r>
    </w:p>
    <w:p>
      <w:pPr>
        <w:pStyle w:val="Indenta"/>
      </w:pPr>
      <w:r>
        <w:tab/>
        <w:t>(a)</w:t>
      </w:r>
      <w:r>
        <w:tab/>
        <w:t>the increase takes effect on the day after the end of the emergency period; and</w:t>
      </w:r>
    </w:p>
    <w:p>
      <w:pPr>
        <w:pStyle w:val="Indenta"/>
      </w:pPr>
      <w:r>
        <w:tab/>
        <w:t>(b)</w:t>
      </w:r>
      <w:r>
        <w:tab/>
        <w:t xml:space="preserve">the resident cannot be required to pay the increased rent until the day referred to in paragraph (a). </w:t>
      </w:r>
    </w:p>
    <w:p>
      <w:pPr>
        <w:pStyle w:val="Subsection"/>
      </w:pPr>
      <w:r>
        <w:tab/>
        <w:t>(4)</w:t>
      </w:r>
      <w:r>
        <w:tab/>
        <w:t>Despite subsections (1) to (3), if the parties to an accommodation agreement agree (whether before, on or after 30 March 2020) to reduce the rent payable due to financial hardship caused by the economic effects of the COVID</w:t>
      </w:r>
      <w:r>
        <w:noBreakHyphen/>
        <w:t xml:space="preserve">19 pandemic, the rent may be increased during or after the emergency period if — </w:t>
      </w:r>
    </w:p>
    <w:p>
      <w:pPr>
        <w:pStyle w:val="Indenta"/>
      </w:pPr>
      <w:r>
        <w:tab/>
        <w:t>(a)</w:t>
      </w:r>
      <w:r>
        <w:tab/>
        <w:t>the parties agree to the increase; and</w:t>
      </w:r>
    </w:p>
    <w:p>
      <w:pPr>
        <w:pStyle w:val="Indenta"/>
        <w:rPr>
          <w:sz w:val="20"/>
        </w:rPr>
      </w:pPr>
      <w:r>
        <w:tab/>
        <w:t>(b)</w:t>
      </w:r>
      <w:r>
        <w:tab/>
        <w:t xml:space="preserve">the increased rent is not greater than the amount of rent payable before the agreement to reduce the rent. </w:t>
      </w:r>
    </w:p>
    <w:p>
      <w:pPr>
        <w:pStyle w:val="Heading5"/>
      </w:pPr>
      <w:bookmarkStart w:id="52" w:name="_Toc38549719"/>
      <w:r>
        <w:rPr>
          <w:rStyle w:val="CharSectno"/>
        </w:rPr>
        <w:t>23</w:t>
      </w:r>
      <w:r>
        <w:t>.</w:t>
      </w:r>
      <w:r>
        <w:tab/>
        <w:t>Rent cannot increase after renegotiation of lease during emergency period</w:t>
      </w:r>
      <w:bookmarkEnd w:id="52"/>
    </w:p>
    <w:p>
      <w:pPr>
        <w:pStyle w:val="Subsection"/>
        <w:keepNext/>
      </w:pPr>
      <w:r>
        <w:tab/>
        <w:t>(1)</w:t>
      </w:r>
      <w:r>
        <w:tab/>
        <w:t xml:space="preserve">This section applies if — </w:t>
      </w:r>
    </w:p>
    <w:p>
      <w:pPr>
        <w:pStyle w:val="Indenta"/>
      </w:pPr>
      <w:r>
        <w:tab/>
        <w:t>(a)</w:t>
      </w:r>
      <w:r>
        <w:tab/>
        <w:t xml:space="preserve">an accommodation agreement (the </w:t>
      </w:r>
      <w:r>
        <w:rPr>
          <w:rStyle w:val="CharDefText"/>
        </w:rPr>
        <w:t>former agreement</w:t>
      </w:r>
      <w:r>
        <w:t xml:space="preserve">) creates a tenancy for a fixed term; and </w:t>
      </w:r>
    </w:p>
    <w:p>
      <w:pPr>
        <w:pStyle w:val="Indenta"/>
      </w:pPr>
      <w:r>
        <w:tab/>
        <w:t>(b)</w:t>
      </w:r>
      <w:r>
        <w:tab/>
        <w:t xml:space="preserve">the term of the former agreement ends during the emergency period; and </w:t>
      </w:r>
    </w:p>
    <w:p>
      <w:pPr>
        <w:pStyle w:val="Indenta"/>
      </w:pPr>
      <w:r>
        <w:tab/>
        <w:t>(c)</w:t>
      </w:r>
      <w:r>
        <w:tab/>
        <w:t xml:space="preserve">the parties to the former agreement enter into a new accommodation agreement (the </w:t>
      </w:r>
      <w:r>
        <w:rPr>
          <w:rStyle w:val="CharDefText"/>
        </w:rPr>
        <w:t>new agreement</w:t>
      </w:r>
      <w:r>
        <w:t>) in relation to the same premises commencing immediately after the end of the term of the former agreement.</w:t>
      </w:r>
    </w:p>
    <w:p>
      <w:pPr>
        <w:pStyle w:val="Subsection"/>
      </w:pPr>
      <w:r>
        <w:tab/>
        <w:t>(2)</w:t>
      </w:r>
      <w:r>
        <w:tab/>
        <w:t>Despite the new agreement, the resident cannot be required during the emergency period to pay an amount of rent that is more than the amount that would have been payable under the former agreement if the former agreement had continued to have effect during that period.</w:t>
      </w:r>
    </w:p>
    <w:p>
      <w:pPr>
        <w:pStyle w:val="Heading5"/>
      </w:pPr>
      <w:bookmarkStart w:id="53" w:name="_Toc38549720"/>
      <w:r>
        <w:rPr>
          <w:rStyle w:val="CharSectno"/>
        </w:rPr>
        <w:t>24</w:t>
      </w:r>
      <w:r>
        <w:t>.</w:t>
      </w:r>
      <w:r>
        <w:tab/>
        <w:t>Landlord not required to maintain and repair under accommodation agreement if unable to do so during emergency period</w:t>
      </w:r>
      <w:bookmarkEnd w:id="53"/>
    </w:p>
    <w:p>
      <w:pPr>
        <w:pStyle w:val="Subsection"/>
      </w:pPr>
      <w:r>
        <w:tab/>
        <w:t>(1)</w:t>
      </w:r>
      <w:r>
        <w:tab/>
        <w:t>This section applies if an accommodation agreement contains a term that requires the landlord to maintain the residential premises the subject of the agreement or conduct any repairs to the premises.</w:t>
      </w:r>
    </w:p>
    <w:p>
      <w:pPr>
        <w:pStyle w:val="Subsection"/>
      </w:pPr>
      <w:r>
        <w:tab/>
        <w:t>(2)</w:t>
      </w:r>
      <w:r>
        <w:tab/>
        <w:t>During the emergency period, the term is modified so that the landlord does not contravene the term if the landlord is unable to maintain the residential premises, or conduct repairs to the premises, due to —</w:t>
      </w:r>
    </w:p>
    <w:p>
      <w:pPr>
        <w:pStyle w:val="Indenta"/>
      </w:pPr>
      <w:r>
        <w:tab/>
        <w:t>(a)</w:t>
      </w:r>
      <w:r>
        <w:tab/>
        <w:t>financial hardship caused by the economic effects of the COVID</w:t>
      </w:r>
      <w:r>
        <w:noBreakHyphen/>
        <w:t xml:space="preserve">19 pandemic; or </w:t>
      </w:r>
    </w:p>
    <w:p>
      <w:pPr>
        <w:pStyle w:val="Indenta"/>
      </w:pPr>
      <w:r>
        <w:tab/>
        <w:t>(b)</w:t>
      </w:r>
      <w:r>
        <w:tab/>
        <w:t xml:space="preserve">an inability to access the premises due to a direction given under the </w:t>
      </w:r>
      <w:r>
        <w:rPr>
          <w:i/>
        </w:rPr>
        <w:t>Emergency Management Act 2005</w:t>
      </w:r>
      <w:r>
        <w:t xml:space="preserve"> or </w:t>
      </w:r>
      <w:r>
        <w:rPr>
          <w:i/>
        </w:rPr>
        <w:t>Public Health Act 2016</w:t>
      </w:r>
      <w:r>
        <w:t>.</w:t>
      </w:r>
    </w:p>
    <w:p>
      <w:pPr>
        <w:pStyle w:val="Subsection"/>
      </w:pPr>
      <w:r>
        <w:tab/>
        <w:t>(3)</w:t>
      </w:r>
      <w:r>
        <w:tab/>
        <w:t xml:space="preserve">The modification in subsection (2) does not affect any obligation a landlord may have that is equivalent to the obligations a lessor has under the </w:t>
      </w:r>
      <w:r>
        <w:rPr>
          <w:i/>
        </w:rPr>
        <w:t>Residential Tenancies Act 1987</w:t>
      </w:r>
      <w:r>
        <w:t xml:space="preserve"> section 43(2)(b) and (3)(b).</w:t>
      </w:r>
    </w:p>
    <w:p>
      <w:pPr>
        <w:pStyle w:val="Heading5"/>
      </w:pPr>
      <w:bookmarkStart w:id="54" w:name="_Toc38549721"/>
      <w:r>
        <w:rPr>
          <w:rStyle w:val="CharSectno"/>
        </w:rPr>
        <w:t>25</w:t>
      </w:r>
      <w:r>
        <w:t>.</w:t>
      </w:r>
      <w:r>
        <w:tab/>
        <w:t>Fixed</w:t>
      </w:r>
      <w:r>
        <w:noBreakHyphen/>
        <w:t>term tenancy ending during emergency period to continue as periodic tenancy</w:t>
      </w:r>
      <w:bookmarkEnd w:id="54"/>
      <w:r>
        <w:t xml:space="preserve"> </w:t>
      </w:r>
    </w:p>
    <w:p>
      <w:pPr>
        <w:pStyle w:val="Subsection"/>
      </w:pPr>
      <w:r>
        <w:tab/>
        <w:t>(1)</w:t>
      </w:r>
      <w:r>
        <w:tab/>
        <w:t xml:space="preserve">This section applies if — </w:t>
      </w:r>
    </w:p>
    <w:p>
      <w:pPr>
        <w:pStyle w:val="Indenta"/>
      </w:pPr>
      <w:r>
        <w:tab/>
        <w:t>(a)</w:t>
      </w:r>
      <w:r>
        <w:tab/>
        <w:t>an accommodation agreement is for a fixed term; and</w:t>
      </w:r>
    </w:p>
    <w:p>
      <w:pPr>
        <w:pStyle w:val="Indenta"/>
      </w:pPr>
      <w:r>
        <w:tab/>
        <w:t>(b)</w:t>
      </w:r>
      <w:r>
        <w:tab/>
        <w:t>the fixed term ends during the emergency period; and</w:t>
      </w:r>
    </w:p>
    <w:p>
      <w:pPr>
        <w:pStyle w:val="Indenta"/>
      </w:pPr>
      <w:r>
        <w:tab/>
        <w:t>(c)</w:t>
      </w:r>
      <w:r>
        <w:tab/>
        <w:t xml:space="preserve">at the end of the day on which the fixed term ends (the </w:t>
      </w:r>
      <w:r>
        <w:rPr>
          <w:rStyle w:val="CharDefText"/>
        </w:rPr>
        <w:t>expiry day</w:t>
      </w:r>
      <w:r>
        <w:t>) the landlord and resident have not entered into an accommodation agreement in relation to the same premises for a fixed term commencing immediately after the expiry day.</w:t>
      </w:r>
    </w:p>
    <w:p>
      <w:pPr>
        <w:pStyle w:val="Subsection"/>
      </w:pPr>
      <w:r>
        <w:tab/>
        <w:t>(2)</w:t>
      </w:r>
      <w:r>
        <w:tab/>
        <w:t xml:space="preserve">The accommodation agreement continues, subject to subsection (3), as an agreement for a periodic tenancy after the expiry day on the same terms that applied immediately before the expiry day until — </w:t>
      </w:r>
    </w:p>
    <w:p>
      <w:pPr>
        <w:pStyle w:val="Indenta"/>
      </w:pPr>
      <w:r>
        <w:tab/>
        <w:t>(a)</w:t>
      </w:r>
      <w:r>
        <w:tab/>
        <w:t xml:space="preserve">the accommodation agreement is terminated — </w:t>
      </w:r>
    </w:p>
    <w:p>
      <w:pPr>
        <w:pStyle w:val="Indenti"/>
      </w:pPr>
      <w:r>
        <w:tab/>
        <w:t>(i)</w:t>
      </w:r>
      <w:r>
        <w:tab/>
        <w:t xml:space="preserve">during the emergency period — under Division 2; or </w:t>
      </w:r>
    </w:p>
    <w:p>
      <w:pPr>
        <w:pStyle w:val="Indenti"/>
      </w:pPr>
      <w:r>
        <w:tab/>
        <w:t>(ii)</w:t>
      </w:r>
      <w:r>
        <w:tab/>
        <w:t xml:space="preserve">after the emergency period — under the agreement; </w:t>
      </w:r>
    </w:p>
    <w:p>
      <w:pPr>
        <w:pStyle w:val="Indenta"/>
      </w:pPr>
      <w:r>
        <w:tab/>
      </w:r>
      <w:r>
        <w:tab/>
        <w:t>or</w:t>
      </w:r>
    </w:p>
    <w:p>
      <w:pPr>
        <w:pStyle w:val="Indenta"/>
      </w:pPr>
      <w:r>
        <w:tab/>
        <w:t>(b)</w:t>
      </w:r>
      <w:r>
        <w:tab/>
        <w:t>the landlord and resident enter into an accommodation agreement in relation to the same premises for another fixed term.</w:t>
      </w:r>
    </w:p>
    <w:p>
      <w:pPr>
        <w:pStyle w:val="Subsection"/>
      </w:pPr>
      <w:r>
        <w:tab/>
        <w:t>(3)</w:t>
      </w:r>
      <w:r>
        <w:tab/>
        <w:t>A competent court may, upon application by a party to an accommodation agreement that continues under subsection (2), make any modification to the terms of the agreement as may be necessary for, or appropriate to, the agreement’s continuance.</w:t>
      </w:r>
    </w:p>
    <w:p>
      <w:pPr>
        <w:pStyle w:val="Subsection"/>
      </w:pPr>
      <w:r>
        <w:tab/>
        <w:t>(4)</w:t>
      </w:r>
      <w:r>
        <w:tab/>
        <w:t>However, a competent court must not make an order that increases the rent payable under the agreement during the emergency period.</w:t>
      </w:r>
    </w:p>
    <w:p>
      <w:pPr>
        <w:pStyle w:val="Subsection"/>
      </w:pPr>
      <w:r>
        <w:tab/>
        <w:t>(5)</w:t>
      </w:r>
      <w:r>
        <w:tab/>
        <w:t xml:space="preserve">An order made by a competent court may, if the court orders, apply on and from the day after the expiry day, even if the order is made after the end of the emergency period. </w:t>
      </w:r>
    </w:p>
    <w:p>
      <w:pPr>
        <w:pStyle w:val="Ednotesection"/>
      </w:pPr>
      <w:r>
        <w:t>[</w:t>
      </w:r>
      <w:r>
        <w:rPr>
          <w:b/>
        </w:rPr>
        <w:t>26.</w:t>
      </w:r>
      <w:r>
        <w:tab/>
        <w:t>Has not come into operation.]</w:t>
      </w:r>
    </w:p>
    <w:p>
      <w:pPr>
        <w:pStyle w:val="Heading5"/>
      </w:pPr>
      <w:bookmarkStart w:id="55" w:name="_Toc38549722"/>
      <w:r>
        <w:rPr>
          <w:rStyle w:val="CharSectno"/>
        </w:rPr>
        <w:t>27</w:t>
      </w:r>
      <w:r>
        <w:t>.</w:t>
      </w:r>
      <w:r>
        <w:tab/>
        <w:t>Giving rent default notices for failure to pay rent during emergency period</w:t>
      </w:r>
      <w:bookmarkEnd w:id="55"/>
    </w:p>
    <w:p>
      <w:pPr>
        <w:pStyle w:val="Subsection"/>
      </w:pPr>
      <w:r>
        <w:tab/>
        <w:t>(1)</w:t>
      </w:r>
      <w:r>
        <w:tab/>
        <w:t xml:space="preserve">In this section — </w:t>
      </w:r>
    </w:p>
    <w:p>
      <w:pPr>
        <w:pStyle w:val="Defstart"/>
      </w:pPr>
      <w:r>
        <w:tab/>
      </w:r>
      <w:r>
        <w:rPr>
          <w:rStyle w:val="CharDefText"/>
        </w:rPr>
        <w:t>rent default notice</w:t>
      </w:r>
      <w:r>
        <w:t xml:space="preserve">, in relation to an accommodation agreement, means a notice in writing stating that — </w:t>
      </w:r>
    </w:p>
    <w:p>
      <w:pPr>
        <w:pStyle w:val="Defpara"/>
      </w:pPr>
      <w:r>
        <w:tab/>
        <w:t>(a)</w:t>
      </w:r>
      <w:r>
        <w:tab/>
        <w:t xml:space="preserve">the resident has failed to pay rent in accordance with a term of the accommodation agreement; and </w:t>
      </w:r>
    </w:p>
    <w:p>
      <w:pPr>
        <w:pStyle w:val="Defpara"/>
      </w:pPr>
      <w:r>
        <w:tab/>
        <w:t>(b)</w:t>
      </w:r>
      <w:r>
        <w:tab/>
        <w:t xml:space="preserve">payment of the rent is required within a specified period of at least 14 days; and </w:t>
      </w:r>
    </w:p>
    <w:p>
      <w:pPr>
        <w:pStyle w:val="Defpara"/>
      </w:pPr>
      <w:r>
        <w:tab/>
        <w:t>(c)</w:t>
      </w:r>
      <w:r>
        <w:tab/>
        <w:t>a failure to pay the rent in accordance with the notice is grounds for giving a termination notice under section 38;</w:t>
      </w:r>
    </w:p>
    <w:p>
      <w:pPr>
        <w:pStyle w:val="Defstart"/>
        <w:keepNext/>
      </w:pPr>
      <w:r>
        <w:tab/>
      </w:r>
      <w:r>
        <w:rPr>
          <w:rStyle w:val="CharDefText"/>
        </w:rPr>
        <w:t>rent repayment agreement</w:t>
      </w:r>
      <w:r>
        <w:t xml:space="preserve"> means an agreement (</w:t>
      </w:r>
      <w:r>
        <w:rPr>
          <w:color w:val="000000" w:themeColor="text1"/>
          <w:shd w:val="clear" w:color="auto" w:fill="FFFFFF"/>
        </w:rPr>
        <w:t>in writing</w:t>
      </w:r>
      <w:r>
        <w:t xml:space="preserve">) — </w:t>
      </w:r>
    </w:p>
    <w:p>
      <w:pPr>
        <w:pStyle w:val="Defpara"/>
      </w:pPr>
      <w:r>
        <w:tab/>
        <w:t>(a)</w:t>
      </w:r>
      <w:r>
        <w:tab/>
        <w:t>made between a resident and landlord about rent not paid in accordance with an accommodation agreement during the emergency period; and</w:t>
      </w:r>
    </w:p>
    <w:p>
      <w:pPr>
        <w:pStyle w:val="Defpara"/>
        <w:rPr>
          <w:sz w:val="20"/>
        </w:rPr>
      </w:pPr>
      <w:r>
        <w:tab/>
        <w:t>(b)</w:t>
      </w:r>
      <w:r>
        <w:tab/>
        <w:t>setting out how part or all of the rent not paid will be paid to the landlord.</w:t>
      </w:r>
    </w:p>
    <w:p>
      <w:pPr>
        <w:pStyle w:val="Subsection"/>
      </w:pPr>
      <w:r>
        <w:tab/>
        <w:t>(2)</w:t>
      </w:r>
      <w:r>
        <w:tab/>
        <w:t xml:space="preserve">This section applies if a resident fails to pay rent, in accordance with an accommodation agreement, due during the emergency period. </w:t>
      </w:r>
    </w:p>
    <w:p>
      <w:pPr>
        <w:pStyle w:val="Subsection"/>
      </w:pPr>
      <w:r>
        <w:tab/>
        <w:t>(3)</w:t>
      </w:r>
      <w:r>
        <w:tab/>
        <w:t xml:space="preserve">The landlord cannot give a rent default notice in relation to the failure to pay the rent unless — </w:t>
      </w:r>
    </w:p>
    <w:p>
      <w:pPr>
        <w:pStyle w:val="Indenta"/>
      </w:pPr>
      <w:r>
        <w:tab/>
        <w:t>(a)</w:t>
      </w:r>
      <w:r>
        <w:tab/>
        <w:t>the resident and landlord have entered into a rent repayment agreement and the resident has failed to make payments in accordance with that agreement; or</w:t>
      </w:r>
    </w:p>
    <w:p>
      <w:pPr>
        <w:pStyle w:val="Ednotepara"/>
      </w:pPr>
      <w:r>
        <w:tab/>
        <w:t>[(b)</w:t>
      </w:r>
      <w:r>
        <w:tab/>
        <w:t>has not come into operation.]</w:t>
      </w:r>
    </w:p>
    <w:p>
      <w:pPr>
        <w:pStyle w:val="Ednotesubsection"/>
      </w:pPr>
      <w:r>
        <w:t>[(4)-(7)</w:t>
      </w:r>
      <w:r>
        <w:tab/>
        <w:t>have not come into operation.]</w:t>
      </w:r>
    </w:p>
    <w:p>
      <w:pPr>
        <w:pStyle w:val="Heading5"/>
      </w:pPr>
      <w:bookmarkStart w:id="56" w:name="_Toc38549723"/>
      <w:r>
        <w:rPr>
          <w:rStyle w:val="CharSectno"/>
        </w:rPr>
        <w:t>28</w:t>
      </w:r>
      <w:r>
        <w:t>.</w:t>
      </w:r>
      <w:r>
        <w:tab/>
        <w:t>Recovery of interest on rent not paid under accommodation agreements during emergency period prohibited</w:t>
      </w:r>
      <w:bookmarkEnd w:id="56"/>
    </w:p>
    <w:p>
      <w:pPr>
        <w:pStyle w:val="Subsection"/>
      </w:pPr>
      <w:r>
        <w:tab/>
        <w:t>(1)</w:t>
      </w:r>
      <w:r>
        <w:tab/>
        <w:t xml:space="preserve">In this section — </w:t>
      </w:r>
    </w:p>
    <w:p>
      <w:pPr>
        <w:pStyle w:val="Defstart"/>
      </w:pPr>
      <w:r>
        <w:tab/>
      </w:r>
      <w:r>
        <w:rPr>
          <w:rStyle w:val="CharDefText"/>
        </w:rPr>
        <w:t>outstanding rent</w:t>
      </w:r>
      <w:r>
        <w:t xml:space="preserve"> means rent a resident fails to pay in accordance with an accommodation agreement that is due during the emergency period.</w:t>
      </w:r>
    </w:p>
    <w:p>
      <w:pPr>
        <w:pStyle w:val="Subsection"/>
      </w:pPr>
      <w:r>
        <w:tab/>
        <w:t>(2)</w:t>
      </w:r>
      <w:r>
        <w:tab/>
        <w:t>This section applies despite any other written law.</w:t>
      </w:r>
    </w:p>
    <w:p>
      <w:pPr>
        <w:pStyle w:val="Subsection"/>
      </w:pPr>
      <w:r>
        <w:tab/>
        <w:t>(3)</w:t>
      </w:r>
      <w:r>
        <w:tab/>
        <w:t>A landlord cannot recover, whether by virtue of a right under the accommodation agreement or otherwise, an amount from a resident that is for interest in relation to outstanding rent.</w:t>
      </w:r>
    </w:p>
    <w:p>
      <w:pPr>
        <w:pStyle w:val="Subsection"/>
      </w:pPr>
      <w:r>
        <w:tab/>
        <w:t>(4)</w:t>
      </w:r>
      <w:r>
        <w:tab/>
        <w:t>If a court or tribunal gives judgment in favour of a claim for money that includes money in relation to outstanding rent, the judgment sum cannot include interest, or a lump sum of money in lieu of such interest, in relation to the outstanding rent.</w:t>
      </w:r>
    </w:p>
    <w:p>
      <w:pPr>
        <w:pStyle w:val="Heading3"/>
      </w:pPr>
      <w:bookmarkStart w:id="57" w:name="_Toc38543025"/>
      <w:bookmarkStart w:id="58" w:name="_Toc38544989"/>
      <w:bookmarkStart w:id="59" w:name="_Toc38549369"/>
      <w:bookmarkStart w:id="60" w:name="_Toc38549724"/>
      <w:r>
        <w:rPr>
          <w:rStyle w:val="CharDivNo"/>
        </w:rPr>
        <w:t>Division 2</w:t>
      </w:r>
      <w:r>
        <w:t> — </w:t>
      </w:r>
      <w:r>
        <w:rPr>
          <w:rStyle w:val="CharDivText"/>
        </w:rPr>
        <w:t>Provisions affecting termination of accommodation agreements during emergency period</w:t>
      </w:r>
      <w:bookmarkEnd w:id="57"/>
      <w:bookmarkEnd w:id="58"/>
      <w:bookmarkEnd w:id="59"/>
      <w:bookmarkEnd w:id="60"/>
    </w:p>
    <w:p>
      <w:pPr>
        <w:pStyle w:val="Heading5"/>
      </w:pPr>
      <w:bookmarkStart w:id="61" w:name="_Toc38549725"/>
      <w:r>
        <w:rPr>
          <w:rStyle w:val="CharSectno"/>
        </w:rPr>
        <w:t>29</w:t>
      </w:r>
      <w:r>
        <w:t>.</w:t>
      </w:r>
      <w:r>
        <w:tab/>
        <w:t>Application of Division</w:t>
      </w:r>
      <w:bookmarkEnd w:id="61"/>
    </w:p>
    <w:p>
      <w:pPr>
        <w:pStyle w:val="Subsection"/>
      </w:pPr>
      <w:r>
        <w:tab/>
        <w:t>(1)</w:t>
      </w:r>
      <w:r>
        <w:tab/>
        <w:t xml:space="preserve">Subject to subsection (2), this Division applies during the emergency period. </w:t>
      </w:r>
    </w:p>
    <w:p>
      <w:pPr>
        <w:pStyle w:val="Subsection"/>
      </w:pPr>
      <w:r>
        <w:tab/>
        <w:t>(2)</w:t>
      </w:r>
      <w:r>
        <w:tab/>
        <w:t>Sections 32,  38 and 40 apply during and after the emergency period.</w:t>
      </w:r>
    </w:p>
    <w:p>
      <w:pPr>
        <w:pStyle w:val="Heading5"/>
      </w:pPr>
      <w:bookmarkStart w:id="62" w:name="_Toc38549726"/>
      <w:r>
        <w:rPr>
          <w:rStyle w:val="CharSectno"/>
        </w:rPr>
        <w:t>30</w:t>
      </w:r>
      <w:r>
        <w:t>.</w:t>
      </w:r>
      <w:r>
        <w:tab/>
        <w:t>Termination of accommodation agreements during emergency period to be in accordance with Division</w:t>
      </w:r>
      <w:bookmarkEnd w:id="62"/>
    </w:p>
    <w:p>
      <w:pPr>
        <w:pStyle w:val="Subsection"/>
      </w:pPr>
      <w:r>
        <w:tab/>
        <w:t>(1)</w:t>
      </w:r>
      <w:r>
        <w:tab/>
        <w:t>An accommodation agreement, or a person’s interest in an accommodation agreement, cannot terminate or be terminated during the emergency period other than under this Division.</w:t>
      </w:r>
    </w:p>
    <w:p>
      <w:pPr>
        <w:pStyle w:val="Subsection"/>
      </w:pPr>
      <w:r>
        <w:tab/>
        <w:t>(2)</w:t>
      </w:r>
      <w:r>
        <w:tab/>
        <w:t>The termination of a resident’s interest in an accommodation agreement under this Division does not terminate the agreement in respect of any other resident under the agreement.</w:t>
      </w:r>
    </w:p>
    <w:p>
      <w:pPr>
        <w:pStyle w:val="Heading5"/>
      </w:pPr>
      <w:bookmarkStart w:id="63" w:name="_Toc38549727"/>
      <w:r>
        <w:rPr>
          <w:rStyle w:val="CharSectno"/>
        </w:rPr>
        <w:t>31</w:t>
      </w:r>
      <w:r>
        <w:t>.</w:t>
      </w:r>
      <w:r>
        <w:tab/>
        <w:t>Termination of interest in accommodation agreement arising from family violence</w:t>
      </w:r>
      <w:bookmarkEnd w:id="63"/>
    </w:p>
    <w:p>
      <w:pPr>
        <w:pStyle w:val="Subsection"/>
      </w:pPr>
      <w:r>
        <w:tab/>
        <w:t>(1)</w:t>
      </w:r>
      <w:r>
        <w:tab/>
        <w:t xml:space="preserve">The </w:t>
      </w:r>
      <w:r>
        <w:rPr>
          <w:i/>
        </w:rPr>
        <w:t>Residential Tenancies Act 1987</w:t>
      </w:r>
      <w:r>
        <w:t xml:space="preserve"> sections 71AB to 71AE apply to and in relation to a resident, landlord and accommodation agreement as if a reference in those provisions to — </w:t>
      </w:r>
    </w:p>
    <w:p>
      <w:pPr>
        <w:pStyle w:val="Indenta"/>
      </w:pPr>
      <w:r>
        <w:tab/>
        <w:t>(a)</w:t>
      </w:r>
      <w:r>
        <w:tab/>
        <w:t>a tenant were a reference to a resident; and</w:t>
      </w:r>
    </w:p>
    <w:p>
      <w:pPr>
        <w:pStyle w:val="Indenta"/>
      </w:pPr>
      <w:r>
        <w:tab/>
        <w:t>(b)</w:t>
      </w:r>
      <w:r>
        <w:tab/>
        <w:t>a lessor were a reference to a landlord; and</w:t>
      </w:r>
    </w:p>
    <w:p>
      <w:pPr>
        <w:pStyle w:val="Indenta"/>
      </w:pPr>
      <w:r>
        <w:tab/>
        <w:t>(c)</w:t>
      </w:r>
      <w:r>
        <w:tab/>
        <w:t>a residential tenancy agreement were a reference to an accommodation agreement; and</w:t>
      </w:r>
    </w:p>
    <w:p>
      <w:pPr>
        <w:pStyle w:val="Indenta"/>
      </w:pPr>
      <w:r>
        <w:tab/>
        <w:t>(d)</w:t>
      </w:r>
      <w:r>
        <w:tab/>
        <w:t>a tenancy period were a reference to the period during which an accommodation agreement is in force.</w:t>
      </w:r>
    </w:p>
    <w:p>
      <w:pPr>
        <w:pStyle w:val="Subsection"/>
        <w:keepNext/>
      </w:pPr>
      <w:r>
        <w:tab/>
        <w:t>(2)</w:t>
      </w:r>
      <w:r>
        <w:tab/>
        <w:t xml:space="preserve">A resident’s interest in an accommodation agreement is terminated if any of the following apply — </w:t>
      </w:r>
    </w:p>
    <w:p>
      <w:pPr>
        <w:pStyle w:val="Indenta"/>
        <w:keepNext/>
      </w:pPr>
      <w:r>
        <w:tab/>
        <w:t>(a)</w:t>
      </w:r>
      <w:r>
        <w:tab/>
        <w:t xml:space="preserve">the resident — </w:t>
      </w:r>
    </w:p>
    <w:p>
      <w:pPr>
        <w:pStyle w:val="Indenti"/>
      </w:pPr>
      <w:r>
        <w:tab/>
        <w:t>(i)</w:t>
      </w:r>
      <w:r>
        <w:tab/>
        <w:t xml:space="preserve">gives notice, under the </w:t>
      </w:r>
      <w:r>
        <w:rPr>
          <w:i/>
        </w:rPr>
        <w:t xml:space="preserve">Residential Tenancies Act 1987 </w:t>
      </w:r>
      <w:r>
        <w:t xml:space="preserve">section 71AB(1), of termination of the resident’s interest together with at least 1 of the documents required under the </w:t>
      </w:r>
      <w:r>
        <w:rPr>
          <w:i/>
        </w:rPr>
        <w:t xml:space="preserve">Residential Tenancies Act 1987 </w:t>
      </w:r>
      <w:r>
        <w:t>section 71AB(2);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71AB(5);</w:t>
      </w:r>
    </w:p>
    <w:p>
      <w:pPr>
        <w:pStyle w:val="Indenta"/>
      </w:pPr>
      <w:r>
        <w:tab/>
        <w:t>(b)</w:t>
      </w:r>
      <w:r>
        <w:tab/>
        <w:t xml:space="preserve">the resident — </w:t>
      </w:r>
    </w:p>
    <w:p>
      <w:pPr>
        <w:pStyle w:val="Indenti"/>
      </w:pPr>
      <w:r>
        <w:tab/>
        <w:t>(i)</w:t>
      </w:r>
      <w:r>
        <w:tab/>
        <w:t xml:space="preserve">gives notice, under the </w:t>
      </w:r>
      <w:r>
        <w:rPr>
          <w:i/>
        </w:rPr>
        <w:t xml:space="preserve">Residential Tenancies Act 1987 </w:t>
      </w:r>
      <w:r>
        <w:t>section 71AD(4), of termination of the resident’s interest; and</w:t>
      </w:r>
    </w:p>
    <w:p>
      <w:pPr>
        <w:pStyle w:val="Indenti"/>
      </w:pPr>
      <w:r>
        <w:tab/>
        <w:t>(ii)</w:t>
      </w:r>
      <w:r>
        <w:tab/>
        <w:t xml:space="preserve">vacates the residential premises </w:t>
      </w:r>
      <w:r>
        <w:rPr>
          <w:snapToGrid w:val="0"/>
        </w:rPr>
        <w:t>the subject of the agreement</w:t>
      </w:r>
      <w:r>
        <w:t xml:space="preserve"> on or after the expiry of the period of notice required under the </w:t>
      </w:r>
      <w:r>
        <w:rPr>
          <w:i/>
        </w:rPr>
        <w:t xml:space="preserve">Residential Tenancies Act 1987 </w:t>
      </w:r>
      <w:r>
        <w:t>section 71AD(5);</w:t>
      </w:r>
    </w:p>
    <w:p>
      <w:pPr>
        <w:pStyle w:val="Indenta"/>
      </w:pPr>
      <w:r>
        <w:tab/>
        <w:t>(c)</w:t>
      </w:r>
      <w:r>
        <w:tab/>
        <w:t xml:space="preserve">a competent court terminates the resident’s interest under the </w:t>
      </w:r>
      <w:r>
        <w:rPr>
          <w:i/>
        </w:rPr>
        <w:t xml:space="preserve">Residential Tenancies Act 1987 </w:t>
      </w:r>
      <w:r>
        <w:t>section 71AE.</w:t>
      </w:r>
    </w:p>
    <w:p>
      <w:pPr>
        <w:pStyle w:val="Heading5"/>
      </w:pPr>
      <w:bookmarkStart w:id="64" w:name="_Toc38549728"/>
      <w:r>
        <w:rPr>
          <w:rStyle w:val="CharSectno"/>
        </w:rPr>
        <w:t>32</w:t>
      </w:r>
      <w:r>
        <w:t>.</w:t>
      </w:r>
      <w:r>
        <w:tab/>
        <w:t>Termination of accommodation agreement in relation to failure to pay rent during emergency period</w:t>
      </w:r>
      <w:bookmarkEnd w:id="64"/>
    </w:p>
    <w:p>
      <w:pPr>
        <w:pStyle w:val="Subsection"/>
      </w:pPr>
      <w:r>
        <w:tab/>
        <w:t>(1)</w:t>
      </w:r>
      <w:r>
        <w:tab/>
        <w:t xml:space="preserve">In this section — </w:t>
      </w:r>
    </w:p>
    <w:p>
      <w:pPr>
        <w:pStyle w:val="Defstart"/>
      </w:pPr>
      <w:r>
        <w:tab/>
      </w:r>
      <w:r>
        <w:rPr>
          <w:rStyle w:val="CharDefText"/>
        </w:rPr>
        <w:t>remedial period</w:t>
      </w:r>
      <w:r>
        <w:t xml:space="preserve"> means the 60-day period beginning on the day on which the landlord gives the resident the remedial notice;</w:t>
      </w:r>
    </w:p>
    <w:p>
      <w:pPr>
        <w:pStyle w:val="Defstart"/>
      </w:pPr>
      <w:r>
        <w:tab/>
      </w:r>
      <w:r>
        <w:rPr>
          <w:rStyle w:val="CharDefText"/>
        </w:rPr>
        <w:t>rent repayment agreement</w:t>
      </w:r>
      <w:r>
        <w:t xml:space="preserve"> has the meaning given in section 27(1).</w:t>
      </w:r>
    </w:p>
    <w:p>
      <w:pPr>
        <w:pStyle w:val="Subsection"/>
        <w:keepNext/>
      </w:pPr>
      <w:r>
        <w:tab/>
        <w:t>(2)</w:t>
      </w:r>
      <w:r>
        <w:tab/>
        <w:t xml:space="preserve">This section applies if — </w:t>
      </w:r>
    </w:p>
    <w:p>
      <w:pPr>
        <w:pStyle w:val="Indenta"/>
      </w:pPr>
      <w:r>
        <w:tab/>
        <w:t>(a)</w:t>
      </w:r>
      <w:r>
        <w:tab/>
        <w:t>a resident fails to pay rent, in accordance with an accommodation agreement, due during the emergency period; and</w:t>
      </w:r>
    </w:p>
    <w:p>
      <w:pPr>
        <w:pStyle w:val="Indenta"/>
      </w:pPr>
      <w:r>
        <w:tab/>
        <w:t>(b)</w:t>
      </w:r>
      <w:r>
        <w:tab/>
        <w:t>the resident’s failure to pay rent is not due to financial hardship caused by the economic effects of the COVID</w:t>
      </w:r>
      <w:r>
        <w:noBreakHyphen/>
        <w:t>19 pandemic.</w:t>
      </w:r>
    </w:p>
    <w:p>
      <w:pPr>
        <w:pStyle w:val="Subsection"/>
      </w:pPr>
      <w:r>
        <w:tab/>
        <w:t>(3)</w:t>
      </w:r>
      <w:r>
        <w:tab/>
        <w:t xml:space="preserve">The landlord may give the resident a written notice (the </w:t>
      </w:r>
      <w:r>
        <w:rPr>
          <w:rStyle w:val="CharDefText"/>
        </w:rPr>
        <w:t>remedial notice</w:t>
      </w:r>
      <w:r>
        <w:t xml:space="preserve">) stating that — </w:t>
      </w:r>
    </w:p>
    <w:p>
      <w:pPr>
        <w:pStyle w:val="Indenta"/>
      </w:pPr>
      <w:r>
        <w:tab/>
        <w:t>(a)</w:t>
      </w:r>
      <w:r>
        <w:tab/>
        <w:t>the resident has failed to pay the rent in accordance with the accommodation agreement; and</w:t>
      </w:r>
    </w:p>
    <w:p>
      <w:pPr>
        <w:pStyle w:val="Indenta"/>
      </w:pPr>
      <w:r>
        <w:tab/>
        <w:t>(b)</w:t>
      </w:r>
      <w:r>
        <w:tab/>
        <w:t>the landlord offers to enter into a rent repayment agreement in relation to the rent; and</w:t>
      </w:r>
    </w:p>
    <w:p>
      <w:pPr>
        <w:pStyle w:val="Indenta"/>
      </w:pPr>
      <w:r>
        <w:tab/>
        <w:t>(c)</w:t>
      </w:r>
      <w:r>
        <w:tab/>
        <w:t>the accommodation agreement may be terminated under this section if the resident fails to pay the rent, and refuses to enter into a rent repayment agreement in relation to the rent, during the 60-day period beginning on the day on which the landlord gives the resident the remedial notice.</w:t>
      </w:r>
    </w:p>
    <w:p>
      <w:pPr>
        <w:pStyle w:val="Subsection"/>
      </w:pPr>
      <w:r>
        <w:tab/>
        <w:t>(4)</w:t>
      </w:r>
      <w:r>
        <w:tab/>
        <w:t xml:space="preserve">Subsection (5) applies if the resident unreasonably — </w:t>
      </w:r>
    </w:p>
    <w:p>
      <w:pPr>
        <w:pStyle w:val="Indenta"/>
      </w:pPr>
      <w:r>
        <w:tab/>
        <w:t>(a)</w:t>
      </w:r>
      <w:r>
        <w:tab/>
        <w:t>fails to pay the rent during the remedial period; and</w:t>
      </w:r>
    </w:p>
    <w:p>
      <w:pPr>
        <w:pStyle w:val="Indenta"/>
      </w:pPr>
      <w:r>
        <w:tab/>
        <w:t>(b)</w:t>
      </w:r>
      <w:r>
        <w:tab/>
        <w:t>refuses to enter into a rent repayment agreement in relation to the rent during the remedial period.</w:t>
      </w:r>
    </w:p>
    <w:p>
      <w:pPr>
        <w:pStyle w:val="Subsection"/>
      </w:pPr>
      <w:r>
        <w:tab/>
        <w:t>(5)</w:t>
      </w:r>
      <w:r>
        <w:tab/>
        <w:t xml:space="preserve">After the end of the remedial period, the landlord may apply to a competent court for — </w:t>
      </w:r>
    </w:p>
    <w:p>
      <w:pPr>
        <w:pStyle w:val="Indenta"/>
      </w:pPr>
      <w:r>
        <w:tab/>
        <w:t>(a)</w:t>
      </w:r>
      <w:r>
        <w:tab/>
        <w:t>an order terminating the accommodation agreement; and</w:t>
      </w:r>
    </w:p>
    <w:p>
      <w:pPr>
        <w:pStyle w:val="Indenta"/>
      </w:pPr>
      <w:r>
        <w:tab/>
        <w:t>(b)</w:t>
      </w:r>
      <w:r>
        <w:tab/>
        <w:t>an order for possession of the residential premises the subject of the accommodation agreement.</w:t>
      </w:r>
    </w:p>
    <w:p>
      <w:pPr>
        <w:pStyle w:val="Subsection"/>
        <w:keepNext/>
      </w:pPr>
      <w:r>
        <w:tab/>
        <w:t>(6)</w:t>
      </w:r>
      <w:r>
        <w:tab/>
        <w:t xml:space="preserve">However, the landlord cannot apply to a competent court under subsection (5) on or after the day on which Part 4 Divisions 3, 4 and 5 come into operation under section 2(c) unless — </w:t>
      </w:r>
    </w:p>
    <w:p>
      <w:pPr>
        <w:pStyle w:val="Indenta"/>
      </w:pPr>
      <w:r>
        <w:tab/>
        <w:t>(a)</w:t>
      </w:r>
      <w:r>
        <w:tab/>
        <w:t>the landlord has made a submission to the Commissioner under section 50(1) in relation to the failure to pay the rent; and</w:t>
      </w:r>
    </w:p>
    <w:p>
      <w:pPr>
        <w:pStyle w:val="Indenta"/>
      </w:pPr>
      <w:r>
        <w:tab/>
        <w:t>(b)</w:t>
      </w:r>
      <w:r>
        <w:tab/>
        <w:t xml:space="preserve">the Commissioner has certified — </w:t>
      </w:r>
    </w:p>
    <w:p>
      <w:pPr>
        <w:pStyle w:val="Indenti"/>
      </w:pPr>
      <w:r>
        <w:tab/>
        <w:t>(i)</w:t>
      </w:r>
      <w:r>
        <w:tab/>
        <w:t>under section 59(2) that no agreement has been reached in relation to the failure to pay the rent; and</w:t>
      </w:r>
    </w:p>
    <w:p>
      <w:pPr>
        <w:pStyle w:val="Indenti"/>
      </w:pPr>
      <w:r>
        <w:tab/>
        <w:t>(ii)</w:t>
      </w:r>
      <w:r>
        <w:tab/>
        <w:t>under section 59(5) that the resident has not cooperated with the conciliation proceeding.</w:t>
      </w:r>
    </w:p>
    <w:p>
      <w:pPr>
        <w:pStyle w:val="Subsection"/>
      </w:pPr>
      <w:r>
        <w:tab/>
        <w:t>(7)</w:t>
      </w:r>
      <w:r>
        <w:tab/>
        <w:t xml:space="preserve">On an application under subsection (5), a competent court may make an order terminating the accommodation agreement if the competent court considers that — </w:t>
      </w:r>
    </w:p>
    <w:p>
      <w:pPr>
        <w:pStyle w:val="Indenta"/>
      </w:pPr>
      <w:r>
        <w:tab/>
        <w:t>(a)</w:t>
      </w:r>
      <w:r>
        <w:tab/>
        <w:t>the preconditions set out in subsections (2) to (6) for the making of the application have been met; and</w:t>
      </w:r>
    </w:p>
    <w:p>
      <w:pPr>
        <w:pStyle w:val="Indenta"/>
      </w:pPr>
      <w:r>
        <w:tab/>
        <w:t>(b)</w:t>
      </w:r>
      <w:r>
        <w:tab/>
        <w:t>the making of the order is justified in the circumstances.</w:t>
      </w:r>
    </w:p>
    <w:p>
      <w:pPr>
        <w:pStyle w:val="Subsection"/>
      </w:pPr>
      <w:r>
        <w:tab/>
        <w:t>(8)</w:t>
      </w:r>
      <w:r>
        <w:tab/>
        <w:t xml:space="preserve">If the competent court makes the order under subsection (7), the competent court — </w:t>
      </w:r>
    </w:p>
    <w:p>
      <w:pPr>
        <w:pStyle w:val="Indenta"/>
      </w:pPr>
      <w:r>
        <w:tab/>
        <w:t>(a)</w:t>
      </w:r>
      <w:r>
        <w:tab/>
        <w:t>must also make an order for possession of the residential premises the subject of the accommodation agreement; and</w:t>
      </w:r>
    </w:p>
    <w:p>
      <w:pPr>
        <w:pStyle w:val="Indenta"/>
      </w:pPr>
      <w:r>
        <w:tab/>
        <w:t>(b)</w:t>
      </w:r>
      <w:r>
        <w:tab/>
        <w:t>may make such ancillary or incidental orders as the competent court considers appropriate.</w:t>
      </w:r>
    </w:p>
    <w:p>
      <w:pPr>
        <w:pStyle w:val="Subsection"/>
      </w:pPr>
      <w:r>
        <w:tab/>
        <w:t>(9)</w:t>
      </w:r>
      <w:r>
        <w:tab/>
        <w:t xml:space="preserve">The </w:t>
      </w:r>
      <w:r>
        <w:rPr>
          <w:i/>
        </w:rPr>
        <w:t>Residential Tenancies Act 1987</w:t>
      </w:r>
      <w:r>
        <w:t xml:space="preserve"> section 71(3) to (6) applies to an application and order made under this section with all necessary modifications, including as if a reference in those provisions to — </w:t>
      </w:r>
    </w:p>
    <w:p>
      <w:pPr>
        <w:pStyle w:val="Indenta"/>
      </w:pPr>
      <w:r>
        <w:tab/>
        <w:t>(a)</w:t>
      </w:r>
      <w:r>
        <w:tab/>
        <w:t>section 71(2) were a reference to subsections (7) and (8) of this section;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notice were a reference to the remedial notice; and</w:t>
      </w:r>
    </w:p>
    <w:p>
      <w:pPr>
        <w:pStyle w:val="Indenta"/>
      </w:pPr>
      <w:r>
        <w:tab/>
        <w:t>(e)</w:t>
      </w:r>
      <w:r>
        <w:tab/>
        <w:t>a notice given by the lessor upon the ground referred to in section 69 were a reference to the remedial notice.</w:t>
      </w:r>
    </w:p>
    <w:p>
      <w:pPr>
        <w:pStyle w:val="Heading5"/>
      </w:pPr>
      <w:bookmarkStart w:id="65" w:name="_Toc38549729"/>
      <w:r>
        <w:rPr>
          <w:rStyle w:val="CharSectno"/>
        </w:rPr>
        <w:t>33</w:t>
      </w:r>
      <w:r>
        <w:t>.</w:t>
      </w:r>
      <w:r>
        <w:tab/>
        <w:t>Termination without specifying grounds</w:t>
      </w:r>
      <w:bookmarkEnd w:id="65"/>
    </w:p>
    <w:p>
      <w:pPr>
        <w:pStyle w:val="Subsection"/>
      </w:pPr>
      <w:r>
        <w:tab/>
        <w:t>(1)</w:t>
      </w:r>
      <w:r>
        <w:tab/>
        <w:t xml:space="preserve">An accommodation agreement is terminated if — </w:t>
      </w:r>
    </w:p>
    <w:p>
      <w:pPr>
        <w:pStyle w:val="Indenta"/>
      </w:pPr>
      <w:r>
        <w:tab/>
        <w:t>(a)</w:t>
      </w:r>
      <w:r>
        <w:tab/>
        <w:t>the resident gives notice of termination of the accommodation agreement to the landlord, whether or not the notice specifies grounds for the notice; and</w:t>
      </w:r>
    </w:p>
    <w:p>
      <w:pPr>
        <w:pStyle w:val="Indenta"/>
      </w:pPr>
      <w:r>
        <w:tab/>
        <w:t>(b)</w:t>
      </w:r>
      <w:r>
        <w:tab/>
        <w:t>the notice of termination is given not less than 7 days (or a shorter period agreed between the resident and landlord) before the day on which the agreement is to terminate; and</w:t>
      </w:r>
    </w:p>
    <w:p>
      <w:pPr>
        <w:pStyle w:val="Indenta"/>
      </w:pPr>
      <w:r>
        <w:tab/>
        <w:t>(c)</w:t>
      </w:r>
      <w:r>
        <w:tab/>
        <w:t>the resident vacates the residential premises the subject of the agreement on or after the expiry of the period referred to in paragraph (b).</w:t>
      </w:r>
    </w:p>
    <w:p>
      <w:pPr>
        <w:pStyle w:val="Subsection"/>
      </w:pPr>
      <w:r>
        <w:tab/>
        <w:t>(2)</w:t>
      </w:r>
      <w:r>
        <w:tab/>
        <w:t>If a resident in relation to an accommodation agreement for a fixed term suffers financial hardship caused by the economic effects of the COVID-19 pandemic, a notice of termination given under subsection (1)(a) by the resident may specify a day earlier than the last day of the term as the day on which the agreement is terminated.</w:t>
      </w:r>
    </w:p>
    <w:p>
      <w:pPr>
        <w:pStyle w:val="Subsection"/>
      </w:pPr>
      <w:r>
        <w:tab/>
        <w:t>(3)</w:t>
      </w:r>
      <w:r>
        <w:tab/>
        <w:t>A landlord is not entitled to compensation for loss (including</w:t>
      </w:r>
      <w:r>
        <w:rPr>
          <w:snapToGrid w:val="0"/>
        </w:rPr>
        <w:t xml:space="preserve"> loss of rent) </w:t>
      </w:r>
      <w:r>
        <w:t>arising only from a resident terminating under subsection (1) an accommodation agreement for a fixed term.</w:t>
      </w:r>
    </w:p>
    <w:p>
      <w:pPr>
        <w:pStyle w:val="Heading5"/>
        <w:spacing w:before="240"/>
      </w:pPr>
      <w:bookmarkStart w:id="66" w:name="_Toc38549730"/>
      <w:r>
        <w:rPr>
          <w:rStyle w:val="CharSectno"/>
        </w:rPr>
        <w:t>34</w:t>
      </w:r>
      <w:r>
        <w:t>.</w:t>
      </w:r>
      <w:r>
        <w:tab/>
        <w:t>Termination if accommodation agreement frustrated</w:t>
      </w:r>
      <w:bookmarkEnd w:id="66"/>
    </w:p>
    <w:p>
      <w:pPr>
        <w:pStyle w:val="Subsection"/>
        <w:keepNext/>
      </w:pPr>
      <w:r>
        <w:tab/>
      </w:r>
      <w:r>
        <w:tab/>
        <w:t xml:space="preserve">An accommodation agreement is terminated if — </w:t>
      </w:r>
    </w:p>
    <w:p>
      <w:pPr>
        <w:pStyle w:val="Indenta"/>
      </w:pPr>
      <w:r>
        <w:tab/>
        <w:t>(a)</w:t>
      </w:r>
      <w:r>
        <w:tab/>
      </w:r>
      <w:r>
        <w:rPr>
          <w:snapToGrid w:val="0"/>
        </w:rPr>
        <w:t xml:space="preserve">the </w:t>
      </w:r>
      <w:r>
        <w:t>residential premises</w:t>
      </w:r>
      <w:r>
        <w:rPr>
          <w:snapToGrid w:val="0"/>
        </w:rPr>
        <w:t>, or a part of the premises, the subject of the agreement</w:t>
      </w:r>
      <w:r>
        <w:t xml:space="preserve"> — </w:t>
      </w:r>
    </w:p>
    <w:p>
      <w:pPr>
        <w:pStyle w:val="Indenti"/>
      </w:pPr>
      <w:r>
        <w:tab/>
        <w:t>(i)</w:t>
      </w:r>
      <w:r>
        <w:tab/>
        <w:t xml:space="preserve">are </w:t>
      </w:r>
      <w:r>
        <w:rPr>
          <w:snapToGrid w:val="0"/>
        </w:rPr>
        <w:t xml:space="preserve">destroyed or rendered uninhabitable or cease to be lawfully usable as a residence and </w:t>
      </w:r>
      <w:r>
        <w:t xml:space="preserve">the state of the residential premises, or part of the premises, arises </w:t>
      </w:r>
      <w:r>
        <w:rPr>
          <w:snapToGrid w:val="0"/>
        </w:rPr>
        <w:t>otherwise than as a result of a breach of the accommodation agreement; or</w:t>
      </w:r>
      <w:r>
        <w:t xml:space="preserve"> </w:t>
      </w:r>
    </w:p>
    <w:p>
      <w:pPr>
        <w:pStyle w:val="Indenti"/>
      </w:pPr>
      <w:r>
        <w:tab/>
        <w:t>(ii)</w:t>
      </w:r>
      <w:r>
        <w:tab/>
      </w:r>
      <w:r>
        <w:rPr>
          <w:snapToGrid w:val="0"/>
        </w:rPr>
        <w:t>are appropriated or acquired by any authority by compulsory process;</w:t>
      </w:r>
      <w:r>
        <w:t xml:space="preserve"> </w:t>
      </w:r>
    </w:p>
    <w:p>
      <w:pPr>
        <w:pStyle w:val="Indenta"/>
        <w:rPr>
          <w:snapToGrid w:val="0"/>
        </w:rPr>
      </w:pPr>
      <w:r>
        <w:rPr>
          <w:snapToGrid w:val="0"/>
        </w:rPr>
        <w:tab/>
      </w:r>
      <w:r>
        <w:rPr>
          <w:snapToGrid w:val="0"/>
        </w:rPr>
        <w:tab/>
        <w:t>and</w:t>
      </w:r>
    </w:p>
    <w:p>
      <w:pPr>
        <w:pStyle w:val="Indenta"/>
      </w:pPr>
      <w:r>
        <w:tab/>
        <w:t>(b)</w:t>
      </w:r>
      <w:r>
        <w:tab/>
        <w:t xml:space="preserve">either — </w:t>
      </w:r>
    </w:p>
    <w:p>
      <w:pPr>
        <w:pStyle w:val="Indenti"/>
      </w:pPr>
      <w:r>
        <w:tab/>
        <w:t>(i)</w:t>
      </w:r>
      <w:r>
        <w:tab/>
        <w:t>the resident gives notice of termination of the accommodation agreement to the landlord stating the day on which the agreement is terminated, which is at least 2 days after the day on which the notice is given; or</w:t>
      </w:r>
    </w:p>
    <w:p>
      <w:pPr>
        <w:pStyle w:val="Indenti"/>
      </w:pPr>
      <w:r>
        <w:tab/>
        <w:t>(ii)</w:t>
      </w:r>
      <w:r>
        <w:tab/>
        <w:t>the landlord gives notice of termination of the accommodation agreement to the resident stating the day on which the agreement is terminated, which is at least 7 days after the day on which the notice is given;</w:t>
      </w:r>
    </w:p>
    <w:p>
      <w:pPr>
        <w:pStyle w:val="Indenta"/>
      </w:pPr>
      <w:r>
        <w:tab/>
      </w:r>
      <w:r>
        <w:tab/>
        <w:t>and</w:t>
      </w:r>
    </w:p>
    <w:p>
      <w:pPr>
        <w:pStyle w:val="Indenta"/>
        <w:rPr>
          <w:snapToGrid w:val="0"/>
        </w:rPr>
      </w:pPr>
      <w:r>
        <w:tab/>
        <w:t>(c)</w:t>
      </w:r>
      <w:r>
        <w:tab/>
        <w:t xml:space="preserve">either — </w:t>
      </w:r>
    </w:p>
    <w:p>
      <w:pPr>
        <w:pStyle w:val="Indenti"/>
      </w:pPr>
      <w:r>
        <w:tab/>
        <w:t>(i)</w:t>
      </w:r>
      <w:r>
        <w:tab/>
        <w:t xml:space="preserve">the resident </w:t>
      </w:r>
      <w:r>
        <w:rPr>
          <w:snapToGrid w:val="0"/>
        </w:rPr>
        <w:t xml:space="preserve">vacates the premises on or after the expiry of the period of notice required under </w:t>
      </w:r>
      <w:r>
        <w:t>paragraph (b);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67" w:name="_Toc38549731"/>
      <w:r>
        <w:rPr>
          <w:rStyle w:val="CharSectno"/>
        </w:rPr>
        <w:t>35</w:t>
      </w:r>
      <w:r>
        <w:t>.</w:t>
      </w:r>
      <w:r>
        <w:tab/>
        <w:t>Termination in other circumstances</w:t>
      </w:r>
      <w:bookmarkEnd w:id="67"/>
    </w:p>
    <w:p>
      <w:pPr>
        <w:pStyle w:val="Subsection"/>
      </w:pPr>
      <w:r>
        <w:tab/>
      </w:r>
      <w:r>
        <w:tab/>
        <w:t xml:space="preserve">An accommodation agreement is terminated if — </w:t>
      </w:r>
    </w:p>
    <w:p>
      <w:pPr>
        <w:pStyle w:val="Indenta"/>
        <w:rPr>
          <w:snapToGrid w:val="0"/>
        </w:rPr>
      </w:pPr>
      <w:r>
        <w:rPr>
          <w:snapToGrid w:val="0"/>
        </w:rPr>
        <w:tab/>
        <w:t>(a)</w:t>
      </w:r>
      <w:r>
        <w:rPr>
          <w:snapToGrid w:val="0"/>
        </w:rPr>
        <w:tab/>
        <w:t xml:space="preserve">the resident abandons the </w:t>
      </w:r>
      <w:r>
        <w:t xml:space="preserve">residential premises </w:t>
      </w:r>
      <w:r>
        <w:rPr>
          <w:snapToGrid w:val="0"/>
        </w:rPr>
        <w:t>the subject of the agreement; or</w:t>
      </w:r>
    </w:p>
    <w:p>
      <w:pPr>
        <w:pStyle w:val="Indenta"/>
        <w:rPr>
          <w:snapToGrid w:val="0"/>
        </w:rPr>
      </w:pPr>
      <w:r>
        <w:rPr>
          <w:snapToGrid w:val="0"/>
        </w:rPr>
        <w:tab/>
        <w:t>(b)</w:t>
      </w:r>
      <w:r>
        <w:rPr>
          <w:snapToGrid w:val="0"/>
        </w:rPr>
        <w:tab/>
        <w:t xml:space="preserve">the resident vacates the </w:t>
      </w:r>
      <w:r>
        <w:t xml:space="preserve">residential premises </w:t>
      </w:r>
      <w:r>
        <w:rPr>
          <w:snapToGrid w:val="0"/>
        </w:rPr>
        <w:t xml:space="preserve">the subject of the agreement under an agreement in writing between </w:t>
      </w:r>
      <w:r>
        <w:t xml:space="preserve">the landlord </w:t>
      </w:r>
      <w:r>
        <w:rPr>
          <w:snapToGrid w:val="0"/>
        </w:rPr>
        <w:t>and the resident to terminate the accommodation agreement; or</w:t>
      </w:r>
    </w:p>
    <w:p>
      <w:pPr>
        <w:pStyle w:val="Indenta"/>
      </w:pPr>
      <w:r>
        <w:tab/>
        <w:t>(c)</w:t>
      </w:r>
      <w:r>
        <w:tab/>
        <w:t xml:space="preserve">every resident who is a party to </w:t>
      </w:r>
      <w:r>
        <w:rPr>
          <w:snapToGrid w:val="0"/>
        </w:rPr>
        <w:t>the agreement</w:t>
      </w:r>
      <w:r>
        <w:t xml:space="preserve"> dies; or</w:t>
      </w:r>
    </w:p>
    <w:p>
      <w:pPr>
        <w:pStyle w:val="Indenta"/>
      </w:pPr>
      <w:r>
        <w:tab/>
        <w:t>(d)</w:t>
      </w:r>
      <w:r>
        <w:tab/>
        <w:t>a competent court makes an order terminating the agreement under section 36 or 37.</w:t>
      </w:r>
    </w:p>
    <w:p>
      <w:pPr>
        <w:pStyle w:val="Heading5"/>
      </w:pPr>
      <w:bookmarkStart w:id="68" w:name="_Toc38549732"/>
      <w:r>
        <w:rPr>
          <w:rStyle w:val="CharSectno"/>
        </w:rPr>
        <w:t>36</w:t>
      </w:r>
      <w:r>
        <w:t>.</w:t>
      </w:r>
      <w:r>
        <w:tab/>
        <w:t>Competent court may terminate agreement if resident causing serious damage or injury</w:t>
      </w:r>
      <w:bookmarkEnd w:id="68"/>
      <w:r>
        <w:t xml:space="preserve"> </w:t>
      </w:r>
    </w:p>
    <w:p>
      <w:pPr>
        <w:pStyle w:val="Subsection"/>
        <w:rPr>
          <w:snapToGrid w:val="0"/>
        </w:rPr>
      </w:pPr>
      <w:r>
        <w:tab/>
        <w:t>(1)</w:t>
      </w:r>
      <w:r>
        <w:tab/>
        <w:t xml:space="preserve">A landlord may apply to a competent court to terminate an accommodation agreement if the resident </w:t>
      </w:r>
      <w:r>
        <w:rPr>
          <w:snapToGrid w:val="0"/>
        </w:rPr>
        <w:t>has intentionally or recklessly caused or permitted, or is likely to intentionally or recklessly cause or permit —</w:t>
      </w:r>
    </w:p>
    <w:p>
      <w:pPr>
        <w:pStyle w:val="Indenta"/>
        <w:rPr>
          <w:snapToGrid w:val="0"/>
        </w:rPr>
      </w:pPr>
      <w:r>
        <w:tab/>
        <w:t>(a)</w:t>
      </w:r>
      <w:r>
        <w:tab/>
      </w:r>
      <w:r>
        <w:rPr>
          <w:snapToGrid w:val="0"/>
        </w:rPr>
        <w:t xml:space="preserve">serious damage to the </w:t>
      </w:r>
      <w:r>
        <w:t xml:space="preserve">residential premises </w:t>
      </w:r>
      <w:r>
        <w:rPr>
          <w:snapToGrid w:val="0"/>
        </w:rPr>
        <w:t xml:space="preserve">the subject of the agreement; or </w:t>
      </w:r>
    </w:p>
    <w:p>
      <w:pPr>
        <w:pStyle w:val="Indenta"/>
        <w:rPr>
          <w:snapToGrid w:val="0"/>
        </w:rPr>
      </w:pPr>
      <w:r>
        <w:rPr>
          <w:snapToGrid w:val="0"/>
        </w:rPr>
        <w:tab/>
        <w:t>(b)</w:t>
      </w:r>
      <w:r>
        <w:rPr>
          <w:snapToGrid w:val="0"/>
        </w:rPr>
        <w:tab/>
        <w:t xml:space="preserve">serious damage to a </w:t>
      </w:r>
      <w:r>
        <w:t>common area or chattels in the common area</w:t>
      </w:r>
      <w:r>
        <w:rPr>
          <w:snapToGrid w:val="0"/>
        </w:rPr>
        <w:t>; or</w:t>
      </w:r>
    </w:p>
    <w:p>
      <w:pPr>
        <w:pStyle w:val="Indenta"/>
        <w:keepNext/>
      </w:pPr>
      <w:r>
        <w:tab/>
        <w:t>(c)</w:t>
      </w:r>
      <w:r>
        <w:tab/>
        <w:t xml:space="preserve">injury to — </w:t>
      </w:r>
    </w:p>
    <w:p>
      <w:pPr>
        <w:pStyle w:val="Indenti"/>
      </w:pPr>
      <w:r>
        <w:tab/>
        <w:t>(i)</w:t>
      </w:r>
      <w:r>
        <w:tab/>
      </w:r>
      <w:r>
        <w:rPr>
          <w:snapToGrid w:val="0"/>
        </w:rPr>
        <w:t>the</w:t>
      </w:r>
      <w:r>
        <w:t xml:space="preserve"> landlord; or</w:t>
      </w:r>
    </w:p>
    <w:p>
      <w:pPr>
        <w:pStyle w:val="Indenti"/>
        <w:rPr>
          <w:snapToGrid w:val="0"/>
        </w:rPr>
      </w:pPr>
      <w:r>
        <w:tab/>
        <w:t>(ii)</w:t>
      </w:r>
      <w:r>
        <w:tab/>
        <w:t xml:space="preserve">an agent of the landlord who is licensed under the </w:t>
      </w:r>
      <w:r>
        <w:rPr>
          <w:i/>
        </w:rPr>
        <w:t>Real Estate and Business Agents Act 1978</w:t>
      </w:r>
      <w:r>
        <w:t>;</w:t>
      </w:r>
      <w:r>
        <w:rPr>
          <w:snapToGrid w:val="0"/>
        </w:rPr>
        <w:t xml:space="preserve"> or</w:t>
      </w:r>
    </w:p>
    <w:p>
      <w:pPr>
        <w:pStyle w:val="Indenti"/>
      </w:pPr>
      <w:r>
        <w:tab/>
        <w:t>(iii)</w:t>
      </w:r>
      <w:r>
        <w:tab/>
      </w:r>
      <w:r>
        <w:rPr>
          <w:snapToGrid w:val="0"/>
        </w:rPr>
        <w:t>any person in occupation of or permitted on adjacent premises.</w:t>
      </w:r>
    </w:p>
    <w:p>
      <w:pPr>
        <w:pStyle w:val="Subsection"/>
      </w:pPr>
      <w:r>
        <w:tab/>
        <w:t>(2)</w:t>
      </w:r>
      <w:r>
        <w:tab/>
        <w:t xml:space="preserve">If a competent court is satisfied of the matters stated in subsection (1), the court — </w:t>
      </w:r>
    </w:p>
    <w:p>
      <w:pPr>
        <w:pStyle w:val="Indenta"/>
      </w:pPr>
      <w:r>
        <w:tab/>
        <w:t>(a)</w:t>
      </w:r>
      <w:r>
        <w:tab/>
        <w:t>may make an order to terminate the agreement; and</w:t>
      </w:r>
    </w:p>
    <w:p>
      <w:pPr>
        <w:pStyle w:val="Indenta"/>
        <w:rPr>
          <w:snapToGrid w:val="0"/>
        </w:rPr>
      </w:pPr>
      <w:r>
        <w:tab/>
        <w:t>(b)</w:t>
      </w:r>
      <w:r>
        <w:tab/>
        <w:t xml:space="preserve">if it makes an order under paragraph (a) — must make an order for possession of the residential premises </w:t>
      </w:r>
      <w:r>
        <w:rPr>
          <w:snapToGrid w:val="0"/>
        </w:rPr>
        <w:t xml:space="preserve">the subject of the agreement, with immediate effect. </w:t>
      </w:r>
    </w:p>
    <w:p>
      <w:pPr>
        <w:pStyle w:val="Heading5"/>
      </w:pPr>
      <w:bookmarkStart w:id="69" w:name="_Toc38549733"/>
      <w:r>
        <w:rPr>
          <w:rStyle w:val="CharSectno"/>
        </w:rPr>
        <w:t>37</w:t>
      </w:r>
      <w:r>
        <w:t>.</w:t>
      </w:r>
      <w:r>
        <w:tab/>
        <w:t>Competent court may terminate agreement because of undue hardship</w:t>
      </w:r>
      <w:bookmarkEnd w:id="69"/>
      <w:r>
        <w:t xml:space="preserve"> </w:t>
      </w:r>
    </w:p>
    <w:p>
      <w:pPr>
        <w:pStyle w:val="Subsection"/>
      </w:pPr>
      <w:r>
        <w:tab/>
        <w:t>(1)</w:t>
      </w:r>
      <w:r>
        <w:tab/>
        <w:t>A landlord or resident may apply to a competent court to terminate an accommodation agreement</w:t>
      </w:r>
      <w:r>
        <w:rPr>
          <w:snapToGrid w:val="0"/>
        </w:rPr>
        <w:t>.</w:t>
      </w:r>
    </w:p>
    <w:p>
      <w:pPr>
        <w:pStyle w:val="Subsection"/>
      </w:pPr>
      <w:r>
        <w:tab/>
        <w:t>(2)</w:t>
      </w:r>
      <w:r>
        <w:tab/>
        <w:t xml:space="preserve">If the competent court is satisfied the landlord or resident would </w:t>
      </w:r>
      <w:r>
        <w:rPr>
          <w:snapToGrid w:val="0"/>
        </w:rPr>
        <w:t xml:space="preserve">suffer undue hardship if </w:t>
      </w:r>
      <w:r>
        <w:t>the agreement were not terminated by the court</w:t>
      </w:r>
      <w:r>
        <w:rPr>
          <w:snapToGrid w:val="0"/>
        </w:rPr>
        <w:t xml:space="preserve">, the court </w:t>
      </w:r>
      <w:r>
        <w:t>may make an order to terminate the agreement.</w:t>
      </w:r>
    </w:p>
    <w:p>
      <w:pPr>
        <w:pStyle w:val="Subsection"/>
        <w:rPr>
          <w:snapToGrid w:val="0"/>
        </w:rPr>
      </w:pPr>
      <w:r>
        <w:rPr>
          <w:snapToGrid w:val="0"/>
        </w:rPr>
        <w:tab/>
        <w:t>(3)</w:t>
      </w:r>
      <w:r>
        <w:rPr>
          <w:snapToGrid w:val="0"/>
        </w:rPr>
        <w:tab/>
      </w:r>
      <w:r>
        <w:t>If the competent court makes an order under subsection (2), the court</w:t>
      </w:r>
      <w:r>
        <w:rPr>
          <w:snapToGrid w:val="0"/>
        </w:rPr>
        <w:t xml:space="preserve"> — </w:t>
      </w:r>
    </w:p>
    <w:p>
      <w:pPr>
        <w:pStyle w:val="Indenta"/>
      </w:pPr>
      <w:r>
        <w:tab/>
        <w:t>(a)</w:t>
      </w:r>
      <w:r>
        <w:tab/>
        <w:t xml:space="preserve">must make an order — </w:t>
      </w:r>
    </w:p>
    <w:p>
      <w:pPr>
        <w:pStyle w:val="Indenti"/>
      </w:pPr>
      <w:r>
        <w:tab/>
        <w:t>(i)</w:t>
      </w:r>
      <w:r>
        <w:tab/>
        <w:t>for possession of the residential premises the subject of the agreement; and</w:t>
      </w:r>
    </w:p>
    <w:p>
      <w:pPr>
        <w:pStyle w:val="Indenti"/>
      </w:pPr>
      <w:r>
        <w:tab/>
        <w:t>(ii)</w:t>
      </w:r>
      <w:r>
        <w:tab/>
        <w:t>specifying the day on which the order for possession of the premises takes effect;</w:t>
      </w:r>
    </w:p>
    <w:p>
      <w:pPr>
        <w:pStyle w:val="Indenta"/>
      </w:pPr>
      <w:r>
        <w:tab/>
      </w:r>
      <w:r>
        <w:tab/>
        <w:t>and</w:t>
      </w:r>
    </w:p>
    <w:p>
      <w:pPr>
        <w:pStyle w:val="Indenta"/>
      </w:pPr>
      <w:r>
        <w:t xml:space="preserve"> </w:t>
      </w:r>
      <w:r>
        <w:tab/>
        <w:t>(b)</w:t>
      </w:r>
      <w:r>
        <w:tab/>
        <w:t xml:space="preserve">may make any other orders the court considers appropriate, including in relation to compensation of the resident or landlord for any loss caused by the termination of the agreement. </w:t>
      </w:r>
    </w:p>
    <w:p>
      <w:pPr>
        <w:pStyle w:val="Heading5"/>
      </w:pPr>
      <w:bookmarkStart w:id="70" w:name="_Toc38549734"/>
      <w:r>
        <w:rPr>
          <w:rStyle w:val="CharSectno"/>
        </w:rPr>
        <w:t>38</w:t>
      </w:r>
      <w:r>
        <w:t>.</w:t>
      </w:r>
      <w:r>
        <w:tab/>
        <w:t>Termination at end of emergency period for non</w:t>
      </w:r>
      <w:r>
        <w:noBreakHyphen/>
        <w:t>compliance with rent default notice</w:t>
      </w:r>
      <w:bookmarkEnd w:id="70"/>
    </w:p>
    <w:p>
      <w:pPr>
        <w:pStyle w:val="Subsection"/>
      </w:pPr>
      <w:r>
        <w:tab/>
      </w:r>
      <w:r>
        <w:tab/>
        <w:t xml:space="preserve">An accommodation agreement is terminated if — </w:t>
      </w:r>
    </w:p>
    <w:p>
      <w:pPr>
        <w:pStyle w:val="Indenta"/>
      </w:pPr>
      <w:r>
        <w:tab/>
        <w:t>(a)</w:t>
      </w:r>
      <w:r>
        <w:tab/>
        <w:t xml:space="preserve">the landlord gives a rent default notice under section 27 to the resident in relation to a failure to pay rent under the accommodation agreement during the emergency period; and </w:t>
      </w:r>
    </w:p>
    <w:p>
      <w:pPr>
        <w:pStyle w:val="Indenta"/>
      </w:pPr>
      <w:r>
        <w:tab/>
        <w:t>(b)</w:t>
      </w:r>
      <w:r>
        <w:tab/>
        <w:t xml:space="preserve">the resident fails to comply with the rent default notice; and </w:t>
      </w:r>
    </w:p>
    <w:p>
      <w:pPr>
        <w:pStyle w:val="Indenta"/>
      </w:pPr>
      <w:r>
        <w:tab/>
        <w:t>(c)</w:t>
      </w:r>
      <w:r>
        <w:tab/>
        <w:t xml:space="preserve">the landlord gives notice of termination of the agreement to the resident specifying the day on which the agreement is to terminate, which must be — </w:t>
      </w:r>
    </w:p>
    <w:p>
      <w:pPr>
        <w:pStyle w:val="Indenti"/>
      </w:pPr>
      <w:r>
        <w:tab/>
        <w:t>(i)</w:t>
      </w:r>
      <w:r>
        <w:tab/>
        <w:t>after the end of the emergency period; and</w:t>
      </w:r>
    </w:p>
    <w:p>
      <w:pPr>
        <w:pStyle w:val="Indenti"/>
      </w:pPr>
      <w:r>
        <w:tab/>
        <w:t>(ii)</w:t>
      </w:r>
      <w:r>
        <w:tab/>
        <w:t xml:space="preserve">at least 14 days after the day on which the notice is given; </w:t>
      </w:r>
    </w:p>
    <w:p>
      <w:pPr>
        <w:pStyle w:val="Indenta"/>
      </w:pPr>
      <w:r>
        <w:tab/>
      </w:r>
      <w:r>
        <w:tab/>
        <w:t>and</w:t>
      </w:r>
    </w:p>
    <w:p>
      <w:pPr>
        <w:pStyle w:val="Indenta"/>
        <w:rPr>
          <w:snapToGrid w:val="0"/>
        </w:rPr>
      </w:pPr>
      <w:r>
        <w:tab/>
        <w:t>(d)</w:t>
      </w:r>
      <w:r>
        <w:tab/>
        <w:t xml:space="preserve">either — </w:t>
      </w:r>
    </w:p>
    <w:p>
      <w:pPr>
        <w:pStyle w:val="Indenti"/>
      </w:pPr>
      <w:r>
        <w:tab/>
        <w:t>(i)</w:t>
      </w:r>
      <w:r>
        <w:tab/>
        <w:t xml:space="preserve">the resident </w:t>
      </w:r>
      <w:r>
        <w:rPr>
          <w:snapToGrid w:val="0"/>
        </w:rPr>
        <w:t>delivers up vacant possession of the residential premises the subject of the agreement on or after the day specified under paragraph (c)</w:t>
      </w:r>
      <w:r>
        <w:t>; or</w:t>
      </w:r>
    </w:p>
    <w:p>
      <w:pPr>
        <w:pStyle w:val="Indenti"/>
        <w:rPr>
          <w:snapToGrid w:val="0"/>
        </w:rPr>
      </w:pPr>
      <w:r>
        <w:tab/>
        <w:t>(ii)</w:t>
      </w:r>
      <w:r>
        <w:tab/>
        <w:t xml:space="preserve">a competent court, on application by the landlord, terminates the agreement under the </w:t>
      </w:r>
      <w:r>
        <w:rPr>
          <w:i/>
        </w:rPr>
        <w:t xml:space="preserve">Residential Tenancies Act 1987 </w:t>
      </w:r>
      <w:r>
        <w:t>section 71 as applied by section 40 of this Act</w:t>
      </w:r>
      <w:r>
        <w:rPr>
          <w:snapToGrid w:val="0"/>
        </w:rPr>
        <w:t>.</w:t>
      </w:r>
    </w:p>
    <w:p>
      <w:pPr>
        <w:pStyle w:val="Heading5"/>
      </w:pPr>
      <w:bookmarkStart w:id="71" w:name="_Toc38549735"/>
      <w:r>
        <w:rPr>
          <w:rStyle w:val="CharSectno"/>
        </w:rPr>
        <w:t>39</w:t>
      </w:r>
      <w:r>
        <w:t>.</w:t>
      </w:r>
      <w:r>
        <w:tab/>
        <w:t>Requirement for notice of termination given under Division</w:t>
      </w:r>
      <w:bookmarkEnd w:id="71"/>
    </w:p>
    <w:p>
      <w:pPr>
        <w:pStyle w:val="Subsection"/>
        <w:keepNext/>
      </w:pPr>
      <w:r>
        <w:tab/>
      </w:r>
      <w:r>
        <w:tab/>
        <w:t xml:space="preserve">A notice of termination of an accommodation agreement, or of a resident’s interest in the agreement, given under this Division must — </w:t>
      </w:r>
    </w:p>
    <w:p>
      <w:pPr>
        <w:pStyle w:val="Indenta"/>
      </w:pPr>
      <w:r>
        <w:tab/>
        <w:t>(a)</w:t>
      </w:r>
      <w:r>
        <w:tab/>
        <w:t>be in writing; and</w:t>
      </w:r>
    </w:p>
    <w:p>
      <w:pPr>
        <w:pStyle w:val="Indenta"/>
      </w:pPr>
      <w:r>
        <w:tab/>
        <w:t>(b)</w:t>
      </w:r>
      <w:r>
        <w:tab/>
        <w:t>be signed by the person giving the notice; and</w:t>
      </w:r>
    </w:p>
    <w:p>
      <w:pPr>
        <w:pStyle w:val="Indenta"/>
      </w:pPr>
      <w:r>
        <w:tab/>
        <w:t>(c)</w:t>
      </w:r>
      <w:r>
        <w:tab/>
        <w:t>identify the residential premises the subject of the agreement; and</w:t>
      </w:r>
    </w:p>
    <w:p>
      <w:pPr>
        <w:pStyle w:val="Indenta"/>
      </w:pPr>
      <w:r>
        <w:tab/>
        <w:t>(d)</w:t>
      </w:r>
      <w:r>
        <w:tab/>
        <w:t>state the day on which the agreement, or the resident’s interest in the agreement, is to terminate.</w:t>
      </w:r>
    </w:p>
    <w:p>
      <w:pPr>
        <w:pStyle w:val="Heading5"/>
      </w:pPr>
      <w:bookmarkStart w:id="72" w:name="_Toc38549736"/>
      <w:r>
        <w:rPr>
          <w:rStyle w:val="CharSectno"/>
        </w:rPr>
        <w:t>40</w:t>
      </w:r>
      <w:r>
        <w:t>.</w:t>
      </w:r>
      <w:r>
        <w:tab/>
        <w:t xml:space="preserve">Application of </w:t>
      </w:r>
      <w:r>
        <w:rPr>
          <w:i/>
        </w:rPr>
        <w:t xml:space="preserve">Residential Tenancies Act 1987 </w:t>
      </w:r>
      <w:r>
        <w:t>s. 71 to termination notice given under s. 34 or 38</w:t>
      </w:r>
      <w:bookmarkEnd w:id="72"/>
    </w:p>
    <w:p>
      <w:pPr>
        <w:pStyle w:val="Subsection"/>
      </w:pPr>
      <w:r>
        <w:tab/>
        <w:t>(1)</w:t>
      </w:r>
      <w:r>
        <w:tab/>
        <w:t xml:space="preserve">If a landlord has given a resident a notice of termination under section 34 or 38 and the resident has not delivered up vacant possession of the residential premises the subject of the accommodation agreement in accordance with the notice, the landlord may apply to a competent court under the </w:t>
      </w:r>
      <w:r>
        <w:rPr>
          <w:i/>
        </w:rPr>
        <w:t xml:space="preserve">Residential Tenancies Act 1987 </w:t>
      </w:r>
      <w:r>
        <w:t>section 71 for —</w:t>
      </w:r>
    </w:p>
    <w:p>
      <w:pPr>
        <w:pStyle w:val="Indenta"/>
        <w:rPr>
          <w:snapToGrid w:val="0"/>
        </w:rPr>
      </w:pPr>
      <w:r>
        <w:rPr>
          <w:snapToGrid w:val="0"/>
        </w:rPr>
        <w:tab/>
        <w:t>(a)</w:t>
      </w:r>
      <w:r>
        <w:rPr>
          <w:snapToGrid w:val="0"/>
        </w:rPr>
        <w:tab/>
        <w:t xml:space="preserve">an order terminating the agreement; and </w:t>
      </w:r>
    </w:p>
    <w:p>
      <w:pPr>
        <w:pStyle w:val="Indenta"/>
      </w:pPr>
      <w:r>
        <w:rPr>
          <w:snapToGrid w:val="0"/>
        </w:rPr>
        <w:tab/>
        <w:t>(b)</w:t>
      </w:r>
      <w:r>
        <w:rPr>
          <w:snapToGrid w:val="0"/>
        </w:rPr>
        <w:tab/>
        <w:t xml:space="preserve">an order for possession of the residential premises. </w:t>
      </w:r>
    </w:p>
    <w:p>
      <w:pPr>
        <w:pStyle w:val="Subsection"/>
      </w:pPr>
      <w:r>
        <w:tab/>
        <w:t>(2)</w:t>
      </w:r>
      <w:r>
        <w:tab/>
        <w:t xml:space="preserve">The </w:t>
      </w:r>
      <w:r>
        <w:rPr>
          <w:i/>
        </w:rPr>
        <w:t xml:space="preserve">Residential Tenancies Act 1987 </w:t>
      </w:r>
      <w:r>
        <w:t xml:space="preserve">section 71(2)(a) and (b) and (3) to (6) applies to an application under subsection (1) as if a reference in that provision to — </w:t>
      </w:r>
    </w:p>
    <w:p>
      <w:pPr>
        <w:pStyle w:val="Indenta"/>
      </w:pPr>
      <w:r>
        <w:tab/>
        <w:t>(a)</w:t>
      </w:r>
      <w:r>
        <w:tab/>
        <w:t>an application under this section were a reference to an application under subsection (1); and</w:t>
      </w:r>
    </w:p>
    <w:p>
      <w:pPr>
        <w:pStyle w:val="Indenta"/>
      </w:pPr>
      <w:r>
        <w:tab/>
        <w:t>(b)</w:t>
      </w:r>
      <w:r>
        <w:tab/>
        <w:t>a lessor were a reference to a landlord; and</w:t>
      </w:r>
    </w:p>
    <w:p>
      <w:pPr>
        <w:pStyle w:val="Indenta"/>
      </w:pPr>
      <w:r>
        <w:tab/>
        <w:t>(c)</w:t>
      </w:r>
      <w:r>
        <w:tab/>
        <w:t>a tenant were a reference to a resident; and</w:t>
      </w:r>
    </w:p>
    <w:p>
      <w:pPr>
        <w:pStyle w:val="Indenta"/>
      </w:pPr>
      <w:r>
        <w:tab/>
        <w:t>(d)</w:t>
      </w:r>
      <w:r>
        <w:tab/>
        <w:t>a residential tenancy agreement were a reference to an accommodation agreement; and</w:t>
      </w:r>
    </w:p>
    <w:p>
      <w:pPr>
        <w:pStyle w:val="Indenta"/>
      </w:pPr>
      <w:r>
        <w:tab/>
        <w:t>(e)</w:t>
      </w:r>
      <w:r>
        <w:tab/>
        <w:t xml:space="preserve">section 69 were a reference to section 34 of this Act. </w:t>
      </w:r>
    </w:p>
    <w:p>
      <w:pPr>
        <w:pStyle w:val="Heading3"/>
      </w:pPr>
      <w:bookmarkStart w:id="73" w:name="_Toc38543038"/>
      <w:bookmarkStart w:id="74" w:name="_Toc38545002"/>
      <w:bookmarkStart w:id="75" w:name="_Toc38549382"/>
      <w:bookmarkStart w:id="76" w:name="_Toc38549737"/>
      <w:r>
        <w:rPr>
          <w:rStyle w:val="CharDivNo"/>
        </w:rPr>
        <w:t>Division 3</w:t>
      </w:r>
      <w:r>
        <w:t> — </w:t>
      </w:r>
      <w:r>
        <w:rPr>
          <w:rStyle w:val="CharDivText"/>
        </w:rPr>
        <w:t>Administration of Part</w:t>
      </w:r>
      <w:bookmarkEnd w:id="73"/>
      <w:bookmarkEnd w:id="74"/>
      <w:bookmarkEnd w:id="75"/>
      <w:bookmarkEnd w:id="76"/>
    </w:p>
    <w:p>
      <w:pPr>
        <w:pStyle w:val="Heading5"/>
      </w:pPr>
      <w:bookmarkStart w:id="77" w:name="_Toc38549738"/>
      <w:r>
        <w:rPr>
          <w:rStyle w:val="CharSectno"/>
        </w:rPr>
        <w:t>41</w:t>
      </w:r>
      <w:r>
        <w:t>.</w:t>
      </w:r>
      <w:r>
        <w:tab/>
        <w:t>Recovery of amounts paid in contravention of s. 22</w:t>
      </w:r>
      <w:bookmarkEnd w:id="77"/>
    </w:p>
    <w:p>
      <w:pPr>
        <w:pStyle w:val="Subsection"/>
      </w:pPr>
      <w:r>
        <w:tab/>
      </w:r>
      <w:r>
        <w:tab/>
        <w:t xml:space="preserve">If, in relation to an accommodation agreement, a resident pays an amount in rent to a landlord because of an increase in rent that contravenes section 22, the resident may — </w:t>
      </w:r>
    </w:p>
    <w:p>
      <w:pPr>
        <w:pStyle w:val="Indenta"/>
      </w:pPr>
      <w:r>
        <w:tab/>
        <w:t>(a)</w:t>
      </w:r>
      <w:r>
        <w:tab/>
        <w:t>on application to a competent court, recover that amount from the landlord; or</w:t>
      </w:r>
    </w:p>
    <w:p>
      <w:pPr>
        <w:pStyle w:val="Indenta"/>
      </w:pPr>
      <w:r>
        <w:tab/>
        <w:t>(b)</w:t>
      </w:r>
      <w:r>
        <w:tab/>
        <w:t xml:space="preserve">deduct the amount from rent payable under the agreement. </w:t>
      </w:r>
    </w:p>
    <w:p>
      <w:pPr>
        <w:pStyle w:val="Heading5"/>
      </w:pPr>
      <w:bookmarkStart w:id="78" w:name="_Toc38549739"/>
      <w:r>
        <w:rPr>
          <w:rStyle w:val="CharSectno"/>
        </w:rPr>
        <w:t>42</w:t>
      </w:r>
      <w:r>
        <w:t>.</w:t>
      </w:r>
      <w:r>
        <w:tab/>
        <w:t xml:space="preserve">Application of </w:t>
      </w:r>
      <w:r>
        <w:rPr>
          <w:i/>
        </w:rPr>
        <w:t>Residential Tenancies Act 1987</w:t>
      </w:r>
      <w:r>
        <w:t xml:space="preserve"> s. 17A and 17B to this Part</w:t>
      </w:r>
      <w:bookmarkEnd w:id="78"/>
    </w:p>
    <w:p>
      <w:pPr>
        <w:pStyle w:val="Subsection"/>
      </w:pPr>
      <w:r>
        <w:tab/>
      </w:r>
      <w:r>
        <w:tab/>
        <w:t xml:space="preserve">The </w:t>
      </w:r>
      <w:r>
        <w:rPr>
          <w:i/>
        </w:rPr>
        <w:t>Residential Tenancies Act 1987</w:t>
      </w:r>
      <w:r>
        <w:t xml:space="preserve"> sections 17A and 17B apply to and in relation to an accommodation agreement, resident and landlord as if a reference in those provisions to — </w:t>
      </w:r>
    </w:p>
    <w:p>
      <w:pPr>
        <w:pStyle w:val="Indenta"/>
      </w:pPr>
      <w:r>
        <w:tab/>
        <w:t>(a)</w:t>
      </w:r>
      <w:r>
        <w:tab/>
        <w:t>a residential tenancy agreement were a reference to an accommodation agreement; and</w:t>
      </w:r>
    </w:p>
    <w:p>
      <w:pPr>
        <w:pStyle w:val="Indenta"/>
      </w:pPr>
      <w:r>
        <w:tab/>
        <w:t>(b)</w:t>
      </w:r>
      <w:r>
        <w:tab/>
        <w:t>a tenant were a reference to a resident; and</w:t>
      </w:r>
    </w:p>
    <w:p>
      <w:pPr>
        <w:pStyle w:val="Indenta"/>
      </w:pPr>
      <w:r>
        <w:tab/>
        <w:t>(c)</w:t>
      </w:r>
      <w:r>
        <w:tab/>
        <w:t>a lessor were a reference to a landlord; and</w:t>
      </w:r>
    </w:p>
    <w:p>
      <w:pPr>
        <w:pStyle w:val="Indenta"/>
        <w:keepNext/>
      </w:pPr>
      <w:r>
        <w:tab/>
        <w:t>(d)</w:t>
      </w:r>
      <w:r>
        <w:tab/>
        <w:t>a reference to section 60(1)(ba) or (bb) were a reference to section 31(2)(a) or (b) of this Act; and</w:t>
      </w:r>
    </w:p>
    <w:p>
      <w:pPr>
        <w:pStyle w:val="Indenta"/>
      </w:pPr>
      <w:r>
        <w:tab/>
        <w:t>(e)</w:t>
      </w:r>
      <w:r>
        <w:tab/>
        <w:t>a reference to section 71AE(3) were a reference to section 71AE(3) as applied by section 31(1) of this Act.</w:t>
      </w:r>
    </w:p>
    <w:p>
      <w:pPr>
        <w:pStyle w:val="Heading5"/>
      </w:pPr>
      <w:bookmarkStart w:id="79" w:name="_Toc38549740"/>
      <w:r>
        <w:rPr>
          <w:rStyle w:val="CharSectno"/>
        </w:rPr>
        <w:t>43</w:t>
      </w:r>
      <w:r>
        <w:t>.</w:t>
      </w:r>
      <w:r>
        <w:tab/>
        <w:t>Commissioner’s functions and powers under this Part</w:t>
      </w:r>
      <w:bookmarkEnd w:id="79"/>
    </w:p>
    <w:p>
      <w:pPr>
        <w:pStyle w:val="Subsection"/>
        <w:keepNext/>
      </w:pPr>
      <w:r>
        <w:tab/>
        <w:t>(1)</w:t>
      </w:r>
      <w:r>
        <w:tab/>
        <w:t xml:space="preserve">The Commissioner has the following functions for the purposes of this Part — </w:t>
      </w:r>
    </w:p>
    <w:p>
      <w:pPr>
        <w:pStyle w:val="Indenta"/>
      </w:pPr>
      <w:r>
        <w:tab/>
        <w:t>(a)</w:t>
      </w:r>
      <w:r>
        <w:tab/>
        <w:t xml:space="preserve">investigating and conducting research into matters relating to the interests of parties to accommodation agreements; </w:t>
      </w:r>
    </w:p>
    <w:p>
      <w:pPr>
        <w:pStyle w:val="Indenta"/>
      </w:pPr>
      <w:r>
        <w:tab/>
        <w:t>(b)</w:t>
      </w:r>
      <w:r>
        <w:tab/>
        <w:t xml:space="preserve">publishing reports and disseminating information on matters relating to the interests of parties to accommodation agreements; </w:t>
      </w:r>
    </w:p>
    <w:p>
      <w:pPr>
        <w:pStyle w:val="Indenta"/>
      </w:pPr>
      <w:r>
        <w:tab/>
        <w:t>(c)</w:t>
      </w:r>
      <w:r>
        <w:tab/>
        <w:t xml:space="preserve">investigating, whether upon the complaint of a party to an accommodation agreement or otherwise, a contravention of a provision of this Part or an infringement of a party’s rights under an accommodation agreement; </w:t>
      </w:r>
    </w:p>
    <w:p>
      <w:pPr>
        <w:pStyle w:val="Indenta"/>
      </w:pPr>
      <w:r>
        <w:tab/>
        <w:t>(d)</w:t>
      </w:r>
      <w:r>
        <w:tab/>
        <w:t xml:space="preserve">taking action based on an investigation conducted under paragraph (c), including — </w:t>
      </w:r>
    </w:p>
    <w:p>
      <w:pPr>
        <w:pStyle w:val="Indenti"/>
      </w:pPr>
      <w:r>
        <w:tab/>
        <w:t>(i)</w:t>
      </w:r>
      <w:r>
        <w:tab/>
        <w:t xml:space="preserve">negotiating over the matter investigated; or </w:t>
      </w:r>
    </w:p>
    <w:p>
      <w:pPr>
        <w:pStyle w:val="Indenti"/>
      </w:pPr>
      <w:r>
        <w:tab/>
        <w:t>(ii)</w:t>
      </w:r>
      <w:r>
        <w:tab/>
        <w:t>prosecuting an offence;</w:t>
      </w:r>
    </w:p>
    <w:p>
      <w:pPr>
        <w:pStyle w:val="Indenta"/>
      </w:pPr>
      <w:r>
        <w:tab/>
        <w:t>(e)</w:t>
      </w:r>
      <w:r>
        <w:tab/>
        <w:t>giving advice or information to persons about the provisions of this Part or any other law affecting the rights of the parties to an accommodation agreement.</w:t>
      </w:r>
    </w:p>
    <w:p>
      <w:pPr>
        <w:pStyle w:val="Subsection"/>
      </w:pPr>
      <w:r>
        <w:tab/>
        <w:t>(2)</w:t>
      </w:r>
      <w:r>
        <w:tab/>
        <w:t>The Commissioner has all the powers they need to carry out their functions.</w:t>
      </w:r>
    </w:p>
    <w:p>
      <w:pPr>
        <w:pStyle w:val="Ednotesection"/>
      </w:pPr>
      <w:r>
        <w:t>[</w:t>
      </w:r>
      <w:r>
        <w:rPr>
          <w:b/>
        </w:rPr>
        <w:t>44.</w:t>
      </w:r>
      <w:r>
        <w:tab/>
        <w:t>Has not come into operation.]</w:t>
      </w:r>
    </w:p>
    <w:p>
      <w:pPr>
        <w:pStyle w:val="Heading2"/>
      </w:pPr>
      <w:bookmarkStart w:id="80" w:name="_Toc38543043"/>
      <w:bookmarkStart w:id="81" w:name="_Toc38545006"/>
      <w:bookmarkStart w:id="82" w:name="_Toc38549386"/>
      <w:bookmarkStart w:id="83" w:name="_Toc38549741"/>
      <w:r>
        <w:rPr>
          <w:rStyle w:val="CharPartNo"/>
        </w:rPr>
        <w:t>Part 4</w:t>
      </w:r>
      <w:r>
        <w:t> — </w:t>
      </w:r>
      <w:r>
        <w:rPr>
          <w:rStyle w:val="CharPartText"/>
        </w:rPr>
        <w:t>Disputes</w:t>
      </w:r>
      <w:bookmarkEnd w:id="80"/>
      <w:bookmarkEnd w:id="81"/>
      <w:bookmarkEnd w:id="82"/>
      <w:bookmarkEnd w:id="83"/>
    </w:p>
    <w:p>
      <w:pPr>
        <w:pStyle w:val="Heading3"/>
      </w:pPr>
      <w:bookmarkStart w:id="84" w:name="_Toc38543044"/>
      <w:bookmarkStart w:id="85" w:name="_Toc38545007"/>
      <w:bookmarkStart w:id="86" w:name="_Toc38549387"/>
      <w:bookmarkStart w:id="87" w:name="_Toc38549742"/>
      <w:r>
        <w:rPr>
          <w:rStyle w:val="CharDivNo"/>
        </w:rPr>
        <w:t>Division 1</w:t>
      </w:r>
      <w:r>
        <w:t> — </w:t>
      </w:r>
      <w:r>
        <w:rPr>
          <w:rStyle w:val="CharDivText"/>
        </w:rPr>
        <w:t>Preliminary</w:t>
      </w:r>
      <w:bookmarkEnd w:id="84"/>
      <w:bookmarkEnd w:id="85"/>
      <w:bookmarkEnd w:id="86"/>
      <w:bookmarkEnd w:id="87"/>
    </w:p>
    <w:p>
      <w:pPr>
        <w:pStyle w:val="Heading5"/>
      </w:pPr>
      <w:bookmarkStart w:id="88" w:name="_Toc38549743"/>
      <w:r>
        <w:rPr>
          <w:rStyle w:val="CharSectno"/>
        </w:rPr>
        <w:t>45</w:t>
      </w:r>
      <w:r>
        <w:t>.</w:t>
      </w:r>
      <w:r>
        <w:tab/>
        <w:t>Terms used</w:t>
      </w:r>
      <w:bookmarkEnd w:id="88"/>
    </w:p>
    <w:p>
      <w:pPr>
        <w:pStyle w:val="Subsection"/>
      </w:pPr>
      <w:r>
        <w:tab/>
      </w:r>
      <w:r>
        <w:tab/>
        <w:t xml:space="preserve">In this Part — </w:t>
      </w:r>
    </w:p>
    <w:p>
      <w:pPr>
        <w:pStyle w:val="Defstart"/>
      </w:pPr>
      <w:r>
        <w:tab/>
      </w:r>
      <w:r>
        <w:rPr>
          <w:rStyle w:val="CharDefText"/>
        </w:rPr>
        <w:t>applicable agreement</w:t>
      </w:r>
      <w:r>
        <w:t xml:space="preserve"> means — </w:t>
      </w:r>
    </w:p>
    <w:p>
      <w:pPr>
        <w:pStyle w:val="Defpara"/>
      </w:pPr>
      <w:r>
        <w:tab/>
        <w:t>(a)</w:t>
      </w:r>
      <w:r>
        <w:tab/>
        <w:t>a long</w:t>
      </w:r>
      <w:r>
        <w:noBreakHyphen/>
        <w:t>stay agreement; or</w:t>
      </w:r>
    </w:p>
    <w:p>
      <w:pPr>
        <w:pStyle w:val="Defpara"/>
      </w:pPr>
      <w:r>
        <w:tab/>
        <w:t>(b)</w:t>
      </w:r>
      <w:r>
        <w:tab/>
        <w:t>a residential tenancy agreement; or</w:t>
      </w:r>
    </w:p>
    <w:p>
      <w:pPr>
        <w:pStyle w:val="Defpara"/>
      </w:pPr>
      <w:r>
        <w:tab/>
        <w:t>(c)</w:t>
      </w:r>
      <w:r>
        <w:tab/>
        <w:t>an accommodation agreement;</w:t>
      </w:r>
    </w:p>
    <w:p>
      <w:pPr>
        <w:pStyle w:val="Defstart"/>
      </w:pPr>
      <w:r>
        <w:tab/>
      </w:r>
      <w:r>
        <w:rPr>
          <w:rStyle w:val="CharDefText"/>
        </w:rPr>
        <w:t>party</w:t>
      </w:r>
      <w:r>
        <w:t>, to a conciliation proceeding in respect of an applicable agreement, means each of the parties to the applicable agreement;</w:t>
      </w:r>
    </w:p>
    <w:p>
      <w:pPr>
        <w:pStyle w:val="Defstart"/>
      </w:pPr>
      <w:r>
        <w:tab/>
      </w:r>
      <w:r>
        <w:rPr>
          <w:rStyle w:val="CharDefText"/>
        </w:rPr>
        <w:t>relevant dispute</w:t>
      </w:r>
      <w:r>
        <w:t xml:space="preserve"> has the meaning given in section 46;</w:t>
      </w:r>
    </w:p>
    <w:p>
      <w:pPr>
        <w:pStyle w:val="Defstart"/>
      </w:pPr>
      <w:r>
        <w:tab/>
      </w:r>
      <w:r>
        <w:rPr>
          <w:rStyle w:val="CharDefText"/>
        </w:rPr>
        <w:t>submission</w:t>
      </w:r>
      <w:r>
        <w:t xml:space="preserve"> — </w:t>
      </w:r>
    </w:p>
    <w:p>
      <w:pPr>
        <w:pStyle w:val="Defpara"/>
      </w:pPr>
      <w:r>
        <w:tab/>
        <w:t>(a)</w:t>
      </w:r>
      <w:r>
        <w:tab/>
        <w:t>means a submission to the Commissioner under section 50(1); and</w:t>
      </w:r>
    </w:p>
    <w:p>
      <w:pPr>
        <w:pStyle w:val="Defpara"/>
      </w:pPr>
      <w:r>
        <w:tab/>
        <w:t>(b)</w:t>
      </w:r>
      <w:r>
        <w:tab/>
        <w:t>includes a part of a submission.</w:t>
      </w:r>
    </w:p>
    <w:p>
      <w:pPr>
        <w:pStyle w:val="Heading5"/>
      </w:pPr>
      <w:bookmarkStart w:id="89" w:name="_Toc38549744"/>
      <w:r>
        <w:rPr>
          <w:rStyle w:val="CharSectno"/>
        </w:rPr>
        <w:t>46</w:t>
      </w:r>
      <w:r>
        <w:t>.</w:t>
      </w:r>
      <w:r>
        <w:tab/>
        <w:t>Term used: relevant dispute</w:t>
      </w:r>
      <w:bookmarkEnd w:id="89"/>
    </w:p>
    <w:p>
      <w:pPr>
        <w:pStyle w:val="Subsection"/>
      </w:pPr>
      <w:r>
        <w:tab/>
        <w:t>(1)</w:t>
      </w:r>
      <w:r>
        <w:tab/>
        <w:t xml:space="preserve">In this Part, a </w:t>
      </w:r>
      <w:r>
        <w:rPr>
          <w:rStyle w:val="CharDefText"/>
        </w:rPr>
        <w:t>relevant dispute</w:t>
      </w:r>
      <w:r>
        <w:t xml:space="preserve">, in respect of an applicable agreement — </w:t>
      </w:r>
    </w:p>
    <w:p>
      <w:pPr>
        <w:pStyle w:val="Indenta"/>
      </w:pPr>
      <w:r>
        <w:tab/>
        <w:t>(a)</w:t>
      </w:r>
      <w:r>
        <w:tab/>
        <w:t>means a dispute in connection with the applicable agreement arising out of, or in relation to, the operation of a provision of Part 2 or 3 or Part 7 Division 3; and</w:t>
      </w:r>
    </w:p>
    <w:p>
      <w:pPr>
        <w:pStyle w:val="Indenta"/>
      </w:pPr>
      <w:r>
        <w:tab/>
        <w:t>(b)</w:t>
      </w:r>
      <w:r>
        <w:tab/>
        <w:t>includes a dispute in connection with the applicable agreement that arises because a person does, or omits to do, an act in contravention of the provision.</w:t>
      </w:r>
    </w:p>
    <w:p>
      <w:pPr>
        <w:pStyle w:val="Subsection"/>
      </w:pPr>
      <w:r>
        <w:tab/>
        <w:t>(2)</w:t>
      </w:r>
      <w:r>
        <w:tab/>
        <w:t xml:space="preserve">Despite subsection (1), </w:t>
      </w:r>
      <w:r>
        <w:rPr>
          <w:rStyle w:val="CharDefText"/>
        </w:rPr>
        <w:t>relevant dispute</w:t>
      </w:r>
      <w:r>
        <w:t xml:space="preserve"> does not include a dispute that is of a class of dispute prescribed by regulations for the purposes of this subsection.</w:t>
      </w:r>
    </w:p>
    <w:p>
      <w:pPr>
        <w:pStyle w:val="Heading3"/>
      </w:pPr>
      <w:bookmarkStart w:id="90" w:name="_Toc38543047"/>
      <w:bookmarkStart w:id="91" w:name="_Toc38545010"/>
      <w:bookmarkStart w:id="92" w:name="_Toc38549390"/>
      <w:bookmarkStart w:id="93" w:name="_Toc38549745"/>
      <w:r>
        <w:rPr>
          <w:rStyle w:val="CharDivNo"/>
        </w:rPr>
        <w:t>Division 2</w:t>
      </w:r>
      <w:r>
        <w:t> — </w:t>
      </w:r>
      <w:r>
        <w:rPr>
          <w:rStyle w:val="CharDivText"/>
        </w:rPr>
        <w:t>Applications for relief</w:t>
      </w:r>
      <w:bookmarkEnd w:id="90"/>
      <w:bookmarkEnd w:id="91"/>
      <w:bookmarkEnd w:id="92"/>
      <w:bookmarkEnd w:id="93"/>
    </w:p>
    <w:p>
      <w:pPr>
        <w:pStyle w:val="Heading5"/>
      </w:pPr>
      <w:bookmarkStart w:id="94" w:name="_Toc38549746"/>
      <w:r>
        <w:rPr>
          <w:rStyle w:val="CharSectno"/>
        </w:rPr>
        <w:t>47</w:t>
      </w:r>
      <w:r>
        <w:t>.</w:t>
      </w:r>
      <w:r>
        <w:tab/>
        <w:t>Application for relief in relation to relevant dispute or failure to comply with order in respect of residential tenancy agreement</w:t>
      </w:r>
      <w:bookmarkEnd w:id="94"/>
    </w:p>
    <w:p>
      <w:pPr>
        <w:pStyle w:val="Subsection"/>
        <w:spacing w:before="120"/>
      </w:pPr>
      <w:r>
        <w:tab/>
      </w:r>
      <w:r>
        <w:tab/>
        <w:t xml:space="preserve">If a relevant dispute has arisen in respect of a residential tenancy agreement, or a person has failed to comply with an order made in connection with a residential tenancy agreement under section 60(1) — </w:t>
      </w:r>
    </w:p>
    <w:p>
      <w:pPr>
        <w:pStyle w:val="Indenta"/>
        <w:spacing w:before="60"/>
      </w:pPr>
      <w:r>
        <w:tab/>
        <w:t>(a)</w:t>
      </w:r>
      <w:r>
        <w:tab/>
        <w:t xml:space="preserve">a lessor or tenant under the agreement may apply for relief to a competent court under the </w:t>
      </w:r>
      <w:r>
        <w:rPr>
          <w:i/>
        </w:rPr>
        <w:t>Residential Tenancies Act 1987</w:t>
      </w:r>
      <w:r>
        <w:t xml:space="preserve"> section 15(1) in relation to the relevant dispute or failure as if that provision also referred to disputes arising in connection with a residential tenancy agreement; and</w:t>
      </w:r>
    </w:p>
    <w:p>
      <w:pPr>
        <w:pStyle w:val="Indenta"/>
        <w:spacing w:before="60"/>
      </w:pPr>
      <w:r>
        <w:tab/>
        <w:t>(b)</w:t>
      </w:r>
      <w:r>
        <w:tab/>
        <w:t xml:space="preserve">on such an application, the court may make an order under the </w:t>
      </w:r>
      <w:r>
        <w:rPr>
          <w:i/>
        </w:rPr>
        <w:t>Residential Tenancies Act 1987</w:t>
      </w:r>
      <w:r>
        <w:t xml:space="preserve"> section 15(2) as if that provision also stated that the court may make any order that the court considers appropriate; and</w:t>
      </w:r>
    </w:p>
    <w:p>
      <w:pPr>
        <w:pStyle w:val="Indenta"/>
        <w:spacing w:before="60"/>
      </w:pPr>
      <w:r>
        <w:tab/>
        <w:t>(c)</w:t>
      </w:r>
      <w:r>
        <w:tab/>
        <w:t xml:space="preserve">the </w:t>
      </w:r>
      <w:r>
        <w:rPr>
          <w:i/>
        </w:rPr>
        <w:t>Residential Tenancies Act 1987</w:t>
      </w:r>
      <w:r>
        <w:t xml:space="preserve"> section 15(3) applies to an order made under paragraph (b) that restrains or requires any action as if it were an order under section 15(2)(a) of that Act.</w:t>
      </w:r>
    </w:p>
    <w:p>
      <w:pPr>
        <w:pStyle w:val="PermNoteHeading"/>
      </w:pPr>
      <w:r>
        <w:tab/>
        <w:t>Note for this section:</w:t>
      </w:r>
    </w:p>
    <w:p>
      <w:pPr>
        <w:pStyle w:val="PermNoteText"/>
      </w:pPr>
      <w:r>
        <w:tab/>
      </w:r>
      <w:r>
        <w:tab/>
        <w:t xml:space="preserve">See the </w:t>
      </w:r>
      <w:r>
        <w:rPr>
          <w:i/>
        </w:rPr>
        <w:t>Residential Parks (Long</w:t>
      </w:r>
      <w:r>
        <w:rPr>
          <w:i/>
        </w:rPr>
        <w:noBreakHyphen/>
        <w:t>stay Tenants) Act 2006</w:t>
      </w:r>
      <w:r>
        <w:t xml:space="preserve"> Part 5 for applications in respect of long</w:t>
      </w:r>
      <w:r>
        <w:noBreakHyphen/>
        <w:t>stay agreements.</w:t>
      </w:r>
    </w:p>
    <w:p>
      <w:pPr>
        <w:pStyle w:val="Heading5"/>
      </w:pPr>
      <w:bookmarkStart w:id="95" w:name="_Toc38549747"/>
      <w:r>
        <w:rPr>
          <w:rStyle w:val="CharSectno"/>
        </w:rPr>
        <w:t>48</w:t>
      </w:r>
      <w:r>
        <w:t>.</w:t>
      </w:r>
      <w:r>
        <w:tab/>
        <w:t>Application for relief in relation to relevant dispute or failure to comply with order in respect of accommodation agreements</w:t>
      </w:r>
      <w:bookmarkEnd w:id="95"/>
    </w:p>
    <w:p>
      <w:pPr>
        <w:pStyle w:val="Subsection"/>
        <w:spacing w:before="120"/>
      </w:pPr>
      <w:r>
        <w:tab/>
        <w:t>(1)</w:t>
      </w:r>
      <w:r>
        <w:tab/>
        <w:t>Where a resident or landlord under an accommodation agreement claims that a relevant dispute has arisen in respect of the agreement, or that a person has failed to comply with an order made in connection with the agreement under section 60(1), the resident or landlord may apply for relief in relation to the relevant dispute or failure to a competent court.</w:t>
      </w:r>
    </w:p>
    <w:p>
      <w:pPr>
        <w:pStyle w:val="Subsection"/>
      </w:pPr>
      <w:r>
        <w:tab/>
        <w:t>(2)</w:t>
      </w:r>
      <w:r>
        <w:tab/>
        <w:t>On an application under subsection (1) the court may make any order that the court considers appropriate.</w:t>
      </w:r>
    </w:p>
    <w:p>
      <w:pPr>
        <w:pStyle w:val="Subsection"/>
      </w:pPr>
      <w:r>
        <w:tab/>
        <w:t>(3)</w:t>
      </w:r>
      <w:r>
        <w:tab/>
        <w:t>The court may make an order under subsection (2) that restrains or requires any action notwithstanding that the order provides a remedy in the nature of an injunction or order for specific performance in circumstances in which such remedy would not otherwise be available.</w:t>
      </w:r>
    </w:p>
    <w:p>
      <w:pPr>
        <w:pStyle w:val="Subsection"/>
      </w:pPr>
      <w:r>
        <w:tab/>
        <w:t>(4)</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(5)</w:t>
      </w:r>
      <w:r>
        <w:tab/>
        <w:t>The court may make an order under subsection (4) on the application of any person or on its own initiative.</w:t>
      </w:r>
    </w:p>
    <w:p>
      <w:pPr>
        <w:pStyle w:val="Subsection"/>
      </w:pPr>
      <w:r>
        <w:tab/>
        <w:t>(6)</w:t>
      </w:r>
      <w:r>
        <w:tab/>
        <w:t xml:space="preserve">The </w:t>
      </w:r>
      <w:r>
        <w:rPr>
          <w:i/>
        </w:rPr>
        <w:t>Residential Tenancies Act 1987</w:t>
      </w:r>
      <w:r>
        <w:t xml:space="preserve"> section 16(1) applies to an order made under subsection (2) as if the order were an order under section 15(2) of that Act.</w:t>
      </w:r>
    </w:p>
    <w:p>
      <w:pPr>
        <w:pStyle w:val="Ednotedivision"/>
      </w:pPr>
      <w:bookmarkStart w:id="96" w:name="_Toc38543050"/>
      <w:r>
        <w:t>[Divisions 3-5 (s. 49-63) have not come into operation.]</w:t>
      </w:r>
    </w:p>
    <w:p>
      <w:pPr>
        <w:pStyle w:val="Heading2"/>
      </w:pPr>
      <w:bookmarkStart w:id="97" w:name="_Toc38543068"/>
      <w:bookmarkStart w:id="98" w:name="_Toc38545013"/>
      <w:bookmarkStart w:id="99" w:name="_Toc38549393"/>
      <w:bookmarkStart w:id="100" w:name="_Toc38549748"/>
      <w:bookmarkEnd w:id="96"/>
      <w:r>
        <w:rPr>
          <w:rStyle w:val="CharPartNo"/>
        </w:rPr>
        <w:t>Part 5</w:t>
      </w:r>
      <w:r>
        <w:rPr>
          <w:rStyle w:val="CharDivNo"/>
        </w:rPr>
        <w:t> </w:t>
      </w:r>
      <w:r>
        <w:t>—</w:t>
      </w:r>
      <w:r>
        <w:rPr>
          <w:rStyle w:val="CharDivText"/>
        </w:rPr>
        <w:t> </w:t>
      </w:r>
      <w:r>
        <w:rPr>
          <w:rStyle w:val="CharPartText"/>
        </w:rPr>
        <w:t>Miscellaneous</w:t>
      </w:r>
      <w:bookmarkEnd w:id="97"/>
      <w:bookmarkEnd w:id="98"/>
      <w:bookmarkEnd w:id="99"/>
      <w:bookmarkEnd w:id="100"/>
    </w:p>
    <w:p>
      <w:pPr>
        <w:pStyle w:val="Heading5"/>
      </w:pPr>
      <w:bookmarkStart w:id="101" w:name="_Toc38549749"/>
      <w:r>
        <w:rPr>
          <w:rStyle w:val="CharSectno"/>
        </w:rPr>
        <w:t>64</w:t>
      </w:r>
      <w:r>
        <w:t>.</w:t>
      </w:r>
      <w:r>
        <w:tab/>
        <w:t>Regulations</w:t>
      </w:r>
      <w:bookmarkEnd w:id="101"/>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02" w:name="_Toc38549750"/>
      <w:r>
        <w:rPr>
          <w:rStyle w:val="CharSectno"/>
        </w:rPr>
        <w:t>65</w:t>
      </w:r>
      <w:r>
        <w:t>.</w:t>
      </w:r>
      <w:r>
        <w:tab/>
        <w:t>Powers of investigation under Act</w:t>
      </w:r>
      <w:bookmarkEnd w:id="102"/>
    </w:p>
    <w:p>
      <w:pPr>
        <w:pStyle w:val="Subsection"/>
      </w:pPr>
      <w:r>
        <w:tab/>
      </w:r>
      <w:r>
        <w:tab/>
        <w:t xml:space="preserve">The </w:t>
      </w:r>
      <w:r>
        <w:rPr>
          <w:i/>
        </w:rPr>
        <w:t>Fair Trading Act 2010</w:t>
      </w:r>
      <w:r>
        <w:t xml:space="preserve"> section 61 and Part 6 apply for the purposes of this Act.</w:t>
      </w:r>
    </w:p>
    <w:p>
      <w:pPr>
        <w:pStyle w:val="Heading2"/>
      </w:pPr>
      <w:bookmarkStart w:id="103" w:name="_Toc38543071"/>
      <w:bookmarkStart w:id="104" w:name="_Toc38545016"/>
      <w:bookmarkStart w:id="105" w:name="_Toc38549396"/>
      <w:bookmarkStart w:id="106" w:name="_Toc38549751"/>
      <w:r>
        <w:rPr>
          <w:rStyle w:val="CharPartNo"/>
        </w:rPr>
        <w:t>Part 6</w:t>
      </w:r>
      <w:r>
        <w:rPr>
          <w:rStyle w:val="CharDivNo"/>
        </w:rPr>
        <w:t> </w:t>
      </w:r>
      <w:r>
        <w:t>—</w:t>
      </w:r>
      <w:r>
        <w:rPr>
          <w:rStyle w:val="CharDivText"/>
        </w:rPr>
        <w:t> </w:t>
      </w:r>
      <w:r>
        <w:rPr>
          <w:rStyle w:val="CharPartText"/>
        </w:rPr>
        <w:t>Repeal</w:t>
      </w:r>
      <w:bookmarkEnd w:id="103"/>
      <w:bookmarkEnd w:id="104"/>
      <w:bookmarkEnd w:id="105"/>
      <w:bookmarkEnd w:id="106"/>
    </w:p>
    <w:p>
      <w:pPr>
        <w:pStyle w:val="Heading5"/>
      </w:pPr>
      <w:bookmarkStart w:id="107" w:name="_Toc38549752"/>
      <w:r>
        <w:rPr>
          <w:rStyle w:val="CharSectno"/>
        </w:rPr>
        <w:t>66</w:t>
      </w:r>
      <w:r>
        <w:t>.</w:t>
      </w:r>
      <w:r>
        <w:tab/>
        <w:t>Repeal</w:t>
      </w:r>
      <w:bookmarkEnd w:id="107"/>
    </w:p>
    <w:p>
      <w:pPr>
        <w:pStyle w:val="Subsection"/>
      </w:pPr>
      <w:r>
        <w:tab/>
      </w:r>
      <w:r>
        <w:tab/>
        <w:t>This Act is repealed at the end of the period of 12 months that begins on the day after the day on which the emergency period ends.</w:t>
      </w:r>
    </w:p>
    <w:p>
      <w:pPr>
        <w:pStyle w:val="Heading2"/>
      </w:pPr>
      <w:bookmarkStart w:id="108" w:name="_Toc38543073"/>
      <w:bookmarkStart w:id="109" w:name="_Toc38545018"/>
      <w:bookmarkStart w:id="110" w:name="_Toc38549398"/>
      <w:bookmarkStart w:id="111" w:name="_Toc38549753"/>
      <w:r>
        <w:rPr>
          <w:rStyle w:val="CharPartNo"/>
        </w:rPr>
        <w:t>Part 7</w:t>
      </w:r>
      <w:r>
        <w:t> — </w:t>
      </w:r>
      <w:r>
        <w:rPr>
          <w:rStyle w:val="CharPartText"/>
        </w:rPr>
        <w:t>Transitional provisions</w:t>
      </w:r>
      <w:bookmarkEnd w:id="108"/>
      <w:bookmarkEnd w:id="109"/>
      <w:bookmarkEnd w:id="110"/>
      <w:bookmarkEnd w:id="111"/>
      <w:r>
        <w:rPr>
          <w:rStyle w:val="CharPartText"/>
        </w:rPr>
        <w:t xml:space="preserve"> </w:t>
      </w:r>
    </w:p>
    <w:p>
      <w:pPr>
        <w:pStyle w:val="Heading3"/>
      </w:pPr>
      <w:bookmarkStart w:id="112" w:name="_Toc38543074"/>
      <w:bookmarkStart w:id="113" w:name="_Toc38545019"/>
      <w:bookmarkStart w:id="114" w:name="_Toc38549399"/>
      <w:bookmarkStart w:id="115" w:name="_Toc38549754"/>
      <w:r>
        <w:rPr>
          <w:rStyle w:val="CharDivNo"/>
        </w:rPr>
        <w:t>Division 1</w:t>
      </w:r>
      <w:r>
        <w:t> — </w:t>
      </w:r>
      <w:r>
        <w:rPr>
          <w:rStyle w:val="CharDivText"/>
        </w:rPr>
        <w:t>Preliminary</w:t>
      </w:r>
      <w:bookmarkEnd w:id="112"/>
      <w:bookmarkEnd w:id="113"/>
      <w:bookmarkEnd w:id="114"/>
      <w:bookmarkEnd w:id="115"/>
    </w:p>
    <w:p>
      <w:pPr>
        <w:pStyle w:val="Heading5"/>
      </w:pPr>
      <w:bookmarkStart w:id="116" w:name="_Toc38549755"/>
      <w:r>
        <w:rPr>
          <w:rStyle w:val="CharSectno"/>
        </w:rPr>
        <w:t>67</w:t>
      </w:r>
      <w:r>
        <w:t>.</w:t>
      </w:r>
      <w:r>
        <w:tab/>
        <w:t>Terms used</w:t>
      </w:r>
      <w:bookmarkEnd w:id="116"/>
    </w:p>
    <w:p>
      <w:pPr>
        <w:pStyle w:val="Subsection"/>
      </w:pPr>
      <w:r>
        <w:tab/>
      </w:r>
      <w:r>
        <w:tab/>
        <w:t xml:space="preserve">In this Part — </w:t>
      </w:r>
    </w:p>
    <w:p>
      <w:pPr>
        <w:pStyle w:val="Defstart"/>
      </w:pPr>
      <w:r>
        <w:tab/>
      </w:r>
      <w:r>
        <w:rPr>
          <w:rStyle w:val="CharDefText"/>
        </w:rPr>
        <w:t>pre</w:t>
      </w:r>
      <w:r>
        <w:rPr>
          <w:rStyle w:val="CharDefText"/>
        </w:rPr>
        <w:noBreakHyphen/>
        <w:t>assent emergency period</w:t>
      </w:r>
      <w:r>
        <w:t xml:space="preserve"> means the period beginning on 30 March 2020 and ending immediately before assent day;</w:t>
      </w:r>
    </w:p>
    <w:p>
      <w:pPr>
        <w:pStyle w:val="Defstart"/>
      </w:pPr>
      <w:r>
        <w:tab/>
      </w:r>
      <w:r>
        <w:rPr>
          <w:rStyle w:val="CharDefText"/>
        </w:rPr>
        <w:t>specified day</w:t>
      </w:r>
      <w:r>
        <w:t>, in relation to a notice of termination, means the day specified in the notice as the day on which possession of the premises is to be delivered up by the tenant.</w:t>
      </w:r>
    </w:p>
    <w:p>
      <w:pPr>
        <w:pStyle w:val="Heading3"/>
      </w:pPr>
      <w:bookmarkStart w:id="117" w:name="_Toc38543076"/>
      <w:bookmarkStart w:id="118" w:name="_Toc38545021"/>
      <w:bookmarkStart w:id="119" w:name="_Toc38549401"/>
      <w:bookmarkStart w:id="120" w:name="_Toc38549756"/>
      <w:r>
        <w:rPr>
          <w:rStyle w:val="CharDivNo"/>
        </w:rPr>
        <w:t>Division 2</w:t>
      </w:r>
      <w:r>
        <w:t> — </w:t>
      </w:r>
      <w:r>
        <w:rPr>
          <w:rStyle w:val="CharDivText"/>
        </w:rPr>
        <w:t>Provisions about events occurring before assent day</w:t>
      </w:r>
      <w:bookmarkEnd w:id="117"/>
      <w:bookmarkEnd w:id="118"/>
      <w:bookmarkEnd w:id="119"/>
      <w:bookmarkEnd w:id="120"/>
    </w:p>
    <w:p>
      <w:pPr>
        <w:pStyle w:val="Heading5"/>
      </w:pPr>
      <w:bookmarkStart w:id="121" w:name="_Toc38549757"/>
      <w:r>
        <w:rPr>
          <w:rStyle w:val="CharSectno"/>
        </w:rPr>
        <w:t>68</w:t>
      </w:r>
      <w:r>
        <w:t>.</w:t>
      </w:r>
      <w:r>
        <w:tab/>
        <w:t>Termination notices given under tenancy Acts before 30 March 2020</w:t>
      </w:r>
      <w:bookmarkEnd w:id="121"/>
    </w:p>
    <w:p>
      <w:pPr>
        <w:pStyle w:val="Subsection"/>
      </w:pPr>
      <w:r>
        <w:tab/>
        <w:t>(1)</w:t>
      </w:r>
      <w:r>
        <w:tab/>
        <w:t xml:space="preserve">This section applies if — </w:t>
      </w:r>
    </w:p>
    <w:p>
      <w:pPr>
        <w:pStyle w:val="Indenta"/>
      </w:pPr>
      <w:r>
        <w:tab/>
        <w:t>(a)</w:t>
      </w:r>
      <w:r>
        <w:tab/>
        <w:t>before 30 March 2020, a person gave a notice of termination under a tenancy Act in relation to a tenancy agreement; and</w:t>
      </w:r>
    </w:p>
    <w:p>
      <w:pPr>
        <w:pStyle w:val="Indenta"/>
      </w:pPr>
      <w:r>
        <w:tab/>
        <w:t>(b)</w:t>
      </w:r>
      <w:r>
        <w:tab/>
        <w:t>the specified day in the notice of termination is during the emergency period.</w:t>
      </w:r>
    </w:p>
    <w:p>
      <w:pPr>
        <w:pStyle w:val="Subsection"/>
      </w:pPr>
      <w:r>
        <w:tab/>
        <w:t>(2)</w:t>
      </w:r>
      <w:r>
        <w:tab/>
        <w:t xml:space="preserve">Despite Part 2 — </w:t>
      </w:r>
    </w:p>
    <w:p>
      <w:pPr>
        <w:pStyle w:val="Indenta"/>
      </w:pPr>
      <w:r>
        <w:tab/>
        <w:t>(a)</w:t>
      </w:r>
      <w:r>
        <w:tab/>
        <w:t>the notice of termination has effect under the tenancy Act; and</w:t>
      </w:r>
    </w:p>
    <w:p>
      <w:pPr>
        <w:pStyle w:val="Indenta"/>
      </w:pPr>
      <w:r>
        <w:tab/>
        <w:t>(b)</w:t>
      </w:r>
      <w:r>
        <w:tab/>
        <w:t xml:space="preserve">the agreement may be terminated under the tenancy Act. </w:t>
      </w:r>
    </w:p>
    <w:p>
      <w:pPr>
        <w:pStyle w:val="Heading5"/>
      </w:pPr>
      <w:bookmarkStart w:id="122" w:name="_Toc38549758"/>
      <w:r>
        <w:rPr>
          <w:rStyle w:val="CharSectno"/>
        </w:rPr>
        <w:t>69</w:t>
      </w:r>
      <w:r>
        <w:t>.</w:t>
      </w:r>
      <w:r>
        <w:tab/>
        <w:t>Termination of tenancy agreements during pre</w:t>
      </w:r>
      <w:r>
        <w:noBreakHyphen/>
        <w:t>assent emergency period under tenancy Acts</w:t>
      </w:r>
      <w:bookmarkEnd w:id="122"/>
      <w:r>
        <w:t xml:space="preserve"> </w:t>
      </w:r>
    </w:p>
    <w:p>
      <w:pPr>
        <w:pStyle w:val="Subsection"/>
        <w:keepNext/>
      </w:pPr>
      <w:r>
        <w:tab/>
        <w:t>(1)</w:t>
      </w:r>
      <w:r>
        <w:tab/>
        <w:t>This section applies if during the pre</w:t>
      </w:r>
      <w:r>
        <w:noBreakHyphen/>
        <w:t xml:space="preserve">assent emergency period either of the following occur (a </w:t>
      </w:r>
      <w:r>
        <w:rPr>
          <w:rStyle w:val="CharDefText"/>
        </w:rPr>
        <w:t>termination event</w:t>
      </w:r>
      <w:r>
        <w:t xml:space="preserve">) — </w:t>
      </w:r>
    </w:p>
    <w:p>
      <w:pPr>
        <w:pStyle w:val="Indenta"/>
      </w:pPr>
      <w:r>
        <w:tab/>
        <w:t>(a)</w:t>
      </w:r>
      <w:r>
        <w:tab/>
        <w:t>vacant possession of the premises the subject of a tenancy agreement is given to the owner under a tenancy Act;</w:t>
      </w:r>
    </w:p>
    <w:p>
      <w:pPr>
        <w:pStyle w:val="Indenta"/>
      </w:pPr>
      <w:r>
        <w:tab/>
        <w:t>(b)</w:t>
      </w:r>
      <w:r>
        <w:tab/>
        <w:t>a court or Tribunal orders the termination of a tenancy agreement under a tenancy Act.</w:t>
      </w:r>
    </w:p>
    <w:p>
      <w:pPr>
        <w:pStyle w:val="Subsection"/>
      </w:pPr>
      <w:r>
        <w:tab/>
        <w:t>(2)</w:t>
      </w:r>
      <w:r>
        <w:tab/>
        <w:t>The tenancy Act applies in relation to the termination event despite Part 2.</w:t>
      </w:r>
    </w:p>
    <w:p>
      <w:pPr>
        <w:pStyle w:val="Heading5"/>
      </w:pPr>
      <w:bookmarkStart w:id="123" w:name="_Toc38549759"/>
      <w:r>
        <w:rPr>
          <w:rStyle w:val="CharSectno"/>
        </w:rPr>
        <w:t>70</w:t>
      </w:r>
      <w:r>
        <w:t>.</w:t>
      </w:r>
      <w:r>
        <w:tab/>
        <w:t>Termination under accommodation agreement during pre</w:t>
      </w:r>
      <w:r>
        <w:noBreakHyphen/>
        <w:t>assent emergency period</w:t>
      </w:r>
      <w:bookmarkEnd w:id="123"/>
    </w:p>
    <w:p>
      <w:pPr>
        <w:pStyle w:val="Subsection"/>
      </w:pPr>
      <w:r>
        <w:tab/>
      </w:r>
      <w:r>
        <w:tab/>
        <w:t>If a landlord or resident terminated an accommodation agreement in accordance with the agreement during the pre</w:t>
      </w:r>
      <w:r>
        <w:noBreakHyphen/>
        <w:t>assent emergency period, Part 3 does not have effect in relation to the termination.</w:t>
      </w:r>
    </w:p>
    <w:p>
      <w:pPr>
        <w:pStyle w:val="Heading5"/>
      </w:pPr>
      <w:bookmarkStart w:id="124" w:name="_Toc38549760"/>
      <w:r>
        <w:rPr>
          <w:rStyle w:val="CharSectno"/>
        </w:rPr>
        <w:t>71</w:t>
      </w:r>
      <w:r>
        <w:t>.</w:t>
      </w:r>
      <w:r>
        <w:tab/>
        <w:t>Status of termination notice under accommodation agreement before 30 March 2020</w:t>
      </w:r>
      <w:bookmarkEnd w:id="124"/>
    </w:p>
    <w:p>
      <w:pPr>
        <w:pStyle w:val="Subsection"/>
      </w:pPr>
      <w:r>
        <w:tab/>
        <w:t>(1)</w:t>
      </w:r>
      <w:r>
        <w:tab/>
        <w:t xml:space="preserve">This section applies if — </w:t>
      </w:r>
    </w:p>
    <w:p>
      <w:pPr>
        <w:pStyle w:val="Indenta"/>
      </w:pPr>
      <w:r>
        <w:tab/>
        <w:t>(a)</w:t>
      </w:r>
      <w:r>
        <w:tab/>
        <w:t>an accommodation agreement requires notice to be given before it can be terminated; and</w:t>
      </w:r>
    </w:p>
    <w:p>
      <w:pPr>
        <w:pStyle w:val="Indenta"/>
      </w:pPr>
      <w:r>
        <w:tab/>
        <w:t>(b)</w:t>
      </w:r>
      <w:r>
        <w:tab/>
        <w:t>before 30 March 2020, the resident gives or is given notice that the right of occupancy is to be terminated in accordance with the accommodation agreement; and</w:t>
      </w:r>
    </w:p>
    <w:p>
      <w:pPr>
        <w:pStyle w:val="Indenta"/>
      </w:pPr>
      <w:r>
        <w:tab/>
        <w:t>(c)</w:t>
      </w:r>
      <w:r>
        <w:tab/>
        <w:t>the termination is to take effect during the emergency period.</w:t>
      </w:r>
    </w:p>
    <w:p>
      <w:pPr>
        <w:pStyle w:val="Subsection"/>
      </w:pPr>
      <w:r>
        <w:tab/>
        <w:t>(2)</w:t>
      </w:r>
      <w:r>
        <w:tab/>
        <w:t xml:space="preserve">The termination of the resident’s right of occupancy takes effect as if Part 3 were not enacted. </w:t>
      </w:r>
    </w:p>
    <w:p>
      <w:pPr>
        <w:pStyle w:val="Heading3"/>
      </w:pPr>
      <w:bookmarkStart w:id="125" w:name="_Toc38543081"/>
      <w:bookmarkStart w:id="126" w:name="_Toc38545026"/>
      <w:bookmarkStart w:id="127" w:name="_Toc38549406"/>
      <w:bookmarkStart w:id="128" w:name="_Toc38549761"/>
      <w:r>
        <w:rPr>
          <w:rStyle w:val="CharDivNo"/>
        </w:rPr>
        <w:t>Division 3</w:t>
      </w:r>
      <w:r>
        <w:t> — </w:t>
      </w:r>
      <w:r>
        <w:rPr>
          <w:rStyle w:val="CharDivText"/>
        </w:rPr>
        <w:t>Other transitional provisions</w:t>
      </w:r>
      <w:bookmarkEnd w:id="125"/>
      <w:bookmarkEnd w:id="126"/>
      <w:bookmarkEnd w:id="127"/>
      <w:bookmarkEnd w:id="128"/>
    </w:p>
    <w:p>
      <w:pPr>
        <w:pStyle w:val="Heading5"/>
      </w:pPr>
      <w:bookmarkStart w:id="129" w:name="_Toc38549762"/>
      <w:r>
        <w:rPr>
          <w:rStyle w:val="CharSectno"/>
        </w:rPr>
        <w:t>72</w:t>
      </w:r>
      <w:r>
        <w:t>.</w:t>
      </w:r>
      <w:r>
        <w:tab/>
        <w:t>Mortgagee terminating tenancy agreements after emergency period</w:t>
      </w:r>
      <w:bookmarkEnd w:id="129"/>
    </w:p>
    <w:p>
      <w:pPr>
        <w:pStyle w:val="Subsection"/>
      </w:pPr>
      <w:r>
        <w:tab/>
        <w:t>(1)</w:t>
      </w:r>
      <w:r>
        <w:tab/>
        <w:t>This section applies to a mortgagee who has taken possession of a property subject to a tenancy agreement under section 13.</w:t>
      </w:r>
    </w:p>
    <w:p>
      <w:pPr>
        <w:pStyle w:val="Subsection"/>
      </w:pPr>
      <w:r>
        <w:tab/>
        <w:t>(2)</w:t>
      </w:r>
      <w:r>
        <w:tab/>
        <w:t xml:space="preserve">The </w:t>
      </w:r>
      <w:r>
        <w:rPr>
          <w:i/>
        </w:rPr>
        <w:t>Residential Tenancies Act 1987</w:t>
      </w:r>
      <w:r>
        <w:t xml:space="preserve"> sections 60(1)(e) and 81A apply as if the residential tenancy agreement is terminated under section 60(1)(e) of that Act on the day after the end of the emergency period.</w:t>
      </w:r>
    </w:p>
    <w:p>
      <w:pPr>
        <w:pStyle w:val="Subsection"/>
      </w:pPr>
      <w:r>
        <w:tab/>
        <w:t>(3)</w:t>
      </w:r>
      <w:r>
        <w:tab/>
        <w:t xml:space="preserve">The </w:t>
      </w:r>
      <w:r>
        <w:rPr>
          <w:i/>
        </w:rPr>
        <w:t>Residential Parks (Long</w:t>
      </w:r>
      <w:r>
        <w:rPr>
          <w:i/>
        </w:rPr>
        <w:noBreakHyphen/>
        <w:t>stay Tenants) Act 2006</w:t>
      </w:r>
      <w:r>
        <w:t xml:space="preserve"> section 33(3)(c) applies as if the mortgagee took possession of the premises under the mortgage on the day after the end of the emergency period. </w:t>
      </w:r>
    </w:p>
    <w:p>
      <w:pPr>
        <w:pStyle w:val="Heading5"/>
      </w:pPr>
      <w:bookmarkStart w:id="130" w:name="_Toc38549763"/>
      <w:r>
        <w:rPr>
          <w:rStyle w:val="CharSectno"/>
        </w:rPr>
        <w:t>73</w:t>
      </w:r>
      <w:r>
        <w:t>.</w:t>
      </w:r>
      <w:r>
        <w:tab/>
        <w:t>Effect of notices of termination given under tenancy Acts for termination after emergency period</w:t>
      </w:r>
      <w:bookmarkEnd w:id="130"/>
    </w:p>
    <w:p>
      <w:pPr>
        <w:pStyle w:val="Subsection"/>
      </w:pPr>
      <w:r>
        <w:tab/>
      </w:r>
      <w:r>
        <w:tab/>
        <w:t xml:space="preserve">A notice of termination of a tenancy agreement given under a tenancy Act during the emergency period takes effect on the specified day in the notice if that day is a day after the emergency period. </w:t>
      </w:r>
    </w:p>
    <w:p>
      <w:pPr>
        <w:pStyle w:val="Heading5"/>
      </w:pPr>
      <w:bookmarkStart w:id="131" w:name="_Toc38549764"/>
      <w:r>
        <w:rPr>
          <w:rStyle w:val="CharSectno"/>
        </w:rPr>
        <w:t>74</w:t>
      </w:r>
      <w:r>
        <w:t>.</w:t>
      </w:r>
      <w:r>
        <w:tab/>
        <w:t>Effect of notices of termination given under tenancy Acts for termination during emergency period</w:t>
      </w:r>
      <w:bookmarkEnd w:id="131"/>
    </w:p>
    <w:p>
      <w:pPr>
        <w:pStyle w:val="Subsection"/>
      </w:pPr>
      <w:r>
        <w:tab/>
        <w:t>(1)</w:t>
      </w:r>
      <w:r>
        <w:tab/>
        <w:t xml:space="preserve">This section applies if — </w:t>
      </w:r>
    </w:p>
    <w:p>
      <w:pPr>
        <w:pStyle w:val="Indenta"/>
      </w:pPr>
      <w:r>
        <w:tab/>
        <w:t>(a)</w:t>
      </w:r>
      <w:r>
        <w:tab/>
        <w:t>a notice of termination of a tenancy agreement under a tenancy Act is given during the emergency period; and</w:t>
      </w:r>
    </w:p>
    <w:p>
      <w:pPr>
        <w:pStyle w:val="Indenta"/>
      </w:pPr>
      <w:r>
        <w:tab/>
        <w:t>(b)</w:t>
      </w:r>
      <w:r>
        <w:tab/>
        <w:t xml:space="preserve">the specified day in the notice is a day during the emergency period; and </w:t>
      </w:r>
    </w:p>
    <w:p>
      <w:pPr>
        <w:pStyle w:val="Indenta"/>
      </w:pPr>
      <w:r>
        <w:tab/>
        <w:t>(c)</w:t>
      </w:r>
      <w:r>
        <w:tab/>
        <w:t>the termination cannot occur during the emergency period because of Part 2 Division 2; and</w:t>
      </w:r>
    </w:p>
    <w:p>
      <w:pPr>
        <w:pStyle w:val="Indenta"/>
      </w:pPr>
      <w:r>
        <w:tab/>
        <w:t>(d)</w:t>
      </w:r>
      <w:r>
        <w:tab/>
        <w:t xml:space="preserve">the termination does not occur under the </w:t>
      </w:r>
      <w:r>
        <w:rPr>
          <w:i/>
        </w:rPr>
        <w:t xml:space="preserve">Residential Tenancies Act 1987 </w:t>
      </w:r>
      <w:r>
        <w:t>section 70A.</w:t>
      </w:r>
    </w:p>
    <w:p>
      <w:pPr>
        <w:pStyle w:val="Subsection"/>
      </w:pPr>
      <w:r>
        <w:tab/>
        <w:t>(2)</w:t>
      </w:r>
      <w:r>
        <w:tab/>
        <w:t xml:space="preserve">The specified day in the notice of termination is taken to be the day after the end of the emergency period. </w:t>
      </w:r>
    </w:p>
    <w:p>
      <w:pPr>
        <w:pStyle w:val="Heading5"/>
      </w:pPr>
      <w:bookmarkStart w:id="132" w:name="_Toc38549765"/>
      <w:r>
        <w:rPr>
          <w:rStyle w:val="CharSectno"/>
        </w:rPr>
        <w:t>75</w:t>
      </w:r>
      <w:r>
        <w:t>.</w:t>
      </w:r>
      <w:r>
        <w:tab/>
        <w:t>Effect of termination notice given under this Act that takes effect after end of emergency period</w:t>
      </w:r>
      <w:bookmarkEnd w:id="132"/>
    </w:p>
    <w:p>
      <w:pPr>
        <w:pStyle w:val="Subsection"/>
      </w:pPr>
      <w:r>
        <w:tab/>
        <w:t>(1)</w:t>
      </w:r>
      <w:r>
        <w:tab/>
        <w:t xml:space="preserve">This section applies if — </w:t>
      </w:r>
    </w:p>
    <w:p>
      <w:pPr>
        <w:pStyle w:val="Indenta"/>
      </w:pPr>
      <w:r>
        <w:tab/>
        <w:t>(a)</w:t>
      </w:r>
      <w:r>
        <w:tab/>
        <w:t xml:space="preserve">a person has been given a notice of termination before the end of the emergency period under — </w:t>
      </w:r>
    </w:p>
    <w:p>
      <w:pPr>
        <w:pStyle w:val="Indenti"/>
      </w:pPr>
      <w:r>
        <w:tab/>
        <w:t>(i)</w:t>
      </w:r>
      <w:r>
        <w:tab/>
        <w:t xml:space="preserve">in relation to a tenancy agreement for a fixed term — section 20(1); or </w:t>
      </w:r>
    </w:p>
    <w:p>
      <w:pPr>
        <w:pStyle w:val="Indenti"/>
      </w:pPr>
      <w:r>
        <w:tab/>
        <w:t>(ii)</w:t>
      </w:r>
      <w:r>
        <w:tab/>
        <w:t>Part 3 Division 2;</w:t>
      </w:r>
    </w:p>
    <w:p>
      <w:pPr>
        <w:pStyle w:val="Indenta"/>
      </w:pPr>
      <w:r>
        <w:tab/>
      </w:r>
      <w:r>
        <w:tab/>
        <w:t>and</w:t>
      </w:r>
    </w:p>
    <w:p>
      <w:pPr>
        <w:pStyle w:val="Indenta"/>
      </w:pPr>
      <w:r>
        <w:tab/>
        <w:t>(b)</w:t>
      </w:r>
      <w:r>
        <w:tab/>
        <w:t xml:space="preserve">the specified day in the notice is a day after the end of the emergency period. </w:t>
      </w:r>
    </w:p>
    <w:p>
      <w:pPr>
        <w:pStyle w:val="Subsection"/>
      </w:pPr>
      <w:r>
        <w:tab/>
        <w:t>(2)</w:t>
      </w:r>
      <w:r>
        <w:tab/>
        <w:t xml:space="preserve">This Act applies in relation to the notice of termination and termination of the agreement after the end of the emergency period as if the termination occurred during the emergency period. </w:t>
      </w:r>
    </w:p>
    <w:p>
      <w:pPr>
        <w:pStyle w:val="Heading3"/>
      </w:pPr>
      <w:bookmarkStart w:id="133" w:name="_Toc38543086"/>
      <w:bookmarkStart w:id="134" w:name="_Toc38545031"/>
      <w:bookmarkStart w:id="135" w:name="_Toc38549411"/>
      <w:bookmarkStart w:id="136" w:name="_Toc38549766"/>
      <w:r>
        <w:rPr>
          <w:rStyle w:val="CharDivNo"/>
        </w:rPr>
        <w:t>Division 4</w:t>
      </w:r>
      <w:r>
        <w:t> — </w:t>
      </w:r>
      <w:r>
        <w:rPr>
          <w:rStyle w:val="CharDivText"/>
        </w:rPr>
        <w:t>Transitional regulations</w:t>
      </w:r>
      <w:bookmarkEnd w:id="133"/>
      <w:bookmarkEnd w:id="134"/>
      <w:bookmarkEnd w:id="135"/>
      <w:bookmarkEnd w:id="136"/>
    </w:p>
    <w:p>
      <w:pPr>
        <w:pStyle w:val="Heading5"/>
      </w:pPr>
      <w:bookmarkStart w:id="137" w:name="_Toc38549767"/>
      <w:r>
        <w:rPr>
          <w:rStyle w:val="CharSectno"/>
        </w:rPr>
        <w:t>76</w:t>
      </w:r>
      <w:r>
        <w:t>.</w:t>
      </w:r>
      <w:r>
        <w:tab/>
        <w:t>Transitional regulations</w:t>
      </w:r>
      <w:bookmarkEnd w:id="137"/>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the transitional regulations are published in the </w:t>
      </w:r>
      <w:r>
        <w:rPr>
          <w:i/>
        </w:rPr>
        <w:t>Gazette</w:t>
      </w:r>
      <w:r>
        <w:t>;</w:t>
      </w:r>
    </w:p>
    <w:p>
      <w:pPr>
        <w:pStyle w:val="Defstart"/>
      </w:pPr>
      <w:r>
        <w:tab/>
      </w:r>
      <w:r>
        <w:rPr>
          <w:rStyle w:val="CharDefText"/>
        </w:rPr>
        <w:t>specified</w:t>
      </w:r>
      <w:r>
        <w:t>, in relation to transitional regulations, means specified or described in the transitional regulations;</w:t>
      </w:r>
    </w:p>
    <w:p>
      <w:pPr>
        <w:pStyle w:val="Defstart"/>
        <w:keepNext/>
      </w:pPr>
      <w:r>
        <w:tab/>
      </w:r>
      <w:r>
        <w:rPr>
          <w:rStyle w:val="CharDefText"/>
        </w:rPr>
        <w:t>transitional matter</w:t>
      </w:r>
      <w:r>
        <w:t xml:space="preserve"> — </w:t>
      </w:r>
    </w:p>
    <w:p>
      <w:pPr>
        <w:pStyle w:val="Defpara"/>
        <w:keepNext/>
      </w:pPr>
      <w:r>
        <w:tab/>
        <w:t>(a)</w:t>
      </w:r>
      <w:r>
        <w:tab/>
        <w:t xml:space="preserve">means a matter that needs to be dealt with for the purposes of — </w:t>
      </w:r>
    </w:p>
    <w:p>
      <w:pPr>
        <w:pStyle w:val="Defsubpara"/>
      </w:pPr>
      <w:r>
        <w:tab/>
        <w:t>(i)</w:t>
      </w:r>
      <w:r>
        <w:tab/>
        <w:t>effecting the transition to or from the provisions of this Act or to or from the emergency period; or</w:t>
      </w:r>
    </w:p>
    <w:p>
      <w:pPr>
        <w:pStyle w:val="Defsubpara"/>
      </w:pPr>
      <w:r>
        <w:tab/>
        <w:t>(ii)</w:t>
      </w:r>
      <w:r>
        <w:tab/>
        <w:t>dealing with the interaction between this Act and a tenancy Act;</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Transitional regulations may provide that specified provisions of this Act and a tenancy Act — </w:t>
      </w:r>
    </w:p>
    <w:p>
      <w:pPr>
        <w:pStyle w:val="Indenta"/>
      </w:pPr>
      <w:r>
        <w:tab/>
        <w:t>(a)</w:t>
      </w:r>
      <w:r>
        <w:tab/>
        <w:t>do not apply to or in relation to a specified matter; or</w:t>
      </w:r>
    </w:p>
    <w:p>
      <w:pPr>
        <w:pStyle w:val="Indenta"/>
      </w:pPr>
      <w:r>
        <w:tab/>
        <w:t>(b)</w:t>
      </w:r>
      <w:r>
        <w:tab/>
        <w:t>apply with specified modifications to or in relation to any matter.</w:t>
      </w:r>
    </w:p>
    <w:p>
      <w:pPr>
        <w:pStyle w:val="Subsection"/>
      </w:pPr>
      <w:r>
        <w:tab/>
        <w:t>(4)</w:t>
      </w:r>
      <w:r>
        <w:tab/>
        <w:t>If transitional regulations provide that a specified state of affairs is taken to have existed, or not to have existed, on and after a day that is earlier than publication day but not earlier than 30 March 2020, the transitional regulations have effect according to their terms.</w:t>
      </w:r>
    </w:p>
    <w:p>
      <w:pPr>
        <w:pStyle w:val="Heading2"/>
      </w:pPr>
      <w:bookmarkStart w:id="138" w:name="_Toc38543088"/>
      <w:bookmarkStart w:id="139" w:name="_Toc38545033"/>
      <w:bookmarkStart w:id="140" w:name="_Toc38549413"/>
      <w:bookmarkStart w:id="141" w:name="_Toc38549768"/>
      <w:r>
        <w:rPr>
          <w:rStyle w:val="CharPartNo"/>
        </w:rPr>
        <w:t>Part 8</w:t>
      </w:r>
      <w:r>
        <w:rPr>
          <w:rStyle w:val="CharDivNo"/>
        </w:rPr>
        <w:t> </w:t>
      </w:r>
      <w:r>
        <w:t>—</w:t>
      </w:r>
      <w:r>
        <w:rPr>
          <w:rStyle w:val="CharDivText"/>
        </w:rPr>
        <w:t> </w:t>
      </w:r>
      <w:r>
        <w:rPr>
          <w:rStyle w:val="CharPartText"/>
          <w:i/>
        </w:rPr>
        <w:t>Residential Tenancies Act 1987</w:t>
      </w:r>
      <w:r>
        <w:rPr>
          <w:rStyle w:val="CharPartText"/>
        </w:rPr>
        <w:t xml:space="preserve"> amended</w:t>
      </w:r>
      <w:bookmarkEnd w:id="138"/>
      <w:bookmarkEnd w:id="139"/>
      <w:bookmarkEnd w:id="140"/>
      <w:bookmarkEnd w:id="141"/>
    </w:p>
    <w:p>
      <w:pPr>
        <w:pStyle w:val="Heading5"/>
      </w:pPr>
      <w:bookmarkStart w:id="142" w:name="_Toc38549769"/>
      <w:r>
        <w:rPr>
          <w:rStyle w:val="CharSectno"/>
        </w:rPr>
        <w:t>77</w:t>
      </w:r>
      <w:r>
        <w:t>.</w:t>
      </w:r>
      <w:r>
        <w:tab/>
        <w:t>Act amended</w:t>
      </w:r>
      <w:bookmarkEnd w:id="142"/>
    </w:p>
    <w:p>
      <w:pPr>
        <w:pStyle w:val="Subsection"/>
      </w:pPr>
      <w:r>
        <w:tab/>
      </w:r>
      <w:r>
        <w:tab/>
        <w:t xml:space="preserve">This Part amends the </w:t>
      </w:r>
      <w:r>
        <w:rPr>
          <w:i/>
        </w:rPr>
        <w:t>Residential Tenancies Act 1987</w:t>
      </w:r>
      <w:r>
        <w:t>.</w:t>
      </w:r>
    </w:p>
    <w:p>
      <w:pPr>
        <w:pStyle w:val="Heading5"/>
      </w:pPr>
      <w:bookmarkStart w:id="143" w:name="_Toc38549770"/>
      <w:r>
        <w:rPr>
          <w:rStyle w:val="CharSectno"/>
        </w:rPr>
        <w:t>78</w:t>
      </w:r>
      <w:r>
        <w:t>.</w:t>
      </w:r>
      <w:r>
        <w:tab/>
        <w:t>Section 82E amended</w:t>
      </w:r>
      <w:bookmarkEnd w:id="143"/>
    </w:p>
    <w:p>
      <w:pPr>
        <w:pStyle w:val="Subsection"/>
      </w:pPr>
      <w:r>
        <w:tab/>
      </w:r>
      <w:r>
        <w:tab/>
        <w:t>After section 82E(1)(b) insert:</w:t>
      </w:r>
    </w:p>
    <w:p>
      <w:pPr>
        <w:pStyle w:val="BlankOpen"/>
      </w:pPr>
    </w:p>
    <w:p>
      <w:pPr>
        <w:pStyle w:val="zIndenta"/>
      </w:pPr>
      <w:r>
        <w:tab/>
        <w:t>(ba)</w:t>
      </w:r>
      <w:r>
        <w:tab/>
        <w:t xml:space="preserve">the breach does not consist of, or relate to — </w:t>
      </w:r>
    </w:p>
    <w:p>
      <w:pPr>
        <w:pStyle w:val="z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zIndenti"/>
      </w:pPr>
      <w:r>
        <w:tab/>
        <w:t>(ii)</w:t>
      </w:r>
      <w:r>
        <w:tab/>
        <w:t>any other matter relating to the effects of the COVID</w:t>
      </w:r>
      <w:r>
        <w:noBreakHyphen/>
        <w:t>19 pandemic prescribed by regulations;</w:t>
      </w:r>
    </w:p>
    <w:p>
      <w:pPr>
        <w:pStyle w:val="zIndenta"/>
      </w:pPr>
      <w:r>
        <w:tab/>
      </w:r>
      <w:r>
        <w:tab/>
        <w:t>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44" w:name="_Toc38545036"/>
      <w:bookmarkStart w:id="145" w:name="_Toc38549416"/>
      <w:bookmarkStart w:id="146" w:name="_Toc38549771"/>
      <w:bookmarkStart w:id="147" w:name="_Toc38543091"/>
      <w:r>
        <w:t>Notes</w:t>
      </w:r>
      <w:bookmarkEnd w:id="144"/>
      <w:bookmarkEnd w:id="145"/>
      <w:bookmarkEnd w:id="146"/>
    </w:p>
    <w:p>
      <w:pPr>
        <w:pStyle w:val="nStatement"/>
      </w:pPr>
      <w:r>
        <w:t xml:space="preserve">This is a compilation of the </w:t>
      </w:r>
      <w:r>
        <w:rPr>
          <w:i/>
          <w:noProof/>
        </w:rPr>
        <w:t>Residential Tenancies (COVID-19 Response) Act 2020</w:t>
      </w:r>
      <w:r>
        <w:t>. For provisions that have come into operation see the compilation table. For provisions that have not yet come into operation see the uncommenced provisions table.</w:t>
      </w:r>
    </w:p>
    <w:p>
      <w:pPr>
        <w:pStyle w:val="nHeading3"/>
      </w:pPr>
      <w:bookmarkStart w:id="148" w:name="_Toc38549772"/>
      <w:r>
        <w:t>Compilation table</w:t>
      </w:r>
      <w:bookmarkEnd w:id="1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Residential Tenancies (COVID-19 Response) Act 2020</w:t>
            </w:r>
            <w:r>
              <w:rPr>
                <w:noProof/>
              </w:rPr>
              <w:t xml:space="preserve"> </w:t>
            </w:r>
            <w:r>
              <w:t>Act other than s. 1, 2, 14(3)(b) and (4)-(7), 26, 27(3)(b) and (4)-(7), 44 and Pt. 4 Div. 3-5</w:t>
            </w:r>
          </w:p>
        </w:tc>
        <w:tc>
          <w:tcPr>
            <w:tcW w:w="1134" w:type="dxa"/>
          </w:tcPr>
          <w:p>
            <w:pPr>
              <w:pStyle w:val="nTable"/>
              <w:spacing w:after="40"/>
            </w:pPr>
            <w:r>
              <w:t>18 of 2020</w:t>
            </w:r>
          </w:p>
        </w:tc>
        <w:tc>
          <w:tcPr>
            <w:tcW w:w="1134" w:type="dxa"/>
          </w:tcPr>
          <w:p>
            <w:pPr>
              <w:pStyle w:val="nTable"/>
              <w:spacing w:after="40"/>
            </w:pPr>
            <w:r>
              <w:t>23 Apr 2020</w:t>
            </w:r>
          </w:p>
        </w:tc>
        <w:tc>
          <w:tcPr>
            <w:tcW w:w="2552" w:type="dxa"/>
          </w:tcPr>
          <w:p>
            <w:pPr>
              <w:pStyle w:val="nTable"/>
              <w:spacing w:after="40"/>
            </w:pPr>
            <w:r>
              <w:t>30 Mar 2020 (see s. 2(d))</w:t>
            </w:r>
          </w:p>
        </w:tc>
      </w:tr>
    </w:tbl>
    <w:p>
      <w:pPr>
        <w:pStyle w:val="nHeading3"/>
      </w:pPr>
      <w:bookmarkStart w:id="149" w:name="_Toc38549773"/>
      <w:r>
        <w:t>Uncommenced provisions table</w:t>
      </w:r>
      <w:bookmarkEnd w:id="14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Residential Tenancies (COVID-19 Response) Act 2020</w:t>
            </w:r>
            <w:r>
              <w:t xml:space="preserve"> s. 1, 2, 14(3)(b) and (4)-(7), 26, 27(3)(b) and (4)-(7), 44 and Pt. 4 Div. 3-5</w:t>
            </w:r>
          </w:p>
        </w:tc>
        <w:tc>
          <w:tcPr>
            <w:tcW w:w="1134" w:type="dxa"/>
          </w:tcPr>
          <w:p>
            <w:pPr>
              <w:pStyle w:val="nTable"/>
              <w:spacing w:after="40"/>
            </w:pPr>
            <w:r>
              <w:t>18 of 2020</w:t>
            </w:r>
          </w:p>
        </w:tc>
        <w:tc>
          <w:tcPr>
            <w:tcW w:w="1134" w:type="dxa"/>
          </w:tcPr>
          <w:p>
            <w:pPr>
              <w:pStyle w:val="nTable"/>
              <w:spacing w:after="40"/>
            </w:pPr>
            <w:r>
              <w:t>23 Apr 2020</w:t>
            </w:r>
          </w:p>
        </w:tc>
        <w:tc>
          <w:tcPr>
            <w:tcW w:w="2552" w:type="dxa"/>
          </w:tcPr>
          <w:p>
            <w:pPr>
              <w:pStyle w:val="nTable"/>
              <w:spacing w:after="40"/>
            </w:pPr>
            <w:r>
              <w:t>s. 1 and 2: 23 Apr 2020 (see s. 2(a));</w:t>
            </w:r>
            <w:r>
              <w:br/>
              <w:t>s. 26 and 44: 24 Apr 2020 (see s. 2(b));</w:t>
            </w:r>
            <w:r>
              <w:br/>
              <w:t>s. 14(3)(b) and (4)-(7), 27(3)(b) and (4)-(7) and Pt. 4 Div. 3-5: to be proclaimed (see s. 2(c))</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51" w:name="_Toc38549419"/>
      <w:bookmarkStart w:id="152" w:name="_Toc38549774"/>
      <w:bookmarkEnd w:id="147"/>
      <w:r>
        <w:rPr>
          <w:sz w:val="28"/>
        </w:rPr>
        <w:t>Defined terms</w:t>
      </w:r>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30</w:t>
      </w:r>
      <w:r>
        <w:noBreakHyphen/>
        <w:t>day period</w:t>
      </w:r>
      <w:r>
        <w:tab/>
        <w:t>10(3)</w:t>
      </w:r>
    </w:p>
    <w:p>
      <w:pPr>
        <w:pStyle w:val="DefinedTerms"/>
      </w:pPr>
      <w:r>
        <w:t>accommodation agreement</w:t>
      </w:r>
      <w:r>
        <w:tab/>
        <w:t>3(1)</w:t>
      </w:r>
    </w:p>
    <w:p>
      <w:pPr>
        <w:pStyle w:val="DefinedTerms"/>
      </w:pPr>
      <w:r>
        <w:t>applicable agreement</w:t>
      </w:r>
      <w:r>
        <w:tab/>
        <w:t>45</w:t>
      </w:r>
    </w:p>
    <w:p>
      <w:pPr>
        <w:pStyle w:val="DefinedTerms"/>
      </w:pPr>
      <w:r>
        <w:t>assent day</w:t>
      </w:r>
      <w:r>
        <w:tab/>
        <w:t>2, 3(1)</w:t>
      </w:r>
    </w:p>
    <w:p>
      <w:pPr>
        <w:pStyle w:val="DefinedTerms"/>
      </w:pPr>
      <w:r>
        <w:t>boarder</w:t>
      </w:r>
      <w:r>
        <w:tab/>
        <w:t>3(1)</w:t>
      </w:r>
    </w:p>
    <w:p>
      <w:pPr>
        <w:pStyle w:val="DefinedTerms"/>
      </w:pPr>
      <w:r>
        <w:t>Commissioner</w:t>
      </w:r>
      <w:r>
        <w:tab/>
        <w:t>3(1)</w:t>
      </w:r>
    </w:p>
    <w:p>
      <w:pPr>
        <w:pStyle w:val="DefinedTerms"/>
      </w:pPr>
      <w:r>
        <w:t>deciding entity</w:t>
      </w:r>
      <w:r>
        <w:tab/>
        <w:t>19(1)</w:t>
      </w:r>
    </w:p>
    <w:p>
      <w:pPr>
        <w:pStyle w:val="DefinedTerms"/>
      </w:pPr>
      <w:r>
        <w:t>emergency period</w:t>
      </w:r>
      <w:r>
        <w:tab/>
        <w:t>3(1), 4</w:t>
      </w:r>
    </w:p>
    <w:p>
      <w:pPr>
        <w:pStyle w:val="DefinedTerms"/>
      </w:pPr>
      <w:r>
        <w:t>expiry day</w:t>
      </w:r>
      <w:r>
        <w:tab/>
        <w:t>12(1), 25(1)</w:t>
      </w:r>
    </w:p>
    <w:p>
      <w:pPr>
        <w:pStyle w:val="DefinedTerms"/>
      </w:pPr>
      <w:r>
        <w:t>former agreement</w:t>
      </w:r>
      <w:r>
        <w:tab/>
        <w:t>10(1), 23(1)</w:t>
      </w:r>
    </w:p>
    <w:p>
      <w:pPr>
        <w:pStyle w:val="DefinedTerms"/>
      </w:pPr>
      <w:r>
        <w:t>landlord</w:t>
      </w:r>
      <w:r>
        <w:tab/>
        <w:t>3(1)</w:t>
      </w:r>
    </w:p>
    <w:p>
      <w:pPr>
        <w:pStyle w:val="DefinedTerms"/>
      </w:pPr>
      <w:r>
        <w:t>lodger</w:t>
      </w:r>
      <w:r>
        <w:tab/>
        <w:t>3(1)</w:t>
      </w:r>
    </w:p>
    <w:p>
      <w:pPr>
        <w:pStyle w:val="DefinedTerms"/>
      </w:pPr>
      <w:r>
        <w:t>long</w:t>
      </w:r>
      <w:r>
        <w:noBreakHyphen/>
        <w:t>stay agreement</w:t>
      </w:r>
      <w:r>
        <w:tab/>
        <w:t>3(1)</w:t>
      </w:r>
    </w:p>
    <w:p>
      <w:pPr>
        <w:pStyle w:val="DefinedTerms"/>
      </w:pPr>
      <w:r>
        <w:t>maintenance term</w:t>
      </w:r>
      <w:r>
        <w:tab/>
        <w:t>11(1)</w:t>
      </w:r>
    </w:p>
    <w:p>
      <w:pPr>
        <w:pStyle w:val="DefinedTerms"/>
      </w:pPr>
      <w:r>
        <w:t>new agreement</w:t>
      </w:r>
      <w:r>
        <w:tab/>
        <w:t>10(1), 23(1)</w:t>
      </w:r>
    </w:p>
    <w:p>
      <w:pPr>
        <w:pStyle w:val="DefinedTerms"/>
      </w:pPr>
      <w:r>
        <w:t>notice of increase of rent</w:t>
      </w:r>
      <w:r>
        <w:tab/>
        <w:t>8(1)</w:t>
      </w:r>
    </w:p>
    <w:p>
      <w:pPr>
        <w:pStyle w:val="DefinedTerms"/>
      </w:pPr>
      <w:r>
        <w:t>outstanding rent</w:t>
      </w:r>
      <w:r>
        <w:tab/>
        <w:t>15(1), 28(1)</w:t>
      </w:r>
    </w:p>
    <w:p>
      <w:pPr>
        <w:pStyle w:val="DefinedTerms"/>
      </w:pPr>
      <w:r>
        <w:t>owner</w:t>
      </w:r>
      <w:r>
        <w:tab/>
        <w:t>3(1)</w:t>
      </w:r>
    </w:p>
    <w:p>
      <w:pPr>
        <w:pStyle w:val="DefinedTerms"/>
      </w:pPr>
      <w:r>
        <w:t>party</w:t>
      </w:r>
      <w:r>
        <w:tab/>
        <w:t>45</w:t>
      </w:r>
    </w:p>
    <w:p>
      <w:pPr>
        <w:pStyle w:val="DefinedTerms"/>
      </w:pPr>
      <w:r>
        <w:t>pre</w:t>
      </w:r>
      <w:r>
        <w:noBreakHyphen/>
        <w:t>assent emergency period</w:t>
      </w:r>
      <w:r>
        <w:tab/>
        <w:t>67</w:t>
      </w:r>
    </w:p>
    <w:p>
      <w:pPr>
        <w:pStyle w:val="DefinedTerms"/>
      </w:pPr>
      <w:r>
        <w:t>publication day</w:t>
      </w:r>
      <w:r>
        <w:tab/>
        <w:t>76(1)</w:t>
      </w:r>
    </w:p>
    <w:p>
      <w:pPr>
        <w:pStyle w:val="DefinedTerms"/>
      </w:pPr>
      <w:r>
        <w:t>relevant dispute</w:t>
      </w:r>
      <w:r>
        <w:tab/>
        <w:t>45, 46(1) and (2)</w:t>
      </w:r>
    </w:p>
    <w:p>
      <w:pPr>
        <w:pStyle w:val="DefinedTerms"/>
      </w:pPr>
      <w:r>
        <w:t>remedial notice</w:t>
      </w:r>
      <w:r>
        <w:tab/>
        <w:t>19(3), 32(3)</w:t>
      </w:r>
    </w:p>
    <w:p>
      <w:pPr>
        <w:pStyle w:val="DefinedTerms"/>
      </w:pPr>
      <w:r>
        <w:t>remedial period</w:t>
      </w:r>
      <w:r>
        <w:tab/>
        <w:t>19(1), 32(1)</w:t>
      </w:r>
    </w:p>
    <w:p>
      <w:pPr>
        <w:pStyle w:val="DefinedTerms"/>
      </w:pPr>
      <w:r>
        <w:t>rent default notice</w:t>
      </w:r>
      <w:r>
        <w:tab/>
        <w:t>14(1), 27(1)</w:t>
      </w:r>
    </w:p>
    <w:p>
      <w:pPr>
        <w:pStyle w:val="DefinedTerms"/>
      </w:pPr>
      <w:r>
        <w:t>rent repayment agreement</w:t>
      </w:r>
      <w:r>
        <w:tab/>
        <w:t>14(1), 19(1), 27(1), 32(1)</w:t>
      </w:r>
    </w:p>
    <w:p>
      <w:pPr>
        <w:pStyle w:val="DefinedTerms"/>
      </w:pPr>
      <w:r>
        <w:t>resident</w:t>
      </w:r>
      <w:r>
        <w:tab/>
        <w:t>3(1)</w:t>
      </w:r>
    </w:p>
    <w:p>
      <w:pPr>
        <w:pStyle w:val="DefinedTerms"/>
      </w:pPr>
      <w:r>
        <w:t>residential tenancy agreement</w:t>
      </w:r>
      <w:r>
        <w:tab/>
        <w:t>3(1)</w:t>
      </w:r>
    </w:p>
    <w:p>
      <w:pPr>
        <w:pStyle w:val="DefinedTerms"/>
      </w:pPr>
      <w:r>
        <w:t>specified</w:t>
      </w:r>
      <w:r>
        <w:tab/>
        <w:t>76(1)</w:t>
      </w:r>
    </w:p>
    <w:p>
      <w:pPr>
        <w:pStyle w:val="DefinedTerms"/>
      </w:pPr>
      <w:r>
        <w:t>specified day</w:t>
      </w:r>
      <w:r>
        <w:tab/>
        <w:t>67</w:t>
      </w:r>
    </w:p>
    <w:p>
      <w:pPr>
        <w:pStyle w:val="DefinedTerms"/>
      </w:pPr>
      <w:r>
        <w:t>submission</w:t>
      </w:r>
      <w:r>
        <w:tab/>
        <w:t>45</w:t>
      </w:r>
    </w:p>
    <w:p>
      <w:pPr>
        <w:pStyle w:val="DefinedTerms"/>
      </w:pPr>
      <w:r>
        <w:t>tenancy</w:t>
      </w:r>
      <w:r>
        <w:tab/>
        <w:t>3(1)</w:t>
      </w:r>
    </w:p>
    <w:p>
      <w:pPr>
        <w:pStyle w:val="DefinedTerms"/>
      </w:pPr>
      <w:r>
        <w:t>tenancy Act</w:t>
      </w:r>
      <w:r>
        <w:tab/>
        <w:t>3(1)</w:t>
      </w:r>
    </w:p>
    <w:p>
      <w:pPr>
        <w:pStyle w:val="DefinedTerms"/>
      </w:pPr>
      <w:r>
        <w:t>tenancy agreement</w:t>
      </w:r>
      <w:r>
        <w:tab/>
        <w:t>3(1)</w:t>
      </w:r>
    </w:p>
    <w:p>
      <w:pPr>
        <w:pStyle w:val="DefinedTerms"/>
      </w:pPr>
      <w:r>
        <w:t>tenant</w:t>
      </w:r>
      <w:r>
        <w:tab/>
        <w:t>3(1)</w:t>
      </w:r>
    </w:p>
    <w:p>
      <w:pPr>
        <w:pStyle w:val="DefinedTerms"/>
      </w:pPr>
      <w:r>
        <w:t>termination event</w:t>
      </w:r>
      <w:r>
        <w:tab/>
        <w:t>69(1)</w:t>
      </w:r>
    </w:p>
    <w:p>
      <w:pPr>
        <w:pStyle w:val="DefinedTerms"/>
      </w:pPr>
      <w:r>
        <w:t>transitional matter</w:t>
      </w:r>
      <w:r>
        <w:tab/>
        <w:t>76(1)</w:t>
      </w:r>
    </w:p>
    <w:p>
      <w:pPr>
        <w:pStyle w:val="DefinedTerms"/>
      </w:pPr>
      <w:r>
        <w:t>transitional regulations</w:t>
      </w:r>
      <w:r>
        <w:tab/>
        <w:t>76(1)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rPr>
          <w:sz w:val="24"/>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359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1093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093723_GUID" w:val="47764070-99cf-4f93-abd8-8ded89048e6a"/>
    <w:docVar w:name="WAFER_2020041412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4124608_GUID" w:val="ba527302-e71f-4f52-933a-6119b613348e"/>
    <w:docVar w:name="WAFER_2020041509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5091409_GUID" w:val="fa8785ab-35fe-4515-a190-c34316f78e5e"/>
    <w:docVar w:name="WAFER_20200423135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929_GUID" w:val="9a101bab-e052-41b2-9223-f909f7e43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FA91-C8F3-45AD-A8B1-B7EAC0B6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11022</Words>
  <Characters>55662</Characters>
  <Application>Microsoft Office Word</Application>
  <DocSecurity>0</DocSecurity>
  <Lines>1590</Lines>
  <Paragraphs>913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65771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Response) Act 2020 - 00-a0-00</dc:title>
  <dc:subject/>
  <dc:creator/>
  <cp:keywords/>
  <dc:description/>
  <cp:lastModifiedBy>svcMRProcess</cp:lastModifiedBy>
  <cp:revision>4</cp:revision>
  <cp:lastPrinted>2020-04-23T03:06:00Z</cp:lastPrinted>
  <dcterms:created xsi:type="dcterms:W3CDTF">2020-04-23T08:02:00Z</dcterms:created>
  <dcterms:modified xsi:type="dcterms:W3CDTF">2020-04-23T08:02:00Z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2848</vt:lpwstr>
  </property>
  <property fmtid="{D5CDD505-2E9C-101B-9397-08002B2CF9AE}" pid="3" name="ActNo">
    <vt:lpwstr>18 of 2020</vt:lpwstr>
  </property>
  <property fmtid="{D5CDD505-2E9C-101B-9397-08002B2CF9AE}" pid="4" name="DocumentType">
    <vt:lpwstr>Act</vt:lpwstr>
  </property>
  <property fmtid="{D5CDD505-2E9C-101B-9397-08002B2CF9AE}" pid="5" name="AsAtDate">
    <vt:lpwstr>30 Mar 2020</vt:lpwstr>
  </property>
  <property fmtid="{D5CDD505-2E9C-101B-9397-08002B2CF9AE}" pid="6" name="Suffix">
    <vt:lpwstr>00-a0-00</vt:lpwstr>
  </property>
  <property fmtid="{D5CDD505-2E9C-101B-9397-08002B2CF9AE}" pid="7" name="CommencementDate">
    <vt:lpwstr>20200330</vt:lpwstr>
  </property>
</Properties>
</file>