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Retirement Villages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Retirement Villages Regulations 1992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_Toc38529448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_Toc38529449 \h </w:instrText>
      </w:r>
      <w:r>
        <w:fldChar w:fldCharType="separate"/>
      </w:r>
      <w:r>
        <w:t>1</w:t>
      </w:r>
      <w:r>
        <w:fldChar w:fldCharType="end"/>
      </w:r>
    </w:p>
    <w:p>
      <w:pPr>
        <w:pStyle w:val="TOC8"/>
        <w:rPr>
          <w:rFonts w:asciiTheme="minorHAnsi" w:eastAsiaTheme="minorEastAsia" w:hAnsiTheme="minorHAnsi" w:cstheme="minorBidi"/>
          <w:szCs w:val="22"/>
        </w:rPr>
      </w:pPr>
      <w:r>
        <w:t>3A.</w:t>
      </w:r>
      <w:r>
        <w:tab/>
        <w:t>Payments excluded from premium</w:t>
      </w:r>
      <w:r>
        <w:tab/>
      </w:r>
      <w:r>
        <w:fldChar w:fldCharType="begin"/>
      </w:r>
      <w:r>
        <w:instrText xml:space="preserve"> PAGEREF _Toc38529450 \h </w:instrText>
      </w:r>
      <w:r>
        <w:fldChar w:fldCharType="separate"/>
      </w:r>
      <w:r>
        <w:t>1</w:t>
      </w:r>
      <w:r>
        <w:fldChar w:fldCharType="end"/>
      </w:r>
    </w:p>
    <w:p>
      <w:pPr>
        <w:pStyle w:val="TOC8"/>
        <w:rPr>
          <w:rFonts w:asciiTheme="minorHAnsi" w:eastAsiaTheme="minorEastAsia" w:hAnsiTheme="minorHAnsi" w:cstheme="minorBidi"/>
          <w:szCs w:val="22"/>
        </w:rPr>
      </w:pPr>
      <w:r>
        <w:t>3.</w:t>
      </w:r>
      <w:r>
        <w:tab/>
        <w:t>Memorial prescribed information</w:t>
      </w:r>
      <w:r>
        <w:tab/>
      </w:r>
      <w:r>
        <w:fldChar w:fldCharType="begin"/>
      </w:r>
      <w:r>
        <w:instrText xml:space="preserve"> PAGEREF _Toc38529451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Residence contracts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_Toc38529454 \h </w:instrText>
      </w:r>
      <w:r>
        <w:fldChar w:fldCharType="separate"/>
      </w:r>
      <w:r>
        <w:t>3</w:t>
      </w:r>
      <w:r>
        <w:fldChar w:fldCharType="end"/>
      </w:r>
    </w:p>
    <w:p>
      <w:pPr>
        <w:pStyle w:val="TOC8"/>
        <w:rPr>
          <w:rFonts w:asciiTheme="minorHAnsi" w:eastAsiaTheme="minorEastAsia" w:hAnsiTheme="minorHAnsi" w:cstheme="minorBidi"/>
          <w:szCs w:val="22"/>
        </w:rPr>
      </w:pPr>
      <w:r>
        <w:t>4B.</w:t>
      </w:r>
      <w:r>
        <w:tab/>
        <w:t>Form of residence contract</w:t>
      </w:r>
      <w:r>
        <w:tab/>
      </w:r>
      <w:r>
        <w:fldChar w:fldCharType="begin"/>
      </w:r>
      <w:r>
        <w:instrText xml:space="preserve"> PAGEREF _Toc38529455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Section 13 requirements</w:t>
      </w:r>
    </w:p>
    <w:p>
      <w:pPr>
        <w:pStyle w:val="TOC8"/>
        <w:rPr>
          <w:rFonts w:asciiTheme="minorHAnsi" w:eastAsiaTheme="minorEastAsia" w:hAnsiTheme="minorHAnsi" w:cstheme="minorBidi"/>
          <w:szCs w:val="22"/>
        </w:rPr>
      </w:pPr>
      <w:r>
        <w:t>4.</w:t>
      </w:r>
      <w:r>
        <w:tab/>
        <w:t>Section 13 statement</w:t>
      </w:r>
      <w:r>
        <w:tab/>
      </w:r>
      <w:r>
        <w:fldChar w:fldCharType="begin"/>
      </w:r>
      <w:r>
        <w:instrText xml:space="preserve"> PAGEREF _Toc38529457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Section 13 notice</w:t>
      </w:r>
      <w:r>
        <w:tab/>
      </w:r>
      <w:r>
        <w:fldChar w:fldCharType="begin"/>
      </w:r>
      <w:r>
        <w:instrText xml:space="preserve"> PAGEREF _Toc38529458 \h </w:instrText>
      </w:r>
      <w:r>
        <w:fldChar w:fldCharType="separate"/>
      </w:r>
      <w:r>
        <w:t>6</w:t>
      </w:r>
      <w:r>
        <w:fldChar w:fldCharType="end"/>
      </w:r>
    </w:p>
    <w:p>
      <w:pPr>
        <w:pStyle w:val="TOC8"/>
        <w:rPr>
          <w:rFonts w:asciiTheme="minorHAnsi" w:eastAsiaTheme="minorEastAsia" w:hAnsiTheme="minorHAnsi" w:cstheme="minorBidi"/>
          <w:szCs w:val="22"/>
        </w:rPr>
      </w:pPr>
      <w:r>
        <w:t>6.</w:t>
      </w:r>
      <w:r>
        <w:tab/>
        <w:t>Section 13 information</w:t>
      </w:r>
      <w:r>
        <w:tab/>
      </w:r>
      <w:r>
        <w:fldChar w:fldCharType="begin"/>
      </w:r>
      <w:r>
        <w:instrText xml:space="preserve"> PAGEREF _Toc38529459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Matters to be included in residence contract</w:t>
      </w:r>
    </w:p>
    <w:p>
      <w:pPr>
        <w:pStyle w:val="TOC8"/>
        <w:rPr>
          <w:rFonts w:asciiTheme="minorHAnsi" w:eastAsiaTheme="minorEastAsia" w:hAnsiTheme="minorHAnsi" w:cstheme="minorBidi"/>
          <w:szCs w:val="22"/>
        </w:rPr>
      </w:pPr>
      <w:r>
        <w:t>7A.</w:t>
      </w:r>
      <w:r>
        <w:tab/>
        <w:t>General matters to be included in residence contract</w:t>
      </w:r>
      <w:r>
        <w:tab/>
      </w:r>
      <w:r>
        <w:fldChar w:fldCharType="begin"/>
      </w:r>
      <w:r>
        <w:instrText xml:space="preserve"> PAGEREF _Toc38529461 \h </w:instrText>
      </w:r>
      <w:r>
        <w:fldChar w:fldCharType="separate"/>
      </w:r>
      <w:r>
        <w:t>7</w:t>
      </w:r>
      <w:r>
        <w:fldChar w:fldCharType="end"/>
      </w:r>
    </w:p>
    <w:p>
      <w:pPr>
        <w:pStyle w:val="TOC8"/>
        <w:rPr>
          <w:rFonts w:asciiTheme="minorHAnsi" w:eastAsiaTheme="minorEastAsia" w:hAnsiTheme="minorHAnsi" w:cstheme="minorBidi"/>
          <w:szCs w:val="22"/>
        </w:rPr>
      </w:pPr>
      <w:r>
        <w:t>7B.</w:t>
      </w:r>
      <w:r>
        <w:tab/>
        <w:t>Matters relating to personal amenities to be included in residence contract</w:t>
      </w:r>
      <w:r>
        <w:tab/>
      </w:r>
      <w:r>
        <w:fldChar w:fldCharType="begin"/>
      </w:r>
      <w:r>
        <w:instrText xml:space="preserve"> PAGEREF _Toc38529462 \h </w:instrText>
      </w:r>
      <w:r>
        <w:fldChar w:fldCharType="separate"/>
      </w:r>
      <w:r>
        <w:t>12</w:t>
      </w:r>
      <w:r>
        <w:fldChar w:fldCharType="end"/>
      </w:r>
    </w:p>
    <w:p>
      <w:pPr>
        <w:pStyle w:val="TOC8"/>
        <w:rPr>
          <w:rFonts w:asciiTheme="minorHAnsi" w:eastAsiaTheme="minorEastAsia" w:hAnsiTheme="minorHAnsi" w:cstheme="minorBidi"/>
          <w:szCs w:val="22"/>
        </w:rPr>
      </w:pPr>
      <w:r>
        <w:t>7C.</w:t>
      </w:r>
      <w:r>
        <w:tab/>
        <w:t>Matters relating to communal amenities to be included in residence contract</w:t>
      </w:r>
      <w:r>
        <w:tab/>
      </w:r>
      <w:r>
        <w:fldChar w:fldCharType="begin"/>
      </w:r>
      <w:r>
        <w:instrText xml:space="preserve"> PAGEREF _Toc38529463 \h </w:instrText>
      </w:r>
      <w:r>
        <w:fldChar w:fldCharType="separate"/>
      </w:r>
      <w:r>
        <w:t>14</w:t>
      </w:r>
      <w:r>
        <w:fldChar w:fldCharType="end"/>
      </w:r>
    </w:p>
    <w:p>
      <w:pPr>
        <w:pStyle w:val="TOC8"/>
        <w:rPr>
          <w:rFonts w:asciiTheme="minorHAnsi" w:eastAsiaTheme="minorEastAsia" w:hAnsiTheme="minorHAnsi" w:cstheme="minorBidi"/>
          <w:szCs w:val="22"/>
        </w:rPr>
      </w:pPr>
      <w:r>
        <w:t>7D.</w:t>
      </w:r>
      <w:r>
        <w:tab/>
        <w:t>Matters relating to personal services to be included in residence contract</w:t>
      </w:r>
      <w:r>
        <w:tab/>
      </w:r>
      <w:r>
        <w:fldChar w:fldCharType="begin"/>
      </w:r>
      <w:r>
        <w:instrText xml:space="preserve"> PAGEREF _Toc38529464 \h </w:instrText>
      </w:r>
      <w:r>
        <w:fldChar w:fldCharType="separate"/>
      </w:r>
      <w:r>
        <w:t>16</w:t>
      </w:r>
      <w:r>
        <w:fldChar w:fldCharType="end"/>
      </w:r>
    </w:p>
    <w:p>
      <w:pPr>
        <w:pStyle w:val="TOC8"/>
        <w:rPr>
          <w:rFonts w:asciiTheme="minorHAnsi" w:eastAsiaTheme="minorEastAsia" w:hAnsiTheme="minorHAnsi" w:cstheme="minorBidi"/>
          <w:szCs w:val="22"/>
        </w:rPr>
      </w:pPr>
      <w:r>
        <w:t>7E.</w:t>
      </w:r>
      <w:r>
        <w:tab/>
        <w:t>Matters relating to communal services to be included in residence contract</w:t>
      </w:r>
      <w:r>
        <w:tab/>
      </w:r>
      <w:r>
        <w:fldChar w:fldCharType="begin"/>
      </w:r>
      <w:r>
        <w:instrText xml:space="preserve"> PAGEREF _Toc38529465 \h </w:instrText>
      </w:r>
      <w:r>
        <w:fldChar w:fldCharType="separate"/>
      </w:r>
      <w:r>
        <w:t>19</w:t>
      </w:r>
      <w:r>
        <w:fldChar w:fldCharType="end"/>
      </w:r>
    </w:p>
    <w:p>
      <w:pPr>
        <w:pStyle w:val="TOC8"/>
        <w:rPr>
          <w:rFonts w:asciiTheme="minorHAnsi" w:eastAsiaTheme="minorEastAsia" w:hAnsiTheme="minorHAnsi" w:cstheme="minorBidi"/>
          <w:szCs w:val="22"/>
        </w:rPr>
      </w:pPr>
      <w:r>
        <w:lastRenderedPageBreak/>
        <w:t>7F.</w:t>
      </w:r>
      <w:r>
        <w:tab/>
        <w:t>Financial matters to be included in residence contract</w:t>
      </w:r>
      <w:r>
        <w:tab/>
      </w:r>
      <w:r>
        <w:fldChar w:fldCharType="begin"/>
      </w:r>
      <w:r>
        <w:instrText xml:space="preserve"> PAGEREF _Toc38529466 \h </w:instrText>
      </w:r>
      <w:r>
        <w:fldChar w:fldCharType="separate"/>
      </w:r>
      <w:r>
        <w:t>21</w:t>
      </w:r>
      <w:r>
        <w:fldChar w:fldCharType="end"/>
      </w:r>
    </w:p>
    <w:p>
      <w:pPr>
        <w:pStyle w:val="TOC8"/>
        <w:rPr>
          <w:rFonts w:asciiTheme="minorHAnsi" w:eastAsiaTheme="minorEastAsia" w:hAnsiTheme="minorHAnsi" w:cstheme="minorBidi"/>
          <w:szCs w:val="22"/>
        </w:rPr>
      </w:pPr>
      <w:r>
        <w:t>7G.</w:t>
      </w:r>
      <w:r>
        <w:tab/>
        <w:t>Matters relating to condition of premises to be included in residence contract</w:t>
      </w:r>
      <w:r>
        <w:tab/>
      </w:r>
      <w:r>
        <w:fldChar w:fldCharType="begin"/>
      </w:r>
      <w:r>
        <w:instrText xml:space="preserve"> PAGEREF _Toc38529467 \h </w:instrText>
      </w:r>
      <w:r>
        <w:fldChar w:fldCharType="separate"/>
      </w:r>
      <w:r>
        <w:t>26</w:t>
      </w:r>
      <w:r>
        <w:fldChar w:fldCharType="end"/>
      </w:r>
    </w:p>
    <w:p>
      <w:pPr>
        <w:pStyle w:val="TOC8"/>
        <w:rPr>
          <w:rFonts w:asciiTheme="minorHAnsi" w:eastAsiaTheme="minorEastAsia" w:hAnsiTheme="minorHAnsi" w:cstheme="minorBidi"/>
          <w:szCs w:val="22"/>
        </w:rPr>
      </w:pPr>
      <w:r>
        <w:t>7H.</w:t>
      </w:r>
      <w:r>
        <w:tab/>
        <w:t>Matters relating to urgent repairs to be included in residence contract</w:t>
      </w:r>
      <w:r>
        <w:tab/>
      </w:r>
      <w:r>
        <w:fldChar w:fldCharType="begin"/>
      </w:r>
      <w:r>
        <w:instrText xml:space="preserve"> PAGEREF _Toc38529468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Matters not to be included in residence contract</w:t>
      </w:r>
    </w:p>
    <w:p>
      <w:pPr>
        <w:pStyle w:val="TOC8"/>
        <w:rPr>
          <w:rFonts w:asciiTheme="minorHAnsi" w:eastAsiaTheme="minorEastAsia" w:hAnsiTheme="minorHAnsi" w:cstheme="minorBidi"/>
          <w:szCs w:val="22"/>
        </w:rPr>
      </w:pPr>
      <w:r>
        <w:t>7I.</w:t>
      </w:r>
      <w:r>
        <w:tab/>
        <w:t>Provisions relating to certain powers of attorney not be included in residence contract</w:t>
      </w:r>
      <w:r>
        <w:tab/>
      </w:r>
      <w:r>
        <w:fldChar w:fldCharType="begin"/>
      </w:r>
      <w:r>
        <w:instrText xml:space="preserve"> PAGEREF _Toc38529470 \h </w:instrText>
      </w:r>
      <w:r>
        <w:fldChar w:fldCharType="separate"/>
      </w:r>
      <w:r>
        <w:t>32</w:t>
      </w:r>
      <w:r>
        <w:fldChar w:fldCharType="end"/>
      </w:r>
    </w:p>
    <w:p>
      <w:pPr>
        <w:pStyle w:val="TOC8"/>
        <w:rPr>
          <w:rFonts w:asciiTheme="minorHAnsi" w:eastAsiaTheme="minorEastAsia" w:hAnsiTheme="minorHAnsi" w:cstheme="minorBidi"/>
          <w:szCs w:val="22"/>
        </w:rPr>
      </w:pPr>
      <w:r>
        <w:t>7J.</w:t>
      </w:r>
      <w:r>
        <w:tab/>
        <w:t>Matters relating to variation and notice not to be included in residence contract</w:t>
      </w:r>
      <w:r>
        <w:tab/>
      </w:r>
      <w:r>
        <w:fldChar w:fldCharType="begin"/>
      </w:r>
      <w:r>
        <w:instrText xml:space="preserve"> PAGEREF _Toc38529471 \h </w:instrText>
      </w:r>
      <w:r>
        <w:fldChar w:fldCharType="separate"/>
      </w:r>
      <w:r>
        <w:t>34</w:t>
      </w:r>
      <w:r>
        <w:fldChar w:fldCharType="end"/>
      </w:r>
    </w:p>
    <w:p>
      <w:pPr>
        <w:pStyle w:val="TOC8"/>
        <w:rPr>
          <w:rFonts w:asciiTheme="minorHAnsi" w:eastAsiaTheme="minorEastAsia" w:hAnsiTheme="minorHAnsi" w:cstheme="minorBidi"/>
          <w:szCs w:val="22"/>
        </w:rPr>
      </w:pPr>
      <w:r>
        <w:t>7K.</w:t>
      </w:r>
      <w:r>
        <w:tab/>
        <w:t>Financial matters not to be included in residence contract</w:t>
      </w:r>
      <w:r>
        <w:tab/>
      </w:r>
      <w:r>
        <w:fldChar w:fldCharType="begin"/>
      </w:r>
      <w:r>
        <w:instrText xml:space="preserve"> PAGEREF _Toc38529472 \h </w:instrText>
      </w:r>
      <w:r>
        <w:fldChar w:fldCharType="separate"/>
      </w:r>
      <w:r>
        <w:t>35</w:t>
      </w:r>
      <w:r>
        <w:fldChar w:fldCharType="end"/>
      </w:r>
    </w:p>
    <w:p>
      <w:pPr>
        <w:pStyle w:val="TOC8"/>
        <w:rPr>
          <w:rFonts w:asciiTheme="minorHAnsi" w:eastAsiaTheme="minorEastAsia" w:hAnsiTheme="minorHAnsi" w:cstheme="minorBidi"/>
          <w:szCs w:val="22"/>
        </w:rPr>
      </w:pPr>
      <w:r>
        <w:t>7L.</w:t>
      </w:r>
      <w:r>
        <w:tab/>
        <w:t>Application of section 6(2) of the Act</w:t>
      </w:r>
      <w:r>
        <w:tab/>
      </w:r>
      <w:r>
        <w:fldChar w:fldCharType="begin"/>
      </w:r>
      <w:r>
        <w:instrText xml:space="preserve"> PAGEREF _Toc38529473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3 — Abandoned goods</w:t>
      </w:r>
    </w:p>
    <w:p>
      <w:pPr>
        <w:pStyle w:val="TOC8"/>
        <w:rPr>
          <w:rFonts w:asciiTheme="minorHAnsi" w:eastAsiaTheme="minorEastAsia" w:hAnsiTheme="minorHAnsi" w:cstheme="minorBidi"/>
          <w:szCs w:val="22"/>
        </w:rPr>
      </w:pPr>
      <w:r>
        <w:t>7</w:t>
      </w:r>
      <w:r>
        <w:rPr>
          <w:snapToGrid w:val="0"/>
        </w:rPr>
        <w:t>.</w:t>
      </w:r>
      <w:r>
        <w:rPr>
          <w:snapToGrid w:val="0"/>
        </w:rPr>
        <w:tab/>
        <w:t>Disposal of abandoned goods</w:t>
      </w:r>
      <w:r>
        <w:tab/>
      </w:r>
      <w:r>
        <w:fldChar w:fldCharType="begin"/>
      </w:r>
      <w:r>
        <w:instrText xml:space="preserve"> PAGEREF _Toc38529475 \h </w:instrText>
      </w:r>
      <w:r>
        <w:fldChar w:fldCharType="separate"/>
      </w:r>
      <w:r>
        <w:t>37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Proceeds of sale of abandoned goods</w:t>
      </w:r>
      <w:r>
        <w:tab/>
      </w:r>
      <w:r>
        <w:fldChar w:fldCharType="begin"/>
      </w:r>
      <w:r>
        <w:instrText xml:space="preserve"> PAGEREF _Toc38529476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Other matters</w:t>
      </w:r>
    </w:p>
    <w:p>
      <w:pPr>
        <w:pStyle w:val="TOC8"/>
        <w:rPr>
          <w:rFonts w:asciiTheme="minorHAnsi" w:eastAsiaTheme="minorEastAsia" w:hAnsiTheme="minorHAnsi" w:cstheme="minorBidi"/>
          <w:szCs w:val="22"/>
        </w:rPr>
      </w:pPr>
      <w:r>
        <w:t>9.</w:t>
      </w:r>
      <w:r>
        <w:tab/>
        <w:t>Former resident’s liability to pay recurrent charges (Act s. 23(3))</w:t>
      </w:r>
      <w:r>
        <w:tab/>
      </w:r>
      <w:r>
        <w:fldChar w:fldCharType="begin"/>
      </w:r>
      <w:r>
        <w:instrText xml:space="preserve"> PAGEREF _Toc38529478 \h </w:instrText>
      </w:r>
      <w:r>
        <w:fldChar w:fldCharType="separate"/>
      </w:r>
      <w:r>
        <w:t>40</w:t>
      </w:r>
      <w:r>
        <w:fldChar w:fldCharType="end"/>
      </w:r>
    </w:p>
    <w:p>
      <w:pPr>
        <w:pStyle w:val="TOC8"/>
        <w:rPr>
          <w:rFonts w:asciiTheme="minorHAnsi" w:eastAsiaTheme="minorEastAsia" w:hAnsiTheme="minorHAnsi" w:cstheme="minorBidi"/>
          <w:szCs w:val="22"/>
        </w:rPr>
      </w:pPr>
      <w:r>
        <w:t>10.</w:t>
      </w:r>
      <w:r>
        <w:tab/>
        <w:t>Interest payable on recurrent charges (Act s. 24(5))</w:t>
      </w:r>
      <w:r>
        <w:tab/>
      </w:r>
      <w:r>
        <w:fldChar w:fldCharType="begin"/>
      </w:r>
      <w:r>
        <w:instrText xml:space="preserve"> PAGEREF _Toc38529479 \h </w:instrText>
      </w:r>
      <w:r>
        <w:fldChar w:fldCharType="separate"/>
      </w:r>
      <w:r>
        <w:t>43</w:t>
      </w:r>
      <w:r>
        <w:fldChar w:fldCharType="end"/>
      </w:r>
    </w:p>
    <w:p>
      <w:pPr>
        <w:pStyle w:val="TOC8"/>
        <w:rPr>
          <w:rFonts w:asciiTheme="minorHAnsi" w:eastAsiaTheme="minorEastAsia" w:hAnsiTheme="minorHAnsi" w:cstheme="minorBidi"/>
          <w:szCs w:val="22"/>
        </w:rPr>
      </w:pPr>
      <w:r>
        <w:t>11.</w:t>
      </w:r>
      <w:r>
        <w:tab/>
        <w:t>Matters in respect of which administering body is not to require payment (Act s. 25)</w:t>
      </w:r>
      <w:r>
        <w:tab/>
      </w:r>
      <w:r>
        <w:fldChar w:fldCharType="begin"/>
      </w:r>
      <w:r>
        <w:instrText xml:space="preserve"> PAGEREF _Toc38529480 \h </w:instrText>
      </w:r>
      <w:r>
        <w:fldChar w:fldCharType="separate"/>
      </w:r>
      <w:r>
        <w:t>44</w:t>
      </w:r>
      <w:r>
        <w:fldChar w:fldCharType="end"/>
      </w:r>
    </w:p>
    <w:p>
      <w:pPr>
        <w:pStyle w:val="TOC8"/>
        <w:rPr>
          <w:rFonts w:asciiTheme="minorHAnsi" w:eastAsiaTheme="minorEastAsia" w:hAnsiTheme="minorHAnsi" w:cstheme="minorBidi"/>
          <w:szCs w:val="22"/>
        </w:rPr>
      </w:pPr>
      <w:r>
        <w:t>12.</w:t>
      </w:r>
      <w:r>
        <w:tab/>
        <w:t>Exemption certificates (Act s. 77C)</w:t>
      </w:r>
      <w:r>
        <w:tab/>
      </w:r>
      <w:r>
        <w:fldChar w:fldCharType="begin"/>
      </w:r>
      <w:r>
        <w:instrText xml:space="preserve"> PAGEREF _Toc38529481 \h </w:instrText>
      </w:r>
      <w:r>
        <w:fldChar w:fldCharType="separate"/>
      </w:r>
      <w:r>
        <w:t>47</w:t>
      </w:r>
      <w:r>
        <w:fldChar w:fldCharType="end"/>
      </w:r>
    </w:p>
    <w:p>
      <w:pPr>
        <w:pStyle w:val="TOC8"/>
        <w:rPr>
          <w:rFonts w:asciiTheme="minorHAnsi" w:eastAsiaTheme="minorEastAsia" w:hAnsiTheme="minorHAnsi" w:cstheme="minorBidi"/>
          <w:szCs w:val="22"/>
        </w:rPr>
      </w:pPr>
      <w:r>
        <w:t>13.</w:t>
      </w:r>
      <w:r>
        <w:tab/>
        <w:t>Transitional provision — section 13 statement</w:t>
      </w:r>
      <w:r>
        <w:tab/>
      </w:r>
      <w:r>
        <w:fldChar w:fldCharType="begin"/>
      </w:r>
      <w:r>
        <w:instrText xml:space="preserve"> PAGEREF _Toc38529482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 — Provisions and matters that must be included in residence contracts</w:t>
      </w:r>
    </w:p>
    <w:p>
      <w:pPr>
        <w:pStyle w:val="TOC8"/>
        <w:rPr>
          <w:rFonts w:asciiTheme="minorHAnsi" w:eastAsiaTheme="minorEastAsia" w:hAnsiTheme="minorHAnsi" w:cstheme="minorBidi"/>
          <w:szCs w:val="22"/>
        </w:rPr>
      </w:pPr>
      <w:r>
        <w:t>1.</w:t>
      </w:r>
      <w:r>
        <w:tab/>
        <w:t>Statement on terms of access to aged care services</w:t>
      </w:r>
      <w:r>
        <w:tab/>
      </w:r>
      <w:r>
        <w:fldChar w:fldCharType="begin"/>
      </w:r>
      <w:r>
        <w:instrText xml:space="preserve"> PAGEREF _Toc38529486 \h </w:instrText>
      </w:r>
      <w:r>
        <w:fldChar w:fldCharType="separate"/>
      </w:r>
      <w:r>
        <w:t>116</w:t>
      </w:r>
      <w:r>
        <w:fldChar w:fldCharType="end"/>
      </w:r>
    </w:p>
    <w:p>
      <w:pPr>
        <w:pStyle w:val="TOC8"/>
        <w:rPr>
          <w:rFonts w:asciiTheme="minorHAnsi" w:eastAsiaTheme="minorEastAsia" w:hAnsiTheme="minorHAnsi" w:cstheme="minorBidi"/>
          <w:szCs w:val="22"/>
        </w:rPr>
      </w:pPr>
      <w:r>
        <w:t>2.</w:t>
      </w:r>
      <w:r>
        <w:tab/>
        <w:t>Notes</w:t>
      </w:r>
      <w:r>
        <w:tab/>
      </w:r>
      <w:r>
        <w:fldChar w:fldCharType="begin"/>
      </w:r>
      <w:r>
        <w:instrText xml:space="preserve"> PAGEREF _Toc38529487 \h </w:instrText>
      </w:r>
      <w:r>
        <w:fldChar w:fldCharType="separate"/>
      </w:r>
      <w:r>
        <w:t>117</w:t>
      </w:r>
      <w:r>
        <w:fldChar w:fldCharType="end"/>
      </w:r>
    </w:p>
    <w:p>
      <w:pPr>
        <w:pStyle w:val="TOC8"/>
        <w:rPr>
          <w:rFonts w:asciiTheme="minorHAnsi" w:eastAsiaTheme="minorEastAsia" w:hAnsiTheme="minorHAnsi" w:cstheme="minorBidi"/>
          <w:szCs w:val="22"/>
        </w:rPr>
      </w:pPr>
      <w:r>
        <w:t>3.</w:t>
      </w:r>
      <w:r>
        <w:tab/>
        <w:t>Statement about seeking independent legal and financial advice</w:t>
      </w:r>
      <w:r>
        <w:tab/>
      </w:r>
      <w:r>
        <w:fldChar w:fldCharType="begin"/>
      </w:r>
      <w:r>
        <w:instrText xml:space="preserve"> PAGEREF _Toc38529488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_Toc38529490 \h </w:instrText>
      </w:r>
      <w:r>
        <w:fldChar w:fldCharType="separate"/>
      </w:r>
      <w:r>
        <w:t>119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_Toc38529491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Retirement Villages Act 1992</w:t>
      </w:r>
    </w:p>
    <w:p>
      <w:pPr>
        <w:pStyle w:val="NameofActReg"/>
      </w:pPr>
      <w:r>
        <w:t>Retirement Villages Regulations 1992</w:t>
      </w:r>
    </w:p>
    <w:p>
      <w:pPr>
        <w:pStyle w:val="Heading2"/>
        <w:pageBreakBefore w:val="0"/>
      </w:pPr>
      <w:bookmarkStart w:id="3" w:name="_Toc38350716"/>
      <w:bookmarkStart w:id="4" w:name="_Toc38374947"/>
      <w:bookmarkStart w:id="5" w:name="_Toc38529167"/>
      <w:bookmarkStart w:id="6" w:name="_Toc38529447"/>
      <w:r>
        <w:rPr>
          <w:rStyle w:val="CharPartNo"/>
        </w:rPr>
        <w:t>Part 1</w:t>
      </w:r>
      <w:r>
        <w:rPr>
          <w:b w:val="0"/>
        </w:rPr>
        <w:t> </w:t>
      </w:r>
      <w:r>
        <w:t>—</w:t>
      </w:r>
      <w:r>
        <w:rPr>
          <w:b w:val="0"/>
        </w:rPr>
        <w:t> </w:t>
      </w:r>
      <w:r>
        <w:rPr>
          <w:rStyle w:val="CharPartText"/>
        </w:rPr>
        <w:t>Preliminary matters</w:t>
      </w:r>
      <w:bookmarkEnd w:id="3"/>
      <w:bookmarkEnd w:id="4"/>
      <w:bookmarkEnd w:id="5"/>
      <w:bookmarkEnd w:id="6"/>
    </w:p>
    <w:p>
      <w:pPr>
        <w:pStyle w:val="Footnoteheading"/>
      </w:pPr>
      <w:r>
        <w:tab/>
        <w:t>[Heading inserted: Gazette 24 Mar 2015 p. 993.]</w:t>
      </w:r>
    </w:p>
    <w:p>
      <w:pPr>
        <w:pStyle w:val="Heading5"/>
        <w:rPr>
          <w:snapToGrid w:val="0"/>
        </w:rPr>
      </w:pPr>
      <w:bookmarkStart w:id="7" w:name="_Toc38529448"/>
      <w:r>
        <w:rPr>
          <w:rStyle w:val="CharSectno"/>
        </w:rPr>
        <w:t>1</w:t>
      </w:r>
      <w:r>
        <w:rPr>
          <w:snapToGrid w:val="0"/>
        </w:rPr>
        <w:t>.</w:t>
      </w:r>
      <w:r>
        <w:rPr>
          <w:snapToGrid w:val="0"/>
        </w:rPr>
        <w:tab/>
        <w:t>Citation</w:t>
      </w:r>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rPr>
        <w:t>.</w:t>
      </w:r>
    </w:p>
    <w:p>
      <w:pPr>
        <w:pStyle w:val="Heading5"/>
        <w:rPr>
          <w:snapToGrid w:val="0"/>
        </w:rPr>
      </w:pPr>
      <w:bookmarkStart w:id="8" w:name="_Toc38529449"/>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p>
    <w:p>
      <w:pPr>
        <w:pStyle w:val="Heading5"/>
      </w:pPr>
      <w:bookmarkStart w:id="9" w:name="_Toc38529450"/>
      <w:r>
        <w:rPr>
          <w:rStyle w:val="CharSectno"/>
        </w:rPr>
        <w:t>3A</w:t>
      </w:r>
      <w:r>
        <w:t>.</w:t>
      </w:r>
      <w:r>
        <w:tab/>
        <w:t>Payments excluded from premium</w:t>
      </w:r>
      <w:bookmarkEnd w:id="9"/>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10" w:name="_Toc38529451"/>
      <w:r>
        <w:rPr>
          <w:rStyle w:val="CharSectno"/>
        </w:rPr>
        <w:t>3</w:t>
      </w:r>
      <w:r>
        <w:t>.</w:t>
      </w:r>
      <w:r>
        <w:tab/>
        <w:t>Memorial prescribed information</w:t>
      </w:r>
      <w:bookmarkEnd w:id="10"/>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11" w:name="_Toc38350721"/>
      <w:bookmarkStart w:id="12" w:name="_Toc38374952"/>
      <w:bookmarkStart w:id="13" w:name="_Toc38529172"/>
      <w:bookmarkStart w:id="14" w:name="_Toc38529452"/>
      <w:r>
        <w:rPr>
          <w:rStyle w:val="CharPartNo"/>
        </w:rPr>
        <w:t>Part 2</w:t>
      </w:r>
      <w:r>
        <w:rPr>
          <w:b w:val="0"/>
        </w:rPr>
        <w:t> </w:t>
      </w:r>
      <w:r>
        <w:t>—</w:t>
      </w:r>
      <w:r>
        <w:rPr>
          <w:b w:val="0"/>
        </w:rPr>
        <w:t> </w:t>
      </w:r>
      <w:r>
        <w:rPr>
          <w:rStyle w:val="CharPartText"/>
        </w:rPr>
        <w:t>Residence contracts</w:t>
      </w:r>
      <w:bookmarkEnd w:id="11"/>
      <w:bookmarkEnd w:id="12"/>
      <w:bookmarkEnd w:id="13"/>
      <w:bookmarkEnd w:id="14"/>
    </w:p>
    <w:p>
      <w:pPr>
        <w:pStyle w:val="Footnoteheading"/>
      </w:pPr>
      <w:r>
        <w:tab/>
        <w:t>[Heading inserted: Gazette 24 Mar 2015 p. 995.]</w:t>
      </w:r>
    </w:p>
    <w:p>
      <w:pPr>
        <w:pStyle w:val="Heading3"/>
      </w:pPr>
      <w:bookmarkStart w:id="15" w:name="_Toc38350722"/>
      <w:bookmarkStart w:id="16" w:name="_Toc38374953"/>
      <w:bookmarkStart w:id="17" w:name="_Toc38529173"/>
      <w:bookmarkStart w:id="18" w:name="_Toc38529453"/>
      <w:r>
        <w:rPr>
          <w:rStyle w:val="CharDivNo"/>
        </w:rPr>
        <w:t>Division 1</w:t>
      </w:r>
      <w:r>
        <w:t> — </w:t>
      </w:r>
      <w:r>
        <w:rPr>
          <w:rStyle w:val="CharDivText"/>
        </w:rPr>
        <w:t>Preliminary</w:t>
      </w:r>
      <w:bookmarkEnd w:id="15"/>
      <w:bookmarkEnd w:id="16"/>
      <w:bookmarkEnd w:id="17"/>
      <w:bookmarkEnd w:id="18"/>
    </w:p>
    <w:p>
      <w:pPr>
        <w:pStyle w:val="Footnoteheading"/>
      </w:pPr>
      <w:r>
        <w:tab/>
        <w:t>[Heading inserted: Gazette 24 Mar 2015 p. 995.]</w:t>
      </w:r>
    </w:p>
    <w:p>
      <w:pPr>
        <w:pStyle w:val="Heading5"/>
      </w:pPr>
      <w:bookmarkStart w:id="19" w:name="_Toc38529454"/>
      <w:r>
        <w:rPr>
          <w:rStyle w:val="CharSectno"/>
        </w:rPr>
        <w:t>4A</w:t>
      </w:r>
      <w:r>
        <w:t>.</w:t>
      </w:r>
      <w:r>
        <w:tab/>
        <w:t>Terms used</w:t>
      </w:r>
      <w:bookmarkEnd w:id="19"/>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Interim Code of Practice for Retirement Villages 2020</w:t>
      </w:r>
      <w:r>
        <w:t xml:space="preserve"> set out in the </w:t>
      </w:r>
      <w:r>
        <w:rPr>
          <w:i/>
        </w:rPr>
        <w:t xml:space="preserve">Fair Trading (Retirement Villages Interim Code) Regulations 2020 </w:t>
      </w:r>
      <w:r>
        <w:t>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Gazette 24 Mar 2015 p. 995</w:t>
      </w:r>
      <w:r>
        <w:noBreakHyphen/>
        <w:t>6; amended: Gazette 23 Mar 2016 p. 861</w:t>
      </w:r>
      <w:r>
        <w:noBreakHyphen/>
        <w:t>2; 28 Sep 2018 p. 3719; 22 Mar 2019 p. 935; 27 Sep 2019 p. 3497; SL 2020/22 r. 4.]</w:t>
      </w:r>
    </w:p>
    <w:p>
      <w:pPr>
        <w:pStyle w:val="Heading5"/>
        <w:pageBreakBefore/>
        <w:spacing w:before="0"/>
      </w:pPr>
      <w:bookmarkStart w:id="20" w:name="_Toc38529455"/>
      <w:r>
        <w:rPr>
          <w:rStyle w:val="CharSectno"/>
        </w:rPr>
        <w:t>4B</w:t>
      </w:r>
      <w:r>
        <w:t>.</w:t>
      </w:r>
      <w:r>
        <w:tab/>
        <w:t>Form of residence contract</w:t>
      </w:r>
      <w:bookmarkEnd w:id="20"/>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21" w:name="_Toc38350725"/>
      <w:bookmarkStart w:id="22" w:name="_Toc38374956"/>
      <w:bookmarkStart w:id="23" w:name="_Toc38529176"/>
      <w:bookmarkStart w:id="24" w:name="_Toc38529456"/>
      <w:r>
        <w:rPr>
          <w:rStyle w:val="CharDivNo"/>
        </w:rPr>
        <w:t>Division 2</w:t>
      </w:r>
      <w:r>
        <w:t> — </w:t>
      </w:r>
      <w:r>
        <w:rPr>
          <w:rStyle w:val="CharDivText"/>
        </w:rPr>
        <w:t>Section 13 requirements</w:t>
      </w:r>
      <w:bookmarkEnd w:id="21"/>
      <w:bookmarkEnd w:id="22"/>
      <w:bookmarkEnd w:id="23"/>
      <w:bookmarkEnd w:id="24"/>
    </w:p>
    <w:p>
      <w:pPr>
        <w:pStyle w:val="Footnoteheading"/>
      </w:pPr>
      <w:r>
        <w:tab/>
        <w:t>[Heading inserted: Gazette 24 Mar 2015 p. 997.]</w:t>
      </w:r>
    </w:p>
    <w:p>
      <w:pPr>
        <w:pStyle w:val="Heading5"/>
      </w:pPr>
      <w:bookmarkStart w:id="25" w:name="_Toc38529457"/>
      <w:r>
        <w:rPr>
          <w:rStyle w:val="CharSectno"/>
        </w:rPr>
        <w:t>4</w:t>
      </w:r>
      <w:r>
        <w:t>.</w:t>
      </w:r>
      <w:r>
        <w:tab/>
        <w:t>Section 13 statement</w:t>
      </w:r>
      <w:bookmarkEnd w:id="25"/>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26" w:name="_Toc38529458"/>
      <w:r>
        <w:rPr>
          <w:rStyle w:val="CharSectno"/>
        </w:rPr>
        <w:t>5</w:t>
      </w:r>
      <w:r>
        <w:rPr>
          <w:snapToGrid w:val="0"/>
        </w:rPr>
        <w:t>.</w:t>
      </w:r>
      <w:r>
        <w:rPr>
          <w:snapToGrid w:val="0"/>
        </w:rPr>
        <w:tab/>
        <w:t>Section 13 notice</w:t>
      </w:r>
      <w:bookmarkEnd w:id="26"/>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27" w:name="_Toc38529459"/>
      <w:r>
        <w:rPr>
          <w:rStyle w:val="CharSectno"/>
        </w:rPr>
        <w:t>6</w:t>
      </w:r>
      <w:r>
        <w:t>.</w:t>
      </w:r>
      <w:r>
        <w:tab/>
        <w:t>Section 13 information</w:t>
      </w:r>
      <w:bookmarkEnd w:id="27"/>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107(1).</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Gazette 24 Mar 2015 p. 997</w:t>
      </w:r>
      <w:r>
        <w:noBreakHyphen/>
        <w:t>9; amended: Gazette 31 Dec 2019 p. 4644.]</w:t>
      </w:r>
    </w:p>
    <w:p>
      <w:pPr>
        <w:pStyle w:val="Heading3"/>
      </w:pPr>
      <w:bookmarkStart w:id="28" w:name="_Toc38350729"/>
      <w:bookmarkStart w:id="29" w:name="_Toc38374960"/>
      <w:bookmarkStart w:id="30" w:name="_Toc38529180"/>
      <w:bookmarkStart w:id="31" w:name="_Toc38529460"/>
      <w:r>
        <w:rPr>
          <w:rStyle w:val="CharDivNo"/>
        </w:rPr>
        <w:t>Division 3</w:t>
      </w:r>
      <w:r>
        <w:t> — </w:t>
      </w:r>
      <w:r>
        <w:rPr>
          <w:rStyle w:val="CharDivText"/>
        </w:rPr>
        <w:t>Matters to be included in residence contract</w:t>
      </w:r>
      <w:bookmarkEnd w:id="28"/>
      <w:bookmarkEnd w:id="29"/>
      <w:bookmarkEnd w:id="30"/>
      <w:bookmarkEnd w:id="31"/>
    </w:p>
    <w:p>
      <w:pPr>
        <w:pStyle w:val="Footnoteheading"/>
      </w:pPr>
      <w:r>
        <w:tab/>
        <w:t>[Heading inserted: Gazette 24 Mar 2015 p. 999.]</w:t>
      </w:r>
    </w:p>
    <w:p>
      <w:pPr>
        <w:pStyle w:val="Heading5"/>
      </w:pPr>
      <w:bookmarkStart w:id="32" w:name="_Toc38529461"/>
      <w:r>
        <w:rPr>
          <w:rStyle w:val="CharSectno"/>
        </w:rPr>
        <w:t>7A</w:t>
      </w:r>
      <w:r>
        <w:t>.</w:t>
      </w:r>
      <w:r>
        <w:tab/>
        <w:t>General matters to be included in residence contract</w:t>
      </w:r>
      <w:bookmarkEnd w:id="32"/>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w:t>
      </w:r>
    </w:p>
    <w:p>
      <w:pPr>
        <w:pStyle w:val="Heading5"/>
      </w:pPr>
      <w:bookmarkStart w:id="33" w:name="_Toc38529462"/>
      <w:r>
        <w:rPr>
          <w:rStyle w:val="CharSectno"/>
        </w:rPr>
        <w:t>7B</w:t>
      </w:r>
      <w:r>
        <w:t>.</w:t>
      </w:r>
      <w:r>
        <w:tab/>
        <w:t>Matters relating to personal amenities to be included in residence contract</w:t>
      </w:r>
      <w:bookmarkEnd w:id="33"/>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34" w:name="_Toc38529463"/>
      <w:r>
        <w:rPr>
          <w:rStyle w:val="CharSectno"/>
        </w:rPr>
        <w:t>7C</w:t>
      </w:r>
      <w:r>
        <w:t>.</w:t>
      </w:r>
      <w:r>
        <w:tab/>
        <w:t>Matters relating to communal amenities to be included in residence contract</w:t>
      </w:r>
      <w:bookmarkEnd w:id="34"/>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35" w:name="_Toc38529464"/>
      <w:r>
        <w:rPr>
          <w:rStyle w:val="CharSectno"/>
        </w:rPr>
        <w:t>7D</w:t>
      </w:r>
      <w:r>
        <w:t>.</w:t>
      </w:r>
      <w:r>
        <w:tab/>
        <w:t>Matters relating to personal services to be included in residence contract</w:t>
      </w:r>
      <w:bookmarkEnd w:id="35"/>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36" w:name="_Toc38529465"/>
      <w:r>
        <w:rPr>
          <w:rStyle w:val="CharSectno"/>
        </w:rPr>
        <w:t>7E</w:t>
      </w:r>
      <w:r>
        <w:t>.</w:t>
      </w:r>
      <w:r>
        <w:tab/>
        <w:t>Matters relating to communal services to be included in residence contract</w:t>
      </w:r>
      <w:bookmarkEnd w:id="36"/>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ageBreakBefore/>
        <w:spacing w:before="0"/>
      </w:pPr>
      <w:bookmarkStart w:id="37" w:name="_Toc38529466"/>
      <w:r>
        <w:rPr>
          <w:rStyle w:val="CharSectno"/>
        </w:rPr>
        <w:t>7F</w:t>
      </w:r>
      <w:r>
        <w:t>.</w:t>
      </w:r>
      <w:r>
        <w:tab/>
        <w:t>Financial matters to be included in residence contract</w:t>
      </w:r>
      <w:bookmarkEnd w:id="37"/>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38" w:name="_Toc38529467"/>
      <w:r>
        <w:rPr>
          <w:rStyle w:val="CharSectno"/>
        </w:rPr>
        <w:t>7G</w:t>
      </w:r>
      <w:r>
        <w:t>.</w:t>
      </w:r>
      <w:r>
        <w:tab/>
        <w:t>Matters relating to condition of premises to be included in residence contract</w:t>
      </w:r>
      <w:bookmarkEnd w:id="38"/>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keepNext w:val="0"/>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39" w:name="_Toc38529468"/>
      <w:r>
        <w:rPr>
          <w:rStyle w:val="CharSectno"/>
        </w:rPr>
        <w:t>7H</w:t>
      </w:r>
      <w:r>
        <w:t>.</w:t>
      </w:r>
      <w:r>
        <w:tab/>
        <w:t>Matters relating to urgent repairs to be included in residence contract</w:t>
      </w:r>
      <w:bookmarkEnd w:id="39"/>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Gazette 24 Mar 2015 p. 1020</w:t>
      </w:r>
      <w:r>
        <w:noBreakHyphen/>
        <w:t>1.]</w:t>
      </w:r>
    </w:p>
    <w:p>
      <w:pPr>
        <w:pStyle w:val="Heading3"/>
      </w:pPr>
      <w:bookmarkStart w:id="40" w:name="_Toc38350738"/>
      <w:bookmarkStart w:id="41" w:name="_Toc38374969"/>
      <w:bookmarkStart w:id="42" w:name="_Toc38529189"/>
      <w:bookmarkStart w:id="43" w:name="_Toc38529469"/>
      <w:r>
        <w:rPr>
          <w:rStyle w:val="CharDivNo"/>
        </w:rPr>
        <w:t>Division 4</w:t>
      </w:r>
      <w:r>
        <w:t> — </w:t>
      </w:r>
      <w:r>
        <w:rPr>
          <w:rStyle w:val="CharDivText"/>
        </w:rPr>
        <w:t>Matters not to be included in residence contract</w:t>
      </w:r>
      <w:bookmarkEnd w:id="40"/>
      <w:bookmarkEnd w:id="41"/>
      <w:bookmarkEnd w:id="42"/>
      <w:bookmarkEnd w:id="43"/>
    </w:p>
    <w:p>
      <w:pPr>
        <w:pStyle w:val="Footnoteheading"/>
        <w:keepNext/>
      </w:pPr>
      <w:r>
        <w:tab/>
        <w:t>[Heading inserted: Gazette 24 Mar 2015 p. 1022.]</w:t>
      </w:r>
    </w:p>
    <w:p>
      <w:pPr>
        <w:pStyle w:val="Heading5"/>
      </w:pPr>
      <w:bookmarkStart w:id="44" w:name="_Toc38529470"/>
      <w:r>
        <w:rPr>
          <w:rStyle w:val="CharSectno"/>
        </w:rPr>
        <w:t>7I</w:t>
      </w:r>
      <w:r>
        <w:t>.</w:t>
      </w:r>
      <w:r>
        <w:tab/>
        <w:t>Provisions relating to certain powers of attorney not be included in residence contract</w:t>
      </w:r>
      <w:bookmarkEnd w:id="44"/>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45" w:name="_Toc38529471"/>
      <w:r>
        <w:rPr>
          <w:rStyle w:val="CharSectno"/>
        </w:rPr>
        <w:t>7J</w:t>
      </w:r>
      <w:r>
        <w:t>.</w:t>
      </w:r>
      <w:r>
        <w:tab/>
        <w:t>Matters relating to variation and notice not to be included in residence contract</w:t>
      </w:r>
      <w:bookmarkEnd w:id="45"/>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46" w:name="_Toc38529472"/>
      <w:r>
        <w:rPr>
          <w:rStyle w:val="CharSectno"/>
        </w:rPr>
        <w:t>7K</w:t>
      </w:r>
      <w:r>
        <w:t>.</w:t>
      </w:r>
      <w:r>
        <w:tab/>
        <w:t>Financial matters not to be included in residence contract</w:t>
      </w:r>
      <w:bookmarkEnd w:id="46"/>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47" w:name="_Toc38529473"/>
      <w:r>
        <w:rPr>
          <w:rStyle w:val="CharSectno"/>
        </w:rPr>
        <w:t>7L</w:t>
      </w:r>
      <w:r>
        <w:t>.</w:t>
      </w:r>
      <w:r>
        <w:tab/>
        <w:t>Application of section 6(2) of the Act</w:t>
      </w:r>
      <w:bookmarkEnd w:id="47"/>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48" w:name="_Toc38350743"/>
      <w:bookmarkStart w:id="49" w:name="_Toc38374974"/>
      <w:bookmarkStart w:id="50" w:name="_Toc38529194"/>
      <w:bookmarkStart w:id="51" w:name="_Toc38529474"/>
      <w:r>
        <w:rPr>
          <w:rStyle w:val="CharPartNo"/>
        </w:rPr>
        <w:t>Part 3</w:t>
      </w:r>
      <w:r>
        <w:rPr>
          <w:rStyle w:val="CharDivNo"/>
        </w:rPr>
        <w:t> </w:t>
      </w:r>
      <w:r>
        <w:t>—</w:t>
      </w:r>
      <w:r>
        <w:rPr>
          <w:rStyle w:val="CharDivText"/>
        </w:rPr>
        <w:t> </w:t>
      </w:r>
      <w:r>
        <w:rPr>
          <w:rStyle w:val="CharPartText"/>
        </w:rPr>
        <w:t>Abandoned goods</w:t>
      </w:r>
      <w:bookmarkEnd w:id="48"/>
      <w:bookmarkEnd w:id="49"/>
      <w:bookmarkEnd w:id="50"/>
      <w:bookmarkEnd w:id="51"/>
    </w:p>
    <w:p>
      <w:pPr>
        <w:pStyle w:val="Footnoteheading"/>
        <w:rPr>
          <w:snapToGrid w:val="0"/>
        </w:rPr>
      </w:pPr>
      <w:r>
        <w:tab/>
        <w:t>[Heading inserted: Gazette 24 Mar 2015 p. 1026.]</w:t>
      </w:r>
    </w:p>
    <w:p>
      <w:pPr>
        <w:pStyle w:val="Heading5"/>
        <w:rPr>
          <w:snapToGrid w:val="0"/>
        </w:rPr>
      </w:pPr>
      <w:bookmarkStart w:id="52" w:name="_Toc38529475"/>
      <w:r>
        <w:rPr>
          <w:rStyle w:val="CharSectno"/>
        </w:rPr>
        <w:t>7</w:t>
      </w:r>
      <w:r>
        <w:rPr>
          <w:snapToGrid w:val="0"/>
        </w:rPr>
        <w:t>.</w:t>
      </w:r>
      <w:r>
        <w:rPr>
          <w:snapToGrid w:val="0"/>
        </w:rPr>
        <w:tab/>
        <w:t>Disposal of abandoned goods</w:t>
      </w:r>
      <w:bookmarkEnd w:id="52"/>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53" w:name="_Toc38529476"/>
      <w:r>
        <w:rPr>
          <w:rStyle w:val="CharSectno"/>
        </w:rPr>
        <w:t>8</w:t>
      </w:r>
      <w:r>
        <w:rPr>
          <w:snapToGrid w:val="0"/>
        </w:rPr>
        <w:t>.</w:t>
      </w:r>
      <w:r>
        <w:rPr>
          <w:snapToGrid w:val="0"/>
        </w:rPr>
        <w:tab/>
        <w:t>Proceeds of sale of abandoned goods</w:t>
      </w:r>
      <w:bookmarkEnd w:id="53"/>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54" w:name="_Toc38350746"/>
      <w:bookmarkStart w:id="55" w:name="_Toc38374977"/>
      <w:bookmarkStart w:id="56" w:name="_Toc38529197"/>
      <w:bookmarkStart w:id="57" w:name="_Toc38529477"/>
      <w:r>
        <w:rPr>
          <w:rStyle w:val="CharPartNo"/>
        </w:rPr>
        <w:t>Part 4</w:t>
      </w:r>
      <w:r>
        <w:rPr>
          <w:b w:val="0"/>
        </w:rPr>
        <w:t> </w:t>
      </w:r>
      <w:r>
        <w:t>—</w:t>
      </w:r>
      <w:r>
        <w:rPr>
          <w:b w:val="0"/>
        </w:rPr>
        <w:t> </w:t>
      </w:r>
      <w:r>
        <w:rPr>
          <w:rStyle w:val="CharPartText"/>
        </w:rPr>
        <w:t>Other matters</w:t>
      </w:r>
      <w:bookmarkEnd w:id="54"/>
      <w:bookmarkEnd w:id="55"/>
      <w:bookmarkEnd w:id="56"/>
      <w:bookmarkEnd w:id="57"/>
    </w:p>
    <w:p>
      <w:pPr>
        <w:pStyle w:val="Footnoteheading"/>
      </w:pPr>
      <w:r>
        <w:tab/>
        <w:t>[Heading inserted: Gazette 24 Mar 2015 p. 1026.]</w:t>
      </w:r>
    </w:p>
    <w:p>
      <w:pPr>
        <w:pStyle w:val="Heading5"/>
      </w:pPr>
      <w:bookmarkStart w:id="58" w:name="_Toc38529478"/>
      <w:r>
        <w:rPr>
          <w:rStyle w:val="CharSectno"/>
        </w:rPr>
        <w:t>9</w:t>
      </w:r>
      <w:r>
        <w:t>.</w:t>
      </w:r>
      <w:r>
        <w:tab/>
        <w:t>Former resident’s liability to pay recurrent charges (Act s. 23(3))</w:t>
      </w:r>
      <w:bookmarkEnd w:id="5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59" w:name="_Toc38529479"/>
      <w:r>
        <w:rPr>
          <w:rStyle w:val="CharSectno"/>
        </w:rPr>
        <w:t>10</w:t>
      </w:r>
      <w:r>
        <w:t>.</w:t>
      </w:r>
      <w:r>
        <w:tab/>
        <w:t>Interest payable on recurrent charges (Act s. 24(5))</w:t>
      </w:r>
      <w:bookmarkEnd w:id="59"/>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60" w:name="_Toc38529480"/>
      <w:r>
        <w:rPr>
          <w:rStyle w:val="CharSectno"/>
        </w:rPr>
        <w:t>11</w:t>
      </w:r>
      <w:r>
        <w:t>.</w:t>
      </w:r>
      <w:r>
        <w:tab/>
        <w:t>Matters in respect of which administering body is not to require payment (Act s. 25)</w:t>
      </w:r>
      <w:bookmarkEnd w:id="6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61" w:name="_Toc38529481"/>
      <w:r>
        <w:rPr>
          <w:rStyle w:val="CharSectno"/>
        </w:rPr>
        <w:t>12</w:t>
      </w:r>
      <w:r>
        <w:t>.</w:t>
      </w:r>
      <w:r>
        <w:tab/>
        <w:t>Exemption certificates (Act s. 77C)</w:t>
      </w:r>
      <w:bookmarkEnd w:id="61"/>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$151.00.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 18 Jun 2019 p. 2113.]</w:t>
      </w:r>
    </w:p>
    <w:p>
      <w:pPr>
        <w:pStyle w:val="Heading5"/>
      </w:pPr>
      <w:bookmarkStart w:id="62" w:name="_Toc38529482"/>
      <w:r>
        <w:rPr>
          <w:rStyle w:val="CharSectno"/>
        </w:rPr>
        <w:t>13</w:t>
      </w:r>
      <w:r>
        <w:t>.</w:t>
      </w:r>
      <w:r>
        <w:tab/>
        <w:t>Transitional provision — section 13 statement</w:t>
      </w:r>
      <w:bookmarkEnd w:id="6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63" w:name="AautoSch"/>
      <w:bookmarkStart w:id="64" w:name="_Toc38350752"/>
      <w:bookmarkStart w:id="65" w:name="_Toc38374983"/>
      <w:bookmarkStart w:id="66" w:name="_Toc38529203"/>
      <w:bookmarkStart w:id="67" w:name="_Toc38529483"/>
      <w:bookmarkEnd w:id="63"/>
      <w:r>
        <w:rPr>
          <w:rStyle w:val="CharSchNo"/>
        </w:rPr>
        <w:t>Schedule 1</w:t>
      </w:r>
      <w:bookmarkEnd w:id="64"/>
      <w:bookmarkEnd w:id="65"/>
      <w:bookmarkEnd w:id="66"/>
      <w:bookmarkEnd w:id="67"/>
    </w:p>
    <w:p>
      <w:pPr>
        <w:pStyle w:val="yHeading2"/>
        <w:outlineLvl w:val="9"/>
        <w:rPr>
          <w:b w:val="0"/>
          <w:snapToGrid/>
          <w:sz w:val="24"/>
        </w:rPr>
      </w:pPr>
      <w:bookmarkStart w:id="68" w:name="_Toc38350753"/>
      <w:bookmarkStart w:id="69" w:name="_Toc38374984"/>
      <w:bookmarkStart w:id="70" w:name="_Toc38529204"/>
      <w:bookmarkStart w:id="71" w:name="_Toc38529484"/>
      <w:r>
        <w:rPr>
          <w:rStyle w:val="CharSchText"/>
        </w:rPr>
        <w:t>Forms</w:t>
      </w:r>
      <w:bookmarkEnd w:id="68"/>
      <w:bookmarkEnd w:id="69"/>
      <w:bookmarkEnd w:id="70"/>
      <w:bookmarkEnd w:id="71"/>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2"/>
              </w:numPr>
              <w:tabs>
                <w:tab w:val="clear" w:pos="567"/>
                <w:tab w:val="left" w:pos="394"/>
              </w:tabs>
              <w:ind w:left="408" w:hanging="374"/>
            </w:pPr>
            <w:r>
              <w:t>understand the enclosed information and its implications;</w:t>
            </w:r>
          </w:p>
          <w:p>
            <w:pPr>
              <w:pStyle w:val="yTableNAm"/>
              <w:numPr>
                <w:ilvl w:val="0"/>
                <w:numId w:val="22"/>
              </w:numPr>
              <w:tabs>
                <w:tab w:val="clear" w:pos="567"/>
                <w:tab w:val="left" w:pos="394"/>
              </w:tabs>
              <w:ind w:left="408" w:hanging="374"/>
            </w:pPr>
            <w:r>
              <w:t>read all the terms of the contract;</w:t>
            </w:r>
          </w:p>
          <w:p>
            <w:pPr>
              <w:pStyle w:val="yTableNAm"/>
              <w:numPr>
                <w:ilvl w:val="0"/>
                <w:numId w:val="22"/>
              </w:numPr>
              <w:tabs>
                <w:tab w:val="clear" w:pos="567"/>
                <w:tab w:val="left" w:pos="394"/>
              </w:tabs>
              <w:ind w:left="408" w:hanging="374"/>
            </w:pPr>
            <w:r>
              <w:t>seek independent legal advice, particularly if unsure about any details in the contract;</w:t>
            </w:r>
          </w:p>
          <w:p>
            <w:pPr>
              <w:pStyle w:val="yTableNAm"/>
              <w:numPr>
                <w:ilvl w:val="0"/>
                <w:numId w:val="22"/>
              </w:numPr>
              <w:tabs>
                <w:tab w:val="clear" w:pos="567"/>
                <w:tab w:val="left" w:pos="394"/>
              </w:tabs>
              <w:ind w:left="408" w:hanging="374"/>
            </w:pPr>
            <w:r>
              <w:t>understand the legal basis of occupancy (e.g. a person who signs a lease does not own the premises);</w:t>
            </w:r>
          </w:p>
          <w:p>
            <w:pPr>
              <w:pStyle w:val="yTableNAm"/>
              <w:numPr>
                <w:ilvl w:val="0"/>
                <w:numId w:val="22"/>
              </w:numPr>
              <w:tabs>
                <w:tab w:val="clear" w:pos="567"/>
                <w:tab w:val="left" w:pos="394"/>
              </w:tabs>
              <w:ind w:left="408" w:hanging="374"/>
            </w:pPr>
            <w:r>
              <w:t>understand the financial commitments involved, and in particular entry fees, ongoing costs, and exit fees;</w:t>
            </w:r>
          </w:p>
          <w:p>
            <w:pPr>
              <w:pStyle w:val="yTableNAm"/>
              <w:numPr>
                <w:ilvl w:val="0"/>
                <w:numId w:val="22"/>
              </w:numPr>
              <w:tabs>
                <w:tab w:val="clear" w:pos="567"/>
                <w:tab w:val="left" w:pos="394"/>
              </w:tabs>
              <w:ind w:left="408" w:hanging="374"/>
            </w:pPr>
            <w:r>
              <w:t>consider whether you have had satisfactory responses to any questions you ask;</w:t>
            </w:r>
          </w:p>
          <w:p>
            <w:pPr>
              <w:pStyle w:val="yTableNAm"/>
              <w:numPr>
                <w:ilvl w:val="0"/>
                <w:numId w:val="22"/>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levy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bottom w:val="nil"/>
            </w:tcBorders>
          </w:tcPr>
          <w:p>
            <w:pPr>
              <w:pStyle w:val="yTableNAm"/>
            </w:pPr>
            <w:r>
              <w:t>D</w:t>
            </w:r>
          </w:p>
        </w:tc>
        <w:tc>
          <w:tcPr>
            <w:tcW w:w="2126" w:type="dxa"/>
            <w:gridSpan w:val="5"/>
            <w:tcBorders>
              <w:top w:val="single" w:sz="4" w:space="0" w:color="auto"/>
              <w:bottom w:val="nil"/>
            </w:tcBorders>
          </w:tcPr>
          <w:p>
            <w:pPr>
              <w:pStyle w:val="yTableNAm"/>
            </w:pPr>
            <w:r>
              <w:rPr>
                <w:i/>
              </w:rPr>
              <w:t>This item only applies to strata title villages.</w:t>
            </w:r>
          </w:p>
          <w:p>
            <w:pPr>
              <w:pStyle w:val="yTableNAm"/>
            </w:pPr>
            <w:r>
              <w:t>Is there a body corporate strata levy fee for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nil"/>
            </w:tcBorders>
          </w:tcPr>
          <w:p>
            <w:pPr>
              <w:pStyle w:val="yTableNAm"/>
            </w:pPr>
            <w:r>
              <w:rPr>
                <w:i/>
              </w:rPr>
              <w:t>If there is a body corporate strata levy fee for the lot containing the residential premises, tick each box that applies:</w:t>
            </w:r>
          </w:p>
          <w:p>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pPr>
              <w:pStyle w:val="yTableNAm"/>
            </w:pPr>
            <w:r>
              <w:t>The body corporate strata levy fee is:</w:t>
            </w:r>
          </w:p>
          <w:p>
            <w:pPr>
              <w:pStyle w:val="yTableNAm"/>
              <w:tabs>
                <w:tab w:val="left" w:pos="2097"/>
              </w:tabs>
              <w:ind w:left="601" w:hanging="601"/>
            </w:pPr>
            <w:r>
              <w:rPr>
                <w:sz w:val="28"/>
                <w:szCs w:val="28"/>
              </w:rPr>
              <w:sym w:font="Wingdings 2" w:char="F0A3"/>
            </w:r>
            <w:r>
              <w:tab/>
              <w:t>incorporated as a separate item in the recurrent charges to be paid by the resident</w:t>
            </w:r>
          </w:p>
          <w:p>
            <w:pPr>
              <w:pStyle w:val="yTableNAm"/>
              <w:ind w:left="585" w:hanging="560"/>
            </w:pPr>
            <w:r>
              <w:rPr>
                <w:sz w:val="28"/>
                <w:szCs w:val="28"/>
              </w:rPr>
              <w:sym w:font="Wingdings 2" w:char="F0A3"/>
            </w:r>
            <w:r>
              <w:tab/>
              <w:t>charged separately from the recurrent charges</w:t>
            </w:r>
          </w:p>
        </w:tc>
      </w:tr>
      <w:tr>
        <w:trPr>
          <w:cantSplit/>
          <w:trHeight w:val="154"/>
        </w:trPr>
        <w:tc>
          <w:tcPr>
            <w:tcW w:w="567" w:type="dxa"/>
            <w:tcBorders>
              <w:top w:val="nil"/>
              <w:bottom w:val="single" w:sz="4" w:space="0" w:color="auto"/>
            </w:tcBorders>
          </w:tcPr>
          <w:p>
            <w:pPr>
              <w:pStyle w:val="zyTableNAm"/>
            </w:pPr>
          </w:p>
        </w:tc>
        <w:tc>
          <w:tcPr>
            <w:tcW w:w="2126" w:type="dxa"/>
            <w:gridSpan w:val="5"/>
            <w:tcBorders>
              <w:top w:val="nil"/>
              <w:bottom w:val="single" w:sz="4" w:space="0" w:color="auto"/>
            </w:tcBorders>
          </w:tcPr>
          <w:p>
            <w:pPr>
              <w:pStyle w:val="yTableNAm"/>
            </w:pPr>
            <w:r>
              <w:t xml:space="preserve">Do communal amenities form part of the common property in the village such that they are owned by the strata company?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nil"/>
              <w:bottom w:val="single" w:sz="4" w:space="0" w:color="auto"/>
            </w:tcBorders>
          </w:tcPr>
          <w:p>
            <w:pPr>
              <w:pStyle w:val="yTableNAm"/>
            </w:pPr>
            <w:r>
              <w:rPr>
                <w:i/>
              </w:rPr>
              <w:t>If the communal amenities do not form part of the common property in the village, state who owns the lots containing those amenities:</w:t>
            </w:r>
          </w:p>
          <w:p>
            <w:pPr>
              <w:pStyle w:val="yTableNAm"/>
            </w:pPr>
            <w:r>
              <w:t>The communal amenities are on lots owned by:</w:t>
            </w:r>
          </w:p>
          <w:p>
            <w:pPr>
              <w:pStyle w:val="yTableNAm"/>
              <w:ind w:left="585" w:hanging="560"/>
            </w:pPr>
            <w:r>
              <w:rPr>
                <w:sz w:val="28"/>
                <w:szCs w:val="28"/>
              </w:rPr>
              <w:sym w:font="Wingdings 2" w:char="F0A3"/>
            </w:r>
            <w:r>
              <w:tab/>
              <w:t>the administering body</w:t>
            </w:r>
          </w:p>
          <w:p>
            <w:pPr>
              <w:pStyle w:val="yTableNAm"/>
              <w:ind w:left="585" w:hanging="560"/>
            </w:pPr>
            <w:r>
              <w:rPr>
                <w:sz w:val="28"/>
                <w:szCs w:val="28"/>
              </w:rPr>
              <w:sym w:font="Wingdings 2" w:char="F0A3"/>
            </w:r>
            <w:r>
              <w:tab/>
              <w:t>a third party</w:t>
            </w:r>
          </w:p>
          <w:p>
            <w:pPr>
              <w:pStyle w:val="yTableNAm"/>
            </w:pPr>
            <w:r>
              <w:t>Residents contribute to the body corporate strata levies payable in relation to the lots containing the communal amenities through:</w:t>
            </w:r>
          </w:p>
          <w:p>
            <w:pPr>
              <w:pStyle w:val="yTableNAm"/>
              <w:ind w:left="585" w:hanging="560"/>
            </w:pPr>
            <w:r>
              <w:rPr>
                <w:sz w:val="28"/>
                <w:szCs w:val="28"/>
              </w:rPr>
              <w:sym w:font="Wingdings 2" w:char="F0A3"/>
            </w:r>
            <w:r>
              <w:tab/>
              <w:t xml:space="preserve">an item in the recurrent charges </w:t>
            </w:r>
          </w:p>
          <w:p>
            <w:pPr>
              <w:pStyle w:val="yTableNAm"/>
              <w:ind w:left="585" w:hanging="560"/>
            </w:pPr>
            <w:r>
              <w:rPr>
                <w:sz w:val="28"/>
                <w:szCs w:val="28"/>
              </w:rPr>
              <w:sym w:font="Wingdings 2" w:char="F0A3"/>
            </w:r>
            <w:r>
              <w:tab/>
              <w:t>an amount that is charged separately</w:t>
            </w:r>
          </w:p>
          <w:p>
            <w:pPr>
              <w:pStyle w:val="yTableNAm"/>
              <w:ind w:left="585" w:hanging="560"/>
            </w:pPr>
            <w:r>
              <w:rPr>
                <w:sz w:val="28"/>
                <w:szCs w:val="28"/>
              </w:rPr>
              <w:sym w:font="Wingdings 2" w:char="F0A3"/>
            </w:r>
            <w:r>
              <w:tab/>
              <w:t>the body corporate fee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Reserve fund</w:t>
            </w:r>
          </w:p>
          <w:p>
            <w:pPr>
              <w:pStyle w:val="yTableNAm"/>
            </w:pPr>
            <w:r>
              <w:t>Do residents who are permanently vacating pay an exit fee that includes a contribution to a reserve/sinking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 xml:space="preserve">If the village is strata titled, include information about whether or not there is one or more sinking fund operating in relation to the village, for example one relating to the retirement village scheme under the Retirement Villages Act 1992 and one relating to the common property under the </w:t>
            </w:r>
            <w:r>
              <w:rPr>
                <w:i/>
                <w:szCs w:val="22"/>
              </w:rPr>
              <w:t>Strata Titles</w:t>
            </w:r>
            <w:r>
              <w:rPr>
                <w:i/>
              </w:rPr>
              <w:t xml:space="preserve"> Act 1985:</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 xml:space="preserve">Fair Trading (Retirement Villages Interim Code) Regulations 2020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17.</w:t>
      </w:r>
      <w:r>
        <w:rPr>
          <w:sz w:val="18"/>
        </w:rPr>
        <w:tab/>
        <w:t xml:space="preserve">Provided under the </w:t>
      </w:r>
      <w:r>
        <w:rPr>
          <w:i/>
          <w:sz w:val="18"/>
        </w:rPr>
        <w:t>Fair Trading (Retirement Villages Interim Code) Regulations 2020</w:t>
      </w:r>
      <w:r>
        <w:rPr>
          <w:sz w:val="18"/>
        </w:rPr>
        <w:t xml:space="preserve"> Schedule 1 </w:t>
      </w:r>
      <w:r>
        <w:rPr>
          <w:rFonts w:eastAsiaTheme="minorHAnsi"/>
          <w:sz w:val="18"/>
          <w:szCs w:val="18"/>
        </w:rPr>
        <w:t>clause</w:t>
      </w:r>
      <w:r>
        <w:rPr>
          <w:sz w:val="18"/>
        </w:rPr>
        <w:t xml:space="preserve"> 19(1)(a) or, for the financial year ending on 30 June 2019, provided under the </w:t>
      </w:r>
      <w:r>
        <w:rPr>
          <w:i/>
          <w:sz w:val="18"/>
        </w:rPr>
        <w:t>Fair Trading (Retirement Villages Interim Code) Regulations (No. 2) 2019</w:t>
      </w:r>
      <w:r>
        <w:rPr>
          <w:sz w:val="18"/>
        </w:rPr>
        <w:t xml:space="preserve"> Schedule 1 clause 19(1)(a) or the </w:t>
      </w:r>
      <w:r>
        <w:rPr>
          <w:i/>
          <w:sz w:val="18"/>
        </w:rPr>
        <w:t>Fair Trading (Retirement Villages Interim Code) Regulations 2019</w:t>
      </w:r>
      <w:r>
        <w:rPr>
          <w:sz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the </w:t>
      </w:r>
      <w:r>
        <w:rPr>
          <w:i/>
          <w:sz w:val="18"/>
          <w:szCs w:val="18"/>
        </w:rPr>
        <w:t xml:space="preserve">Fair Trading (Retirement Villages Interim Code) Regulations 2020 </w:t>
      </w:r>
      <w:r>
        <w:rPr>
          <w:sz w:val="18"/>
        </w:rPr>
        <w:t xml:space="preserve">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 27 Sep 2019 p. 3498; SL 2020/22 r. 5.]</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946"/>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3"/>
              </w:numPr>
              <w:ind w:left="576" w:hanging="542"/>
            </w:pPr>
            <w:r>
              <w:t>understand the enclosed information and its implications;</w:t>
            </w:r>
          </w:p>
          <w:p>
            <w:pPr>
              <w:pStyle w:val="yTableNAm"/>
              <w:numPr>
                <w:ilvl w:val="0"/>
                <w:numId w:val="23"/>
              </w:numPr>
              <w:ind w:left="576" w:hanging="542"/>
            </w:pPr>
            <w:r>
              <w:t>read all the terms of the contract;</w:t>
            </w:r>
          </w:p>
          <w:p>
            <w:pPr>
              <w:pStyle w:val="yTableNAm"/>
              <w:numPr>
                <w:ilvl w:val="0"/>
                <w:numId w:val="23"/>
              </w:numPr>
              <w:ind w:left="576" w:hanging="542"/>
            </w:pPr>
            <w:r>
              <w:t>seek independent legal advice, particularly if unsure about any details in the contract;</w:t>
            </w:r>
          </w:p>
          <w:p>
            <w:pPr>
              <w:pStyle w:val="yTableNAm"/>
              <w:numPr>
                <w:ilvl w:val="0"/>
                <w:numId w:val="23"/>
              </w:numPr>
              <w:ind w:left="576" w:hanging="542"/>
            </w:pPr>
            <w:r>
              <w:t>understand the legal basis of occupancy (e.g. a person who signs a lease does not own the premises);</w:t>
            </w:r>
          </w:p>
          <w:p>
            <w:pPr>
              <w:pStyle w:val="yTableNAm"/>
              <w:numPr>
                <w:ilvl w:val="0"/>
                <w:numId w:val="23"/>
              </w:numPr>
              <w:ind w:left="576" w:hanging="542"/>
            </w:pPr>
            <w:r>
              <w:t>understand the financial commitments involved, and in particular entry fees, ongoing costs and exit fees;</w:t>
            </w:r>
          </w:p>
          <w:p>
            <w:pPr>
              <w:pStyle w:val="yTableNAm"/>
              <w:numPr>
                <w:ilvl w:val="0"/>
                <w:numId w:val="23"/>
              </w:numPr>
              <w:ind w:left="576" w:hanging="542"/>
            </w:pPr>
            <w:r>
              <w:t>consider whether you have had satisfactory responses to any questions you ask;</w:t>
            </w:r>
          </w:p>
          <w:p>
            <w:pPr>
              <w:pStyle w:val="yTableNAm"/>
              <w:numPr>
                <w:ilvl w:val="0"/>
                <w:numId w:val="23"/>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pPr>
      <w:r>
        <w:rPr>
          <w:sz w:val="18"/>
        </w:rPr>
        <w:t>10.</w:t>
      </w:r>
      <w:r>
        <w:rPr>
          <w:sz w:val="18"/>
        </w:rPr>
        <w:tab/>
        <w:t xml:space="preserve">Provided under the </w:t>
      </w:r>
      <w:r>
        <w:rPr>
          <w:i/>
          <w:sz w:val="18"/>
        </w:rPr>
        <w:t>Fair Trading (Retirement Villages Interim Code) Regulations 2020</w:t>
      </w:r>
      <w:r>
        <w:rPr>
          <w:sz w:val="18"/>
        </w:rPr>
        <w:t xml:space="preserve"> Schedule 1 clause 19(1)(a) or, for the financial year ending on 30 June 2019, provided under the </w:t>
      </w:r>
      <w:r>
        <w:rPr>
          <w:i/>
          <w:sz w:val="18"/>
        </w:rPr>
        <w:t>Fair Trading (Retirement Villages Interim Code) Regulations (No. 2) 2019</w:t>
      </w:r>
      <w:r>
        <w:rPr>
          <w:sz w:val="18"/>
        </w:rPr>
        <w:t xml:space="preserve"> Schedule 1 clause 19(1)(a) or the </w:t>
      </w:r>
      <w:r>
        <w:rPr>
          <w:i/>
          <w:sz w:val="18"/>
        </w:rPr>
        <w:t>Fair Trading (Retirement Villages Interim Code) Regulations 2019</w:t>
      </w:r>
      <w:r>
        <w:rPr>
          <w:sz w:val="18"/>
        </w:rPr>
        <w:t xml:space="preserve"> Schedule 1 clause 19(1)(a).</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78"/>
        <w:gridCol w:w="223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Gazette 23 Mar 2016 p. 903</w:t>
      </w:r>
      <w:r>
        <w:noBreakHyphen/>
        <w:t>24; amended: Gazette 30 Jun 2016 p. 2724</w:t>
      </w:r>
      <w:r>
        <w:noBreakHyphen/>
        <w:t>32 and 2733</w:t>
      </w:r>
      <w:r>
        <w:noBreakHyphen/>
        <w:t>4; 28 Sep 2018 p. 3720; 22 Mar 2019 p. 936; 27 Sep 2019 p. 3498; SL 2020/22 r. 6.]</w:t>
      </w: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73" w:name="_Toc38350754"/>
      <w:bookmarkStart w:id="74" w:name="_Toc38374985"/>
      <w:bookmarkStart w:id="75" w:name="_Toc38529205"/>
      <w:bookmarkStart w:id="76" w:name="_Toc38529485"/>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73"/>
      <w:bookmarkEnd w:id="74"/>
      <w:bookmarkEnd w:id="75"/>
      <w:bookmarkEnd w:id="76"/>
    </w:p>
    <w:p>
      <w:pPr>
        <w:pStyle w:val="yShoulderClause"/>
      </w:pPr>
      <w:r>
        <w:t>[r. 7A]</w:t>
      </w:r>
    </w:p>
    <w:p>
      <w:pPr>
        <w:pStyle w:val="yFootnoteheading"/>
      </w:pPr>
      <w:r>
        <w:tab/>
        <w:t>[Heading inserted: Gazette 24 Mar 2015 p. 1027.]</w:t>
      </w:r>
    </w:p>
    <w:p>
      <w:pPr>
        <w:pStyle w:val="yHeading5"/>
        <w:spacing w:after="120"/>
      </w:pPr>
      <w:bookmarkStart w:id="77" w:name="_Toc38529486"/>
      <w:r>
        <w:rPr>
          <w:rStyle w:val="CharSClsNo"/>
        </w:rPr>
        <w:t>1</w:t>
      </w:r>
      <w:r>
        <w:t>.</w:t>
      </w:r>
      <w:r>
        <w:tab/>
        <w:t>Statement on terms of access to aged care services</w:t>
      </w:r>
      <w:bookmarkEnd w:id="77"/>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78" w:name="_Toc38529487"/>
      <w:r>
        <w:rPr>
          <w:rStyle w:val="CharSClsNo"/>
        </w:rPr>
        <w:t>2</w:t>
      </w:r>
      <w:r>
        <w:t>.</w:t>
      </w:r>
      <w:r>
        <w:tab/>
        <w:t>Notes</w:t>
      </w:r>
      <w:bookmarkEnd w:id="78"/>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79" w:name="_Toc38529488"/>
      <w:r>
        <w:rPr>
          <w:rStyle w:val="CharSClsNo"/>
        </w:rPr>
        <w:t>3</w:t>
      </w:r>
      <w:r>
        <w:t>.</w:t>
      </w:r>
      <w:r>
        <w:tab/>
        <w:t>Statement about seeking independent legal and financial advice</w:t>
      </w:r>
      <w:bookmarkEnd w:id="79"/>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80" w:name="_Toc38350758"/>
      <w:bookmarkStart w:id="81" w:name="_Toc38374989"/>
      <w:bookmarkStart w:id="82" w:name="_Toc38529209"/>
      <w:bookmarkStart w:id="83" w:name="_Toc38529489"/>
      <w:r>
        <w:t>Notes</w:t>
      </w:r>
      <w:bookmarkEnd w:id="80"/>
      <w:bookmarkEnd w:id="81"/>
      <w:bookmarkEnd w:id="82"/>
      <w:bookmarkEnd w:id="83"/>
    </w:p>
    <w:p>
      <w:pPr>
        <w:pStyle w:val="nStatement"/>
      </w:pPr>
      <w:r>
        <w:t xml:space="preserve">This is a compilation of the </w:t>
      </w:r>
      <w:r>
        <w:rPr>
          <w:i/>
          <w:noProof/>
        </w:rPr>
        <w:t>Retirement Villages Regulations 1992</w:t>
      </w:r>
      <w:r>
        <w:t xml:space="preserve"> and includes amendments made by other written laws. For provisions that have come into operation, and for information about any reprints, see the compilation table.</w:t>
      </w:r>
    </w:p>
    <w:p>
      <w:pPr>
        <w:pStyle w:val="nHeading3"/>
      </w:pPr>
      <w:bookmarkStart w:id="84" w:name="_Toc38529490"/>
      <w:r>
        <w:t>Compilation table</w:t>
      </w:r>
      <w:bookmarkEnd w:id="8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2003 </w:t>
            </w:r>
            <w:r>
              <w:rPr>
                <w:vertAlign w:val="superscript"/>
              </w:rPr>
              <w:t>1</w:t>
            </w:r>
          </w:p>
        </w:tc>
        <w:tc>
          <w:tcPr>
            <w:tcW w:w="1276" w:type="dxa"/>
          </w:tcPr>
          <w:p>
            <w:pPr>
              <w:pStyle w:val="nTable"/>
              <w:spacing w:after="40"/>
            </w:pPr>
            <w:r>
              <w:t>9 Sep 2003 p. 4047-52</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rPr>
          <w:cantSplit/>
        </w:trPr>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Retirement Villages Amendment Regulations (No 2) 2018</w:t>
            </w:r>
          </w:p>
        </w:tc>
        <w:tc>
          <w:tcPr>
            <w:tcW w:w="1276" w:type="dxa"/>
            <w:tcBorders>
              <w:top w:val="nil"/>
              <w:bottom w:val="nil"/>
            </w:tcBorders>
          </w:tcPr>
          <w:p>
            <w:pPr>
              <w:pStyle w:val="nTable"/>
              <w:spacing w:after="40"/>
            </w:pPr>
            <w:r>
              <w:t>28 Sep 2018 p. 3719</w:t>
            </w:r>
            <w:r>
              <w:noBreakHyphen/>
              <w:t>20</w:t>
            </w:r>
          </w:p>
        </w:tc>
        <w:tc>
          <w:tcPr>
            <w:tcW w:w="2693" w:type="dxa"/>
            <w:tcBorders>
              <w:top w:val="nil"/>
              <w:bottom w:val="nil"/>
            </w:tcBorders>
          </w:tcPr>
          <w:p>
            <w:pPr>
              <w:pStyle w:val="nTable"/>
              <w:spacing w:after="40"/>
            </w:pPr>
            <w:r>
              <w:t>r. 1 and 2: 28 Sep 2018 (see r. 2(a));</w:t>
            </w:r>
            <w:r>
              <w:br/>
              <w:t>Regulations other than r. 1 and 2: 1 Oct 2018 (see r. 2(b))</w:t>
            </w:r>
          </w:p>
        </w:tc>
      </w:tr>
      <w:tr>
        <w:trPr>
          <w:cantSplit/>
        </w:trPr>
        <w:tc>
          <w:tcPr>
            <w:tcW w:w="3118" w:type="dxa"/>
            <w:tcBorders>
              <w:top w:val="nil"/>
              <w:bottom w:val="nil"/>
            </w:tcBorders>
          </w:tcPr>
          <w:p>
            <w:pPr>
              <w:pStyle w:val="nTable"/>
              <w:spacing w:after="40"/>
              <w:rPr>
                <w:i/>
              </w:rPr>
            </w:pPr>
            <w:r>
              <w:rPr>
                <w:i/>
              </w:rPr>
              <w:t>Retirement Villages Amendment Regulations 2019</w:t>
            </w:r>
          </w:p>
        </w:tc>
        <w:tc>
          <w:tcPr>
            <w:tcW w:w="1276" w:type="dxa"/>
            <w:tcBorders>
              <w:top w:val="nil"/>
              <w:bottom w:val="nil"/>
            </w:tcBorders>
          </w:tcPr>
          <w:p>
            <w:pPr>
              <w:pStyle w:val="nTable"/>
              <w:spacing w:after="40"/>
            </w:pPr>
            <w:r>
              <w:t>22 Mar 2019</w:t>
            </w:r>
          </w:p>
        </w:tc>
        <w:tc>
          <w:tcPr>
            <w:tcW w:w="2693" w:type="dxa"/>
            <w:tcBorders>
              <w:top w:val="nil"/>
              <w:bottom w:val="nil"/>
            </w:tcBorders>
          </w:tcPr>
          <w:p>
            <w:pPr>
              <w:pStyle w:val="nTable"/>
              <w:spacing w:after="40"/>
            </w:pPr>
            <w:r>
              <w:t>r. 1 and 2: 22 Mar 2019 (see r. 2(a));</w:t>
            </w:r>
            <w:r>
              <w:br/>
              <w:t>Regulations other than r. 1 and 2: 1 Apr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rPr>
                <w:i/>
              </w:rPr>
            </w:pPr>
            <w:r>
              <w:rPr>
                <w:i/>
              </w:rPr>
              <w:t>Retirement Villages Amendment Regulations (No. 2) 2019</w:t>
            </w:r>
          </w:p>
        </w:tc>
        <w:tc>
          <w:tcPr>
            <w:tcW w:w="1276" w:type="dxa"/>
            <w:tcBorders>
              <w:top w:val="nil"/>
              <w:bottom w:val="nil"/>
            </w:tcBorders>
          </w:tcPr>
          <w:p>
            <w:pPr>
              <w:pStyle w:val="nTable"/>
              <w:spacing w:after="40"/>
            </w:pPr>
            <w:r>
              <w:t>27 Sep 2019 p. 3497</w:t>
            </w:r>
            <w:r>
              <w:noBreakHyphen/>
              <w:t>8</w:t>
            </w:r>
          </w:p>
        </w:tc>
        <w:tc>
          <w:tcPr>
            <w:tcW w:w="2693" w:type="dxa"/>
            <w:tcBorders>
              <w:top w:val="nil"/>
              <w:bottom w:val="nil"/>
            </w:tcBorders>
          </w:tcPr>
          <w:p>
            <w:pPr>
              <w:pStyle w:val="nTable"/>
              <w:spacing w:after="40"/>
              <w:rPr>
                <w:b/>
              </w:rPr>
            </w:pPr>
            <w:r>
              <w:t>r. 1 and 2: 27 Sep 2019 (see r. 2(a));</w:t>
            </w:r>
            <w:r>
              <w:br/>
              <w:t>Regulations other than r. 1 and 2: 1 Oct 2019 (see r. 2(b))</w:t>
            </w:r>
          </w:p>
        </w:tc>
      </w:tr>
      <w:tr>
        <w:trPr>
          <w:cantSplit/>
        </w:trPr>
        <w:tc>
          <w:tcPr>
            <w:tcW w:w="3118" w:type="dxa"/>
            <w:tcBorders>
              <w:top w:val="nil"/>
              <w:bottom w:val="nil"/>
            </w:tcBorders>
          </w:tcPr>
          <w:p>
            <w:pPr>
              <w:pStyle w:val="nTable"/>
              <w:spacing w:after="40"/>
              <w:rPr>
                <w:i/>
              </w:rPr>
            </w:pPr>
            <w:r>
              <w:rPr>
                <w:i/>
              </w:rPr>
              <w:t>Retirement Villages Amendment Regulations 2020</w:t>
            </w:r>
          </w:p>
        </w:tc>
        <w:tc>
          <w:tcPr>
            <w:tcW w:w="1276" w:type="dxa"/>
            <w:tcBorders>
              <w:top w:val="nil"/>
              <w:bottom w:val="nil"/>
            </w:tcBorders>
          </w:tcPr>
          <w:p>
            <w:pPr>
              <w:pStyle w:val="nTable"/>
              <w:spacing w:after="40"/>
            </w:pPr>
            <w:r>
              <w:t>SL 2020/22 27 Mar 2020</w:t>
            </w:r>
          </w:p>
        </w:tc>
        <w:tc>
          <w:tcPr>
            <w:tcW w:w="2693" w:type="dxa"/>
            <w:tcBorders>
              <w:top w:val="nil"/>
              <w:bottom w:val="nil"/>
            </w:tcBorders>
          </w:tcPr>
          <w:p>
            <w:pPr>
              <w:pStyle w:val="nTable"/>
              <w:spacing w:after="40"/>
            </w:pPr>
            <w:r>
              <w:t>r. 1 and 2: 27 Mar 2020 (see r. 2(a));</w:t>
            </w:r>
            <w:r>
              <w:br/>
              <w:t>Regulations other than r. 1 and 2: 1 Apr 2020 (see r. 2(b))</w:t>
            </w:r>
          </w:p>
        </w:tc>
      </w:tr>
      <w:tr>
        <w:trPr>
          <w:cantSplit/>
        </w:trPr>
        <w:tc>
          <w:tcPr>
            <w:tcW w:w="3118" w:type="dxa"/>
            <w:tcBorders>
              <w:top w:val="nil"/>
              <w:bottom w:val="single" w:sz="4" w:space="0" w:color="auto"/>
            </w:tcBorders>
          </w:tcPr>
          <w:p>
            <w:pPr>
              <w:pStyle w:val="nTable"/>
              <w:spacing w:after="40"/>
              <w:rPr>
                <w:i/>
              </w:rPr>
            </w:pPr>
            <w:r>
              <w:rPr>
                <w:i/>
              </w:rPr>
              <w:t>Commerce Regulations Amendment (Strata Titles) Regulations 2019</w:t>
            </w:r>
            <w:r>
              <w:t xml:space="preserve"> Pt. 5</w:t>
            </w:r>
          </w:p>
        </w:tc>
        <w:tc>
          <w:tcPr>
            <w:tcW w:w="1276" w:type="dxa"/>
            <w:tcBorders>
              <w:top w:val="nil"/>
              <w:bottom w:val="single" w:sz="4" w:space="0" w:color="auto"/>
            </w:tcBorders>
          </w:tcPr>
          <w:p>
            <w:pPr>
              <w:pStyle w:val="nTable"/>
              <w:spacing w:after="40"/>
            </w:pPr>
            <w:r>
              <w:t>31 Dec 2019 p. 4637</w:t>
            </w:r>
            <w:r>
              <w:noBreakHyphen/>
              <w:t>46</w:t>
            </w:r>
          </w:p>
        </w:tc>
        <w:tc>
          <w:tcPr>
            <w:tcW w:w="2693" w:type="dxa"/>
            <w:tcBorders>
              <w:top w:val="nil"/>
              <w:bottom w:val="single" w:sz="4" w:space="0" w:color="auto"/>
            </w:tcBorders>
          </w:tcPr>
          <w:p>
            <w:pPr>
              <w:pStyle w:val="nTable"/>
              <w:spacing w:after="40"/>
            </w:pPr>
            <w:r>
              <w:t>1 May 2020 (see r. 2(b) and SL 2020/39 cl. 2)</w:t>
            </w:r>
          </w:p>
        </w:tc>
      </w:tr>
    </w:tbl>
    <w:p>
      <w:pPr>
        <w:pStyle w:val="nHeading3"/>
      </w:pPr>
      <w:bookmarkStart w:id="85" w:name="_Toc38529491"/>
      <w:r>
        <w:t>Other notes</w:t>
      </w:r>
      <w:bookmarkEnd w:id="85"/>
    </w:p>
    <w:p>
      <w:pPr>
        <w:pStyle w:val="nNote"/>
        <w:keepNext/>
        <w:rPr>
          <w:snapToGrid w:val="0"/>
        </w:rPr>
      </w:pPr>
      <w:r>
        <w:rPr>
          <w:snapToGrid w:val="0"/>
          <w:vertAlign w:val="superscript"/>
        </w:rPr>
        <w:t>1</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BlankClose"/>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87" w:name="_Toc38350762"/>
      <w:bookmarkStart w:id="88" w:name="_Toc38374992"/>
      <w:bookmarkStart w:id="89" w:name="_Toc38529212"/>
      <w:bookmarkStart w:id="90" w:name="_Toc38529492"/>
      <w:r>
        <w:rPr>
          <w:sz w:val="28"/>
        </w:rPr>
        <w:t>Defined terms</w:t>
      </w:r>
      <w:bookmarkEnd w:id="87"/>
      <w:bookmarkEnd w:id="88"/>
      <w:bookmarkEnd w:id="89"/>
      <w:bookmarkEnd w:id="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7I(1)</w:t>
      </w:r>
    </w:p>
    <w:p>
      <w:pPr>
        <w:pStyle w:val="DefinedTerms"/>
      </w:pPr>
      <w:r>
        <w:t>alteration</w:t>
      </w:r>
      <w:r>
        <w:tab/>
        <w:t>7G(1)</w:t>
      </w:r>
    </w:p>
    <w:p>
      <w:pPr>
        <w:pStyle w:val="DefinedTerms"/>
      </w:pPr>
      <w:r>
        <w:t>application fee</w:t>
      </w:r>
      <w:r>
        <w:tab/>
        <w:t>12(1)</w:t>
      </w:r>
    </w:p>
    <w:p>
      <w:pPr>
        <w:pStyle w:val="DefinedTerms"/>
      </w:pPr>
      <w:r>
        <w:t>arrange</w:t>
      </w:r>
      <w:r>
        <w:tab/>
        <w:t>4A</w:t>
      </w:r>
    </w:p>
    <w:p>
      <w:pPr>
        <w:pStyle w:val="DefinedTerms"/>
      </w:pPr>
      <w:r>
        <w:t>associated person</w:t>
      </w:r>
      <w:r>
        <w:tab/>
        <w:t>7D(1)</w:t>
      </w:r>
    </w:p>
    <w:p>
      <w:pPr>
        <w:pStyle w:val="DefinedTerms"/>
      </w:pPr>
      <w:r>
        <w:t>close associate</w:t>
      </w:r>
      <w:r>
        <w:tab/>
        <w:t>7I(1)</w:t>
      </w:r>
    </w:p>
    <w:p>
      <w:pPr>
        <w:pStyle w:val="DefinedTerms"/>
      </w:pPr>
      <w:r>
        <w:t>Code</w:t>
      </w:r>
      <w:r>
        <w:tab/>
        <w:t>4A</w:t>
      </w:r>
    </w:p>
    <w:p>
      <w:pPr>
        <w:pStyle w:val="DefinedTerms"/>
      </w:pPr>
      <w:r>
        <w:t>commencement day</w:t>
      </w:r>
      <w:r>
        <w:tab/>
        <w:t>9(1), 11(1), 13(1)</w:t>
      </w:r>
    </w:p>
    <w:p>
      <w:pPr>
        <w:pStyle w:val="DefinedTerms"/>
      </w:pPr>
      <w:r>
        <w:t>communal amenity</w:t>
      </w:r>
      <w:r>
        <w:tab/>
        <w:t>4A</w:t>
      </w:r>
    </w:p>
    <w:p>
      <w:pPr>
        <w:pStyle w:val="DefinedTerms"/>
      </w:pPr>
      <w:r>
        <w:t>communal service</w:t>
      </w:r>
      <w:r>
        <w:tab/>
        <w:t>4A</w:t>
      </w:r>
    </w:p>
    <w:p>
      <w:pPr>
        <w:pStyle w:val="DefinedTerms"/>
      </w:pPr>
      <w:r>
        <w:t>Corporations Act 2001</w:t>
      </w:r>
      <w:r>
        <w:tab/>
        <w:t>4A</w:t>
      </w:r>
    </w:p>
    <w:p>
      <w:pPr>
        <w:pStyle w:val="DefinedTerms"/>
      </w:pPr>
      <w:r>
        <w:t>essential service</w:t>
      </w:r>
      <w:r>
        <w:tab/>
        <w:t>7H(1)</w:t>
      </w:r>
    </w:p>
    <w:p>
      <w:pPr>
        <w:pStyle w:val="DefinedTerms"/>
      </w:pPr>
      <w:r>
        <w:t>evidence of death</w:t>
      </w:r>
      <w:r>
        <w:tab/>
        <w:t>9(1)</w:t>
      </w:r>
    </w:p>
    <w:p>
      <w:pPr>
        <w:pStyle w:val="DefinedTerms"/>
      </w:pPr>
      <w:r>
        <w:t>exit fee</w:t>
      </w:r>
      <w:r>
        <w:tab/>
        <w:t>4A</w:t>
      </w:r>
    </w:p>
    <w:p>
      <w:pPr>
        <w:pStyle w:val="DefinedTerms"/>
      </w:pPr>
      <w:r>
        <w:t>former resident</w:t>
      </w:r>
      <w:r>
        <w:tab/>
        <w:t>9(2), 10(1)</w:t>
      </w:r>
    </w:p>
    <w:p>
      <w:pPr>
        <w:pStyle w:val="DefinedTerms"/>
      </w:pPr>
      <w:r>
        <w:t>maximum rate</w:t>
      </w:r>
      <w:r>
        <w:tab/>
        <w:t>10(1)</w:t>
      </w:r>
    </w:p>
    <w:p>
      <w:pPr>
        <w:pStyle w:val="DefinedTerms"/>
      </w:pPr>
      <w:r>
        <w:t>new section 13 statement</w:t>
      </w:r>
      <w:r>
        <w:tab/>
        <w:t>13(1)</w:t>
      </w:r>
    </w:p>
    <w:p>
      <w:pPr>
        <w:pStyle w:val="DefinedTerms"/>
      </w:pPr>
      <w:r>
        <w:t>Note</w:t>
      </w:r>
      <w:r>
        <w:tab/>
        <w:t>4A</w:t>
      </w:r>
    </w:p>
    <w:p>
      <w:pPr>
        <w:pStyle w:val="DefinedTerms"/>
      </w:pPr>
      <w:r>
        <w:t>payment</w:t>
      </w:r>
      <w:r>
        <w:tab/>
        <w:t>3A(1), 11(1)</w:t>
      </w:r>
    </w:p>
    <w:p>
      <w:pPr>
        <w:pStyle w:val="DefinedTerms"/>
      </w:pPr>
      <w:r>
        <w:t>permanently vacated</w:t>
      </w:r>
      <w:r>
        <w:tab/>
        <w:t>9(2)</w:t>
      </w:r>
    </w:p>
    <w:p>
      <w:pPr>
        <w:pStyle w:val="DefinedTerms"/>
      </w:pPr>
      <w:r>
        <w:t>personal amenity</w:t>
      </w:r>
      <w:r>
        <w:tab/>
        <w:t>4A</w:t>
      </w:r>
    </w:p>
    <w:p>
      <w:pPr>
        <w:pStyle w:val="DefinedTerms"/>
      </w:pPr>
      <w:r>
        <w:t>personal service</w:t>
      </w:r>
      <w:r>
        <w:tab/>
        <w:t>4A</w:t>
      </w:r>
    </w:p>
    <w:p>
      <w:pPr>
        <w:pStyle w:val="DefinedTerms"/>
      </w:pPr>
      <w:r>
        <w:t>power of attorney</w:t>
      </w:r>
      <w:r>
        <w:tab/>
        <w:t>7I(1)</w:t>
      </w:r>
    </w:p>
    <w:p>
      <w:pPr>
        <w:pStyle w:val="DefinedTerms"/>
      </w:pPr>
      <w:r>
        <w:t>previous section 13 statement</w:t>
      </w:r>
      <w:r>
        <w:tab/>
        <w:t>13(1)</w:t>
      </w:r>
    </w:p>
    <w:p>
      <w:pPr>
        <w:pStyle w:val="DefinedTerms"/>
      </w:pPr>
      <w:r>
        <w:t>professional body</w:t>
      </w:r>
      <w:r>
        <w:tab/>
        <w:t>11(1)</w:t>
      </w:r>
    </w:p>
    <w:p>
      <w:pPr>
        <w:pStyle w:val="DefinedTerms"/>
      </w:pPr>
      <w:r>
        <w:t>recurrent charges</w:t>
      </w:r>
      <w:r>
        <w:tab/>
        <w:t>9(2)</w:t>
      </w:r>
    </w:p>
    <w:p>
      <w:pPr>
        <w:pStyle w:val="DefinedTerms"/>
      </w:pPr>
      <w:r>
        <w:t>related body corporate</w:t>
      </w:r>
      <w:r>
        <w:tab/>
        <w:t>4A</w:t>
      </w:r>
    </w:p>
    <w:p>
      <w:pPr>
        <w:pStyle w:val="DefinedTerms"/>
      </w:pPr>
      <w:r>
        <w:t>reserve fund</w:t>
      </w:r>
      <w:r>
        <w:tab/>
        <w:t>4A</w:t>
      </w:r>
    </w:p>
    <w:p>
      <w:pPr>
        <w:pStyle w:val="DefinedTerms"/>
      </w:pPr>
      <w:r>
        <w:t>security interest</w:t>
      </w:r>
      <w:r>
        <w:tab/>
        <w:t>11(1)</w:t>
      </w:r>
    </w:p>
    <w:p>
      <w:pPr>
        <w:pStyle w:val="DefinedTerms"/>
      </w:pPr>
      <w:r>
        <w:t>short</w:t>
      </w:r>
      <w:r>
        <w:noBreakHyphen/>
        <w:t>term residence contract</w:t>
      </w:r>
      <w:r>
        <w:tab/>
        <w:t>4A</w:t>
      </w:r>
    </w:p>
    <w:p>
      <w:pPr>
        <w:pStyle w:val="DefinedTerms"/>
      </w:pPr>
      <w:r>
        <w:t>short</w:t>
      </w:r>
      <w:r>
        <w:noBreakHyphen/>
        <w:t>term section 13 statement</w:t>
      </w:r>
      <w:r>
        <w:tab/>
        <w:t>13(1)</w:t>
      </w:r>
    </w:p>
    <w:p>
      <w:pPr>
        <w:pStyle w:val="DefinedTerms"/>
      </w:pPr>
      <w:r>
        <w:t>special resolution</w:t>
      </w:r>
      <w:r>
        <w:tab/>
        <w:t>11(1)</w:t>
      </w:r>
    </w:p>
    <w:p>
      <w:pPr>
        <w:pStyle w:val="DefinedTerms"/>
      </w:pPr>
      <w:r>
        <w:t>specified</w:t>
      </w:r>
      <w:r>
        <w:tab/>
        <w:t>4A</w:t>
      </w:r>
    </w:p>
    <w:p>
      <w:pPr>
        <w:pStyle w:val="DefinedTerms"/>
      </w:pPr>
      <w:r>
        <w:t>transitional period</w:t>
      </w:r>
      <w:r>
        <w:tab/>
        <w:t>13(1)</w:t>
      </w:r>
    </w:p>
    <w:p>
      <w:pPr>
        <w:pStyle w:val="DefinedTerms"/>
      </w:pPr>
      <w:r>
        <w:t>urgent repair</w:t>
      </w:r>
      <w:r>
        <w:tab/>
        <w:t>7H(1)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72" w:name="Schedule"/>
    <w:bookmarkEnd w:id="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1" w:name="DefinedTerms"/>
    <w:bookmarkEnd w:id="9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2" w:name="Coversheet"/>
    <w:bookmarkEnd w:id="9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4CC03303"/>
    <w:multiLevelType w:val="singleLevel"/>
    <w:tmpl w:val="0809000F"/>
    <w:lvl w:ilvl="0">
      <w:start w:val="1"/>
      <w:numFmt w:val="decimal"/>
      <w:lvlText w:val="%1."/>
      <w:lvlJc w:val="left"/>
      <w:pPr>
        <w:tabs>
          <w:tab w:val="num" w:pos="360"/>
        </w:tabs>
        <w:ind w:left="360" w:hanging="360"/>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20093409"/>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 w:name="WAFER_20190619145029" w:val="RemoveTocBookmarks,RemoveUnusedBookmarks,RemoveLanguageTags,ResetPageSize,RunningHeaders,UpdateStyles,UsedStyles"/>
    <w:docVar w:name="WAFER_20190619145029_GUID" w:val="a26f208b-9a87-4133-8eb3-e5424b86d283"/>
    <w:docVar w:name="WAFER_20190927094940" w:val="RemoveTocBookmarks,RemoveUnusedBookmarks,RemoveLanguageTags,ResetPageSize,RunningHeaders,UpdateStyles,UsedStyles"/>
    <w:docVar w:name="WAFER_20190927094940_GUID" w:val="32c83524-9d89-4b51-8b3e-1ac182f8fb2f"/>
    <w:docVar w:name="WAFER_20191218152412" w:val="RemoveTocBookmarks,RemoveUnusedBookmarks,RemoveLanguageTags,ResetPageSize,RunningHeaders,UpdateStyles,UsedStyles"/>
    <w:docVar w:name="WAFER_20191218152412_GUID" w:val="8f808d08-7f03-4d90-b811-5a6d19a57a89"/>
    <w:docVar w:name="WAFER_20200211102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356_GUID" w:val="6276678c-3f2b-4a3e-aa83-93475e52beed"/>
    <w:docVar w:name="WAFER_20200326123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23651_GUID" w:val="94f8fe2d-8be3-4447-a98c-6b61d90fb28e"/>
    <w:docVar w:name="WAFER_20200417142853"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2853_GUID" w:val="ba57e8e0-9236-44e5-bac2-d17a09d5cf45"/>
    <w:docVar w:name="WAFER_20200417143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3008_GUID" w:val="78a1f9de-fcd4-4433-870b-044563010d4b"/>
    <w:docVar w:name="WAFER_20200420093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409_GUID" w:val="cacce271-150c-4c1c-afa9-bf0b71d644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footnote text" w:uiPriority="99"/>
    <w:lsdException w:name="caption" w:semiHidden="0" w:unhideWhenUsed="0"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tart">
    <w:name w:val="nzDefstart"/>
    <w:pPr>
      <w:spacing w:before="40"/>
      <w:ind w:left="1446" w:right="284" w:hanging="87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Defitem">
    <w:name w:val="nzDefitem"/>
    <w:pPr>
      <w:tabs>
        <w:tab w:val="right" w:pos="3459"/>
      </w:tabs>
      <w:spacing w:before="40"/>
      <w:ind w:left="3686" w:right="284" w:hanging="3119"/>
    </w:pPr>
    <w:rPr>
      <w:snapToGrid w:val="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rPr>
      <w:i/>
    </w:rPr>
  </w:style>
  <w:style w:type="paragraph" w:customStyle="1" w:styleId="nzEdnotedivision">
    <w:name w:val="nzEdnote(division)"/>
    <w:rPr>
      <w:i/>
    </w:rPr>
  </w:style>
  <w:style w:type="paragraph" w:customStyle="1" w:styleId="nzEdnotesubdivision">
    <w:name w:val="nzEdnote(subdivision)"/>
    <w:rPr>
      <w:i/>
    </w:rPr>
  </w:style>
  <w:style w:type="paragraph" w:customStyle="1" w:styleId="nzEdnotesection">
    <w:name w:val="nzEdnote(section)"/>
    <w:rPr>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rPr>
      <w:i/>
    </w:rPr>
  </w:style>
  <w:style w:type="paragraph" w:customStyle="1" w:styleId="nzEdnoteitem">
    <w:name w:val="nzEdnote(item)"/>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footnote text" w:uiPriority="99"/>
    <w:lsdException w:name="caption" w:semiHidden="0" w:unhideWhenUsed="0"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Defstart">
    <w:name w:val="nzDefstart"/>
    <w:pPr>
      <w:spacing w:before="40"/>
      <w:ind w:left="1446" w:right="284" w:hanging="879"/>
    </w:pPr>
    <w:rPr>
      <w:snapToGrid w:val="0"/>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nzDefitem">
    <w:name w:val="nzDefitem"/>
    <w:pPr>
      <w:tabs>
        <w:tab w:val="right" w:pos="3459"/>
      </w:tabs>
      <w:spacing w:before="40"/>
      <w:ind w:left="3686" w:right="284" w:hanging="3119"/>
    </w:pPr>
    <w:rPr>
      <w:snapToGrid w:val="0"/>
    </w:rPr>
  </w:style>
  <w:style w:type="paragraph" w:customStyle="1" w:styleId="nzDefpara">
    <w:name w:val="nzDefpara"/>
    <w:pPr>
      <w:tabs>
        <w:tab w:val="right" w:pos="1899"/>
      </w:tabs>
      <w:spacing w:before="40"/>
      <w:ind w:left="2183" w:right="284" w:hanging="1616"/>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nzNumberedItem">
    <w:name w:val="nzNumberedItem"/>
    <w:pPr>
      <w:spacing w:before="40"/>
      <w:ind w:left="1446" w:right="284" w:hanging="879"/>
    </w:pPr>
  </w:style>
  <w:style w:type="paragraph" w:customStyle="1" w:styleId="nzNumberedItemPara">
    <w:name w:val="nzNumberedItemPara"/>
    <w:pPr>
      <w:tabs>
        <w:tab w:val="right" w:pos="1899"/>
      </w:tabs>
      <w:spacing w:before="40"/>
      <w:ind w:left="2183" w:right="284" w:hanging="1616"/>
    </w:pPr>
  </w:style>
  <w:style w:type="paragraph" w:customStyle="1" w:styleId="nzNumberedItemSubPara">
    <w:name w:val="nzNumberedItemSubPara"/>
    <w:pPr>
      <w:tabs>
        <w:tab w:val="right" w:pos="2608"/>
      </w:tabs>
      <w:spacing w:before="40"/>
      <w:ind w:left="2892" w:right="284" w:hanging="2325"/>
    </w:pPr>
  </w:style>
  <w:style w:type="paragraph" w:customStyle="1" w:styleId="nzPermNoteHeading">
    <w:name w:val="nzPermNoteHeading"/>
    <w:pPr>
      <w:spacing w:before="40"/>
      <w:ind w:left="1446" w:right="284" w:hanging="879"/>
    </w:pPr>
    <w:rPr>
      <w:rFonts w:ascii="Arial" w:hAnsi="Arial"/>
      <w:sz w:val="14"/>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rPr>
      <w:i/>
    </w:rPr>
  </w:style>
  <w:style w:type="paragraph" w:customStyle="1" w:styleId="nzEdnotedivision">
    <w:name w:val="nzEdnote(division)"/>
    <w:rPr>
      <w:i/>
    </w:rPr>
  </w:style>
  <w:style w:type="paragraph" w:customStyle="1" w:styleId="nzEdnotesubdivision">
    <w:name w:val="nzEdnote(subdivision)"/>
    <w:rPr>
      <w:i/>
    </w:rPr>
  </w:style>
  <w:style w:type="paragraph" w:customStyle="1" w:styleId="nzEdnotesection">
    <w:name w:val="nzEdnote(section)"/>
    <w:rPr>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rPr>
      <w:i/>
    </w:rPr>
  </w:style>
  <w:style w:type="paragraph" w:customStyle="1" w:styleId="nzEdnoteitem">
    <w:name w:val="nzEdnote(item)"/>
    <w:rPr>
      <w:i/>
    </w:rPr>
  </w:style>
  <w:style w:type="paragraph" w:customStyle="1" w:styleId="nzEdnotesubitem">
    <w:name w:val="nzEdnote(subitem)"/>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E1D58-9DC0-4A54-A7AE-8983781F3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127</Pages>
  <Words>21154</Words>
  <Characters>108945</Characters>
  <Application>Microsoft Office Word</Application>
  <DocSecurity>0</DocSecurity>
  <Lines>4736</Lines>
  <Paragraphs>2409</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1992 - 02-j0-00</dc:title>
  <dc:subject/>
  <dc:creator/>
  <cp:keywords/>
  <dc:description/>
  <cp:lastModifiedBy>svcMRProcess</cp:lastModifiedBy>
  <cp:revision>4</cp:revision>
  <cp:lastPrinted>2017-02-16T08:31:00Z</cp:lastPrinted>
  <dcterms:created xsi:type="dcterms:W3CDTF">2020-04-30T06:52:00Z</dcterms:created>
  <dcterms:modified xsi:type="dcterms:W3CDTF">2020-04-30T06:52:00Z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AsAtDate">
    <vt:lpwstr>01 May 2020</vt:lpwstr>
  </property>
  <property fmtid="{D5CDD505-2E9C-101B-9397-08002B2CF9AE}" pid="8" name="Suffix">
    <vt:lpwstr>02-j0-00</vt:lpwstr>
  </property>
  <property fmtid="{D5CDD505-2E9C-101B-9397-08002B2CF9AE}" pid="9" name="CommencementDate">
    <vt:lpwstr>20200501</vt:lpwstr>
  </property>
</Properties>
</file>