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_Toc40702517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_Toc40702518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_Toc40702519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_Toc40702521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_Toc40702522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_Toc40702523 \h </w:instrText>
      </w:r>
      <w:r>
        <w:fldChar w:fldCharType="separate"/>
      </w:r>
      <w:r>
        <w:t>7</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_Toc40702524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_Toc40702525 \h </w:instrText>
      </w:r>
      <w:r>
        <w:fldChar w:fldCharType="separate"/>
      </w:r>
      <w:r>
        <w:t>8</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_Toc40702526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_Toc40702527 \h </w:instrText>
      </w:r>
      <w:r>
        <w:fldChar w:fldCharType="separate"/>
      </w:r>
      <w:r>
        <w:t>9</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_Toc40702528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_Toc40702530 \h </w:instrText>
      </w:r>
      <w:r>
        <w:fldChar w:fldCharType="separate"/>
      </w:r>
      <w:r>
        <w:t>11</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_Toc40702531 \h </w:instrText>
      </w:r>
      <w:r>
        <w:fldChar w:fldCharType="separate"/>
      </w:r>
      <w:r>
        <w:t>11</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_Toc40702532 \h </w:instrText>
      </w:r>
      <w:r>
        <w:fldChar w:fldCharType="separate"/>
      </w:r>
      <w:r>
        <w:t>15</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_Toc40702533 \h </w:instrText>
      </w:r>
      <w:r>
        <w:fldChar w:fldCharType="separate"/>
      </w:r>
      <w:r>
        <w:t>16</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_Toc40702534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_Toc40702550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40691181"/>
      <w:bookmarkStart w:id="4" w:name="_Toc40697067"/>
      <w:bookmarkStart w:id="5" w:name="_Toc40697353"/>
      <w:bookmarkStart w:id="6" w:name="_Toc4070251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702517"/>
      <w:r>
        <w:rPr>
          <w:rStyle w:val="CharSectno"/>
        </w:rPr>
        <w:t>1</w:t>
      </w:r>
      <w:r>
        <w:t>.</w:t>
      </w:r>
      <w:r>
        <w:tab/>
        <w:t>Citation</w:t>
      </w:r>
      <w:bookmarkEnd w:id="7"/>
    </w:p>
    <w:p>
      <w:pPr>
        <w:pStyle w:val="Subsection"/>
      </w:pPr>
      <w:r>
        <w:tab/>
      </w:r>
      <w:r>
        <w:tab/>
      </w:r>
      <w:bookmarkStart w:id="8" w:name="Start_Cursor"/>
      <w:bookmarkEnd w:id="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9" w:name="_Toc40702518"/>
      <w:r>
        <w:rPr>
          <w:rStyle w:val="CharSectno"/>
        </w:rPr>
        <w:t>2</w:t>
      </w:r>
      <w:r>
        <w:rPr>
          <w:spacing w:val="-2"/>
        </w:rPr>
        <w:t>.</w:t>
      </w:r>
      <w:r>
        <w:rPr>
          <w:spacing w:val="-2"/>
        </w:rPr>
        <w:tab/>
        <w:t>Commencement</w:t>
      </w:r>
      <w:bookmarkEnd w:id="9"/>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0" w:name="_Toc40702519"/>
      <w:r>
        <w:rPr>
          <w:rStyle w:val="CharSectno"/>
        </w:rPr>
        <w:t>3</w:t>
      </w:r>
      <w:r>
        <w:t>.</w:t>
      </w:r>
      <w:r>
        <w:tab/>
        <w:t>Terms used</w:t>
      </w:r>
      <w:bookmarkEnd w:id="10"/>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1" w:name="_Toc40691185"/>
      <w:bookmarkStart w:id="12" w:name="_Toc40697071"/>
      <w:bookmarkStart w:id="13" w:name="_Toc40697357"/>
      <w:bookmarkStart w:id="14" w:name="_Toc40702520"/>
      <w:r>
        <w:rPr>
          <w:rStyle w:val="CharPartNo"/>
        </w:rPr>
        <w:t>Part 2</w:t>
      </w:r>
      <w:r>
        <w:t> — </w:t>
      </w:r>
      <w:r>
        <w:rPr>
          <w:rStyle w:val="CharPartText"/>
        </w:rPr>
        <w:t>Fees and charges</w:t>
      </w:r>
      <w:bookmarkEnd w:id="11"/>
      <w:bookmarkEnd w:id="12"/>
      <w:bookmarkEnd w:id="13"/>
      <w:bookmarkEnd w:id="14"/>
    </w:p>
    <w:p>
      <w:pPr>
        <w:pStyle w:val="Footnoteheading"/>
      </w:pPr>
      <w:r>
        <w:tab/>
        <w:t>[Heading amended: SL 2020/5 cl. 4.]</w:t>
      </w:r>
    </w:p>
    <w:p>
      <w:pPr>
        <w:pStyle w:val="Heading5"/>
      </w:pPr>
      <w:bookmarkStart w:id="15" w:name="_Toc40702521"/>
      <w:r>
        <w:rPr>
          <w:rStyle w:val="CharSectno"/>
        </w:rPr>
        <w:t>4</w:t>
      </w:r>
      <w:r>
        <w:t>.</w:t>
      </w:r>
      <w:r>
        <w:tab/>
        <w:t>Scale of fees and charges</w:t>
      </w:r>
      <w:bookmarkEnd w:id="15"/>
    </w:p>
    <w:p>
      <w:pPr>
        <w:pStyle w:val="Subsection"/>
      </w:pPr>
      <w:r>
        <w:tab/>
      </w:r>
      <w:r>
        <w:tab/>
        <w:t>The scale of fees and charges fixed under section 56 of the Act is set out in Schedule 1.</w:t>
      </w:r>
    </w:p>
    <w:p>
      <w:pPr>
        <w:pStyle w:val="Heading5"/>
      </w:pPr>
      <w:bookmarkStart w:id="16" w:name="_Toc40702522"/>
      <w:r>
        <w:rPr>
          <w:rStyle w:val="CharSectno"/>
        </w:rPr>
        <w:t>5</w:t>
      </w:r>
      <w:r>
        <w:t>.</w:t>
      </w:r>
      <w:r>
        <w:tab/>
        <w:t>General fees and charges</w:t>
      </w:r>
      <w:bookmarkEnd w:id="16"/>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7" w:name="_Toc40702523"/>
      <w:r>
        <w:rPr>
          <w:rStyle w:val="CharSectno"/>
        </w:rPr>
        <w:t>6</w:t>
      </w:r>
      <w:r>
        <w:t>.</w:t>
      </w:r>
      <w:r>
        <w:tab/>
        <w:t>Compensable patients</w:t>
      </w:r>
      <w:bookmarkEnd w:id="17"/>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18" w:name="_Toc40702524"/>
      <w:r>
        <w:rPr>
          <w:rStyle w:val="CharSectno"/>
        </w:rPr>
        <w:t>7</w:t>
      </w:r>
      <w:r>
        <w:t>.</w:t>
      </w:r>
      <w:r>
        <w:tab/>
        <w:t>Magnetic resonance imaging services</w:t>
      </w:r>
      <w:bookmarkEnd w:id="1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9" w:name="_Toc40702525"/>
      <w:r>
        <w:rPr>
          <w:rStyle w:val="CharSectno"/>
        </w:rPr>
        <w:t>8</w:t>
      </w:r>
      <w:r>
        <w:t>.</w:t>
      </w:r>
      <w:r>
        <w:tab/>
        <w:t>Pathology services</w:t>
      </w:r>
      <w:bookmarkEnd w:id="19"/>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0" w:name="_Toc40702526"/>
      <w:r>
        <w:rPr>
          <w:rStyle w:val="CharSectno"/>
        </w:rPr>
        <w:t>9</w:t>
      </w:r>
      <w:r>
        <w:t>.</w:t>
      </w:r>
      <w:r>
        <w:tab/>
        <w:t>Specialised orthoses</w:t>
      </w:r>
      <w:bookmarkEnd w:id="20"/>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21" w:name="_Toc40702527"/>
      <w:r>
        <w:rPr>
          <w:rStyle w:val="CharSectno"/>
        </w:rPr>
        <w:t>10</w:t>
      </w:r>
      <w:r>
        <w:t>.</w:t>
      </w:r>
      <w:r>
        <w:tab/>
        <w:t>Surgically implanted prostheses</w:t>
      </w:r>
      <w:bookmarkEnd w:id="21"/>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2" w:name="_Toc40702528"/>
      <w:r>
        <w:rPr>
          <w:rStyle w:val="CharSectno"/>
        </w:rPr>
        <w:t>10A</w:t>
      </w:r>
      <w:r>
        <w:t>.</w:t>
      </w:r>
      <w:r>
        <w:tab/>
        <w:t>Provision of medicines</w:t>
      </w:r>
      <w:bookmarkEnd w:id="22"/>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23" w:name="_Toc40691194"/>
      <w:bookmarkStart w:id="24" w:name="_Toc40697080"/>
      <w:bookmarkStart w:id="25" w:name="_Toc40697366"/>
      <w:bookmarkStart w:id="26" w:name="_Toc40702529"/>
      <w:r>
        <w:rPr>
          <w:rStyle w:val="CharPartNo"/>
        </w:rPr>
        <w:t>Part 3</w:t>
      </w:r>
      <w:r>
        <w:rPr>
          <w:rStyle w:val="CharDivNo"/>
        </w:rPr>
        <w:t> </w:t>
      </w:r>
      <w:r>
        <w:t>—</w:t>
      </w:r>
      <w:r>
        <w:rPr>
          <w:rStyle w:val="CharDivText"/>
        </w:rPr>
        <w:t> </w:t>
      </w:r>
      <w:r>
        <w:rPr>
          <w:rStyle w:val="CharPartText"/>
        </w:rPr>
        <w:t>Classes of patients</w:t>
      </w:r>
      <w:bookmarkEnd w:id="23"/>
      <w:bookmarkEnd w:id="24"/>
      <w:bookmarkEnd w:id="25"/>
      <w:bookmarkEnd w:id="26"/>
    </w:p>
    <w:p>
      <w:pPr>
        <w:pStyle w:val="Heading5"/>
      </w:pPr>
      <w:bookmarkStart w:id="27" w:name="_Toc40702530"/>
      <w:r>
        <w:rPr>
          <w:rStyle w:val="CharSectno"/>
        </w:rPr>
        <w:t>11</w:t>
      </w:r>
      <w:r>
        <w:t>.</w:t>
      </w:r>
      <w:r>
        <w:tab/>
        <w:t>Classes of patients</w:t>
      </w:r>
      <w:bookmarkEnd w:id="2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8" w:name="_Toc40702531"/>
      <w:r>
        <w:rPr>
          <w:rStyle w:val="CharSectno"/>
        </w:rPr>
        <w:t>12</w:t>
      </w:r>
      <w:r>
        <w:t>.</w:t>
      </w:r>
      <w:r>
        <w:tab/>
        <w:t>Classes of in</w:t>
      </w:r>
      <w:r>
        <w:noBreakHyphen/>
        <w:t>patients</w:t>
      </w:r>
      <w:bookmarkEnd w:id="28"/>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9" w:name="_Toc40702532"/>
      <w:r>
        <w:rPr>
          <w:rStyle w:val="CharSectno"/>
        </w:rPr>
        <w:t>13</w:t>
      </w:r>
      <w:r>
        <w:t>.</w:t>
      </w:r>
      <w:r>
        <w:tab/>
        <w:t>Classes of day patients</w:t>
      </w:r>
      <w:bookmarkEnd w:id="29"/>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30" w:name="_Toc40702533"/>
      <w:r>
        <w:rPr>
          <w:rStyle w:val="CharSectno"/>
        </w:rPr>
        <w:t>14</w:t>
      </w:r>
      <w:r>
        <w:t>.</w:t>
      </w:r>
      <w:r>
        <w:tab/>
        <w:t>Classes of out</w:t>
      </w:r>
      <w:r>
        <w:noBreakHyphen/>
        <w:t>patients</w:t>
      </w:r>
      <w:bookmarkEnd w:id="3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31" w:name="_Toc40702534"/>
      <w:r>
        <w:rPr>
          <w:rStyle w:val="CharSectno"/>
        </w:rPr>
        <w:t>15</w:t>
      </w:r>
      <w:r>
        <w:t>.</w:t>
      </w:r>
      <w:r>
        <w:tab/>
        <w:t>Classes of same day patients</w:t>
      </w:r>
      <w:bookmarkEnd w:id="31"/>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2" w:name="_Toc40691200"/>
      <w:bookmarkStart w:id="33" w:name="_Toc40697086"/>
      <w:bookmarkStart w:id="34" w:name="_Toc40697372"/>
      <w:bookmarkStart w:id="35" w:name="_Toc40702535"/>
      <w:r>
        <w:rPr>
          <w:rStyle w:val="CharSchNo"/>
        </w:rPr>
        <w:t>Schedule 1</w:t>
      </w:r>
      <w:r>
        <w:t> — </w:t>
      </w:r>
      <w:r>
        <w:rPr>
          <w:rStyle w:val="CharSchText"/>
        </w:rPr>
        <w:t>Scale of fees and charges</w:t>
      </w:r>
      <w:bookmarkEnd w:id="32"/>
      <w:bookmarkEnd w:id="33"/>
      <w:bookmarkEnd w:id="34"/>
      <w:bookmarkEnd w:id="35"/>
    </w:p>
    <w:p>
      <w:pPr>
        <w:pStyle w:val="yShoulderClause"/>
      </w:pPr>
      <w:r>
        <w:t>[cl. 4]</w:t>
      </w:r>
    </w:p>
    <w:p>
      <w:pPr>
        <w:pStyle w:val="yHeading3"/>
      </w:pPr>
      <w:bookmarkStart w:id="36" w:name="_Toc40691201"/>
      <w:bookmarkStart w:id="37" w:name="_Toc40697087"/>
      <w:bookmarkStart w:id="38" w:name="_Toc40697373"/>
      <w:bookmarkStart w:id="39" w:name="_Toc40702536"/>
      <w:r>
        <w:rPr>
          <w:rStyle w:val="CharSDivNo"/>
        </w:rPr>
        <w:t>Division 1</w:t>
      </w:r>
      <w:r>
        <w:t> — </w:t>
      </w:r>
      <w:r>
        <w:rPr>
          <w:rStyle w:val="CharSDivText"/>
        </w:rPr>
        <w:t>General</w:t>
      </w:r>
      <w:bookmarkEnd w:id="36"/>
      <w:bookmarkEnd w:id="37"/>
      <w:bookmarkEnd w:id="38"/>
      <w:bookmarkEnd w:id="39"/>
    </w:p>
    <w:p>
      <w:pPr>
        <w:pStyle w:val="yHeading4"/>
        <w:rPr>
          <w:sz w:val="24"/>
          <w:szCs w:val="24"/>
        </w:rPr>
      </w:pPr>
      <w:bookmarkStart w:id="40" w:name="_Toc40691202"/>
      <w:bookmarkStart w:id="41" w:name="_Toc40697088"/>
      <w:bookmarkStart w:id="42" w:name="_Toc40697374"/>
      <w:bookmarkStart w:id="43" w:name="_Toc40702537"/>
      <w:r>
        <w:rPr>
          <w:sz w:val="24"/>
          <w:szCs w:val="24"/>
        </w:rPr>
        <w:t>Subdivision 1 — In</w:t>
      </w:r>
      <w:r>
        <w:rPr>
          <w:sz w:val="24"/>
          <w:szCs w:val="24"/>
        </w:rPr>
        <w:noBreakHyphen/>
        <w:t>patients</w:t>
      </w:r>
      <w:bookmarkEnd w:id="40"/>
      <w:bookmarkEnd w:id="41"/>
      <w:bookmarkEnd w:id="42"/>
      <w:bookmarkEnd w:id="43"/>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$661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$363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 xml:space="preserve">$62.50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 xml:space="preserve">$200.60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$2 887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44" w:name="_Toc40691203"/>
      <w:bookmarkStart w:id="45" w:name="_Toc40697089"/>
      <w:bookmarkStart w:id="46" w:name="_Toc40697375"/>
      <w:bookmarkStart w:id="47" w:name="_Toc40702538"/>
      <w:r>
        <w:rPr>
          <w:sz w:val="24"/>
          <w:szCs w:val="24"/>
        </w:rPr>
        <w:t>Subdivision 2 — Day patients</w:t>
      </w:r>
      <w:bookmarkEnd w:id="44"/>
      <w:bookmarkEnd w:id="45"/>
      <w:bookmarkEnd w:id="46"/>
      <w:bookmarkEnd w:id="4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48" w:name="_Toc40691204"/>
      <w:bookmarkStart w:id="49" w:name="_Toc40697090"/>
      <w:bookmarkStart w:id="50" w:name="_Toc40697376"/>
      <w:bookmarkStart w:id="51" w:name="_Toc40702539"/>
      <w:r>
        <w:rPr>
          <w:sz w:val="24"/>
          <w:szCs w:val="24"/>
        </w:rPr>
        <w:t>Subdivision 3 — Out</w:t>
      </w:r>
      <w:r>
        <w:rPr>
          <w:sz w:val="24"/>
          <w:szCs w:val="24"/>
        </w:rPr>
        <w:noBreakHyphen/>
        <w:t>patients</w:t>
      </w:r>
      <w:bookmarkEnd w:id="48"/>
      <w:bookmarkEnd w:id="49"/>
      <w:bookmarkEnd w:id="50"/>
      <w:bookmarkEnd w:id="51"/>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$310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$6.60</w:t>
            </w:r>
          </w:p>
        </w:tc>
      </w:tr>
      <w:tr>
        <w:trPr>
          <w:cantSplit/>
        </w:trPr>
        <w:tc>
          <w:tcPr>
            <w:tcW w:w="567" w:type="dxa"/>
            <w:tcBorders>
              <w:bottom w:val="nil"/>
            </w:tcBorders>
          </w:tcPr>
          <w:p>
            <w:pPr>
              <w:pStyle w:val="yTableNAm"/>
            </w:pPr>
          </w:p>
        </w:tc>
        <w:tc>
          <w:tcPr>
            <w:tcW w:w="4583" w:type="dxa"/>
            <w:tcBorders>
              <w:bottom w:val="nil"/>
            </w:tcBorders>
          </w:tcPr>
          <w:p>
            <w:pPr>
              <w:pStyle w:val="yTableNAm"/>
              <w:ind w:left="567" w:hanging="567"/>
            </w:pPr>
            <w:r>
              <w:t>(c)</w:t>
            </w:r>
            <w:r>
              <w:tab/>
              <w:t>for all other people (other than ineligible out</w:t>
            </w:r>
            <w:r>
              <w:noBreakHyphen/>
              <w:t>patients)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$32.80</w:t>
            </w:r>
          </w:p>
        </w:tc>
      </w:tr>
    </w:tbl>
    <w:p>
      <w:pPr>
        <w:pStyle w:val="yHeading4"/>
        <w:rPr>
          <w:sz w:val="24"/>
          <w:szCs w:val="24"/>
        </w:rPr>
      </w:pPr>
      <w:bookmarkStart w:id="52" w:name="_Toc40691205"/>
      <w:bookmarkStart w:id="53" w:name="_Toc40697091"/>
      <w:bookmarkStart w:id="54" w:name="_Toc40697377"/>
      <w:bookmarkStart w:id="55" w:name="_Toc40702540"/>
      <w:r>
        <w:rPr>
          <w:sz w:val="24"/>
          <w:szCs w:val="24"/>
        </w:rPr>
        <w:t>Subdivision 4 — Same day patients</w:t>
      </w:r>
      <w:bookmarkEnd w:id="52"/>
      <w:bookmarkEnd w:id="53"/>
      <w:bookmarkEnd w:id="54"/>
      <w:bookmarkEnd w:id="55"/>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$300</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$2 580 </w:t>
            </w:r>
            <w:r>
              <w:t>per day</w:t>
            </w:r>
          </w:p>
        </w:tc>
      </w:tr>
    </w:tbl>
    <w:p>
      <w:pPr>
        <w:pStyle w:val="yHeading4"/>
        <w:rPr>
          <w:sz w:val="24"/>
          <w:szCs w:val="24"/>
        </w:rPr>
      </w:pPr>
      <w:bookmarkStart w:id="56" w:name="_Toc40691206"/>
      <w:bookmarkStart w:id="57" w:name="_Toc40697092"/>
      <w:bookmarkStart w:id="58" w:name="_Toc40697378"/>
      <w:bookmarkStart w:id="59" w:name="_Toc40702541"/>
      <w:r>
        <w:rPr>
          <w:sz w:val="24"/>
          <w:szCs w:val="24"/>
        </w:rPr>
        <w:t>Subdivision 5 — Other services</w:t>
      </w:r>
      <w:bookmarkEnd w:id="56"/>
      <w:bookmarkEnd w:id="57"/>
      <w:bookmarkEnd w:id="58"/>
      <w:bookmarkEnd w:id="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$39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 27 Sep 2019 p. 3419; SL 2020/5 cl. 7; SL 2020/19 cl. 4.]</w:t>
      </w:r>
    </w:p>
    <w:p>
      <w:pPr>
        <w:pStyle w:val="yHeading3"/>
      </w:pPr>
      <w:bookmarkStart w:id="60" w:name="_Toc40691207"/>
      <w:bookmarkStart w:id="61" w:name="_Toc40697093"/>
      <w:bookmarkStart w:id="62" w:name="_Toc40697379"/>
      <w:bookmarkStart w:id="63" w:name="_Toc40702542"/>
      <w:r>
        <w:rPr>
          <w:rStyle w:val="CharSDivNo"/>
        </w:rPr>
        <w:t>Division 2</w:t>
      </w:r>
      <w:r>
        <w:t> — </w:t>
      </w:r>
      <w:r>
        <w:rPr>
          <w:rStyle w:val="CharSDivText"/>
        </w:rPr>
        <w:t>Compensable patients</w:t>
      </w:r>
      <w:bookmarkEnd w:id="60"/>
      <w:bookmarkEnd w:id="61"/>
      <w:bookmarkEnd w:id="62"/>
      <w:bookmarkEnd w:id="63"/>
    </w:p>
    <w:p>
      <w:pPr>
        <w:pStyle w:val="yHeading4"/>
        <w:rPr>
          <w:sz w:val="24"/>
          <w:szCs w:val="24"/>
        </w:rPr>
      </w:pPr>
      <w:bookmarkStart w:id="64" w:name="_Toc40691208"/>
      <w:bookmarkStart w:id="65" w:name="_Toc40697094"/>
      <w:bookmarkStart w:id="66" w:name="_Toc40697380"/>
      <w:bookmarkStart w:id="67" w:name="_Toc40702543"/>
      <w:r>
        <w:rPr>
          <w:sz w:val="24"/>
          <w:szCs w:val="24"/>
        </w:rPr>
        <w:t>Subdivision 1 — Compensable in</w:t>
      </w:r>
      <w:r>
        <w:rPr>
          <w:sz w:val="24"/>
          <w:szCs w:val="24"/>
        </w:rPr>
        <w:noBreakHyphen/>
        <w:t>patients</w:t>
      </w:r>
      <w:bookmarkEnd w:id="64"/>
      <w:bookmarkEnd w:id="65"/>
      <w:bookmarkEnd w:id="66"/>
      <w:bookmarkEnd w:id="6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$2 704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$2 087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$2 899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$300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$6 540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$3 911 </w:t>
            </w:r>
            <w:r>
              <w:t>per day</w:t>
            </w:r>
          </w:p>
        </w:tc>
      </w:tr>
    </w:tbl>
    <w:p>
      <w:pPr>
        <w:pStyle w:val="yHeading4"/>
        <w:rPr>
          <w:sz w:val="24"/>
          <w:szCs w:val="24"/>
        </w:rPr>
      </w:pPr>
      <w:bookmarkStart w:id="68" w:name="_Toc40691209"/>
      <w:bookmarkStart w:id="69" w:name="_Toc40697095"/>
      <w:bookmarkStart w:id="70" w:name="_Toc40697381"/>
      <w:bookmarkStart w:id="71" w:name="_Toc40702544"/>
      <w:r>
        <w:rPr>
          <w:sz w:val="24"/>
          <w:szCs w:val="24"/>
        </w:rPr>
        <w:t>Subdivision 2 — Compensable out</w:t>
      </w:r>
      <w:r>
        <w:rPr>
          <w:sz w:val="24"/>
          <w:szCs w:val="24"/>
        </w:rPr>
        <w:noBreakHyphen/>
        <w:t>patients</w:t>
      </w:r>
      <w:bookmarkEnd w:id="68"/>
      <w:bookmarkEnd w:id="69"/>
      <w:bookmarkEnd w:id="70"/>
      <w:bookmarkEnd w:id="7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$310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$41.00</w:t>
            </w:r>
          </w:p>
          <w:p>
            <w:pPr>
              <w:pStyle w:val="yTableNAm"/>
              <w:rPr>
                <w:szCs w:val="22"/>
              </w:rPr>
            </w:pPr>
            <w:r>
              <w:t>$32.80</w:t>
            </w:r>
          </w:p>
          <w:p>
            <w:pPr>
              <w:pStyle w:val="yTableNAm"/>
            </w:pPr>
            <w:r>
              <w:rPr>
                <w:szCs w:val="22"/>
              </w:rPr>
              <w:br/>
            </w:r>
            <w:r>
              <w:t>$32.80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$310</w:t>
            </w:r>
          </w:p>
        </w:tc>
      </w:tr>
    </w:tbl>
    <w:p>
      <w:pPr>
        <w:pStyle w:val="yHeading4"/>
        <w:rPr>
          <w:sz w:val="24"/>
          <w:szCs w:val="24"/>
        </w:rPr>
      </w:pPr>
      <w:bookmarkStart w:id="72" w:name="_Toc40691210"/>
      <w:bookmarkStart w:id="73" w:name="_Toc40697096"/>
      <w:bookmarkStart w:id="74" w:name="_Toc40697382"/>
      <w:bookmarkStart w:id="75" w:name="_Toc40702545"/>
      <w:r>
        <w:rPr>
          <w:sz w:val="24"/>
          <w:szCs w:val="24"/>
        </w:rPr>
        <w:t>Subdivision 3 — Compensable same day patients</w:t>
      </w:r>
      <w:bookmarkEnd w:id="72"/>
      <w:bookmarkEnd w:id="73"/>
      <w:bookmarkEnd w:id="74"/>
      <w:bookmarkEnd w:id="75"/>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$2 325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rPr>
                <w:szCs w:val="22"/>
              </w:rPr>
              <w:t xml:space="preserve">$3 229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$3 014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 SL 2020/5 cl. 7.]</w:t>
      </w:r>
    </w:p>
    <w:p>
      <w:pPr>
        <w:pStyle w:val="yHeading3"/>
        <w:rPr>
          <w:rStyle w:val="CharSDivNo"/>
          <w:b w:val="0"/>
        </w:rPr>
      </w:pPr>
      <w:bookmarkStart w:id="76" w:name="_Toc40691211"/>
      <w:bookmarkStart w:id="77" w:name="_Toc40697097"/>
      <w:bookmarkStart w:id="78" w:name="_Toc40697383"/>
      <w:bookmarkStart w:id="79" w:name="_Toc40702546"/>
      <w:r>
        <w:rPr>
          <w:rStyle w:val="CharSDivNo"/>
        </w:rPr>
        <w:t>Division 3</w:t>
      </w:r>
      <w:r>
        <w:t> — </w:t>
      </w:r>
      <w:r>
        <w:rPr>
          <w:rStyle w:val="CharSDivText"/>
        </w:rPr>
        <w:t>Magnetic resonance imaging</w:t>
      </w:r>
      <w:bookmarkEnd w:id="76"/>
      <w:bookmarkEnd w:id="77"/>
      <w:bookmarkEnd w:id="78"/>
      <w:bookmarkEnd w:id="79"/>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3"/>
        <w:rPr>
          <w:szCs w:val="24"/>
        </w:rPr>
      </w:pPr>
      <w:bookmarkStart w:id="80" w:name="_Toc40691212"/>
      <w:bookmarkStart w:id="81" w:name="_Toc40697098"/>
      <w:bookmarkStart w:id="82" w:name="_Toc40697384"/>
      <w:bookmarkStart w:id="83" w:name="_Toc40702547"/>
      <w:r>
        <w:rPr>
          <w:rStyle w:val="CharSDivNo"/>
        </w:rPr>
        <w:t>Division 4</w:t>
      </w:r>
      <w:r>
        <w:rPr>
          <w:szCs w:val="24"/>
        </w:rPr>
        <w:t> — </w:t>
      </w:r>
      <w:r>
        <w:rPr>
          <w:rStyle w:val="CharSDivText"/>
        </w:rPr>
        <w:t>Pathology services</w:t>
      </w:r>
      <w:bookmarkEnd w:id="80"/>
      <w:bookmarkEnd w:id="81"/>
      <w:bookmarkEnd w:id="82"/>
      <w:bookmarkEnd w:id="83"/>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 5 deleted: SL 2020/58 cl. 7.]</w:t>
      </w:r>
    </w:p>
    <w:p>
      <w:pPr>
        <w:pStyle w:val="yHeading3"/>
      </w:pPr>
      <w:bookmarkStart w:id="84" w:name="_Toc40697099"/>
      <w:bookmarkStart w:id="85" w:name="_Toc40697385"/>
      <w:bookmarkStart w:id="86" w:name="_Toc40702548"/>
      <w:r>
        <w:rPr>
          <w:rStyle w:val="CharSDivNo"/>
        </w:rPr>
        <w:t>Division 6</w:t>
      </w:r>
      <w:r>
        <w:t> — </w:t>
      </w:r>
      <w:r>
        <w:rPr>
          <w:rStyle w:val="CharSDivText"/>
        </w:rPr>
        <w:t>Surgically implanted prostheses</w:t>
      </w:r>
      <w:bookmarkEnd w:id="84"/>
      <w:bookmarkEnd w:id="85"/>
      <w:bookmarkEnd w:id="86"/>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88" w:name="_Toc40691217"/>
      <w:bookmarkStart w:id="89" w:name="_Toc40697100"/>
      <w:bookmarkStart w:id="90" w:name="_Toc40697386"/>
      <w:bookmarkStart w:id="91" w:name="_Toc40702549"/>
      <w:r>
        <w:t>Notes</w:t>
      </w:r>
      <w:bookmarkEnd w:id="88"/>
      <w:bookmarkEnd w:id="89"/>
      <w:bookmarkEnd w:id="90"/>
      <w:bookmarkEnd w:id="91"/>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 xml:space="preserve">.  </w:t>
      </w:r>
    </w:p>
    <w:p>
      <w:pPr>
        <w:pStyle w:val="nHeading3"/>
      </w:pPr>
      <w:bookmarkStart w:id="92" w:name="_Toc40702550"/>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single" w:sz="4" w:space="0" w:color="auto"/>
            </w:tcBorders>
          </w:tcPr>
          <w:p>
            <w:pPr>
              <w:pStyle w:val="nTable"/>
              <w:keepNext/>
              <w:spacing w:after="40"/>
              <w:rPr>
                <w:i/>
                <w:noProof/>
              </w:rPr>
            </w:pPr>
            <w:r>
              <w:rPr>
                <w:i/>
                <w:noProof/>
              </w:rPr>
              <w:t>Health Services (Fees and Charges) Amendment Order (No. 3) 2020</w:t>
            </w:r>
          </w:p>
        </w:tc>
        <w:tc>
          <w:tcPr>
            <w:tcW w:w="1276" w:type="dxa"/>
            <w:tcBorders>
              <w:top w:val="nil"/>
              <w:bottom w:val="single" w:sz="4" w:space="0" w:color="auto"/>
            </w:tcBorders>
          </w:tcPr>
          <w:p>
            <w:pPr>
              <w:pStyle w:val="nTable"/>
              <w:spacing w:after="40"/>
            </w:pPr>
            <w:r>
              <w:t>SL 2020/58 19 May 2020</w:t>
            </w:r>
          </w:p>
        </w:tc>
        <w:tc>
          <w:tcPr>
            <w:tcW w:w="2693" w:type="dxa"/>
            <w:tcBorders>
              <w:top w:val="nil"/>
              <w:bottom w:val="single" w:sz="4" w:space="0" w:color="auto"/>
            </w:tcBorders>
          </w:tcPr>
          <w:p>
            <w:pPr>
              <w:pStyle w:val="nTable"/>
              <w:spacing w:after="40"/>
            </w:pPr>
            <w:r>
              <w:t>cl. 1 and 2: 19 May 2020 (see cl. 2(a));</w:t>
            </w:r>
            <w:r>
              <w:br/>
              <w:t>Order other than cl. 1 and 2: 20 May 2020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94" w:name="_Toc40702551"/>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181044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Heading3Before6pt">
    <w:name w:val="yHeading 3 + Before:  6 pt"/>
    <w:basedOn w:val="yHeading4"/>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Heading3Before6pt">
    <w:name w:val="yHeading 3 + Before:  6 pt"/>
    <w:basedOn w:val="yHeading4"/>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68F4-BA7C-43E2-8E37-3E54C56B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6724</Words>
  <Characters>32615</Characters>
  <Application>Microsoft Office Word</Application>
  <DocSecurity>0</DocSecurity>
  <Lines>1254</Lines>
  <Paragraphs>756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2016 - 00-w0-01</dc:title>
  <dc:subject/>
  <dc:creator/>
  <cp:keywords/>
  <dc:description/>
  <cp:lastModifiedBy>svcMRProcess</cp:lastModifiedBy>
  <cp:revision>4</cp:revision>
  <cp:lastPrinted>2020-02-06T02:07:00Z</cp:lastPrinted>
  <dcterms:created xsi:type="dcterms:W3CDTF">2020-05-20T01:08:00Z</dcterms:created>
  <dcterms:modified xsi:type="dcterms:W3CDTF">2020-05-20T01:08:00Z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20 May 2020</vt:lpwstr>
  </property>
  <property fmtid="{D5CDD505-2E9C-101B-9397-08002B2CF9AE}" pid="6" name="Suffix">
    <vt:lpwstr>00-w0-01</vt:lpwstr>
  </property>
  <property fmtid="{D5CDD505-2E9C-101B-9397-08002B2CF9AE}" pid="7" name="CommencementDate">
    <vt:lpwstr>20200520</vt:lpwstr>
  </property>
</Properties>
</file>