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Mandatory Testing (Infectious Diseases) Amendment (COVID-19 Response)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Mandatory Testing (Infectious Diseases) Amendment (COVID-19 Response)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_Toc41042336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_Toc41042337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_Toc41042338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_Toc41042339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_Toc41042340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7 amended</w:t>
      </w:r>
      <w:r>
        <w:tab/>
      </w:r>
      <w:r>
        <w:fldChar w:fldCharType="begin"/>
      </w:r>
      <w:r>
        <w:instrText xml:space="preserve"> PAGEREF _Toc41042341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10 amended</w:t>
      </w:r>
      <w:r>
        <w:tab/>
      </w:r>
      <w:r>
        <w:fldChar w:fldCharType="begin"/>
      </w:r>
      <w:r>
        <w:instrText xml:space="preserve"> PAGEREF _Toc41042342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12 amended</w:t>
      </w:r>
      <w:r>
        <w:tab/>
      </w:r>
      <w:r>
        <w:fldChar w:fldCharType="begin"/>
      </w:r>
      <w:r>
        <w:instrText xml:space="preserve"> PAGEREF _Toc41042343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15 amended</w:t>
      </w:r>
      <w:r>
        <w:tab/>
      </w:r>
      <w:r>
        <w:fldChar w:fldCharType="begin"/>
      </w:r>
      <w:r>
        <w:instrText xml:space="preserve"> PAGEREF _Toc41042344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19 amended</w:t>
      </w:r>
      <w:r>
        <w:tab/>
      </w:r>
      <w:r>
        <w:fldChar w:fldCharType="begin"/>
      </w:r>
      <w:r>
        <w:instrText xml:space="preserve"> PAGEREF _Toc41042345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22 amended</w:t>
      </w:r>
      <w:r>
        <w:tab/>
      </w:r>
      <w:r>
        <w:fldChar w:fldCharType="begin"/>
      </w:r>
      <w:r>
        <w:instrText xml:space="preserve"> PAGEREF _Toc41042346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Section 26 amended</w:t>
      </w:r>
      <w:r>
        <w:tab/>
      </w:r>
      <w:r>
        <w:fldChar w:fldCharType="begin"/>
      </w:r>
      <w:r>
        <w:instrText xml:space="preserve"> PAGEREF _Toc41042347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27 amended</w:t>
      </w:r>
      <w:r>
        <w:tab/>
      </w:r>
      <w:r>
        <w:fldChar w:fldCharType="begin"/>
      </w:r>
      <w:r>
        <w:instrText xml:space="preserve"> PAGEREF _Toc41042348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Section 28 amended</w:t>
      </w:r>
      <w:r>
        <w:tab/>
      </w:r>
      <w:r>
        <w:fldChar w:fldCharType="begin"/>
      </w:r>
      <w:r>
        <w:instrText xml:space="preserve"> PAGEREF _Toc41042349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Section 29 amended</w:t>
      </w:r>
      <w:r>
        <w:tab/>
      </w:r>
      <w:r>
        <w:fldChar w:fldCharType="begin"/>
      </w:r>
      <w:r>
        <w:instrText xml:space="preserve"> PAGEREF _Toc41042350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Section 30 amended</w:t>
      </w:r>
      <w:r>
        <w:tab/>
      </w:r>
      <w:r>
        <w:fldChar w:fldCharType="begin"/>
      </w:r>
      <w:r>
        <w:instrText xml:space="preserve"> PAGEREF _Toc41042351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Section 31 amended</w:t>
      </w:r>
      <w:r>
        <w:tab/>
      </w:r>
      <w:r>
        <w:fldChar w:fldCharType="begin"/>
      </w:r>
      <w:r>
        <w:instrText xml:space="preserve"> PAGEREF _Toc41042352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Section 32 amended</w:t>
      </w:r>
      <w:r>
        <w:tab/>
      </w:r>
      <w:r>
        <w:fldChar w:fldCharType="begin"/>
      </w:r>
      <w:r>
        <w:instrText xml:space="preserve"> PAGEREF _Toc41042353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Mandatory Testing (Infectious Diseases) Amendment (COVID</w:t>
      </w:r>
      <w:r>
        <w:noBreakHyphen/>
        <w:t>19 Response)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21 of 2020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Mandatory Testing (Infectious Diseases) Act 2014</w:t>
      </w:r>
      <w:r>
        <w:t xml:space="preserve"> in response to the COVID</w:t>
      </w:r>
      <w:r>
        <w:noBreakHyphen/>
        <w:t>19 pandemic.</w:t>
      </w:r>
    </w:p>
    <w:p/>
    <w:p>
      <w:pPr>
        <w:pStyle w:val="AssentNote"/>
      </w:pPr>
      <w:r>
        <w:t>[Assented to 21 May 2020]</w:t>
      </w:r>
    </w:p>
    <w:p>
      <w:pPr>
        <w:jc w:val="right"/>
      </w:pPr>
    </w:p>
    <w:p/>
    <w:p>
      <w:pPr>
        <w:pStyle w:val="Heading5"/>
        <w:suppressLineNumbers/>
        <w:rPr>
          <w:vanish/>
        </w:rPr>
      </w:pPr>
      <w:r>
        <w:rPr>
          <w:vanish/>
          <w:highlight w:val="yellow"/>
        </w:rPr>
        <w:sym w:font="Wingdings 3" w:char="F075"/>
      </w:r>
      <w:r>
        <w:rPr>
          <w:rStyle w:val="CharPartNo"/>
          <w:vanish/>
        </w:rPr>
        <w:t xml:space="preserve"> </w:t>
      </w:r>
      <w:r>
        <w:rPr>
          <w:rStyle w:val="CharPartText"/>
          <w:vanish/>
        </w:rPr>
        <w:t xml:space="preserve"> </w:t>
      </w:r>
      <w:r>
        <w:rPr>
          <w:rStyle w:val="CharDivNo"/>
          <w:vanish/>
        </w:rPr>
        <w:t xml:space="preserve"> </w:t>
      </w:r>
      <w:r>
        <w:rPr>
          <w:rStyle w:val="CharDivText"/>
          <w:vanish/>
        </w:rPr>
        <w:t xml:space="preserve"> </w:t>
      </w:r>
      <w:r>
        <w:rPr>
          <w:rStyle w:val="CharSchNo"/>
          <w:vanish/>
        </w:rPr>
        <w:t xml:space="preserve"> </w:t>
      </w:r>
      <w:r>
        <w:rPr>
          <w:rStyle w:val="CharSchText"/>
          <w:vanish/>
        </w:rPr>
        <w:t xml:space="preserve"> </w:t>
      </w:r>
      <w:r>
        <w:rPr>
          <w:rStyle w:val="CharSDivNo"/>
          <w:vanish/>
        </w:rPr>
        <w:t xml:space="preserve"> </w:t>
      </w:r>
      <w:r>
        <w:rPr>
          <w:rStyle w:val="CharSDivText"/>
          <w:vanish/>
        </w:rPr>
        <w:t xml:space="preserve"> </w:t>
      </w:r>
      <w:r>
        <w:rPr>
          <w:rStyle w:val="CharSClsNo"/>
          <w:vanish/>
          <w:sz w:val="24"/>
        </w:rPr>
        <w:t xml:space="preserve"> </w:t>
      </w:r>
      <w:r>
        <w:rPr>
          <w:vanish/>
          <w:highlight w:val="yellow"/>
        </w:rPr>
        <w:sym w:font="Wingdings 3" w:char="F074"/>
      </w:r>
      <w:r>
        <w:rPr>
          <w:vanish/>
          <w:highlight w:val="yellow"/>
        </w:rPr>
        <w:tab/>
        <w:t>DO NOT REMOVE - These char styles are to suppress error messages in the page headers (excludes CharSectno)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1042336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Mandatory Testing (Infectious Diseases)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5" w:name="_Toc41042337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6" w:name="_Toc410423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Mandatory Testing (Infectious Diseases) Act 2014</w:t>
      </w:r>
      <w:r>
        <w:t>.</w:t>
      </w:r>
    </w:p>
    <w:p>
      <w:pPr>
        <w:pStyle w:val="Heading5"/>
      </w:pPr>
      <w:bookmarkStart w:id="7" w:name="_Toc41042339"/>
      <w:r>
        <w:rPr>
          <w:rStyle w:val="CharSectno"/>
        </w:rPr>
        <w:t>4</w:t>
      </w:r>
      <w:r>
        <w:t>.</w:t>
      </w:r>
      <w:r>
        <w:tab/>
        <w:t>Section 3 amended</w:t>
      </w:r>
      <w:bookmarkEnd w:id="7"/>
    </w:p>
    <w:p>
      <w:pPr>
        <w:pStyle w:val="Subsection"/>
      </w:pPr>
      <w:r>
        <w:tab/>
      </w:r>
      <w:r>
        <w:tab/>
        <w:t>In section 3 delete “blood” (each occurrence).</w:t>
      </w:r>
    </w:p>
    <w:p>
      <w:pPr>
        <w:pStyle w:val="Heading5"/>
      </w:pPr>
      <w:bookmarkStart w:id="8" w:name="_Toc41042340"/>
      <w:r>
        <w:rPr>
          <w:rStyle w:val="CharSectno"/>
        </w:rPr>
        <w:t>5</w:t>
      </w:r>
      <w:r>
        <w:t>.</w:t>
      </w:r>
      <w:r>
        <w:tab/>
        <w:t>Section 4 amended</w:t>
      </w:r>
      <w:bookmarkEnd w:id="8"/>
    </w:p>
    <w:p>
      <w:pPr>
        <w:pStyle w:val="Subsection"/>
      </w:pPr>
      <w:r>
        <w:tab/>
        <w:t>(1)</w:t>
      </w:r>
      <w:r>
        <w:tab/>
        <w:t xml:space="preserve">In section 4 delete the definition of </w:t>
      </w:r>
      <w:r>
        <w:rPr>
          <w:b/>
          <w:i/>
        </w:rPr>
        <w:t>qualified person</w:t>
      </w:r>
      <w:r>
        <w:t>.</w:t>
      </w:r>
    </w:p>
    <w:p>
      <w:pPr>
        <w:pStyle w:val="Subsection"/>
      </w:pPr>
      <w:r>
        <w:tab/>
        <w:t>(2)</w:t>
      </w:r>
      <w:r>
        <w:tab/>
        <w:t>In section 4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qualified person</w:t>
      </w:r>
      <w:r>
        <w:t xml:space="preserve"> means — </w:t>
      </w:r>
    </w:p>
    <w:p>
      <w:pPr>
        <w:pStyle w:val="zDefpara"/>
      </w:pPr>
      <w:r>
        <w:tab/>
        <w:t>(a)</w:t>
      </w:r>
      <w:r>
        <w:tab/>
        <w:t xml:space="preserve">the holder of — </w:t>
      </w:r>
    </w:p>
    <w:p>
      <w:pPr>
        <w:pStyle w:val="zDefsubpara"/>
      </w:pPr>
      <w:r>
        <w:tab/>
        <w:t>(i)</w:t>
      </w:r>
      <w:r>
        <w:tab/>
        <w:t xml:space="preserve">a Certificate III in Pathology Collection from a college as defined in the </w:t>
      </w:r>
      <w:r>
        <w:rPr>
          <w:i/>
        </w:rPr>
        <w:t>Vocational Education and Training Act 1996</w:t>
      </w:r>
      <w:r>
        <w:t xml:space="preserve"> section 5(1); or</w:t>
      </w:r>
    </w:p>
    <w:p>
      <w:pPr>
        <w:pStyle w:val="zDefsubpara"/>
      </w:pPr>
      <w:r>
        <w:tab/>
        <w:t>(ii)</w:t>
      </w:r>
      <w:r>
        <w:tab/>
        <w:t>an equivalent qualification from an institution based in another State or Territory or overseas;</w:t>
      </w:r>
    </w:p>
    <w:p>
      <w:pPr>
        <w:pStyle w:val="zDefpara"/>
      </w:pPr>
      <w:r>
        <w:tab/>
      </w:r>
      <w:r>
        <w:tab/>
        <w:t>or</w:t>
      </w:r>
    </w:p>
    <w:p>
      <w:pPr>
        <w:pStyle w:val="zDefpara"/>
      </w:pPr>
      <w:r>
        <w:tab/>
        <w:t>(b)</w:t>
      </w:r>
      <w:r>
        <w:tab/>
        <w:t>in relation to the taking of a sample of a particular type — a person, or class of persons, prescribed for the taking of that type of sample;</w:t>
      </w:r>
    </w:p>
    <w:p>
      <w:pPr>
        <w:pStyle w:val="zDefstart"/>
      </w:pPr>
      <w:r>
        <w:tab/>
      </w:r>
      <w:r>
        <w:rPr>
          <w:rStyle w:val="CharDefText"/>
        </w:rPr>
        <w:t>sample</w:t>
      </w:r>
      <w:r>
        <w:t xml:space="preserve"> means a sample of blood, saliva, mucus, respiratory secretions or other material taken from a person;</w:t>
      </w:r>
    </w:p>
    <w:p>
      <w:pPr>
        <w:pStyle w:val="BlankClose"/>
      </w:pPr>
    </w:p>
    <w:p>
      <w:pPr>
        <w:pStyle w:val="Heading5"/>
      </w:pPr>
      <w:bookmarkStart w:id="9" w:name="_Toc41042341"/>
      <w:r>
        <w:rPr>
          <w:rStyle w:val="CharSectno"/>
        </w:rPr>
        <w:t>6</w:t>
      </w:r>
      <w:r>
        <w:t>.</w:t>
      </w:r>
      <w:r>
        <w:tab/>
        <w:t>Section 7 amended</w:t>
      </w:r>
      <w:bookmarkEnd w:id="9"/>
    </w:p>
    <w:p>
      <w:pPr>
        <w:pStyle w:val="Subsection"/>
      </w:pPr>
      <w:r>
        <w:tab/>
      </w:r>
      <w:r>
        <w:tab/>
        <w:t xml:space="preserve">In section 7(1) in the definition of </w:t>
      </w:r>
      <w:r>
        <w:rPr>
          <w:b/>
          <w:i/>
        </w:rPr>
        <w:t>disease test approval</w:t>
      </w:r>
      <w:r>
        <w:t xml:space="preserve"> delete “blood”.</w:t>
      </w:r>
    </w:p>
    <w:p>
      <w:pPr>
        <w:pStyle w:val="Heading5"/>
      </w:pPr>
      <w:bookmarkStart w:id="10" w:name="_Toc41042342"/>
      <w:r>
        <w:rPr>
          <w:rStyle w:val="CharSectno"/>
        </w:rPr>
        <w:t>7</w:t>
      </w:r>
      <w:r>
        <w:t>.</w:t>
      </w:r>
      <w:r>
        <w:tab/>
        <w:t>Section 10 amended</w:t>
      </w:r>
      <w:bookmarkEnd w:id="10"/>
    </w:p>
    <w:p>
      <w:pPr>
        <w:pStyle w:val="Subsection"/>
      </w:pPr>
      <w:r>
        <w:tab/>
      </w:r>
      <w:r>
        <w:tab/>
        <w:t>In section 10(2):</w:t>
      </w:r>
    </w:p>
    <w:p>
      <w:pPr>
        <w:pStyle w:val="Indenta"/>
      </w:pPr>
      <w:r>
        <w:tab/>
        <w:t>(a)</w:t>
      </w:r>
      <w:r>
        <w:tab/>
        <w:t>in paragraph (b) delete “of the suspected transferor’s blood;”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from the suspected transferor;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paragraphs (d) and (e) delete “blood”.</w:t>
      </w:r>
    </w:p>
    <w:p>
      <w:pPr>
        <w:pStyle w:val="Heading5"/>
      </w:pPr>
      <w:bookmarkStart w:id="11" w:name="_Toc41042343"/>
      <w:r>
        <w:rPr>
          <w:rStyle w:val="CharSectno"/>
        </w:rPr>
        <w:t>8</w:t>
      </w:r>
      <w:r>
        <w:t>.</w:t>
      </w:r>
      <w:r>
        <w:tab/>
        <w:t>Section 12 amended</w:t>
      </w:r>
      <w:bookmarkEnd w:id="11"/>
    </w:p>
    <w:p>
      <w:pPr>
        <w:pStyle w:val="Subsection"/>
      </w:pPr>
      <w:r>
        <w:tab/>
      </w:r>
      <w:r>
        <w:tab/>
        <w:t>In section 12 delete “blood” (each occurrence).</w:t>
      </w:r>
    </w:p>
    <w:p>
      <w:pPr>
        <w:pStyle w:val="Heading5"/>
      </w:pPr>
      <w:bookmarkStart w:id="12" w:name="_Toc41042344"/>
      <w:r>
        <w:rPr>
          <w:rStyle w:val="CharSectno"/>
        </w:rPr>
        <w:t>9</w:t>
      </w:r>
      <w:r>
        <w:t>.</w:t>
      </w:r>
      <w:r>
        <w:tab/>
        <w:t>Section 15 amended</w:t>
      </w:r>
      <w:bookmarkEnd w:id="12"/>
    </w:p>
    <w:p>
      <w:pPr>
        <w:pStyle w:val="Subsection"/>
      </w:pPr>
      <w:r>
        <w:tab/>
      </w:r>
      <w:r>
        <w:tab/>
        <w:t xml:space="preserve">In section 15 in the definition of </w:t>
      </w:r>
      <w:r>
        <w:rPr>
          <w:b/>
          <w:i/>
        </w:rPr>
        <w:t>disease test order</w:t>
      </w:r>
      <w:r>
        <w:t xml:space="preserve"> delete “blood”.</w:t>
      </w:r>
    </w:p>
    <w:p>
      <w:pPr>
        <w:pStyle w:val="Heading5"/>
      </w:pPr>
      <w:bookmarkStart w:id="13" w:name="_Toc41042345"/>
      <w:r>
        <w:rPr>
          <w:rStyle w:val="CharSectno"/>
        </w:rPr>
        <w:t>10</w:t>
      </w:r>
      <w:r>
        <w:t>.</w:t>
      </w:r>
      <w:r>
        <w:tab/>
        <w:t>Section 19 amended</w:t>
      </w:r>
      <w:bookmarkEnd w:id="13"/>
    </w:p>
    <w:p>
      <w:pPr>
        <w:pStyle w:val="Subsection"/>
      </w:pPr>
      <w:r>
        <w:tab/>
        <w:t>(1)</w:t>
      </w:r>
      <w:r>
        <w:tab/>
        <w:t>In section 19(1)(b) delete “blood”.</w:t>
      </w:r>
    </w:p>
    <w:p>
      <w:pPr>
        <w:pStyle w:val="Subsection"/>
        <w:keepNext/>
      </w:pPr>
      <w:r>
        <w:tab/>
        <w:t>(2)</w:t>
      </w:r>
      <w:r>
        <w:tab/>
        <w:t>In section 19(2):</w:t>
      </w:r>
    </w:p>
    <w:p>
      <w:pPr>
        <w:pStyle w:val="Indenta"/>
        <w:keepNext/>
      </w:pPr>
      <w:r>
        <w:tab/>
        <w:t>(a)</w:t>
      </w:r>
      <w:r>
        <w:tab/>
        <w:t>in paragraph (b) delete “of the suspected transferor’s blood;”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from the suspected transferor;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paragraphs (d) and (e) delete “blood”.</w:t>
      </w:r>
    </w:p>
    <w:p>
      <w:pPr>
        <w:pStyle w:val="Heading5"/>
      </w:pPr>
      <w:bookmarkStart w:id="14" w:name="_Toc41042346"/>
      <w:r>
        <w:rPr>
          <w:rStyle w:val="CharSectno"/>
        </w:rPr>
        <w:t>11</w:t>
      </w:r>
      <w:r>
        <w:t>.</w:t>
      </w:r>
      <w:r>
        <w:tab/>
        <w:t>Section 22 amended</w:t>
      </w:r>
      <w:bookmarkEnd w:id="14"/>
    </w:p>
    <w:p>
      <w:pPr>
        <w:pStyle w:val="Subsection"/>
      </w:pPr>
      <w:r>
        <w:tab/>
        <w:t>(1)</w:t>
      </w:r>
      <w:r>
        <w:tab/>
        <w:t>In section 22(2):</w:t>
      </w:r>
    </w:p>
    <w:p>
      <w:pPr>
        <w:pStyle w:val="Indenta"/>
      </w:pPr>
      <w:r>
        <w:tab/>
        <w:t>(a)</w:t>
      </w:r>
      <w:r>
        <w:tab/>
        <w:t>in paragraph (a) delete “blood”;</w:t>
      </w:r>
    </w:p>
    <w:p>
      <w:pPr>
        <w:pStyle w:val="Indenta"/>
      </w:pPr>
      <w:r>
        <w:tab/>
        <w:t>(b)</w:t>
      </w:r>
      <w:r>
        <w:tab/>
        <w:t>in paragraph (b) delete “that blood”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22(3) delete “blood”.</w:t>
      </w:r>
    </w:p>
    <w:p>
      <w:pPr>
        <w:pStyle w:val="Heading5"/>
      </w:pPr>
      <w:bookmarkStart w:id="15" w:name="_Toc41042347"/>
      <w:r>
        <w:rPr>
          <w:rStyle w:val="CharSectno"/>
        </w:rPr>
        <w:t>12</w:t>
      </w:r>
      <w:r>
        <w:t>.</w:t>
      </w:r>
      <w:r>
        <w:tab/>
        <w:t>Section 26 amended</w:t>
      </w:r>
      <w:bookmarkEnd w:id="15"/>
    </w:p>
    <w:p>
      <w:pPr>
        <w:pStyle w:val="Subsection"/>
      </w:pPr>
      <w:r>
        <w:tab/>
        <w:t>(1)</w:t>
      </w:r>
      <w:r>
        <w:tab/>
        <w:t>In section 26(1), (2) and (3) delete “blood”.</w:t>
      </w:r>
    </w:p>
    <w:p>
      <w:pPr>
        <w:pStyle w:val="Subsection"/>
      </w:pPr>
      <w:r>
        <w:tab/>
        <w:t>(2)</w:t>
      </w:r>
      <w:r>
        <w:tab/>
        <w:t>In section 26(4) delete “a blood”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the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section 26(5) delete “blood”.</w:t>
      </w:r>
    </w:p>
    <w:p>
      <w:pPr>
        <w:pStyle w:val="SectAltNote"/>
      </w:pPr>
      <w:r>
        <w:tab/>
        <w:t>Note:</w:t>
      </w:r>
      <w:r>
        <w:tab/>
        <w:t>The heading to amended section 26 is to read:</w:t>
      </w:r>
    </w:p>
    <w:p>
      <w:pPr>
        <w:pStyle w:val="SectAltHead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Taking samples under disease test authorisation</w:t>
      </w:r>
    </w:p>
    <w:p>
      <w:pPr>
        <w:pStyle w:val="Heading5"/>
      </w:pPr>
      <w:bookmarkStart w:id="16" w:name="_Toc41042348"/>
      <w:r>
        <w:rPr>
          <w:rStyle w:val="CharSectno"/>
        </w:rPr>
        <w:t>13</w:t>
      </w:r>
      <w:r>
        <w:t>.</w:t>
      </w:r>
      <w:r>
        <w:tab/>
        <w:t>Section 27 amended</w:t>
      </w:r>
      <w:bookmarkEnd w:id="16"/>
    </w:p>
    <w:p>
      <w:pPr>
        <w:pStyle w:val="Subsection"/>
      </w:pPr>
      <w:r>
        <w:tab/>
        <w:t>(1)</w:t>
      </w:r>
      <w:r>
        <w:tab/>
        <w:t>In section 27(1) delete “blood”.</w:t>
      </w:r>
    </w:p>
    <w:p>
      <w:pPr>
        <w:pStyle w:val="Subsection"/>
        <w:keepNext/>
      </w:pPr>
      <w:r>
        <w:tab/>
        <w:t>(2)</w:t>
      </w:r>
      <w:r>
        <w:tab/>
        <w:t>In section 27(2) delete “a blood” and insert:</w:t>
      </w:r>
    </w:p>
    <w:p>
      <w:pPr>
        <w:pStyle w:val="BlankOpen"/>
      </w:pPr>
    </w:p>
    <w:p>
      <w:pPr>
        <w:pStyle w:val="Subsection"/>
        <w:spacing w:before="100"/>
      </w:pPr>
      <w:r>
        <w:tab/>
      </w:r>
      <w:r>
        <w:tab/>
        <w:t>the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section 27 is to read:</w:t>
      </w:r>
    </w:p>
    <w:p>
      <w:pPr>
        <w:pStyle w:val="SectAltHead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Analysis of samples</w:t>
      </w:r>
    </w:p>
    <w:p>
      <w:pPr>
        <w:pStyle w:val="Heading5"/>
      </w:pPr>
      <w:bookmarkStart w:id="17" w:name="_Toc41042349"/>
      <w:r>
        <w:rPr>
          <w:rStyle w:val="CharSectno"/>
        </w:rPr>
        <w:t>14</w:t>
      </w:r>
      <w:r>
        <w:t>.</w:t>
      </w:r>
      <w:r>
        <w:tab/>
        <w:t>Section 28 amended</w:t>
      </w:r>
      <w:bookmarkEnd w:id="17"/>
    </w:p>
    <w:p>
      <w:pPr>
        <w:pStyle w:val="Subsection"/>
        <w:spacing w:before="120"/>
      </w:pPr>
      <w:r>
        <w:tab/>
      </w:r>
      <w:r>
        <w:tab/>
        <w:t>In section 28 delete “a blood sample under a” and insert:</w:t>
      </w:r>
    </w:p>
    <w:p>
      <w:pPr>
        <w:pStyle w:val="BlankOpen"/>
      </w:pPr>
    </w:p>
    <w:p>
      <w:pPr>
        <w:pStyle w:val="Subsection"/>
        <w:spacing w:before="120"/>
      </w:pPr>
      <w:r>
        <w:tab/>
      </w:r>
      <w:r>
        <w:tab/>
        <w:t>the sample under the</w:t>
      </w:r>
    </w:p>
    <w:p>
      <w:pPr>
        <w:pStyle w:val="BlankClose"/>
      </w:pPr>
    </w:p>
    <w:p>
      <w:pPr>
        <w:pStyle w:val="Heading5"/>
      </w:pPr>
      <w:bookmarkStart w:id="18" w:name="_Toc41042350"/>
      <w:r>
        <w:rPr>
          <w:rStyle w:val="CharSectno"/>
        </w:rPr>
        <w:t>15</w:t>
      </w:r>
      <w:r>
        <w:t>.</w:t>
      </w:r>
      <w:r>
        <w:tab/>
        <w:t>Section 29 amended</w:t>
      </w:r>
      <w:bookmarkEnd w:id="18"/>
    </w:p>
    <w:p>
      <w:pPr>
        <w:pStyle w:val="Subsection"/>
        <w:spacing w:before="120"/>
      </w:pPr>
      <w:r>
        <w:tab/>
      </w:r>
      <w:r>
        <w:tab/>
        <w:t>In section 29(2) delete “blood”.</w:t>
      </w:r>
    </w:p>
    <w:p>
      <w:pPr>
        <w:pStyle w:val="Heading5"/>
      </w:pPr>
      <w:bookmarkStart w:id="19" w:name="_Toc41042351"/>
      <w:r>
        <w:rPr>
          <w:rStyle w:val="CharSectno"/>
        </w:rPr>
        <w:t>16</w:t>
      </w:r>
      <w:r>
        <w:t>.</w:t>
      </w:r>
      <w:r>
        <w:tab/>
        <w:t>Section 30 amended</w:t>
      </w:r>
      <w:bookmarkEnd w:id="19"/>
    </w:p>
    <w:p>
      <w:pPr>
        <w:pStyle w:val="Subsection"/>
        <w:spacing w:before="120"/>
      </w:pPr>
      <w:r>
        <w:tab/>
      </w:r>
      <w:r>
        <w:tab/>
        <w:t>In section 30 delete “blood”.</w:t>
      </w:r>
    </w:p>
    <w:p>
      <w:pPr>
        <w:pStyle w:val="SectAltNote"/>
      </w:pPr>
      <w:r>
        <w:tab/>
        <w:t>Note:</w:t>
      </w:r>
      <w:r>
        <w:tab/>
        <w:t>The heading to amended section 30 is to read:</w:t>
      </w:r>
    </w:p>
    <w:p>
      <w:pPr>
        <w:pStyle w:val="SectAltHead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Prohibition on use of samples for other purposes</w:t>
      </w:r>
    </w:p>
    <w:p>
      <w:pPr>
        <w:pStyle w:val="Heading5"/>
      </w:pPr>
      <w:bookmarkStart w:id="20" w:name="_Toc41042352"/>
      <w:r>
        <w:rPr>
          <w:rStyle w:val="CharSectno"/>
        </w:rPr>
        <w:t>17</w:t>
      </w:r>
      <w:r>
        <w:t>.</w:t>
      </w:r>
      <w:r>
        <w:tab/>
        <w:t>Section 31 amended</w:t>
      </w:r>
      <w:bookmarkEnd w:id="20"/>
    </w:p>
    <w:p>
      <w:pPr>
        <w:pStyle w:val="Subsection"/>
        <w:spacing w:before="120"/>
      </w:pPr>
      <w:r>
        <w:tab/>
      </w:r>
      <w:r>
        <w:tab/>
        <w:t>In section 31(2)(c) delete “blood”.</w:t>
      </w:r>
    </w:p>
    <w:p>
      <w:pPr>
        <w:pStyle w:val="Heading5"/>
      </w:pPr>
      <w:bookmarkStart w:id="21" w:name="_Toc41042353"/>
      <w:r>
        <w:rPr>
          <w:rStyle w:val="CharSectno"/>
        </w:rPr>
        <w:t>18</w:t>
      </w:r>
      <w:r>
        <w:t>.</w:t>
      </w:r>
      <w:r>
        <w:tab/>
        <w:t>Section 32 amended</w:t>
      </w:r>
      <w:bookmarkEnd w:id="21"/>
    </w:p>
    <w:p>
      <w:pPr>
        <w:pStyle w:val="Subsection"/>
        <w:spacing w:before="120"/>
      </w:pPr>
      <w:r>
        <w:tab/>
      </w:r>
      <w:r>
        <w:tab/>
        <w:t>In section 32(2) delete “blood”.</w:t>
      </w:r>
    </w:p>
    <w:p>
      <w:pPr>
        <w:pStyle w:val="SectAltNote"/>
      </w:pPr>
      <w:r>
        <w:tab/>
        <w:t>Note:</w:t>
      </w:r>
      <w:r>
        <w:tab/>
        <w:t>The heading to section 16 is to read:</w:t>
      </w:r>
    </w:p>
    <w:p>
      <w:pPr>
        <w:pStyle w:val="SectAltHead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Application for order for testing of suspected transferor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ge">
                  <wp:posOffset>7281545</wp:posOffset>
                </wp:positionV>
                <wp:extent cx="4645025" cy="1141095"/>
                <wp:effectExtent l="0" t="0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50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7pt;margin-top:573.35pt;width:365.75pt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7MTgMAAMwHAAAOAAAAZHJzL2Uyb0RvYy54bWzEVctu2zgU3Q/QfyC4dyR5ZDcyogR51MUA&#10;RlpMUnRNU5QlhCJZko7lFv33OaRsx0m7SAYDjBfyJXnu+3V20XeSPArrWq1Kmp2klAjFddWqVUm/&#10;3M9Hp5Q4z1TFpFaipFvh6MX5uz/ONmYmxrrRshKWQIhys40paeO9mSWJ443omDvRRig81tp2zONo&#10;V0ll2QbSO5mM03SabLStjNVcOIfbm+GRnkf5dS24/1TXTngiSwrbfPza+F2Gb3J+xmYry0zT8p0Z&#10;7F9Y0bFWQelB1A3zjKxt+4uoruVWO137E667RNd1y0X0Ad5k6Qtv7hpmRPQFwXHmECb334nlt4+f&#10;LWmrkk4oUaxDiu5F78mV7skkRGdj3AygOwOY73GNLEdPnVlo/uAASY4wA4MDOkSjr20X/uEnASMS&#10;sD0EPWjhuMyn+SQdQzvHW5blWVpExckTu7HOfxS6I4EoqUVWownsceF8MIDN9pCgzWnZVvNWyniw&#10;q+W1tOSRoQLm8RfcAsszmFRkU9JiEg1hKMRaMg+bOoPQOLWihMkVKpx7G1UrHRRA0KD6hrlmUBGl&#10;DmVl9VpVEdIIVn1QFfFbgwArdAIN6jpRUSIFxAYqIj1r5WuQsF+qoF3EIh/igFPvQcZ7hDcW4I8i&#10;G+fp1bgYzaen70f5PJ+Mivfp6SjNiqtimuZFfjP/GZzK8lnTVpVQi1aJfTNk+euKbdeWQxnHdnhb&#10;QJ9lI2TzkLSlZPzhdzkLqP8h8M/CFCsJUd//x+jHhhh6ILSG81spQk6k+lvUaLbYCuEijjlx8JRx&#10;LpTPdr5GdEDVqLS3MO7wgXWojrcwHziiZq38gblrlR6K/4XZ1cPe5HrAIxhHfgfS98s+TpmIDDdL&#10;XW0xUqxGQ2MuOMPnLfK5YM5/ZhYzGJfYK/4TPrXU6Ba9oyhptP3+u/uAR7XiFe2FmY7O/bZmFs0m&#10;/1IYmkWa5n9iCcRDPj2d4mCPX5bHL2rdXWsMjSxaF0nYZL3ck7XV3Vesn8ugFU9MceguKebGQF77&#10;YdNgfXFxeRlBGPuG+YW6M3w/SUMd3/dfmTW7AedRULd6P/3Z7MWcG7AhP0pfrr2u2zgEn6K6iz9W&#10;RizL3XoLO+n4HFFPS/j8HwAAAP//AwBQSwMEFAAGAAgAAAAhAIPErCzjAAAADQEAAA8AAABkcnMv&#10;ZG93bnJldi54bWxMj8FOwzAMhu9IvENkJC6IJStVR0vTCQ1NiBNiTNOOWeu1hcapmnQrPD3mBEf7&#10;//T7c76cbCdOOPjWkYb5TIFAKl3VUq1h+76+vQfhg6HKdI5Qwxd6WBaXF7nJKnemNzxtQi24hHxm&#10;NDQh9JmUvmzQGj9zPRJnRzdYE3gcalkN5szltpORUom0piW+0JgeVw2Wn5vRani+sR+2Xrw+vfgd&#10;7b/XezUeV0rr66vp8QFEwCn8wfCrz+pQsNPBjVR50WmIojRmlIN5nCxAMJImKgVx4NVdlMQgi1z+&#10;/6L4AQAA//8DAFBLAQItABQABgAIAAAAIQC2gziS/gAAAOEBAAATAAAAAAAAAAAAAAAAAAAAAABb&#10;Q29udGVudF9UeXBlc10ueG1sUEsBAi0AFAAGAAgAAAAhADj9If/WAAAAlAEAAAsAAAAAAAAAAAAA&#10;AAAALwEAAF9yZWxzLy5yZWxzUEsBAi0AFAAGAAgAAAAhAHaQnsxOAwAAzAcAAA4AAAAAAAAAAAAA&#10;AAAALgIAAGRycy9lMm9Eb2MueG1sUEsBAi0AFAAGAAgAAAAhAIPErCzjAAAADQEAAA8AAAAAAAAA&#10;AAAAAAAAqAUAAGRycy9kb3ducmV2LnhtbFBLBQYAAAAABAAEAPMAAAC4BgAAAAA=&#10;" stroked="f">
                <v:stroke joinstyle="round"/>
                <v:path arrowok="t"/>
                <v:textbox inset="7.09pt,3.69pt,7.09pt,3.69pt">
                  <w:txbxContent>
                    <w:p w:rsidR="00AC4736" w:rsidRDefault="00AC4736" w:rsidP="00AC4736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AC4736" w:rsidRDefault="00AC4736" w:rsidP="00AC4736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AC4736" w:rsidRDefault="00AC4736" w:rsidP="00AC4736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AC4736" w:rsidRDefault="00AC4736" w:rsidP="00AC4736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221" cy="263398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1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07.4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Kt9AIAAHoGAAAOAAAAZHJzL2Uyb0RvYy54bWysVVtv2jAUfp+0/2D5neZCSg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IP&#10;MVKkghLNNm6tjXB7D86uthOQeahByjXXuoEi9+8WHn3ODTeV/0I2CPgA8/4ALWscol4pvUjTBCMK&#10;rHQ0HObjgH30ol0b6z4xXSFPFNhA6QKiZLuwDiIB0V7EO7NainIupAwXs1reSIO2BMo8Dz8fJKic&#10;iEmFdgUeDc/jYFlpr9/KSeXtsNAxrT+4NQ7I8A5ZhGr+zJM0i6/TfDAfjS8G2Tw7H+QX8XgQJ/l1&#10;PoqzPLud//LWk2yyFmXJ1EIo1ndWkv1d5boeb3si9NZJ4CdJeVAOuS8loc9vU49OwwnIQHb9N2QZ&#10;+VK3JQ2U20vmc5fqK+PQIaGy/iHMJju4JJQy5UJTAN5B2ktxgPY9ip28V22r8B7lg0bwrJU7KFdC&#10;aROq/Srs8rkPmbfyAMZR3p50zbLpRmCpyz1MgNHQmdDftqZzAbgviHX3xMDGgEfYgu4ODi41dJnu&#10;KIxgmH786d3LQzsAF6MdbKAC2+8bYhhG8rOCEc+TLPMrK1yy84sULuaYszzmqE11o6H7YcYgukB6&#10;eSd7khtdPcGynHmvwCKKgu8Cu568ce1ehGVL2WwWhGBJ1cQt1ENNvWkPr++3x+aJmLqbVAed9EX3&#10;u4pMXg1sK+s1lYbVorkI0+wBblHtgIcFF/qxW8Z+gx7fg9TLX8b0NwAAAP//AwBQSwMEFAAGAAgA&#10;AAAhAMn9WljcAAAABAEAAA8AAABkcnMvZG93bnJldi54bWxMj8FOwzAQRO9I/QdrK3GjTqFUUYhT&#10;VZU4VT0QoOXoxtskarwOttOGv2fhApeRVrOaeZOvRtuJC/rQOlIwnyUgkCpnWqoVvL0+36UgQtRk&#10;dOcIFXxhgFUxucl1ZtyVXvBSxlpwCIVMK2hi7DMpQ9Wg1WHmeiT2Ts5bHfn0tTReXzncdvI+SZbS&#10;6pa4odE9bhqszuVgFXzs2sfdfrs+pGUylO+f4/b8sPdK3U7H9ROIiGP8e4YffEaHgpmObiATRKeA&#10;h8RfZY+bQBwVLOaLFGSRy//wxTcAAAD//wMAUEsBAi0AFAAGAAgAAAAhALaDOJL+AAAA4QEAABMA&#10;AAAAAAAAAAAAAAAAAAAAAFtDb250ZW50X1R5cGVzXS54bWxQSwECLQAUAAYACAAAACEAOP0h/9YA&#10;AACUAQAACwAAAAAAAAAAAAAAAAAvAQAAX3JlbHMvLnJlbHNQSwECLQAUAAYACAAAACEA3YEirfQC&#10;AAB6BgAADgAAAAAAAAAAAAAAAAAuAgAAZHJzL2Uyb0RvYy54bWxQSwECLQAUAAYACAAAACEAyf1a&#10;WNwAAAAEAQAADwAAAAAAAAAAAAAAAABOBQAAZHJzL2Rvd25yZXYueG1sUEsFBgAAAAAEAAQA8wAA&#10;AFcGAAAAAA==&#10;" stroked="f" strokeweight=".5pt">
                <v:textbox>
                  <w:txbxContent>
                    <w:p w:rsidR="00470416" w:rsidRDefault="00470416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May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52212132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5061444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506144451_GUID" w:val="5a2bc6ae-4ac7-4062-b788-7043bd1b5bc4"/>
    <w:docVar w:name="WAFER_202005110840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511084005_GUID" w:val="6878efff-4b52-487a-b382-e8a6567171ff"/>
    <w:docVar w:name="WAFER_2020052212132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00522121322_GUID" w:val="a12ba64b-68c5-4224-9947-ab135aa5ee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C32B-8BC4-431F-AF74-867D3CA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4185</Characters>
  <Application>Microsoft Office Word</Application>
  <DocSecurity>0</DocSecurity>
  <Lines>190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Testing (Infectious Diseases) Amendment (COVID 19 Response) Act 2020</vt:lpstr>
    </vt:vector>
  </TitlesOfParts>
  <Manager/>
  <Company/>
  <LinksUpToDate>false</LinksUpToDate>
  <CharactersWithSpaces>4878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Testing (Infectious Diseases) Amendment (COVID-19 Response) Act 2020 - 00-00-00</dc:title>
  <dc:subject/>
  <dc:creator/>
  <cp:keywords/>
  <dc:description/>
  <cp:lastModifiedBy>svcMRProcess</cp:lastModifiedBy>
  <cp:revision>4</cp:revision>
  <cp:lastPrinted>2020-05-22T03:17:00Z</cp:lastPrinted>
  <dcterms:created xsi:type="dcterms:W3CDTF">2020-05-22T06:14:00Z</dcterms:created>
  <dcterms:modified xsi:type="dcterms:W3CDTF">2020-05-22T06:14:00Z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2852</vt:lpwstr>
  </property>
  <property fmtid="{D5CDD505-2E9C-101B-9397-08002B2CF9AE}" pid="3" name="ActNo">
    <vt:lpwstr>21 of 2020</vt:lpwstr>
  </property>
  <property fmtid="{D5CDD505-2E9C-101B-9397-08002B2CF9AE}" pid="4" name="DocumentType">
    <vt:lpwstr>Act</vt:lpwstr>
  </property>
  <property fmtid="{D5CDD505-2E9C-101B-9397-08002B2CF9AE}" pid="5" name="AsAtDate">
    <vt:lpwstr>21 May 2020</vt:lpwstr>
  </property>
  <property fmtid="{D5CDD505-2E9C-101B-9397-08002B2CF9AE}" pid="6" name="Suffix">
    <vt:lpwstr>00-00-00</vt:lpwstr>
  </property>
  <property fmtid="{D5CDD505-2E9C-101B-9397-08002B2CF9AE}" pid="7" name="ActNoFooter">
    <vt:lpwstr>No. 21 of 2020</vt:lpwstr>
  </property>
  <property fmtid="{D5CDD505-2E9C-101B-9397-08002B2CF9AE}" pid="8" name="CommencementDate">
    <vt:lpwstr>20200521</vt:lpwstr>
  </property>
</Properties>
</file>