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_Toc41557732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_Toc41557733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_Toc41557734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_Toc41557735 \h </w:instrText>
      </w:r>
      <w:r>
        <w:fldChar w:fldCharType="separate"/>
      </w:r>
      <w:r>
        <w:t>1</w:t>
      </w:r>
      <w:r>
        <w:fldChar w:fldCharType="end"/>
      </w:r>
    </w:p>
    <w:p>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_Toc41557736 \h </w:instrText>
      </w:r>
      <w:r>
        <w:fldChar w:fldCharType="separate"/>
      </w:r>
      <w:r>
        <w:t>3</w:t>
      </w:r>
      <w:r>
        <w:fldChar w:fldCharType="end"/>
      </w:r>
    </w:p>
    <w:p>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_Toc41557737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How to make and defend a claim generally</w:t>
      </w:r>
    </w:p>
    <w:p>
      <w:pPr>
        <w:pStyle w:val="TOC8"/>
        <w:rPr>
          <w:rFonts w:asciiTheme="minorHAnsi" w:eastAsiaTheme="minorEastAsia" w:hAnsiTheme="minorHAnsi" w:cstheme="minorBidi"/>
          <w:szCs w:val="22"/>
        </w:rPr>
      </w:pPr>
      <w:r>
        <w:t>6.</w:t>
      </w:r>
      <w:r>
        <w:tab/>
        <w:t>When this Part applies</w:t>
      </w:r>
      <w:r>
        <w:tab/>
      </w:r>
      <w:r>
        <w:fldChar w:fldCharType="begin"/>
      </w:r>
      <w:r>
        <w:instrText xml:space="preserve"> PAGEREF _Toc41557739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_Toc41557740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8</w:t>
      </w:r>
      <w:r>
        <w:t>.</w:t>
      </w:r>
      <w:r>
        <w:tab/>
        <w:t>How to make a third party claim</w:t>
      </w:r>
      <w:r>
        <w:tab/>
      </w:r>
      <w:r>
        <w:fldChar w:fldCharType="begin"/>
      </w:r>
      <w:r>
        <w:instrText xml:space="preserve"> PAGEREF _Toc41557741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_Toc41557742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PAGEREF _Toc41557743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_Toc41557744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10C</w:t>
      </w:r>
      <w:r>
        <w:t>.</w:t>
      </w:r>
      <w:r>
        <w:tab/>
        <w:t>You may admit liability but dispute the amount claimed</w:t>
      </w:r>
      <w:r>
        <w:tab/>
      </w:r>
      <w:r>
        <w:fldChar w:fldCharType="begin"/>
      </w:r>
      <w:r>
        <w:instrText xml:space="preserve"> PAGEREF _Toc41557745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_Toc41557746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How to make a consumer/trader claim</w:t>
      </w:r>
    </w:p>
    <w:p>
      <w:pPr>
        <w:pStyle w:val="TOC8"/>
        <w:rPr>
          <w:rFonts w:asciiTheme="minorHAnsi" w:eastAsiaTheme="minorEastAsia" w:hAnsiTheme="minorHAnsi" w:cstheme="minorBidi"/>
          <w:szCs w:val="22"/>
        </w:rPr>
      </w:pPr>
      <w:r>
        <w:t>11.</w:t>
      </w:r>
      <w:r>
        <w:tab/>
        <w:t>How to make a consumer/trader claim</w:t>
      </w:r>
      <w:r>
        <w:tab/>
      </w:r>
      <w:r>
        <w:fldChar w:fldCharType="begin"/>
      </w:r>
      <w:r>
        <w:instrText xml:space="preserve"> PAGEREF _Toc41557748 \h </w:instrText>
      </w:r>
      <w:r>
        <w:fldChar w:fldCharType="separate"/>
      </w:r>
      <w:r>
        <w:t>8</w:t>
      </w:r>
      <w:r>
        <w:fldChar w:fldCharType="end"/>
      </w:r>
    </w:p>
    <w:p>
      <w:pPr>
        <w:pStyle w:val="TOC8"/>
        <w:rPr>
          <w:rFonts w:asciiTheme="minorHAnsi" w:eastAsiaTheme="minorEastAsia" w:hAnsiTheme="minorHAnsi" w:cstheme="minorBidi"/>
          <w:szCs w:val="22"/>
        </w:rPr>
      </w:pPr>
      <w:r>
        <w:t>12.</w:t>
      </w:r>
      <w:r>
        <w:tab/>
        <w:t>Service of the claim</w:t>
      </w:r>
      <w:r>
        <w:tab/>
      </w:r>
      <w:r>
        <w:fldChar w:fldCharType="begin"/>
      </w:r>
      <w:r>
        <w:instrText xml:space="preserve"> PAGEREF _Toc41557749 \h </w:instrText>
      </w:r>
      <w:r>
        <w:fldChar w:fldCharType="separate"/>
      </w:r>
      <w:r>
        <w:t>8</w:t>
      </w:r>
      <w:r>
        <w:fldChar w:fldCharType="end"/>
      </w:r>
    </w:p>
    <w:p>
      <w:pPr>
        <w:pStyle w:val="TOC8"/>
        <w:rPr>
          <w:rFonts w:asciiTheme="minorHAnsi" w:eastAsiaTheme="minorEastAsia" w:hAnsiTheme="minorHAnsi" w:cstheme="minorBidi"/>
          <w:szCs w:val="22"/>
        </w:rPr>
      </w:pPr>
      <w:r>
        <w:lastRenderedPageBreak/>
        <w:t>13A.</w:t>
      </w:r>
      <w:r>
        <w:tab/>
        <w:t>If someone has made a consumer/trader claim against you</w:t>
      </w:r>
      <w:r>
        <w:tab/>
      </w:r>
      <w:r>
        <w:fldChar w:fldCharType="begin"/>
      </w:r>
      <w:r>
        <w:instrText xml:space="preserve"> PAGEREF _Toc41557750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13</w:t>
      </w:r>
      <w:r>
        <w:t>.</w:t>
      </w:r>
      <w:r>
        <w:tab/>
        <w:t>Registrar to list case for status conference</w:t>
      </w:r>
      <w:r>
        <w:tab/>
      </w:r>
      <w:r>
        <w:fldChar w:fldCharType="begin"/>
      </w:r>
      <w:r>
        <w:instrText xml:space="preserve"> PAGEREF _Toc41557751 \h </w:instrText>
      </w:r>
      <w:r>
        <w:fldChar w:fldCharType="separate"/>
      </w:r>
      <w:r>
        <w:t>8</w:t>
      </w:r>
      <w:r>
        <w:fldChar w:fldCharType="end"/>
      </w:r>
    </w:p>
    <w:p>
      <w:pPr>
        <w:pStyle w:val="TOC8"/>
        <w:rPr>
          <w:rFonts w:asciiTheme="minorHAnsi" w:eastAsiaTheme="minorEastAsia" w:hAnsiTheme="minorHAnsi" w:cstheme="minorBidi"/>
          <w:szCs w:val="22"/>
        </w:rPr>
      </w:pPr>
      <w:r>
        <w:t>14.</w:t>
      </w:r>
      <w:r>
        <w:tab/>
        <w:t>Status conference</w:t>
      </w:r>
      <w:r>
        <w:tab/>
      </w:r>
      <w:r>
        <w:fldChar w:fldCharType="begin"/>
      </w:r>
      <w:r>
        <w:instrText xml:space="preserve"> PAGEREF _Toc41557752 \h </w:instrText>
      </w:r>
      <w:r>
        <w:fldChar w:fldCharType="separate"/>
      </w:r>
      <w:r>
        <w:t>8</w:t>
      </w:r>
      <w:r>
        <w:fldChar w:fldCharType="end"/>
      </w:r>
    </w:p>
    <w:p>
      <w:pPr>
        <w:pStyle w:val="TOC8"/>
        <w:rPr>
          <w:rFonts w:asciiTheme="minorHAnsi" w:eastAsiaTheme="minorEastAsia" w:hAnsiTheme="minorHAnsi" w:cstheme="minorBidi"/>
          <w:szCs w:val="22"/>
        </w:rPr>
      </w:pPr>
      <w:r>
        <w:t>15.</w:t>
      </w:r>
      <w:r>
        <w:tab/>
        <w:t>Attendance of parties at status conference</w:t>
      </w:r>
      <w:r>
        <w:tab/>
      </w:r>
      <w:r>
        <w:fldChar w:fldCharType="begin"/>
      </w:r>
      <w:r>
        <w:instrText xml:space="preserve"> PAGEREF _Toc41557753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If you or another party does not defend a claim</w:t>
      </w:r>
    </w:p>
    <w:p>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_Toc41557755 \h </w:instrText>
      </w:r>
      <w:r>
        <w:fldChar w:fldCharType="separate"/>
      </w:r>
      <w:r>
        <w:t>10</w:t>
      </w:r>
      <w:r>
        <w:fldChar w:fldCharType="end"/>
      </w:r>
    </w:p>
    <w:p>
      <w:pPr>
        <w:pStyle w:val="TOC8"/>
        <w:rPr>
          <w:rFonts w:asciiTheme="minorHAnsi" w:eastAsiaTheme="minorEastAsia" w:hAnsiTheme="minorHAnsi" w:cstheme="minorBidi"/>
          <w:szCs w:val="22"/>
        </w:rPr>
      </w:pPr>
      <w:r>
        <w:t>17.</w:t>
      </w:r>
      <w:r>
        <w:tab/>
        <w:t>If the claim is for a liquidated amount</w:t>
      </w:r>
      <w:r>
        <w:tab/>
      </w:r>
      <w:r>
        <w:fldChar w:fldCharType="begin"/>
      </w:r>
      <w:r>
        <w:instrText xml:space="preserve"> PAGEREF _Toc41557756 \h </w:instrText>
      </w:r>
      <w:r>
        <w:fldChar w:fldCharType="separate"/>
      </w:r>
      <w:r>
        <w:t>10</w:t>
      </w:r>
      <w:r>
        <w:fldChar w:fldCharType="end"/>
      </w:r>
    </w:p>
    <w:p>
      <w:pPr>
        <w:pStyle w:val="TOC8"/>
        <w:rPr>
          <w:rFonts w:asciiTheme="minorHAnsi" w:eastAsiaTheme="minorEastAsia" w:hAnsiTheme="minorHAnsi" w:cstheme="minorBidi"/>
          <w:szCs w:val="22"/>
        </w:rPr>
      </w:pPr>
      <w:r>
        <w:t>18.</w:t>
      </w:r>
      <w:r>
        <w:tab/>
        <w:t>If the claim is for an unliquidated amount</w:t>
      </w:r>
      <w:r>
        <w:tab/>
      </w:r>
      <w:r>
        <w:fldChar w:fldCharType="begin"/>
      </w:r>
      <w:r>
        <w:instrText xml:space="preserve"> PAGEREF _Toc41557757 \h </w:instrText>
      </w:r>
      <w:r>
        <w:fldChar w:fldCharType="separate"/>
      </w:r>
      <w:r>
        <w:t>10</w:t>
      </w:r>
      <w:r>
        <w:fldChar w:fldCharType="end"/>
      </w:r>
    </w:p>
    <w:p>
      <w:pPr>
        <w:pStyle w:val="TOC8"/>
        <w:rPr>
          <w:rFonts w:asciiTheme="minorHAnsi" w:eastAsiaTheme="minorEastAsia" w:hAnsiTheme="minorHAnsi" w:cstheme="minorBidi"/>
          <w:szCs w:val="22"/>
        </w:rPr>
      </w:pPr>
      <w:r>
        <w:t>19.</w:t>
      </w:r>
      <w:r>
        <w:tab/>
        <w:t>If the claim against you is to recover possession of personal property</w:t>
      </w:r>
      <w:r>
        <w:tab/>
      </w:r>
      <w:r>
        <w:fldChar w:fldCharType="begin"/>
      </w:r>
      <w:r>
        <w:instrText xml:space="preserve"> PAGEREF _Toc41557758 \h </w:instrText>
      </w:r>
      <w:r>
        <w:fldChar w:fldCharType="separate"/>
      </w:r>
      <w:r>
        <w:t>11</w:t>
      </w:r>
      <w:r>
        <w:fldChar w:fldCharType="end"/>
      </w:r>
    </w:p>
    <w:p>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_Toc41557759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_Toc41557760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22A</w:t>
      </w:r>
      <w:r>
        <w:t>.</w:t>
      </w:r>
      <w:r>
        <w:tab/>
        <w:t>Default judgment one year or more after originating claim, referral to Magistrate</w:t>
      </w:r>
      <w:r>
        <w:tab/>
      </w:r>
      <w:r>
        <w:fldChar w:fldCharType="begin"/>
      </w:r>
      <w:r>
        <w:instrText xml:space="preserve"> PAGEREF _Toc41557761 \h </w:instrText>
      </w:r>
      <w:r>
        <w:fldChar w:fldCharType="separate"/>
      </w:r>
      <w:r>
        <w:t>11</w:t>
      </w:r>
      <w:r>
        <w:fldChar w:fldCharType="end"/>
      </w:r>
    </w:p>
    <w:p>
      <w:pPr>
        <w:pStyle w:val="TOC8"/>
        <w:rPr>
          <w:rFonts w:asciiTheme="minorHAnsi" w:eastAsiaTheme="minorEastAsia" w:hAnsiTheme="minorHAnsi" w:cstheme="minorBidi"/>
          <w:szCs w:val="22"/>
        </w:rPr>
      </w:pPr>
      <w:r>
        <w:t>22.</w:t>
      </w:r>
      <w:r>
        <w:tab/>
        <w:t>Application for default judgment to be dismissed if not granted</w:t>
      </w:r>
      <w:r>
        <w:tab/>
      </w:r>
      <w:r>
        <w:fldChar w:fldCharType="begin"/>
      </w:r>
      <w:r>
        <w:instrText xml:space="preserve"> PAGEREF _Toc41557762 \h </w:instrText>
      </w:r>
      <w:r>
        <w:fldChar w:fldCharType="separate"/>
      </w:r>
      <w:r>
        <w:t>12</w:t>
      </w:r>
      <w:r>
        <w:fldChar w:fldCharType="end"/>
      </w:r>
    </w:p>
    <w:p>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_Toc41557763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Status conferences and pre</w:t>
      </w:r>
      <w:r>
        <w:noBreakHyphen/>
        <w:t>trial conferences</w:t>
      </w:r>
    </w:p>
    <w:p>
      <w:pPr>
        <w:pStyle w:val="TOC8"/>
        <w:rPr>
          <w:rFonts w:asciiTheme="minorHAnsi" w:eastAsiaTheme="minorEastAsia" w:hAnsiTheme="minorHAnsi" w:cstheme="minorBidi"/>
          <w:szCs w:val="22"/>
        </w:rPr>
      </w:pPr>
      <w:r>
        <w:rPr>
          <w:rFonts w:ascii="Times" w:hAnsi="Times"/>
        </w:rPr>
        <w:t>23</w:t>
      </w:r>
      <w:r>
        <w:t>.</w:t>
      </w:r>
      <w:r>
        <w:tab/>
        <w:t>Listing case for a status conference</w:t>
      </w:r>
      <w:r>
        <w:tab/>
      </w:r>
      <w:r>
        <w:fldChar w:fldCharType="begin"/>
      </w:r>
      <w:r>
        <w:instrText xml:space="preserve"> PAGEREF _Toc41557765 \h </w:instrText>
      </w:r>
      <w:r>
        <w:fldChar w:fldCharType="separate"/>
      </w:r>
      <w:r>
        <w:t>13</w:t>
      </w:r>
      <w:r>
        <w:fldChar w:fldCharType="end"/>
      </w:r>
    </w:p>
    <w:p>
      <w:pPr>
        <w:pStyle w:val="TOC8"/>
        <w:rPr>
          <w:rFonts w:asciiTheme="minorHAnsi" w:eastAsiaTheme="minorEastAsia" w:hAnsiTheme="minorHAnsi" w:cstheme="minorBidi"/>
          <w:szCs w:val="22"/>
        </w:rPr>
      </w:pPr>
      <w:r>
        <w:t>23AA.</w:t>
      </w:r>
      <w:r>
        <w:tab/>
        <w:t>What happens at a status conference</w:t>
      </w:r>
      <w:r>
        <w:tab/>
      </w:r>
      <w:r>
        <w:fldChar w:fldCharType="begin"/>
      </w:r>
      <w:r>
        <w:instrText xml:space="preserve"> PAGEREF _Toc41557766 \h </w:instrText>
      </w:r>
      <w:r>
        <w:fldChar w:fldCharType="separate"/>
      </w:r>
      <w:r>
        <w:t>13</w:t>
      </w:r>
      <w:r>
        <w:fldChar w:fldCharType="end"/>
      </w:r>
    </w:p>
    <w:p>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_Toc41557767 \h </w:instrText>
      </w:r>
      <w:r>
        <w:fldChar w:fldCharType="separate"/>
      </w:r>
      <w:r>
        <w:t>14</w:t>
      </w:r>
      <w:r>
        <w:fldChar w:fldCharType="end"/>
      </w:r>
    </w:p>
    <w:p>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_Toc41557768 \h </w:instrText>
      </w:r>
      <w:r>
        <w:fldChar w:fldCharType="separate"/>
      </w:r>
      <w:r>
        <w:t>15</w:t>
      </w:r>
      <w:r>
        <w:fldChar w:fldCharType="end"/>
      </w:r>
    </w:p>
    <w:p>
      <w:pPr>
        <w:pStyle w:val="TOC8"/>
        <w:rPr>
          <w:rFonts w:asciiTheme="minorHAnsi" w:eastAsiaTheme="minorEastAsia" w:hAnsiTheme="minorHAnsi" w:cstheme="minorBidi"/>
          <w:szCs w:val="22"/>
        </w:rPr>
      </w:pPr>
      <w:r>
        <w:t>26.</w:t>
      </w:r>
      <w:r>
        <w:tab/>
        <w:t>Your attendance at a status conference, pre</w:t>
      </w:r>
      <w:r>
        <w:noBreakHyphen/>
        <w:t>trial conference or hearing</w:t>
      </w:r>
      <w:r>
        <w:tab/>
      </w:r>
      <w:r>
        <w:fldChar w:fldCharType="begin"/>
      </w:r>
      <w:r>
        <w:instrText xml:space="preserve"> PAGEREF _Toc41557769 \h </w:instrText>
      </w:r>
      <w:r>
        <w:fldChar w:fldCharType="separate"/>
      </w:r>
      <w:r>
        <w:t>15</w:t>
      </w:r>
      <w:r>
        <w:fldChar w:fldCharType="end"/>
      </w:r>
    </w:p>
    <w:p>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_Toc41557770 \h </w:instrText>
      </w:r>
      <w:r>
        <w:fldChar w:fldCharType="separate"/>
      </w:r>
      <w:r>
        <w:t>16</w:t>
      </w:r>
      <w:r>
        <w:fldChar w:fldCharType="end"/>
      </w:r>
    </w:p>
    <w:p>
      <w:pPr>
        <w:pStyle w:val="TOC8"/>
        <w:rPr>
          <w:rFonts w:asciiTheme="minorHAnsi" w:eastAsiaTheme="minorEastAsia" w:hAnsiTheme="minorHAnsi" w:cstheme="minorBidi"/>
          <w:szCs w:val="22"/>
        </w:rPr>
      </w:pPr>
      <w:r>
        <w:t>28.</w:t>
      </w:r>
      <w:r>
        <w:tab/>
        <w:t>Status of things said or done at a status conference or a pre</w:t>
      </w:r>
      <w:r>
        <w:noBreakHyphen/>
        <w:t>trial conference</w:t>
      </w:r>
      <w:r>
        <w:tab/>
      </w:r>
      <w:r>
        <w:fldChar w:fldCharType="begin"/>
      </w:r>
      <w:r>
        <w:instrText xml:space="preserve"> PAGEREF _Toc41557771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Mediation</w:t>
      </w:r>
    </w:p>
    <w:p>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_Toc41557773 \h </w:instrText>
      </w:r>
      <w:r>
        <w:fldChar w:fldCharType="separate"/>
      </w:r>
      <w:r>
        <w:t>17</w:t>
      </w:r>
      <w:r>
        <w:fldChar w:fldCharType="end"/>
      </w:r>
    </w:p>
    <w:p>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PAGEREF _Toc41557774 \h </w:instrText>
      </w:r>
      <w:r>
        <w:fldChar w:fldCharType="separate"/>
      </w:r>
      <w:r>
        <w:t>17</w:t>
      </w:r>
      <w:r>
        <w:fldChar w:fldCharType="end"/>
      </w:r>
    </w:p>
    <w:p>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_Toc41557775 \h </w:instrText>
      </w:r>
      <w:r>
        <w:fldChar w:fldCharType="separate"/>
      </w:r>
      <w:r>
        <w:t>17</w:t>
      </w:r>
      <w:r>
        <w:fldChar w:fldCharType="end"/>
      </w:r>
    </w:p>
    <w:p>
      <w:pPr>
        <w:pStyle w:val="TOC8"/>
        <w:rPr>
          <w:rFonts w:asciiTheme="minorHAnsi" w:eastAsiaTheme="minorEastAsia" w:hAnsiTheme="minorHAnsi" w:cstheme="minorBidi"/>
          <w:szCs w:val="22"/>
        </w:rPr>
      </w:pPr>
      <w:r>
        <w:t>32.</w:t>
      </w:r>
      <w:r>
        <w:tab/>
        <w:t>Further pre</w:t>
      </w:r>
      <w:r>
        <w:noBreakHyphen/>
        <w:t>trial conference if case not settled</w:t>
      </w:r>
      <w:r>
        <w:tab/>
      </w:r>
      <w:r>
        <w:fldChar w:fldCharType="begin"/>
      </w:r>
      <w:r>
        <w:instrText xml:space="preserve"> PAGEREF _Toc41557776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Consent orders and settlement</w:t>
      </w:r>
    </w:p>
    <w:p>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_Toc41557778 \h </w:instrText>
      </w:r>
      <w:r>
        <w:fldChar w:fldCharType="separate"/>
      </w:r>
      <w:r>
        <w:t>18</w:t>
      </w:r>
      <w:r>
        <w:fldChar w:fldCharType="end"/>
      </w:r>
    </w:p>
    <w:p>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_Toc41557779 \h </w:instrText>
      </w:r>
      <w:r>
        <w:fldChar w:fldCharType="separate"/>
      </w:r>
      <w:r>
        <w:t>18</w:t>
      </w:r>
      <w:r>
        <w:fldChar w:fldCharType="end"/>
      </w:r>
    </w:p>
    <w:p>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_Toc41557780 \h </w:instrText>
      </w:r>
      <w:r>
        <w:fldChar w:fldCharType="separate"/>
      </w:r>
      <w:r>
        <w:t>18</w:t>
      </w:r>
      <w:r>
        <w:fldChar w:fldCharType="end"/>
      </w:r>
    </w:p>
    <w:p>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_Toc41557781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8 — Trial</w:t>
      </w:r>
    </w:p>
    <w:p>
      <w:pPr>
        <w:pStyle w:val="TOC8"/>
        <w:rPr>
          <w:rFonts w:asciiTheme="minorHAnsi" w:eastAsiaTheme="minorEastAsia" w:hAnsiTheme="minorHAnsi" w:cstheme="minorBidi"/>
          <w:szCs w:val="22"/>
        </w:rPr>
      </w:pPr>
      <w:r>
        <w:t>37.</w:t>
      </w:r>
      <w:r>
        <w:tab/>
        <w:t>How the trial of your case is to be conducted</w:t>
      </w:r>
      <w:r>
        <w:tab/>
      </w:r>
      <w:r>
        <w:fldChar w:fldCharType="begin"/>
      </w:r>
      <w:r>
        <w:instrText xml:space="preserve"> PAGEREF _Toc41557783 \h </w:instrText>
      </w:r>
      <w:r>
        <w:fldChar w:fldCharType="separate"/>
      </w:r>
      <w:r>
        <w:t>20</w:t>
      </w:r>
      <w:r>
        <w:fldChar w:fldCharType="end"/>
      </w:r>
    </w:p>
    <w:p>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_Toc41557784 \h </w:instrText>
      </w:r>
      <w:r>
        <w:fldChar w:fldCharType="separate"/>
      </w:r>
      <w:r>
        <w:t>20</w:t>
      </w:r>
      <w:r>
        <w:fldChar w:fldCharType="end"/>
      </w:r>
    </w:p>
    <w:p>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_Toc41557785 \h </w:instrText>
      </w:r>
      <w:r>
        <w:fldChar w:fldCharType="separate"/>
      </w:r>
      <w:r>
        <w:t>20</w:t>
      </w:r>
      <w:r>
        <w:fldChar w:fldCharType="end"/>
      </w:r>
    </w:p>
    <w:p>
      <w:pPr>
        <w:pStyle w:val="TOC8"/>
        <w:rPr>
          <w:rFonts w:asciiTheme="minorHAnsi" w:eastAsiaTheme="minorEastAsia" w:hAnsiTheme="minorHAnsi" w:cstheme="minorBidi"/>
          <w:szCs w:val="22"/>
        </w:rPr>
      </w:pPr>
      <w:r>
        <w:t>39A.</w:t>
      </w:r>
      <w:r>
        <w:tab/>
        <w:t>Compliance with witness summons</w:t>
      </w:r>
      <w:r>
        <w:tab/>
      </w:r>
      <w:r>
        <w:fldChar w:fldCharType="begin"/>
      </w:r>
      <w:r>
        <w:instrText xml:space="preserve"> PAGEREF _Toc41557786 \h </w:instrText>
      </w:r>
      <w:r>
        <w:fldChar w:fldCharType="separate"/>
      </w:r>
      <w:r>
        <w:t>21</w:t>
      </w:r>
      <w:r>
        <w:fldChar w:fldCharType="end"/>
      </w:r>
    </w:p>
    <w:p>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_Toc41557787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9 — Orders and judgments</w:t>
      </w:r>
    </w:p>
    <w:p>
      <w:pPr>
        <w:pStyle w:val="TOC8"/>
        <w:rPr>
          <w:rFonts w:asciiTheme="minorHAnsi" w:eastAsiaTheme="minorEastAsia" w:hAnsiTheme="minorHAnsi" w:cstheme="minorBidi"/>
          <w:szCs w:val="22"/>
        </w:rPr>
      </w:pPr>
      <w:r>
        <w:t>41.</w:t>
      </w:r>
      <w:r>
        <w:tab/>
        <w:t>Money paid to you if you are a person under a legal disability</w:t>
      </w:r>
      <w:r>
        <w:tab/>
      </w:r>
      <w:r>
        <w:fldChar w:fldCharType="begin"/>
      </w:r>
      <w:r>
        <w:instrText xml:space="preserve"> PAGEREF _Toc41557789 \h </w:instrText>
      </w:r>
      <w:r>
        <w:fldChar w:fldCharType="separate"/>
      </w:r>
      <w:r>
        <w:t>23</w:t>
      </w:r>
      <w:r>
        <w:fldChar w:fldCharType="end"/>
      </w:r>
    </w:p>
    <w:p>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_Toc41557790 \h </w:instrText>
      </w:r>
      <w:r>
        <w:fldChar w:fldCharType="separate"/>
      </w:r>
      <w:r>
        <w:t>23</w:t>
      </w:r>
      <w:r>
        <w:fldChar w:fldCharType="end"/>
      </w:r>
    </w:p>
    <w:p>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_Toc41557791 \h </w:instrText>
      </w:r>
      <w:r>
        <w:fldChar w:fldCharType="separate"/>
      </w:r>
      <w:r>
        <w:t>23</w:t>
      </w:r>
      <w:r>
        <w:fldChar w:fldCharType="end"/>
      </w:r>
    </w:p>
    <w:p>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_Toc41557792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10A — Inactive cases</w:t>
      </w:r>
    </w:p>
    <w:p>
      <w:pPr>
        <w:pStyle w:val="TOC8"/>
        <w:rPr>
          <w:rFonts w:asciiTheme="minorHAnsi" w:eastAsiaTheme="minorEastAsia" w:hAnsiTheme="minorHAnsi" w:cstheme="minorBidi"/>
          <w:szCs w:val="22"/>
        </w:rPr>
      </w:pPr>
      <w:r>
        <w:t>45A.</w:t>
      </w:r>
      <w:r>
        <w:tab/>
        <w:t>Term used: inactive case</w:t>
      </w:r>
      <w:r>
        <w:tab/>
      </w:r>
      <w:r>
        <w:fldChar w:fldCharType="begin"/>
      </w:r>
      <w:r>
        <w:instrText xml:space="preserve"> PAGEREF _Toc41557794 \h </w:instrText>
      </w:r>
      <w:r>
        <w:fldChar w:fldCharType="separate"/>
      </w:r>
      <w:r>
        <w:t>24</w:t>
      </w:r>
      <w:r>
        <w:fldChar w:fldCharType="end"/>
      </w:r>
    </w:p>
    <w:p>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_Toc41557795 \h </w:instrText>
      </w:r>
      <w:r>
        <w:fldChar w:fldCharType="separate"/>
      </w:r>
      <w:r>
        <w:t>24</w:t>
      </w:r>
      <w:r>
        <w:fldChar w:fldCharType="end"/>
      </w:r>
    </w:p>
    <w:p>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_Toc41557796 \h </w:instrText>
      </w:r>
      <w:r>
        <w:fldChar w:fldCharType="separate"/>
      </w:r>
      <w:r>
        <w:t>24</w:t>
      </w:r>
      <w:r>
        <w:fldChar w:fldCharType="end"/>
      </w:r>
    </w:p>
    <w:p>
      <w:pPr>
        <w:pStyle w:val="TOC8"/>
        <w:rPr>
          <w:rFonts w:asciiTheme="minorHAnsi" w:eastAsiaTheme="minorEastAsia" w:hAnsiTheme="minorHAnsi" w:cstheme="minorBidi"/>
          <w:szCs w:val="22"/>
        </w:rPr>
      </w:pPr>
      <w:r>
        <w:t>45D.</w:t>
      </w:r>
      <w:r>
        <w:tab/>
        <w:t>Consequences of case becoming an inactive case</w:t>
      </w:r>
      <w:r>
        <w:tab/>
      </w:r>
      <w:r>
        <w:fldChar w:fldCharType="begin"/>
      </w:r>
      <w:r>
        <w:instrText xml:space="preserve"> PAGEREF _Toc41557797 \h </w:instrText>
      </w:r>
      <w:r>
        <w:fldChar w:fldCharType="separate"/>
      </w:r>
      <w:r>
        <w:t>25</w:t>
      </w:r>
      <w:r>
        <w:fldChar w:fldCharType="end"/>
      </w:r>
    </w:p>
    <w:p>
      <w:pPr>
        <w:pStyle w:val="TOC8"/>
        <w:rPr>
          <w:rFonts w:asciiTheme="minorHAnsi" w:eastAsiaTheme="minorEastAsia" w:hAnsiTheme="minorHAnsi" w:cstheme="minorBidi"/>
          <w:szCs w:val="22"/>
        </w:rPr>
      </w:pPr>
      <w:r>
        <w:t>45E.</w:t>
      </w:r>
      <w:r>
        <w:tab/>
        <w:t>Cases no longer taken to be inactive</w:t>
      </w:r>
      <w:r>
        <w:tab/>
      </w:r>
      <w:r>
        <w:fldChar w:fldCharType="begin"/>
      </w:r>
      <w:r>
        <w:instrText xml:space="preserve"> PAGEREF _Toc41557798 \h </w:instrText>
      </w:r>
      <w:r>
        <w:fldChar w:fldCharType="separate"/>
      </w:r>
      <w:r>
        <w:t>25</w:t>
      </w:r>
      <w:r>
        <w:fldChar w:fldCharType="end"/>
      </w:r>
    </w:p>
    <w:p>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_Toc41557799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How to lodge documents</w:t>
      </w:r>
    </w:p>
    <w:p>
      <w:pPr>
        <w:pStyle w:val="TOC8"/>
        <w:rPr>
          <w:rFonts w:asciiTheme="minorHAnsi" w:eastAsiaTheme="minorEastAsia" w:hAnsiTheme="minorHAnsi" w:cstheme="minorBidi"/>
          <w:szCs w:val="22"/>
        </w:rPr>
      </w:pPr>
      <w:r>
        <w:t>45.</w:t>
      </w:r>
      <w:r>
        <w:tab/>
        <w:t>How to lodge a document</w:t>
      </w:r>
      <w:r>
        <w:tab/>
      </w:r>
      <w:r>
        <w:fldChar w:fldCharType="begin"/>
      </w:r>
      <w:r>
        <w:instrText xml:space="preserve"> PAGEREF _Toc41557801 \h </w:instrText>
      </w:r>
      <w:r>
        <w:fldChar w:fldCharType="separate"/>
      </w:r>
      <w:r>
        <w:t>27</w:t>
      </w:r>
      <w:r>
        <w:fldChar w:fldCharType="end"/>
      </w:r>
    </w:p>
    <w:p>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_Toc41557802 \h </w:instrText>
      </w:r>
      <w:r>
        <w:fldChar w:fldCharType="separate"/>
      </w:r>
      <w:r>
        <w:t>27</w:t>
      </w:r>
      <w:r>
        <w:fldChar w:fldCharType="end"/>
      </w:r>
    </w:p>
    <w:p>
      <w:pPr>
        <w:pStyle w:val="TOC8"/>
        <w:rPr>
          <w:rFonts w:asciiTheme="minorHAnsi" w:eastAsiaTheme="minorEastAsia" w:hAnsiTheme="minorHAnsi" w:cstheme="minorBidi"/>
          <w:szCs w:val="22"/>
        </w:rPr>
      </w:pPr>
      <w:r>
        <w:t>47.</w:t>
      </w:r>
      <w:r>
        <w:tab/>
        <w:t>If a registrar refuses to accept your document for lodgment</w:t>
      </w:r>
      <w:r>
        <w:tab/>
      </w:r>
      <w:r>
        <w:fldChar w:fldCharType="begin"/>
      </w:r>
      <w:r>
        <w:instrText xml:space="preserve"> PAGEREF _Toc41557803 \h </w:instrText>
      </w:r>
      <w:r>
        <w:fldChar w:fldCharType="separate"/>
      </w:r>
      <w:r>
        <w:t>27</w:t>
      </w:r>
      <w:r>
        <w:fldChar w:fldCharType="end"/>
      </w:r>
    </w:p>
    <w:p>
      <w:pPr>
        <w:pStyle w:val="TOC8"/>
        <w:rPr>
          <w:rFonts w:asciiTheme="minorHAnsi" w:eastAsiaTheme="minorEastAsia" w:hAnsiTheme="minorHAnsi" w:cstheme="minorBidi"/>
          <w:szCs w:val="22"/>
        </w:rPr>
      </w:pPr>
      <w:r>
        <w:t>48.</w:t>
      </w:r>
      <w:r>
        <w:tab/>
        <w:t>You may lodge documents by hand delivery or pre</w:t>
      </w:r>
      <w:r>
        <w:noBreakHyphen/>
        <w:t>paid post</w:t>
      </w:r>
      <w:r>
        <w:tab/>
      </w:r>
      <w:r>
        <w:fldChar w:fldCharType="begin"/>
      </w:r>
      <w:r>
        <w:instrText xml:space="preserve"> PAGEREF _Toc41557804 \h </w:instrText>
      </w:r>
      <w:r>
        <w:fldChar w:fldCharType="separate"/>
      </w:r>
      <w:r>
        <w:t>27</w:t>
      </w:r>
      <w:r>
        <w:fldChar w:fldCharType="end"/>
      </w:r>
    </w:p>
    <w:p>
      <w:pPr>
        <w:pStyle w:val="TOC8"/>
        <w:rPr>
          <w:rFonts w:asciiTheme="minorHAnsi" w:eastAsiaTheme="minorEastAsia" w:hAnsiTheme="minorHAnsi" w:cstheme="minorBidi"/>
          <w:szCs w:val="22"/>
        </w:rPr>
      </w:pPr>
      <w:r>
        <w:t>49.</w:t>
      </w:r>
      <w:r>
        <w:tab/>
        <w:t>Lodging documents electronically or by fax</w:t>
      </w:r>
      <w:r>
        <w:tab/>
      </w:r>
      <w:r>
        <w:fldChar w:fldCharType="begin"/>
      </w:r>
      <w:r>
        <w:instrText xml:space="preserve"> PAGEREF _Toc41557805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How to serve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_Toc41557808 \h </w:instrText>
      </w:r>
      <w:r>
        <w:fldChar w:fldCharType="separate"/>
      </w:r>
      <w:r>
        <w:t>28</w:t>
      </w:r>
      <w:r>
        <w:fldChar w:fldCharType="end"/>
      </w:r>
    </w:p>
    <w:p>
      <w:pPr>
        <w:pStyle w:val="TOC8"/>
        <w:rPr>
          <w:rFonts w:asciiTheme="minorHAnsi" w:eastAsiaTheme="minorEastAsia" w:hAnsiTheme="minorHAnsi" w:cstheme="minorBidi"/>
          <w:szCs w:val="22"/>
        </w:rPr>
      </w:pPr>
      <w:r>
        <w:t>51.</w:t>
      </w:r>
      <w:r>
        <w:tab/>
        <w:t>How to serve a document</w:t>
      </w:r>
      <w:r>
        <w:tab/>
      </w:r>
      <w:r>
        <w:fldChar w:fldCharType="begin"/>
      </w:r>
      <w:r>
        <w:instrText xml:space="preserve"> PAGEREF _Toc41557809 \h </w:instrText>
      </w:r>
      <w:r>
        <w:fldChar w:fldCharType="separate"/>
      </w:r>
      <w:r>
        <w:t>28</w:t>
      </w:r>
      <w:r>
        <w:fldChar w:fldCharType="end"/>
      </w:r>
    </w:p>
    <w:p>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_Toc41557810 \h </w:instrText>
      </w:r>
      <w:r>
        <w:fldChar w:fldCharType="separate"/>
      </w:r>
      <w:r>
        <w:t>29</w:t>
      </w:r>
      <w:r>
        <w:fldChar w:fldCharType="end"/>
      </w:r>
    </w:p>
    <w:p>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_Toc41557811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Service at a residential or business address</w:t>
      </w:r>
    </w:p>
    <w:p>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_Toc41557813 \h </w:instrText>
      </w:r>
      <w:r>
        <w:fldChar w:fldCharType="separate"/>
      </w:r>
      <w:r>
        <w:t>29</w:t>
      </w:r>
      <w:r>
        <w:fldChar w:fldCharType="end"/>
      </w:r>
    </w:p>
    <w:p>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_Toc41557814 \h </w:instrText>
      </w:r>
      <w:r>
        <w:fldChar w:fldCharType="separate"/>
      </w:r>
      <w:r>
        <w:t>30</w:t>
      </w:r>
      <w:r>
        <w:fldChar w:fldCharType="end"/>
      </w:r>
    </w:p>
    <w:p>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_Toc41557815 \h </w:instrText>
      </w:r>
      <w:r>
        <w:fldChar w:fldCharType="separate"/>
      </w:r>
      <w:r>
        <w:t>30</w:t>
      </w:r>
      <w:r>
        <w:fldChar w:fldCharType="end"/>
      </w:r>
    </w:p>
    <w:p>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_Toc41557816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Personal service</w:t>
      </w:r>
    </w:p>
    <w:p>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_Toc41557818 \h </w:instrText>
      </w:r>
      <w:r>
        <w:fldChar w:fldCharType="separate"/>
      </w:r>
      <w:r>
        <w:t>31</w:t>
      </w:r>
      <w:r>
        <w:fldChar w:fldCharType="end"/>
      </w:r>
    </w:p>
    <w:p>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_Toc41557819 \h </w:instrText>
      </w:r>
      <w:r>
        <w:fldChar w:fldCharType="separate"/>
      </w:r>
      <w:r>
        <w:t>32</w:t>
      </w:r>
      <w:r>
        <w:fldChar w:fldCharType="end"/>
      </w:r>
    </w:p>
    <w:p>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_Toc41557820 \h </w:instrText>
      </w:r>
      <w:r>
        <w:fldChar w:fldCharType="separate"/>
      </w:r>
      <w:r>
        <w:t>32</w:t>
      </w:r>
      <w:r>
        <w:fldChar w:fldCharType="end"/>
      </w:r>
    </w:p>
    <w:p>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_Toc41557821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62A.</w:t>
      </w:r>
      <w:r>
        <w:tab/>
        <w:t>Applications for substituted service</w:t>
      </w:r>
      <w:r>
        <w:tab/>
      </w:r>
      <w:r>
        <w:fldChar w:fldCharType="begin"/>
      </w:r>
      <w:r>
        <w:instrText xml:space="preserve"> PAGEREF _Toc41557823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12 — How to make an application</w:t>
      </w:r>
    </w:p>
    <w:p>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_Toc41557825 \h </w:instrText>
      </w:r>
      <w:r>
        <w:fldChar w:fldCharType="separate"/>
      </w:r>
      <w:r>
        <w:t>34</w:t>
      </w:r>
      <w:r>
        <w:fldChar w:fldCharType="end"/>
      </w:r>
    </w:p>
    <w:p>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_Toc41557826 \h </w:instrText>
      </w:r>
      <w:r>
        <w:fldChar w:fldCharType="separate"/>
      </w:r>
      <w:r>
        <w:t>34</w:t>
      </w:r>
      <w:r>
        <w:fldChar w:fldCharType="end"/>
      </w:r>
    </w:p>
    <w:p>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_Toc41557827 \h </w:instrText>
      </w:r>
      <w:r>
        <w:fldChar w:fldCharType="separate"/>
      </w:r>
      <w:r>
        <w:t>34</w:t>
      </w:r>
      <w:r>
        <w:fldChar w:fldCharType="end"/>
      </w:r>
    </w:p>
    <w:p>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_Toc41557828 \h </w:instrText>
      </w:r>
      <w:r>
        <w:fldChar w:fldCharType="separate"/>
      </w:r>
      <w:r>
        <w:t>35</w:t>
      </w:r>
      <w:r>
        <w:fldChar w:fldCharType="end"/>
      </w:r>
    </w:p>
    <w:p>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_Toc41557829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13 — Affidavits</w:t>
      </w:r>
    </w:p>
    <w:p>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_Toc41557831 \h </w:instrText>
      </w:r>
      <w:r>
        <w:fldChar w:fldCharType="separate"/>
      </w:r>
      <w:r>
        <w:t>36</w:t>
      </w:r>
      <w:r>
        <w:fldChar w:fldCharType="end"/>
      </w:r>
    </w:p>
    <w:p>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_Toc41557832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14 — If you need a litigation guardian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_Toc41557834 \h </w:instrText>
      </w:r>
      <w:r>
        <w:fldChar w:fldCharType="separate"/>
      </w:r>
      <w:r>
        <w:t>37</w:t>
      </w:r>
      <w:r>
        <w:fldChar w:fldCharType="end"/>
      </w:r>
    </w:p>
    <w:p>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_Toc41557835 \h </w:instrText>
      </w:r>
      <w:r>
        <w:fldChar w:fldCharType="separate"/>
      </w:r>
      <w:r>
        <w:t>37</w:t>
      </w:r>
      <w:r>
        <w:fldChar w:fldCharType="end"/>
      </w:r>
    </w:p>
    <w:p>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_Toc41557836 \h </w:instrText>
      </w:r>
      <w:r>
        <w:fldChar w:fldCharType="separate"/>
      </w:r>
      <w:r>
        <w:t>37</w:t>
      </w:r>
      <w:r>
        <w:fldChar w:fldCharType="end"/>
      </w:r>
    </w:p>
    <w:p>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_Toc41557837 \h </w:instrText>
      </w:r>
      <w:r>
        <w:fldChar w:fldCharType="separate"/>
      </w:r>
      <w:r>
        <w:t>38</w:t>
      </w:r>
      <w:r>
        <w:fldChar w:fldCharType="end"/>
      </w:r>
    </w:p>
    <w:p>
      <w:pPr>
        <w:pStyle w:val="TOC8"/>
        <w:rPr>
          <w:rFonts w:asciiTheme="minorHAnsi" w:eastAsiaTheme="minorEastAsia" w:hAnsiTheme="minorHAnsi" w:cstheme="minorBidi"/>
          <w:szCs w:val="22"/>
        </w:rPr>
      </w:pPr>
      <w:r>
        <w:t>73.</w:t>
      </w:r>
      <w:r>
        <w:tab/>
        <w:t>If you are a child</w:t>
      </w:r>
      <w:r>
        <w:tab/>
      </w:r>
      <w:r>
        <w:fldChar w:fldCharType="begin"/>
      </w:r>
      <w:r>
        <w:instrText xml:space="preserve"> PAGEREF _Toc41557838 \h </w:instrText>
      </w:r>
      <w:r>
        <w:fldChar w:fldCharType="separate"/>
      </w:r>
      <w:r>
        <w:t>39</w:t>
      </w:r>
      <w:r>
        <w:fldChar w:fldCharType="end"/>
      </w:r>
    </w:p>
    <w:p>
      <w:pPr>
        <w:pStyle w:val="TOC8"/>
        <w:rPr>
          <w:rFonts w:asciiTheme="minorHAnsi" w:eastAsiaTheme="minorEastAsia" w:hAnsiTheme="minorHAnsi" w:cstheme="minorBidi"/>
          <w:szCs w:val="22"/>
        </w:rPr>
      </w:pPr>
      <w:r>
        <w:t>74.</w:t>
      </w:r>
      <w:r>
        <w:tab/>
        <w:t>Affidavits your litigation guardian must lodge and serve if you are a child</w:t>
      </w:r>
      <w:r>
        <w:tab/>
      </w:r>
      <w:r>
        <w:fldChar w:fldCharType="begin"/>
      </w:r>
      <w:r>
        <w:instrText xml:space="preserve"> PAGEREF _Toc41557839 \h </w:instrText>
      </w:r>
      <w:r>
        <w:fldChar w:fldCharType="separate"/>
      </w:r>
      <w:r>
        <w:t>39</w:t>
      </w:r>
      <w:r>
        <w:fldChar w:fldCharType="end"/>
      </w:r>
    </w:p>
    <w:p>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_Toc41557840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76A.</w:t>
      </w:r>
      <w:r>
        <w:tab/>
        <w:t xml:space="preserve">If you are making an application under the </w:t>
      </w:r>
      <w:r>
        <w:rPr>
          <w:i/>
          <w:iCs/>
        </w:rPr>
        <w:t>Residential Tenancies Act 1987</w:t>
      </w:r>
      <w:r>
        <w:tab/>
      </w:r>
      <w:r>
        <w:fldChar w:fldCharType="begin"/>
      </w:r>
      <w:r>
        <w:instrText xml:space="preserve"> PAGEREF _Toc41557842 \h </w:instrText>
      </w:r>
      <w:r>
        <w:fldChar w:fldCharType="separate"/>
      </w:r>
      <w:r>
        <w:t>41</w:t>
      </w:r>
      <w:r>
        <w:fldChar w:fldCharType="end"/>
      </w:r>
    </w:p>
    <w:p>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_Toc41557843 \h </w:instrText>
      </w:r>
      <w:r>
        <w:fldChar w:fldCharType="separate"/>
      </w:r>
      <w:r>
        <w:t>41</w:t>
      </w:r>
      <w:r>
        <w:fldChar w:fldCharType="end"/>
      </w:r>
    </w:p>
    <w:p>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_Toc41557844 \h </w:instrText>
      </w:r>
      <w:r>
        <w:fldChar w:fldCharType="separate"/>
      </w:r>
      <w:r>
        <w:t>41</w:t>
      </w:r>
      <w:r>
        <w:fldChar w:fldCharType="end"/>
      </w:r>
    </w:p>
    <w:p>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_Toc41557845 \h </w:instrText>
      </w:r>
      <w:r>
        <w:fldChar w:fldCharType="separate"/>
      </w:r>
      <w:r>
        <w:t>42</w:t>
      </w:r>
      <w:r>
        <w:fldChar w:fldCharType="end"/>
      </w:r>
    </w:p>
    <w:p>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_Toc41557846 \h </w:instrText>
      </w:r>
      <w:r>
        <w:fldChar w:fldCharType="separate"/>
      </w:r>
      <w:r>
        <w:t>42</w:t>
      </w:r>
      <w:r>
        <w:fldChar w:fldCharType="end"/>
      </w:r>
    </w:p>
    <w:p>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_Toc41557847 \h </w:instrText>
      </w:r>
      <w:r>
        <w:fldChar w:fldCharType="separate"/>
      </w:r>
      <w:r>
        <w:t>42</w:t>
      </w:r>
      <w:r>
        <w:fldChar w:fldCharType="end"/>
      </w:r>
    </w:p>
    <w:p>
      <w:pPr>
        <w:pStyle w:val="TOC8"/>
        <w:rPr>
          <w:rFonts w:asciiTheme="minorHAnsi" w:eastAsiaTheme="minorEastAsia" w:hAnsiTheme="minorHAnsi" w:cstheme="minorBidi"/>
          <w:szCs w:val="22"/>
        </w:rPr>
      </w:pPr>
      <w:r>
        <w:t>79.</w:t>
      </w:r>
      <w:r>
        <w:tab/>
        <w:t>When you are required to do things personally and you are not an individual</w:t>
      </w:r>
      <w:r>
        <w:tab/>
      </w:r>
      <w:r>
        <w:fldChar w:fldCharType="begin"/>
      </w:r>
      <w:r>
        <w:instrText xml:space="preserve"> PAGEREF _Toc41557848 \h </w:instrText>
      </w:r>
      <w:r>
        <w:fldChar w:fldCharType="separate"/>
      </w:r>
      <w:r>
        <w:t>42</w:t>
      </w:r>
      <w:r>
        <w:fldChar w:fldCharType="end"/>
      </w:r>
    </w:p>
    <w:p>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_Toc41557849 \h </w:instrText>
      </w:r>
      <w:r>
        <w:fldChar w:fldCharType="separate"/>
      </w:r>
      <w:r>
        <w:t>43</w:t>
      </w:r>
      <w:r>
        <w:fldChar w:fldCharType="end"/>
      </w:r>
    </w:p>
    <w:p>
      <w:pPr>
        <w:pStyle w:val="TOC8"/>
        <w:rPr>
          <w:rFonts w:asciiTheme="minorHAnsi" w:eastAsiaTheme="minorEastAsia" w:hAnsiTheme="minorHAnsi" w:cstheme="minorBidi"/>
          <w:szCs w:val="22"/>
        </w:rPr>
      </w:pPr>
      <w:r>
        <w:t>81.</w:t>
      </w:r>
      <w:r>
        <w:tab/>
        <w:t xml:space="preserve">Registrar’s powers under the </w:t>
      </w:r>
      <w:r>
        <w:rPr>
          <w:i/>
          <w:iCs/>
        </w:rPr>
        <w:t>Civil Judgments Enforcement Act 2004</w:t>
      </w:r>
      <w:r>
        <w:tab/>
      </w:r>
      <w:r>
        <w:fldChar w:fldCharType="begin"/>
      </w:r>
      <w:r>
        <w:instrText xml:space="preserve"> PAGEREF _Toc41557850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rules for the </w:t>
      </w:r>
      <w:r>
        <w:rPr>
          <w:i/>
        </w:rPr>
        <w:t>Magistrates Court Rules Amendment Rules 2020</w:t>
      </w:r>
    </w:p>
    <w:p>
      <w:pPr>
        <w:pStyle w:val="TOC8"/>
        <w:rPr>
          <w:rFonts w:asciiTheme="minorHAnsi" w:eastAsiaTheme="minorEastAsia" w:hAnsiTheme="minorHAnsi" w:cstheme="minorBidi"/>
          <w:szCs w:val="22"/>
        </w:rPr>
      </w:pPr>
      <w:r>
        <w:t>82.</w:t>
      </w:r>
      <w:r>
        <w:tab/>
        <w:t>Terms used in this Part</w:t>
      </w:r>
      <w:r>
        <w:tab/>
      </w:r>
      <w:r>
        <w:fldChar w:fldCharType="begin"/>
      </w:r>
      <w:r>
        <w:instrText xml:space="preserve"> PAGEREF _Toc41557852 \h </w:instrText>
      </w:r>
      <w:r>
        <w:fldChar w:fldCharType="separate"/>
      </w:r>
      <w:r>
        <w:t>45</w:t>
      </w:r>
      <w:r>
        <w:fldChar w:fldCharType="end"/>
      </w:r>
    </w:p>
    <w:p>
      <w:pPr>
        <w:pStyle w:val="TOC8"/>
        <w:rPr>
          <w:rFonts w:asciiTheme="minorHAnsi" w:eastAsiaTheme="minorEastAsia" w:hAnsiTheme="minorHAnsi" w:cstheme="minorBidi"/>
          <w:szCs w:val="22"/>
        </w:rPr>
      </w:pPr>
      <w:r>
        <w:t>83.</w:t>
      </w:r>
      <w:r>
        <w:tab/>
        <w:t>Application of amended Rules in relation to transitional cases</w:t>
      </w:r>
      <w:r>
        <w:tab/>
      </w:r>
      <w:r>
        <w:fldChar w:fldCharType="begin"/>
      </w:r>
      <w:r>
        <w:instrText xml:space="preserve"> PAGEREF _Toc41557853 \h </w:instrText>
      </w:r>
      <w:r>
        <w:fldChar w:fldCharType="separate"/>
      </w:r>
      <w:r>
        <w:t>45</w:t>
      </w:r>
      <w:r>
        <w:fldChar w:fldCharType="end"/>
      </w:r>
    </w:p>
    <w:p>
      <w:pPr>
        <w:pStyle w:val="TOC8"/>
        <w:rPr>
          <w:rFonts w:asciiTheme="minorHAnsi" w:eastAsiaTheme="minorEastAsia" w:hAnsiTheme="minorHAnsi" w:cstheme="minorBidi"/>
          <w:szCs w:val="22"/>
        </w:rPr>
      </w:pPr>
      <w:r>
        <w:t>84.</w:t>
      </w:r>
      <w:r>
        <w:tab/>
        <w:t>Application of former Rules in relation to certain transitional cases</w:t>
      </w:r>
      <w:r>
        <w:tab/>
      </w:r>
      <w:r>
        <w:fldChar w:fldCharType="begin"/>
      </w:r>
      <w:r>
        <w:instrText xml:space="preserve"> PAGEREF _Toc41557854 \h </w:instrText>
      </w:r>
      <w:r>
        <w:fldChar w:fldCharType="separate"/>
      </w:r>
      <w:r>
        <w:t>46</w:t>
      </w:r>
      <w:r>
        <w:fldChar w:fldCharType="end"/>
      </w:r>
    </w:p>
    <w:p>
      <w:pPr>
        <w:pStyle w:val="TOC8"/>
        <w:rPr>
          <w:rFonts w:asciiTheme="minorHAnsi" w:eastAsiaTheme="minorEastAsia" w:hAnsiTheme="minorHAnsi" w:cstheme="minorBidi"/>
          <w:szCs w:val="22"/>
        </w:rPr>
      </w:pPr>
      <w:r>
        <w:t>85.</w:t>
      </w:r>
      <w:r>
        <w:tab/>
        <w:t>Listing transitional cases for a status conference</w:t>
      </w:r>
      <w:r>
        <w:tab/>
      </w:r>
      <w:r>
        <w:fldChar w:fldCharType="begin"/>
      </w:r>
      <w:r>
        <w:instrText xml:space="preserve"> PAGEREF _Toc41557855 \h </w:instrText>
      </w:r>
      <w:r>
        <w:fldChar w:fldCharType="separate"/>
      </w:r>
      <w:r>
        <w:t>46</w:t>
      </w:r>
      <w:r>
        <w:fldChar w:fldCharType="end"/>
      </w:r>
    </w:p>
    <w:p>
      <w:pPr>
        <w:pStyle w:val="TOC8"/>
        <w:rPr>
          <w:rFonts w:asciiTheme="minorHAnsi" w:eastAsiaTheme="minorEastAsia" w:hAnsiTheme="minorHAnsi" w:cstheme="minorBidi"/>
          <w:szCs w:val="22"/>
        </w:rPr>
      </w:pPr>
      <w:r>
        <w:t>86.</w:t>
      </w:r>
      <w:r>
        <w:tab/>
        <w:t>Court or registrar may give directions in relation to transitional issues</w:t>
      </w:r>
      <w:r>
        <w:tab/>
      </w:r>
      <w:r>
        <w:fldChar w:fldCharType="begin"/>
      </w:r>
      <w:r>
        <w:instrText xml:space="preserve"> PAGEREF _Toc41557856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_Toc41557858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3" w:name="_Toc41488631"/>
      <w:bookmarkStart w:id="4" w:name="_Toc41551615"/>
      <w:bookmarkStart w:id="5" w:name="_Toc41553262"/>
      <w:bookmarkStart w:id="6" w:name="_Toc41557047"/>
      <w:bookmarkStart w:id="7" w:name="_Toc415577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1557732"/>
      <w:r>
        <w:rPr>
          <w:rStyle w:val="CharSectno"/>
        </w:rPr>
        <w:t>1</w:t>
      </w:r>
      <w:r>
        <w:t>.</w:t>
      </w:r>
      <w:r>
        <w:tab/>
        <w:t>Citation</w:t>
      </w:r>
      <w:bookmarkEnd w:id="8"/>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rPr>
          <w:iCs/>
          <w:vertAlign w:val="superscript"/>
        </w:rPr>
        <w:t> 1</w:t>
      </w:r>
      <w:r>
        <w:t>.</w:t>
      </w:r>
    </w:p>
    <w:p>
      <w:pPr>
        <w:pStyle w:val="Heading5"/>
        <w:rPr>
          <w:spacing w:val="-2"/>
        </w:rPr>
      </w:pPr>
      <w:bookmarkStart w:id="9" w:name="_Toc41557733"/>
      <w:r>
        <w:rPr>
          <w:rStyle w:val="CharSectno"/>
        </w:rPr>
        <w:t>2</w:t>
      </w:r>
      <w:r>
        <w:rPr>
          <w:spacing w:val="-2"/>
        </w:rPr>
        <w:t>.</w:t>
      </w:r>
      <w:r>
        <w:rPr>
          <w:spacing w:val="-2"/>
        </w:rPr>
        <w:tab/>
        <w:t>Commencement</w:t>
      </w:r>
      <w:bookmarkEnd w:id="9"/>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r>
        <w:rPr>
          <w:iCs/>
          <w:vertAlign w:val="superscript"/>
        </w:rPr>
        <w:t> 1</w:t>
      </w:r>
      <w:r>
        <w:t>.</w:t>
      </w:r>
    </w:p>
    <w:p>
      <w:pPr>
        <w:pStyle w:val="Heading5"/>
        <w:rPr>
          <w:i/>
          <w:iCs/>
        </w:rPr>
      </w:pPr>
      <w:bookmarkStart w:id="10" w:name="_Toc41557734"/>
      <w:r>
        <w:rPr>
          <w:rStyle w:val="CharSectno"/>
        </w:rPr>
        <w:t>3</w:t>
      </w:r>
      <w:r>
        <w:t>.</w:t>
      </w:r>
      <w:r>
        <w:tab/>
        <w:t xml:space="preserve">These rules to be read with the </w:t>
      </w:r>
      <w:r>
        <w:rPr>
          <w:i/>
          <w:iCs/>
        </w:rPr>
        <w:t>Magistrates Court (General) Rules 2005</w:t>
      </w:r>
      <w:bookmarkEnd w:id="10"/>
    </w:p>
    <w:p>
      <w:pPr>
        <w:pStyle w:val="Subsection"/>
      </w:pPr>
      <w:r>
        <w:tab/>
      </w:r>
      <w:r>
        <w:tab/>
        <w:t xml:space="preserve">These rules are to be read with the </w:t>
      </w:r>
      <w:r>
        <w:rPr>
          <w:i/>
          <w:iCs/>
        </w:rPr>
        <w:t>Magistrates Court (General) Rules 2005</w:t>
      </w:r>
      <w:r>
        <w:t>.</w:t>
      </w:r>
    </w:p>
    <w:p>
      <w:pPr>
        <w:pStyle w:val="Heading5"/>
      </w:pPr>
      <w:bookmarkStart w:id="11" w:name="_Toc41557735"/>
      <w:r>
        <w:rPr>
          <w:rStyle w:val="CharSectno"/>
        </w:rPr>
        <w:t>4</w:t>
      </w:r>
      <w:r>
        <w:t>.</w:t>
      </w:r>
      <w:r>
        <w:tab/>
        <w:t>Terms used</w:t>
      </w:r>
      <w:bookmarkEnd w:id="11"/>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Gazette 24 Aug 2007 p. 4333; 3 Jun 2008 p. 2139; 3 May 2016 p. 1362.]</w:t>
      </w:r>
    </w:p>
    <w:p>
      <w:pPr>
        <w:pStyle w:val="Heading5"/>
      </w:pPr>
      <w:bookmarkStart w:id="12" w:name="_Toc41557736"/>
      <w:r>
        <w:rPr>
          <w:rStyle w:val="CharSectno"/>
        </w:rPr>
        <w:t>5</w:t>
      </w:r>
      <w:r>
        <w:t>.</w:t>
      </w:r>
      <w:r>
        <w:tab/>
        <w:t>When these rules apply</w:t>
      </w:r>
      <w:bookmarkEnd w:id="12"/>
    </w:p>
    <w:p>
      <w:pPr>
        <w:pStyle w:val="Subsection"/>
      </w:pPr>
      <w:r>
        <w:tab/>
      </w:r>
      <w:r>
        <w:tab/>
        <w:t>Unless the Court in a particular case orders otherwise, these rules apply in every minor case.</w:t>
      </w:r>
    </w:p>
    <w:p>
      <w:pPr>
        <w:pStyle w:val="Heading5"/>
      </w:pPr>
      <w:bookmarkStart w:id="13" w:name="_Toc41557737"/>
      <w:r>
        <w:rPr>
          <w:rStyle w:val="CharSectno"/>
        </w:rPr>
        <w:t>6A</w:t>
      </w:r>
      <w:r>
        <w:t>.</w:t>
      </w:r>
      <w:r>
        <w:tab/>
        <w:t>Exercise of Court’s powers in Part 3 of the Act</w:t>
      </w:r>
      <w:bookmarkEnd w:id="13"/>
    </w:p>
    <w:p>
      <w:pPr>
        <w:pStyle w:val="Subsection"/>
      </w:pPr>
      <w:r>
        <w:tab/>
      </w:r>
      <w:r>
        <w:tab/>
        <w:t>The Court’s powers in Part 3 of the Act, except sections 14, 18 and 25, may be exercised by the Court in every circumstance.</w:t>
      </w:r>
    </w:p>
    <w:p>
      <w:pPr>
        <w:pStyle w:val="Footnotesection"/>
      </w:pPr>
      <w:r>
        <w:tab/>
        <w:t>[Rule 6A inserted as rule 5A: Gazette 10 Jun 2005 p. 2566; renumbered as rule 6A: Gazette 3 Jun 2008 p. 2139.]</w:t>
      </w:r>
    </w:p>
    <w:p>
      <w:pPr>
        <w:pStyle w:val="Heading2"/>
      </w:pPr>
      <w:bookmarkStart w:id="14" w:name="_Toc41488638"/>
      <w:bookmarkStart w:id="15" w:name="_Toc41551622"/>
      <w:bookmarkStart w:id="16" w:name="_Toc41553269"/>
      <w:bookmarkStart w:id="17" w:name="_Toc41557054"/>
      <w:bookmarkStart w:id="18" w:name="_Toc41557738"/>
      <w:r>
        <w:rPr>
          <w:rStyle w:val="CharPartNo"/>
        </w:rPr>
        <w:t>Part 2</w:t>
      </w:r>
      <w:r>
        <w:t> — </w:t>
      </w:r>
      <w:r>
        <w:rPr>
          <w:rStyle w:val="CharPartText"/>
        </w:rPr>
        <w:t>How to make and defend a claim generally</w:t>
      </w:r>
      <w:bookmarkEnd w:id="14"/>
      <w:bookmarkEnd w:id="15"/>
      <w:bookmarkEnd w:id="16"/>
      <w:bookmarkEnd w:id="17"/>
      <w:bookmarkEnd w:id="18"/>
    </w:p>
    <w:p>
      <w:pPr>
        <w:pStyle w:val="Heading5"/>
      </w:pPr>
      <w:bookmarkStart w:id="19" w:name="_Toc41557739"/>
      <w:r>
        <w:rPr>
          <w:rStyle w:val="CharSectno"/>
        </w:rPr>
        <w:t>6</w:t>
      </w:r>
      <w:r>
        <w:t>.</w:t>
      </w:r>
      <w:r>
        <w:tab/>
        <w:t>When this Part applies</w:t>
      </w:r>
      <w:bookmarkEnd w:id="19"/>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20" w:name="_Toc41557740"/>
      <w:r>
        <w:rPr>
          <w:rStyle w:val="CharSectno"/>
          <w:rFonts w:ascii="Times" w:hAnsi="Times"/>
        </w:rPr>
        <w:t>7</w:t>
      </w:r>
      <w:r>
        <w:t>.</w:t>
      </w:r>
      <w:r>
        <w:tab/>
        <w:t>How to make a claim that starts a case</w:t>
      </w:r>
      <w:bookmarkEnd w:id="20"/>
    </w:p>
    <w:p>
      <w:pPr>
        <w:pStyle w:val="Subsection"/>
      </w:pPr>
      <w:r>
        <w:tab/>
        <w:t>(1)</w:t>
      </w:r>
      <w:r>
        <w:tab/>
        <w:t>If you want to make a claim that starts a case you must lodge the approved form.</w:t>
      </w:r>
    </w:p>
    <w:p>
      <w:pPr>
        <w:pStyle w:val="Ednotesubsection"/>
      </w:pPr>
      <w:r>
        <w:tab/>
        <w:t>[(2)</w:t>
      </w:r>
      <w:r>
        <w:tab/>
        <w:t>deleted]</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Gazette 3 Jun 2008 p. 2139; amended: Gazette 30 Sep 2016 p. 4175; SL 2020/67 r. 44.]</w:t>
      </w:r>
    </w:p>
    <w:p>
      <w:pPr>
        <w:pStyle w:val="Ednotesection"/>
      </w:pPr>
      <w:r>
        <w:t>[</w:t>
      </w:r>
      <w:r>
        <w:rPr>
          <w:b/>
        </w:rPr>
        <w:t>7A.</w:t>
      </w:r>
      <w:r>
        <w:tab/>
        <w:t>Deleted: SL 2020/67 r. 45.]</w:t>
      </w:r>
    </w:p>
    <w:p>
      <w:pPr>
        <w:pStyle w:val="Heading5"/>
      </w:pPr>
      <w:bookmarkStart w:id="21" w:name="_Toc41557741"/>
      <w:r>
        <w:rPr>
          <w:rStyle w:val="CharSectno"/>
          <w:rFonts w:ascii="Times" w:hAnsi="Times"/>
        </w:rPr>
        <w:t>8</w:t>
      </w:r>
      <w:r>
        <w:t>.</w:t>
      </w:r>
      <w:r>
        <w:tab/>
        <w:t>How to make a third party claim</w:t>
      </w:r>
      <w:bookmarkEnd w:id="21"/>
    </w:p>
    <w:p>
      <w:pPr>
        <w:pStyle w:val="Subsection"/>
      </w:pPr>
      <w:r>
        <w:tab/>
        <w:t>(1)</w:t>
      </w:r>
      <w:r>
        <w:tab/>
        <w:t>If you want to make a third party claim you must lodge the approved form.</w:t>
      </w:r>
    </w:p>
    <w:p>
      <w:pPr>
        <w:pStyle w:val="Ednotesubsection"/>
      </w:pPr>
      <w:r>
        <w:tab/>
        <w:t>[(2)</w:t>
      </w:r>
      <w:r>
        <w:noBreakHyphen/>
        <w:t>(3)</w:t>
      </w:r>
      <w:r>
        <w:tab/>
        <w:t>deleted]</w:t>
      </w:r>
    </w:p>
    <w:p>
      <w:pPr>
        <w:pStyle w:val="Subsection"/>
      </w:pPr>
      <w:r>
        <w:tab/>
        <w:t>(4)</w:t>
      </w:r>
      <w:r>
        <w:tab/>
        <w:t>Unless these rules or an Act says otherwise, your third party claim must be served personally on the party you are claiming against.</w:t>
      </w:r>
    </w:p>
    <w:p>
      <w:pPr>
        <w:pStyle w:val="Footnotesection"/>
      </w:pPr>
      <w:r>
        <w:tab/>
        <w:t>[Rule 8 inserted: Gazette 3 Jun 2008 p. 2139</w:t>
      </w:r>
      <w:r>
        <w:noBreakHyphen/>
        <w:t>40; amended: Gazette 30 Sep 2016 p. 4175; SL 2020/67 r. 46.]</w:t>
      </w:r>
    </w:p>
    <w:p>
      <w:pPr>
        <w:pStyle w:val="Heading5"/>
      </w:pPr>
      <w:bookmarkStart w:id="22" w:name="_Toc41557742"/>
      <w:r>
        <w:rPr>
          <w:rStyle w:val="CharSectno"/>
          <w:rFonts w:ascii="Times" w:hAnsi="Times"/>
        </w:rPr>
        <w:t>9</w:t>
      </w:r>
      <w:r>
        <w:t>.</w:t>
      </w:r>
      <w:r>
        <w:tab/>
        <w:t>How to respond to a claim</w:t>
      </w:r>
      <w:bookmarkEnd w:id="22"/>
    </w:p>
    <w:p>
      <w:pPr>
        <w:pStyle w:val="Subsection"/>
      </w:pPr>
      <w:r>
        <w:tab/>
        <w:t>(1)</w:t>
      </w:r>
      <w:r>
        <w:tab/>
        <w:t>If a claim has been made against you, you must lodge a response to the claim in the approved form with the Court within 14 days after the claim was served.</w:t>
      </w:r>
    </w:p>
    <w:p>
      <w:pPr>
        <w:pStyle w:val="Ednotesubsection"/>
      </w:pPr>
      <w:r>
        <w:tab/>
        <w:t>[(2)</w:t>
      </w:r>
      <w:r>
        <w:tab/>
        <w:t>deleted]</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Gazette 3 Jun 2008 p. 2140; 30 Sep 2016 p. 4175; SL 2020/67 r. 47.]</w:t>
      </w:r>
    </w:p>
    <w:p>
      <w:pPr>
        <w:pStyle w:val="Ednotesection"/>
      </w:pPr>
      <w:r>
        <w:t>[</w:t>
      </w:r>
      <w:r>
        <w:rPr>
          <w:b/>
        </w:rPr>
        <w:t>9A.</w:t>
      </w:r>
      <w:r>
        <w:tab/>
        <w:t>Deleted: SL 2020/67 r. 48.]</w:t>
      </w:r>
    </w:p>
    <w:p>
      <w:pPr>
        <w:pStyle w:val="Heading5"/>
      </w:pPr>
      <w:bookmarkStart w:id="23" w:name="_Toc41557743"/>
      <w:r>
        <w:rPr>
          <w:rStyle w:val="CharSectno"/>
          <w:rFonts w:ascii="Times" w:hAnsi="Times"/>
        </w:rPr>
        <w:t>10A</w:t>
      </w:r>
      <w:r>
        <w:t>.</w:t>
      </w:r>
      <w:r>
        <w:tab/>
        <w:t>If you admit a claim</w:t>
      </w:r>
      <w:bookmarkEnd w:id="23"/>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Gazette 3 Jun 2008 p. 2140.]</w:t>
      </w:r>
    </w:p>
    <w:p>
      <w:pPr>
        <w:pStyle w:val="Heading5"/>
      </w:pPr>
      <w:bookmarkStart w:id="24" w:name="_Toc41557744"/>
      <w:r>
        <w:rPr>
          <w:rStyle w:val="CharSectno"/>
          <w:rFonts w:ascii="Times" w:hAnsi="Times"/>
        </w:rPr>
        <w:t>10B</w:t>
      </w:r>
      <w:r>
        <w:t>.</w:t>
      </w:r>
      <w:r>
        <w:tab/>
        <w:t>If you admit part of a claim</w:t>
      </w:r>
      <w:bookmarkEnd w:id="24"/>
    </w:p>
    <w:p>
      <w:pPr>
        <w:pStyle w:val="Subsection"/>
      </w:pPr>
      <w:r>
        <w:tab/>
        <w:t>(1)</w:t>
      </w:r>
      <w:r>
        <w:tab/>
        <w:t xml:space="preserve">If in a response you admit liability for part of a claim made against you but indicate that you want to defend the rest of the claim, in your response you — </w:t>
      </w:r>
    </w:p>
    <w:p>
      <w:pPr>
        <w:pStyle w:val="Indenta"/>
      </w:pPr>
      <w:r>
        <w:tab/>
        <w:t>(a)</w:t>
      </w:r>
      <w:r>
        <w:tab/>
        <w:t>must outline the basis upon which you admit part of the claim; and</w:t>
      </w:r>
    </w:p>
    <w:p>
      <w:pPr>
        <w:pStyle w:val="Indenta"/>
      </w:pPr>
      <w:r>
        <w:tab/>
        <w:t>(b)</w:t>
      </w:r>
      <w:r>
        <w:tab/>
        <w:t>may offer an amount as full satisfaction for the claim.</w:t>
      </w:r>
    </w:p>
    <w:p>
      <w:pPr>
        <w:pStyle w:val="Subsection"/>
      </w:pPr>
      <w:r>
        <w:tab/>
        <w:t>(2)</w:t>
      </w:r>
      <w:r>
        <w:tab/>
        <w:t>The other party may accept your offer by lodging and serving a notice of acceptance in an approved form within 14 days after receiving your response.</w:t>
      </w:r>
    </w:p>
    <w:p>
      <w:pPr>
        <w:pStyle w:val="Subsection"/>
        <w:keepNext/>
      </w:pPr>
      <w:r>
        <w:tab/>
        <w:t>(3)</w:t>
      </w:r>
      <w:r>
        <w:tab/>
        <w:t>If your offer is accepted, the registrar may give judgment against you in accordance with your admission and offer.</w:t>
      </w:r>
    </w:p>
    <w:p>
      <w:pPr>
        <w:pStyle w:val="Footnotesection"/>
      </w:pPr>
      <w:r>
        <w:tab/>
        <w:t>[Rule 10B inserted: Gazette 3 Jun 2008 p. 2140; amended: SL 2020/67 r. 49.]</w:t>
      </w:r>
    </w:p>
    <w:p>
      <w:pPr>
        <w:pStyle w:val="Heading5"/>
      </w:pPr>
      <w:bookmarkStart w:id="25" w:name="_Toc41557745"/>
      <w:r>
        <w:rPr>
          <w:rStyle w:val="CharSectno"/>
          <w:rFonts w:ascii="Times" w:hAnsi="Times"/>
        </w:rPr>
        <w:t>10C</w:t>
      </w:r>
      <w:r>
        <w:t>.</w:t>
      </w:r>
      <w:r>
        <w:tab/>
        <w:t>You may admit liability but dispute the amount claimed</w:t>
      </w:r>
      <w:bookmarkEnd w:id="25"/>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Court must then list the case for a status conference and notify you and the other parties in writing.</w:t>
      </w:r>
    </w:p>
    <w:p>
      <w:pPr>
        <w:pStyle w:val="Subsection"/>
      </w:pPr>
      <w:r>
        <w:tab/>
        <w:t>(3)</w:t>
      </w:r>
      <w:r>
        <w:tab/>
        <w:t xml:space="preserve">At a status conference a magistrate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Gazette 3 Jun 2008 p. 2140</w:t>
      </w:r>
      <w:r>
        <w:noBreakHyphen/>
        <w:t>1; amended: Gazette 24 May 2013 p. 2057; SL 2020/67 r. 50.]</w:t>
      </w:r>
    </w:p>
    <w:p>
      <w:pPr>
        <w:pStyle w:val="Heading5"/>
      </w:pPr>
      <w:bookmarkStart w:id="26" w:name="_Toc41557746"/>
      <w:r>
        <w:rPr>
          <w:rStyle w:val="CharSectno"/>
          <w:rFonts w:ascii="Times" w:hAnsi="Times"/>
        </w:rPr>
        <w:t>10</w:t>
      </w:r>
      <w:r>
        <w:t>.</w:t>
      </w:r>
      <w:r>
        <w:tab/>
        <w:t>How to accept an offer of settlement</w:t>
      </w:r>
      <w:bookmarkEnd w:id="26"/>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a status conference or such other time as is ordered by the Court.</w:t>
      </w:r>
    </w:p>
    <w:p>
      <w:pPr>
        <w:pStyle w:val="Subsection"/>
        <w:keepNext/>
      </w:pPr>
      <w:r>
        <w:tab/>
        <w:t>(2)</w:t>
      </w:r>
      <w:r>
        <w:tab/>
        <w:t>The notice of acceptance must be in the approved form.</w:t>
      </w:r>
    </w:p>
    <w:p>
      <w:pPr>
        <w:pStyle w:val="Footnotesection"/>
      </w:pPr>
      <w:r>
        <w:tab/>
        <w:t>[Rule 10 inserted: Gazette 3 Jun 2008 p. 2141; amended: SL 2020/67 r. 51.]</w:t>
      </w:r>
    </w:p>
    <w:p>
      <w:pPr>
        <w:pStyle w:val="Heading2"/>
      </w:pPr>
      <w:bookmarkStart w:id="27" w:name="_Toc41488649"/>
      <w:bookmarkStart w:id="28" w:name="_Toc41551631"/>
      <w:bookmarkStart w:id="29" w:name="_Toc41553278"/>
      <w:bookmarkStart w:id="30" w:name="_Toc41557063"/>
      <w:bookmarkStart w:id="31" w:name="_Toc41557747"/>
      <w:r>
        <w:rPr>
          <w:rStyle w:val="CharPartNo"/>
        </w:rPr>
        <w:t>Part 3</w:t>
      </w:r>
      <w:r>
        <w:rPr>
          <w:rStyle w:val="CharDivNo"/>
        </w:rPr>
        <w:t> </w:t>
      </w:r>
      <w:r>
        <w:t>—</w:t>
      </w:r>
      <w:r>
        <w:rPr>
          <w:rStyle w:val="CharDivText"/>
        </w:rPr>
        <w:t> </w:t>
      </w:r>
      <w:r>
        <w:rPr>
          <w:rStyle w:val="CharPartText"/>
        </w:rPr>
        <w:t>How to make a consumer/trader claim</w:t>
      </w:r>
      <w:bookmarkEnd w:id="27"/>
      <w:bookmarkEnd w:id="28"/>
      <w:bookmarkEnd w:id="29"/>
      <w:bookmarkEnd w:id="30"/>
      <w:bookmarkEnd w:id="31"/>
    </w:p>
    <w:p>
      <w:pPr>
        <w:pStyle w:val="Heading5"/>
      </w:pPr>
      <w:bookmarkStart w:id="32" w:name="_Toc41557748"/>
      <w:r>
        <w:rPr>
          <w:rStyle w:val="CharSectno"/>
        </w:rPr>
        <w:t>11</w:t>
      </w:r>
      <w:r>
        <w:t>.</w:t>
      </w:r>
      <w:r>
        <w:tab/>
        <w:t>How to make a consumer/trader claim</w:t>
      </w:r>
      <w:bookmarkEnd w:id="32"/>
    </w:p>
    <w:p>
      <w:pPr>
        <w:pStyle w:val="Subsection"/>
      </w:pPr>
      <w:r>
        <w:tab/>
      </w:r>
      <w:r>
        <w:tab/>
        <w:t>If you want to make a consumer/trader claim you must lodge the approved form.</w:t>
      </w:r>
    </w:p>
    <w:p>
      <w:pPr>
        <w:pStyle w:val="Heading5"/>
      </w:pPr>
      <w:bookmarkStart w:id="33" w:name="_Toc41557749"/>
      <w:r>
        <w:rPr>
          <w:rStyle w:val="CharSectno"/>
        </w:rPr>
        <w:t>12</w:t>
      </w:r>
      <w:r>
        <w:t>.</w:t>
      </w:r>
      <w:r>
        <w:tab/>
        <w:t>Service of the claim</w:t>
      </w:r>
      <w:bookmarkEnd w:id="33"/>
    </w:p>
    <w:p>
      <w:pPr>
        <w:pStyle w:val="Subsection"/>
      </w:pPr>
      <w:r>
        <w:tab/>
      </w:r>
      <w:r>
        <w:tab/>
        <w:t>After you lodge a consumer/trader claim, the Court will give a copy of it to the party against which you are claiming and to every other party to your case.</w:t>
      </w:r>
    </w:p>
    <w:p>
      <w:pPr>
        <w:pStyle w:val="Heading5"/>
      </w:pPr>
      <w:bookmarkStart w:id="34" w:name="_Toc41557750"/>
      <w:r>
        <w:rPr>
          <w:rStyle w:val="CharSectno"/>
        </w:rPr>
        <w:t>13A</w:t>
      </w:r>
      <w:r>
        <w:t>.</w:t>
      </w:r>
      <w:r>
        <w:tab/>
        <w:t>If someone has made a consumer/trader claim against you</w:t>
      </w:r>
      <w:bookmarkEnd w:id="34"/>
    </w:p>
    <w:p>
      <w:pPr>
        <w:pStyle w:val="Subsection"/>
      </w:pPr>
      <w:r>
        <w:tab/>
      </w:r>
      <w:r>
        <w:tab/>
        <w:t>If someone has made a consumer/trader claim against you and you want to make a third party claim against another person, you must lodge it in the approved form within 14 days after you have received a copy of the claim made against you.</w:t>
      </w:r>
    </w:p>
    <w:p>
      <w:pPr>
        <w:pStyle w:val="Footnotesection"/>
      </w:pPr>
      <w:r>
        <w:tab/>
        <w:t>[Rule 13A inserted: SL 2020/67 r. 52.]</w:t>
      </w:r>
    </w:p>
    <w:p>
      <w:pPr>
        <w:pStyle w:val="Heading5"/>
      </w:pPr>
      <w:bookmarkStart w:id="35" w:name="_Toc41557751"/>
      <w:r>
        <w:rPr>
          <w:rStyle w:val="CharSectno"/>
          <w:rFonts w:ascii="Times" w:hAnsi="Times"/>
        </w:rPr>
        <w:t>13</w:t>
      </w:r>
      <w:r>
        <w:t>.</w:t>
      </w:r>
      <w:r>
        <w:tab/>
        <w:t>Registrar to list case for status conference</w:t>
      </w:r>
      <w:bookmarkEnd w:id="35"/>
    </w:p>
    <w:p>
      <w:pPr>
        <w:pStyle w:val="Subsection"/>
      </w:pPr>
      <w:r>
        <w:tab/>
        <w:t>(1)</w:t>
      </w:r>
      <w:r>
        <w:tab/>
        <w:t>A registrar must, as soon as possible after a consumer/trader claim is made and the time for making any related third party claim has passed, list the case for a status conference.</w:t>
      </w:r>
    </w:p>
    <w:p>
      <w:pPr>
        <w:pStyle w:val="Subsection"/>
      </w:pPr>
      <w:r>
        <w:tab/>
        <w:t>(2)</w:t>
      </w:r>
      <w:r>
        <w:tab/>
        <w:t>The registrar must notify you and the other parties in writing of the status conference.</w:t>
      </w:r>
    </w:p>
    <w:p>
      <w:pPr>
        <w:pStyle w:val="Footnotesection"/>
      </w:pPr>
      <w:r>
        <w:tab/>
        <w:t>[Rule 13 inserted: Gazette 3 Jun 2008 p. 2141; amended: SL 2020/67 r. 53.]</w:t>
      </w:r>
    </w:p>
    <w:p>
      <w:pPr>
        <w:pStyle w:val="Heading5"/>
      </w:pPr>
      <w:bookmarkStart w:id="36" w:name="_Toc41557752"/>
      <w:r>
        <w:rPr>
          <w:rStyle w:val="CharSectno"/>
        </w:rPr>
        <w:t>14</w:t>
      </w:r>
      <w:r>
        <w:t>.</w:t>
      </w:r>
      <w:r>
        <w:tab/>
        <w:t>Status conference</w:t>
      </w:r>
      <w:bookmarkEnd w:id="36"/>
    </w:p>
    <w:p>
      <w:pPr>
        <w:pStyle w:val="Subsection"/>
      </w:pPr>
      <w:r>
        <w:tab/>
        <w:t>(1)</w:t>
      </w:r>
      <w:r>
        <w:tab/>
        <w:t>A status conference must be conducted before a magistrate, in private and at any time or place the Court thinks fit.</w:t>
      </w:r>
    </w:p>
    <w:p>
      <w:pPr>
        <w:pStyle w:val="Subsection"/>
      </w:pPr>
      <w:r>
        <w:tab/>
        <w:t>(2)</w:t>
      </w:r>
      <w:r>
        <w:tab/>
        <w:t>Unless the Court at a status conference orders the parties to attend before a mediator, or to attend a pre</w:t>
      </w:r>
      <w:r>
        <w:noBreakHyphen/>
        <w:t>trial conference or a further status conference, the Court will list the case for trial.</w:t>
      </w:r>
    </w:p>
    <w:p>
      <w:pPr>
        <w:pStyle w:val="Subsection"/>
      </w:pPr>
      <w:r>
        <w:tab/>
        <w:t>(3)</w:t>
      </w:r>
      <w:r>
        <w:tab/>
        <w:t>The registrar must notify you and the other parties in writing of the listing.</w:t>
      </w:r>
    </w:p>
    <w:p>
      <w:pPr>
        <w:pStyle w:val="Footnotesection"/>
      </w:pPr>
      <w:r>
        <w:tab/>
        <w:t>[Rule 14 amended: SL 2020/67 r. 54.]</w:t>
      </w:r>
    </w:p>
    <w:p>
      <w:pPr>
        <w:pStyle w:val="Heading5"/>
      </w:pPr>
      <w:bookmarkStart w:id="37" w:name="_Toc41557753"/>
      <w:r>
        <w:rPr>
          <w:rStyle w:val="CharSectno"/>
        </w:rPr>
        <w:t>15</w:t>
      </w:r>
      <w:r>
        <w:t>.</w:t>
      </w:r>
      <w:r>
        <w:tab/>
        <w:t>Attendance of parties at status conference</w:t>
      </w:r>
      <w:bookmarkEnd w:id="37"/>
    </w:p>
    <w:p>
      <w:pPr>
        <w:pStyle w:val="Subsection"/>
      </w:pPr>
      <w:r>
        <w:tab/>
        <w:t>(1)</w:t>
      </w:r>
      <w:r>
        <w:tab/>
        <w:t>You must attend a status conference in person.</w:t>
      </w:r>
    </w:p>
    <w:p>
      <w:pPr>
        <w:pStyle w:val="Subsection"/>
      </w:pPr>
      <w:r>
        <w:tab/>
        <w:t>(2)</w:t>
      </w:r>
      <w:r>
        <w:tab/>
        <w:t>If you do not attend a status conference the magistrate at the status conference may give default judgment against you.</w:t>
      </w:r>
    </w:p>
    <w:p>
      <w:pPr>
        <w:pStyle w:val="Footnotesection"/>
      </w:pPr>
      <w:r>
        <w:tab/>
        <w:t>[Rule 15 amended: Gazette 24 May 2013 p. 2058; SL 2020/67 r. 55.]</w:t>
      </w:r>
    </w:p>
    <w:p>
      <w:pPr>
        <w:pStyle w:val="Heading2"/>
      </w:pPr>
      <w:bookmarkStart w:id="38" w:name="_Toc41488656"/>
      <w:bookmarkStart w:id="39" w:name="_Toc41551638"/>
      <w:bookmarkStart w:id="40" w:name="_Toc41553285"/>
      <w:bookmarkStart w:id="41" w:name="_Toc41557070"/>
      <w:bookmarkStart w:id="42" w:name="_Toc41557754"/>
      <w:r>
        <w:rPr>
          <w:rStyle w:val="CharPartNo"/>
        </w:rPr>
        <w:t>Part 4</w:t>
      </w:r>
      <w:r>
        <w:rPr>
          <w:rStyle w:val="CharDivNo"/>
        </w:rPr>
        <w:t> </w:t>
      </w:r>
      <w:r>
        <w:t>—</w:t>
      </w:r>
      <w:r>
        <w:rPr>
          <w:rStyle w:val="CharDivText"/>
        </w:rPr>
        <w:t> </w:t>
      </w:r>
      <w:r>
        <w:rPr>
          <w:rStyle w:val="CharPartText"/>
        </w:rPr>
        <w:t>If you or another party does not defend a claim</w:t>
      </w:r>
      <w:bookmarkEnd w:id="38"/>
      <w:bookmarkEnd w:id="39"/>
      <w:bookmarkEnd w:id="40"/>
      <w:bookmarkEnd w:id="41"/>
      <w:bookmarkEnd w:id="42"/>
    </w:p>
    <w:p>
      <w:pPr>
        <w:pStyle w:val="Heading5"/>
      </w:pPr>
      <w:bookmarkStart w:id="43" w:name="_Toc41557755"/>
      <w:r>
        <w:rPr>
          <w:rStyle w:val="CharSectno"/>
        </w:rPr>
        <w:t>16</w:t>
      </w:r>
      <w:r>
        <w:t>.</w:t>
      </w:r>
      <w:r>
        <w:tab/>
        <w:t>When this Part applies</w:t>
      </w:r>
      <w:bookmarkEnd w:id="43"/>
    </w:p>
    <w:p>
      <w:pPr>
        <w:pStyle w:val="Subsection"/>
      </w:pPr>
      <w:r>
        <w:tab/>
      </w:r>
      <w:r>
        <w:tab/>
        <w:t>This Part applies if an application for default judgment is made against you or another party for a failure to lodge and serve a response in accordance with rule 9(1).</w:t>
      </w:r>
    </w:p>
    <w:p>
      <w:pPr>
        <w:pStyle w:val="Footnotesection"/>
      </w:pPr>
      <w:r>
        <w:tab/>
        <w:t>[Rule 16 inserted: SL 2020/67 r. 56.]</w:t>
      </w:r>
    </w:p>
    <w:p>
      <w:pPr>
        <w:pStyle w:val="Heading5"/>
      </w:pPr>
      <w:bookmarkStart w:id="44" w:name="_Toc41557756"/>
      <w:r>
        <w:rPr>
          <w:rStyle w:val="CharSectno"/>
        </w:rPr>
        <w:t>17</w:t>
      </w:r>
      <w:r>
        <w:t>.</w:t>
      </w:r>
      <w:r>
        <w:tab/>
        <w:t>If the claim is for a liquidated amount</w:t>
      </w:r>
      <w:bookmarkEnd w:id="44"/>
    </w:p>
    <w:p>
      <w:pPr>
        <w:pStyle w:val="Subsection"/>
      </w:pPr>
      <w:r>
        <w:tab/>
      </w:r>
      <w:r>
        <w:tab/>
        <w:t xml:space="preserve">Unless rule 21 applies, if the claim is for a liquidated amount a registrar is to give default judgment for that amount. </w:t>
      </w:r>
    </w:p>
    <w:p>
      <w:pPr>
        <w:pStyle w:val="Footnotesection"/>
      </w:pPr>
      <w:r>
        <w:tab/>
        <w:t>[Rule 17 inserted: SL 2020/67 r. 56.]</w:t>
      </w:r>
    </w:p>
    <w:p>
      <w:pPr>
        <w:pStyle w:val="Heading5"/>
      </w:pPr>
      <w:bookmarkStart w:id="45" w:name="_Toc41557757"/>
      <w:r>
        <w:rPr>
          <w:rStyle w:val="CharSectno"/>
        </w:rPr>
        <w:t>18</w:t>
      </w:r>
      <w:r>
        <w:t>.</w:t>
      </w:r>
      <w:r>
        <w:tab/>
        <w:t>If the claim is for an unliquidated amount</w:t>
      </w:r>
      <w:bookmarkEnd w:id="45"/>
    </w:p>
    <w:p>
      <w:pPr>
        <w:pStyle w:val="Subsection"/>
      </w:pPr>
      <w:r>
        <w:tab/>
        <w:t>(1)</w:t>
      </w:r>
      <w:r>
        <w:tab/>
        <w:t>Unless rule 21 applies, if the claim is for an unliquidated amount a registrar is to give default judgment for an unliquidated amount.</w:t>
      </w:r>
    </w:p>
    <w:p>
      <w:pPr>
        <w:pStyle w:val="Subsection"/>
      </w:pPr>
      <w:r>
        <w:tab/>
        <w:t>(2)</w:t>
      </w:r>
      <w:r>
        <w:tab/>
        <w:t xml:space="preserve">When the registrar gives default judgment for an unliquidated amount, the registrar may do any or all of the following — </w:t>
      </w:r>
    </w:p>
    <w:p>
      <w:pPr>
        <w:pStyle w:val="Indenta"/>
      </w:pPr>
      <w:r>
        <w:tab/>
        <w:t>(a)</w:t>
      </w:r>
      <w:r>
        <w:tab/>
        <w:t>request that you or another party lodge additional supporting material in relation to the claim;</w:t>
      </w:r>
    </w:p>
    <w:p>
      <w:pPr>
        <w:pStyle w:val="Indenta"/>
      </w:pPr>
      <w:r>
        <w:tab/>
        <w:t>(b)</w:t>
      </w:r>
      <w:r>
        <w:tab/>
        <w:t>give default judgment against the defendant for a specified amount, if the registrar is able to assess the amount from any additional supporting material lodged;</w:t>
      </w:r>
    </w:p>
    <w:p>
      <w:pPr>
        <w:pStyle w:val="Indenta"/>
      </w:pPr>
      <w:r>
        <w:tab/>
        <w:t>(c)</w:t>
      </w:r>
      <w:r>
        <w:tab/>
        <w:t>list the application for a hearing at which the Court will assess the amount.</w:t>
      </w:r>
    </w:p>
    <w:p>
      <w:pPr>
        <w:pStyle w:val="Subsection"/>
      </w:pPr>
      <w:r>
        <w:tab/>
        <w:t>(3)</w:t>
      </w:r>
      <w:r>
        <w:tab/>
        <w:t>If the registrar lists the application for a hearing under subrule (2)(c) —</w:t>
      </w:r>
    </w:p>
    <w:p>
      <w:pPr>
        <w:pStyle w:val="Indenta"/>
      </w:pPr>
      <w:r>
        <w:tab/>
        <w:t>(a)</w:t>
      </w:r>
      <w:r>
        <w:tab/>
        <w:t>the registrar must notify you and the other parties in writing at least 28 days before the hearing; and</w:t>
      </w:r>
    </w:p>
    <w:p>
      <w:pPr>
        <w:pStyle w:val="Indenta"/>
      </w:pPr>
      <w:r>
        <w:tab/>
        <w:t>(b)</w:t>
      </w:r>
      <w:r>
        <w:tab/>
        <w:t>you must lodge and serve a supporting affidavit at least 14 days before the hearing.</w:t>
      </w:r>
    </w:p>
    <w:p>
      <w:pPr>
        <w:pStyle w:val="Subsection"/>
      </w:pPr>
      <w:r>
        <w:tab/>
        <w:t>(4)</w:t>
      </w:r>
      <w:r>
        <w:tab/>
        <w:t>An application for default judgment under this Part does not need to be supported by an affidavit unless a hearing is listed under subrule (2)(c).</w:t>
      </w:r>
    </w:p>
    <w:p>
      <w:pPr>
        <w:pStyle w:val="Footnotesection"/>
      </w:pPr>
      <w:r>
        <w:tab/>
        <w:t>[Rule 18 inserted: SL 2020/67 r. 56.]</w:t>
      </w:r>
    </w:p>
    <w:p>
      <w:pPr>
        <w:pStyle w:val="Heading5"/>
      </w:pPr>
      <w:bookmarkStart w:id="46" w:name="_Toc41557758"/>
      <w:r>
        <w:rPr>
          <w:rStyle w:val="CharSectno"/>
        </w:rPr>
        <w:t>19</w:t>
      </w:r>
      <w:r>
        <w:t>.</w:t>
      </w:r>
      <w:r>
        <w:tab/>
        <w:t>If the claim against you is to recover possession of personal property</w:t>
      </w:r>
      <w:bookmarkEnd w:id="46"/>
    </w:p>
    <w:p>
      <w:pPr>
        <w:pStyle w:val="Subsection"/>
      </w:pPr>
      <w:r>
        <w:tab/>
      </w:r>
      <w:r>
        <w:tab/>
        <w:t>Unless rule 21 applies, or the claim is a consumer/trader claim, a registrar may give default judgment for a claim to recover possession of personal property.</w:t>
      </w:r>
    </w:p>
    <w:p>
      <w:pPr>
        <w:pStyle w:val="Heading5"/>
      </w:pPr>
      <w:bookmarkStart w:id="47" w:name="_Toc41557759"/>
      <w:r>
        <w:rPr>
          <w:rStyle w:val="CharSectno"/>
        </w:rPr>
        <w:t>20</w:t>
      </w:r>
      <w:r>
        <w:t>.</w:t>
      </w:r>
      <w:r>
        <w:tab/>
        <w:t>Registrar may give default judgment in absence of parties</w:t>
      </w:r>
      <w:bookmarkEnd w:id="47"/>
    </w:p>
    <w:p>
      <w:pPr>
        <w:pStyle w:val="Subsection"/>
      </w:pPr>
      <w:r>
        <w:tab/>
      </w:r>
      <w:r>
        <w:tab/>
        <w:t>A registrar may give default judgment under this Part in the absence of the parties.</w:t>
      </w:r>
    </w:p>
    <w:p>
      <w:pPr>
        <w:pStyle w:val="Heading5"/>
        <w:spacing w:before="180"/>
      </w:pPr>
      <w:bookmarkStart w:id="48" w:name="_Toc41557760"/>
      <w:r>
        <w:rPr>
          <w:rStyle w:val="CharSectno"/>
          <w:rFonts w:ascii="Times" w:hAnsi="Times"/>
        </w:rPr>
        <w:t>21</w:t>
      </w:r>
      <w:r>
        <w:t>.</w:t>
      </w:r>
      <w:r>
        <w:tab/>
        <w:t>Registrar not to give judgment in certain cases</w:t>
      </w:r>
      <w:bookmarkEnd w:id="48"/>
    </w:p>
    <w:p>
      <w:pPr>
        <w:pStyle w:val="Ednotesubsection"/>
      </w:pPr>
      <w:r>
        <w:tab/>
        <w:t>[(1)</w:t>
      </w:r>
      <w:r>
        <w:tab/>
        <w:t>deleted]</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Gazette 3 Jun 2008 p. 2142; amended: Gazette 24 May 2013 p. 2058; SL 2020/67 r. 57.]</w:t>
      </w:r>
    </w:p>
    <w:p>
      <w:pPr>
        <w:pStyle w:val="Heading5"/>
      </w:pPr>
      <w:bookmarkStart w:id="49" w:name="_Toc41557761"/>
      <w:r>
        <w:rPr>
          <w:rStyle w:val="CharSectno"/>
          <w:rFonts w:ascii="Times" w:hAnsi="Times"/>
        </w:rPr>
        <w:t>22A</w:t>
      </w:r>
      <w:r>
        <w:t>.</w:t>
      </w:r>
      <w:r>
        <w:tab/>
        <w:t>Default judgment one year or more after originating claim, referral to Magistrate</w:t>
      </w:r>
      <w:bookmarkEnd w:id="49"/>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Gazette 24 May 2013 p. 2058.]</w:t>
      </w:r>
    </w:p>
    <w:p>
      <w:pPr>
        <w:pStyle w:val="Heading5"/>
      </w:pPr>
      <w:bookmarkStart w:id="50" w:name="_Toc41557762"/>
      <w:r>
        <w:rPr>
          <w:rStyle w:val="CharSectno"/>
        </w:rPr>
        <w:t>22</w:t>
      </w:r>
      <w:r>
        <w:t>.</w:t>
      </w:r>
      <w:r>
        <w:tab/>
        <w:t>Application for default judgment to be dismissed if not granted</w:t>
      </w:r>
      <w:bookmarkEnd w:id="50"/>
    </w:p>
    <w:p>
      <w:pPr>
        <w:pStyle w:val="Subsection"/>
      </w:pPr>
      <w:r>
        <w:tab/>
      </w:r>
      <w:r>
        <w:tab/>
        <w:t>If the registrar decides not to grant an application for default judgment, the registrar must dismiss it.</w:t>
      </w:r>
    </w:p>
    <w:p>
      <w:pPr>
        <w:pStyle w:val="Footnotesection"/>
      </w:pPr>
      <w:r>
        <w:tab/>
        <w:t>[Rule 22 inserted: Gazette 21 Jul 2017 p. 4026.]</w:t>
      </w:r>
    </w:p>
    <w:p>
      <w:pPr>
        <w:pStyle w:val="Heading5"/>
      </w:pPr>
      <w:bookmarkStart w:id="51" w:name="_Toc41557763"/>
      <w:r>
        <w:rPr>
          <w:rStyle w:val="CharSectno"/>
        </w:rPr>
        <w:t>23A</w:t>
      </w:r>
      <w:r>
        <w:t>.</w:t>
      </w:r>
      <w:r>
        <w:tab/>
        <w:t>Registrar may order costs after giving judgment</w:t>
      </w:r>
      <w:bookmarkEnd w:id="51"/>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Gazette 10 Jun 2005 p. 2566; renumbered as rule 23A: Gazette 3 Jun 2008 p. 2143.]</w:t>
      </w:r>
    </w:p>
    <w:p>
      <w:pPr>
        <w:pStyle w:val="Heading2"/>
      </w:pPr>
      <w:bookmarkStart w:id="52" w:name="_Toc41551648"/>
      <w:bookmarkStart w:id="53" w:name="_Toc41553295"/>
      <w:bookmarkStart w:id="54" w:name="_Toc41557080"/>
      <w:bookmarkStart w:id="55" w:name="_Toc41557764"/>
      <w:bookmarkStart w:id="56" w:name="_Toc41488666"/>
      <w:r>
        <w:rPr>
          <w:rStyle w:val="CharPartNo"/>
        </w:rPr>
        <w:t>Part 5</w:t>
      </w:r>
      <w:r>
        <w:rPr>
          <w:rStyle w:val="CharDivNo"/>
        </w:rPr>
        <w:t> </w:t>
      </w:r>
      <w:r>
        <w:t>—</w:t>
      </w:r>
      <w:r>
        <w:rPr>
          <w:rStyle w:val="CharDivText"/>
        </w:rPr>
        <w:t> </w:t>
      </w:r>
      <w:r>
        <w:rPr>
          <w:rStyle w:val="CharPartText"/>
        </w:rPr>
        <w:t>Status conferences and pre</w:t>
      </w:r>
      <w:r>
        <w:rPr>
          <w:rStyle w:val="CharPartText"/>
        </w:rPr>
        <w:noBreakHyphen/>
        <w:t>trial conferences</w:t>
      </w:r>
      <w:bookmarkEnd w:id="52"/>
      <w:bookmarkEnd w:id="53"/>
      <w:bookmarkEnd w:id="54"/>
      <w:bookmarkEnd w:id="55"/>
    </w:p>
    <w:bookmarkEnd w:id="56"/>
    <w:p>
      <w:pPr>
        <w:pStyle w:val="Footnoteheading"/>
      </w:pPr>
      <w:r>
        <w:tab/>
        <w:t>[Heading inserted: SL 2020/67 r. 58.]</w:t>
      </w:r>
    </w:p>
    <w:p>
      <w:pPr>
        <w:pStyle w:val="Heading5"/>
      </w:pPr>
      <w:bookmarkStart w:id="57" w:name="_Toc41557765"/>
      <w:r>
        <w:rPr>
          <w:rStyle w:val="CharSectno"/>
          <w:rFonts w:ascii="Times" w:hAnsi="Times"/>
        </w:rPr>
        <w:t>23</w:t>
      </w:r>
      <w:r>
        <w:t>.</w:t>
      </w:r>
      <w:r>
        <w:tab/>
        <w:t>Listing case for a status conference</w:t>
      </w:r>
      <w:bookmarkEnd w:id="57"/>
    </w:p>
    <w:p>
      <w:pPr>
        <w:pStyle w:val="Subsection"/>
      </w:pPr>
      <w:r>
        <w:tab/>
        <w:t>(1)</w:t>
      </w:r>
      <w:r>
        <w:tab/>
        <w:t>If a defendant lodges a response, a registrar must, within 14 days, list the case for a status conference.</w:t>
      </w:r>
    </w:p>
    <w:p>
      <w:pPr>
        <w:pStyle w:val="Subsection"/>
      </w:pPr>
      <w:r>
        <w:tab/>
        <w:t>(2)</w:t>
      </w:r>
      <w:r>
        <w:tab/>
        <w:t>The registrar must notify you and the other parties in writing of the status conference.</w:t>
      </w:r>
    </w:p>
    <w:p>
      <w:pPr>
        <w:pStyle w:val="Footnotesection"/>
      </w:pPr>
      <w:r>
        <w:tab/>
        <w:t>[Rule 23 inserted: Gazette 3 Jun 2008 p. 2143; amended: Gazette 30 Sep 2016 p. 4176; SL 2020/67 r. 59.]</w:t>
      </w:r>
    </w:p>
    <w:p>
      <w:pPr>
        <w:pStyle w:val="Heading5"/>
      </w:pPr>
      <w:bookmarkStart w:id="58" w:name="_Toc41557766"/>
      <w:r>
        <w:rPr>
          <w:rStyle w:val="CharSectno"/>
        </w:rPr>
        <w:t>23AA</w:t>
      </w:r>
      <w:r>
        <w:t>.</w:t>
      </w:r>
      <w:r>
        <w:tab/>
        <w:t>What happens at a status conference</w:t>
      </w:r>
      <w:bookmarkEnd w:id="58"/>
    </w:p>
    <w:p>
      <w:pPr>
        <w:pStyle w:val="Subsection"/>
      </w:pPr>
      <w:r>
        <w:tab/>
        <w:t>(1)</w:t>
      </w:r>
      <w:r>
        <w:tab/>
        <w:t>The purpose of a status conference is to allow for the management of a case.</w:t>
      </w:r>
    </w:p>
    <w:p>
      <w:pPr>
        <w:pStyle w:val="Subsection"/>
      </w:pPr>
      <w:r>
        <w:tab/>
        <w:t>(2)</w:t>
      </w:r>
      <w:r>
        <w:tab/>
        <w:t xml:space="preserve">Specifically, at a status conference the Court may do any or all of the following — </w:t>
      </w:r>
    </w:p>
    <w:p>
      <w:pPr>
        <w:pStyle w:val="Indenta"/>
      </w:pPr>
      <w:r>
        <w:tab/>
        <w:t>(a)</w:t>
      </w:r>
      <w:r>
        <w:tab/>
        <w:t>refer the case to a pre</w:t>
      </w:r>
      <w:r>
        <w:noBreakHyphen/>
        <w:t>trial conference to be conducted by a registrar immediately;</w:t>
      </w:r>
    </w:p>
    <w:p>
      <w:pPr>
        <w:pStyle w:val="Indenta"/>
      </w:pPr>
      <w:r>
        <w:tab/>
        <w:t>(b)</w:t>
      </w:r>
      <w:r>
        <w:tab/>
        <w:t>determine what facts, if any, are agreed by the parties;</w:t>
      </w:r>
    </w:p>
    <w:p>
      <w:pPr>
        <w:pStyle w:val="Indenta"/>
      </w:pPr>
      <w:r>
        <w:tab/>
        <w:t>(c)</w:t>
      </w:r>
      <w:r>
        <w:tab/>
        <w:t xml:space="preserve">order the parties to — </w:t>
      </w:r>
    </w:p>
    <w:p>
      <w:pPr>
        <w:pStyle w:val="Indenti"/>
      </w:pPr>
      <w:r>
        <w:tab/>
        <w:t>(i)</w:t>
      </w:r>
      <w:r>
        <w:tab/>
        <w:t>lodge and serve lists of documents the parties might tender in evidence at the trial in support of their claims or defences; or</w:t>
      </w:r>
    </w:p>
    <w:p>
      <w:pPr>
        <w:pStyle w:val="Indenti"/>
      </w:pPr>
      <w:r>
        <w:tab/>
        <w:t>(ii)</w:t>
      </w:r>
      <w:r>
        <w:tab/>
        <w:t>exchange any other documents or information;</w:t>
      </w:r>
    </w:p>
    <w:p>
      <w:pPr>
        <w:pStyle w:val="Indenta"/>
      </w:pPr>
      <w:r>
        <w:tab/>
        <w:t>(d)</w:t>
      </w:r>
      <w:r>
        <w:tab/>
        <w:t>extend the time for making counterclaims or third party claims (even if the time for making those claims has passed);</w:t>
      </w:r>
    </w:p>
    <w:p>
      <w:pPr>
        <w:pStyle w:val="Indenta"/>
      </w:pPr>
      <w:r>
        <w:tab/>
        <w:t>(e)</w:t>
      </w:r>
      <w:r>
        <w:tab/>
        <w:t>list the case for a further status conference;</w:t>
      </w:r>
    </w:p>
    <w:p>
      <w:pPr>
        <w:pStyle w:val="Indenta"/>
      </w:pPr>
      <w:r>
        <w:tab/>
        <w:t>(f)</w:t>
      </w:r>
      <w:r>
        <w:tab/>
        <w:t>make any other orders necessary to facilitate settlement or ensure the case is ready for trial.</w:t>
      </w:r>
    </w:p>
    <w:p>
      <w:pPr>
        <w:pStyle w:val="Subsection"/>
      </w:pPr>
      <w:r>
        <w:tab/>
        <w:t>(3)</w:t>
      </w:r>
      <w:r>
        <w:tab/>
        <w:t xml:space="preserve">If the case involves a counterclaim that is not a minor case, then, at the status conference — </w:t>
      </w:r>
    </w:p>
    <w:p>
      <w:pPr>
        <w:pStyle w:val="Indenta"/>
      </w:pPr>
      <w:r>
        <w:tab/>
        <w:t>(a)</w:t>
      </w:r>
      <w:r>
        <w:tab/>
        <w:t>the Court will consider whether or not you and the other parties consent to the counterclaim being dealt with under these rules; and</w:t>
      </w:r>
    </w:p>
    <w:p>
      <w:pPr>
        <w:pStyle w:val="Indenta"/>
      </w:pPr>
      <w:r>
        <w:tab/>
        <w:t>(b)</w:t>
      </w:r>
      <w:r>
        <w:tab/>
        <w:t>if the parties do not consent to the counterclaim being dealt with under these rules, the court must —</w:t>
      </w:r>
    </w:p>
    <w:p>
      <w:pPr>
        <w:pStyle w:val="Indenti"/>
      </w:pPr>
      <w:r>
        <w:tab/>
        <w:t>(i)</w:t>
      </w:r>
      <w:r>
        <w:tab/>
        <w:t>list the case for a hearing before the Court for it to determine what part of the case, if any, is to be dealt with under these rules; and</w:t>
      </w:r>
    </w:p>
    <w:p>
      <w:pPr>
        <w:pStyle w:val="Indenti"/>
      </w:pPr>
      <w:r>
        <w:tab/>
        <w:t>(ii)</w:t>
      </w:r>
      <w:r>
        <w:tab/>
        <w:t>notify you and the other parties in writing of the hearing date.</w:t>
      </w:r>
    </w:p>
    <w:p>
      <w:pPr>
        <w:pStyle w:val="Subsection"/>
      </w:pPr>
      <w:r>
        <w:tab/>
        <w:t>(4)</w:t>
      </w:r>
      <w:r>
        <w:tab/>
        <w:t>If the Court determines at the hearing referred to in subrule (3) that part of the case is to be dealt with under these rules, it will list the case for a further status conference.</w:t>
      </w:r>
    </w:p>
    <w:p>
      <w:pPr>
        <w:pStyle w:val="Subsection"/>
      </w:pPr>
      <w:r>
        <w:tab/>
        <w:t>(5)</w:t>
      </w:r>
      <w:r>
        <w:tab/>
        <w:t>The court must notify you and the other parties in writing of the listing under subrule (4).</w:t>
      </w:r>
    </w:p>
    <w:p>
      <w:pPr>
        <w:pStyle w:val="Footnotesection"/>
      </w:pPr>
      <w:r>
        <w:tab/>
        <w:t>[Rule 23AA inserted: SL 2020/67 r. 60.]</w:t>
      </w:r>
    </w:p>
    <w:p>
      <w:pPr>
        <w:pStyle w:val="Heading5"/>
      </w:pPr>
      <w:bookmarkStart w:id="59" w:name="_Toc41557767"/>
      <w:r>
        <w:rPr>
          <w:rStyle w:val="CharSectno"/>
        </w:rPr>
        <w:t>24</w:t>
      </w:r>
      <w:r>
        <w:t>.</w:t>
      </w:r>
      <w:r>
        <w:tab/>
        <w:t>What happens at a pre</w:t>
      </w:r>
      <w:r>
        <w:noBreakHyphen/>
        <w:t>trial conference</w:t>
      </w:r>
      <w:bookmarkEnd w:id="59"/>
    </w:p>
    <w:p>
      <w:pPr>
        <w:pStyle w:val="Subsection"/>
      </w:pPr>
      <w:r>
        <w:tab/>
        <w:t>(1)</w:t>
      </w:r>
      <w:r>
        <w:tab/>
        <w:t>At a pre</w:t>
      </w:r>
      <w:r>
        <w:noBreakHyphen/>
        <w:t>trial conference the registrar may do any or all of the things that the Court may do at a status conference under rule 23AA(2)(b) to (f).</w:t>
      </w:r>
    </w:p>
    <w:p>
      <w:pPr>
        <w:pStyle w:val="Ednotesubsection"/>
      </w:pPr>
      <w:r>
        <w:tab/>
        <w:t>[(2)</w:t>
      </w:r>
      <w:r>
        <w:noBreakHyphen/>
        <w:t>(3)</w:t>
      </w:r>
      <w:r>
        <w:tab/>
        <w:t>deleted]</w:t>
      </w:r>
    </w:p>
    <w:p>
      <w:pPr>
        <w:pStyle w:val="Subsection"/>
      </w:pPr>
      <w:r>
        <w:tab/>
        <w:t>(4)</w:t>
      </w:r>
      <w:r>
        <w:tab/>
        <w:t>The registrar must notify you and the other parties in writing of any further status conference or pre</w:t>
      </w:r>
      <w:r>
        <w:noBreakHyphen/>
        <w:t>trial conference.</w:t>
      </w:r>
    </w:p>
    <w:p>
      <w:pPr>
        <w:pStyle w:val="Ednotesubsection"/>
      </w:pPr>
      <w:r>
        <w:tab/>
        <w:t>[(5)</w:t>
      </w:r>
      <w:r>
        <w:tab/>
        <w:t>deleted]</w:t>
      </w:r>
    </w:p>
    <w:p>
      <w:pPr>
        <w:pStyle w:val="Footnotesection"/>
      </w:pPr>
      <w:r>
        <w:tab/>
        <w:t>[Rule 24 amended: Gazette 3 Jun 2008 p. 2143</w:t>
      </w:r>
      <w:r>
        <w:noBreakHyphen/>
        <w:t>4; 30 Sep 2016 p. 4176; SL 2020/67 r. 61.]</w:t>
      </w:r>
    </w:p>
    <w:p>
      <w:pPr>
        <w:pStyle w:val="Ednotesection"/>
      </w:pPr>
      <w:r>
        <w:t>[</w:t>
      </w:r>
      <w:r>
        <w:rPr>
          <w:b/>
        </w:rPr>
        <w:t>25A, 25B.</w:t>
      </w:r>
      <w:r>
        <w:rPr>
          <w:b/>
        </w:rPr>
        <w:tab/>
      </w:r>
      <w:r>
        <w:t>Deleted: Gazette 30 Sep 2016 p. 4176.]</w:t>
      </w:r>
    </w:p>
    <w:p>
      <w:pPr>
        <w:pStyle w:val="Heading5"/>
      </w:pPr>
      <w:bookmarkStart w:id="60" w:name="_Toc41557768"/>
      <w:r>
        <w:rPr>
          <w:rStyle w:val="CharSectno"/>
        </w:rPr>
        <w:t>25C</w:t>
      </w:r>
      <w:r>
        <w:t>.</w:t>
      </w:r>
      <w:r>
        <w:tab/>
        <w:t>List of documents you might tender at trial</w:t>
      </w:r>
      <w:bookmarkEnd w:id="60"/>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Gazette 3 Jun 2008 p. 2145.]</w:t>
      </w:r>
    </w:p>
    <w:p>
      <w:pPr>
        <w:pStyle w:val="Ednotesection"/>
      </w:pPr>
      <w:r>
        <w:t>[</w:t>
      </w:r>
      <w:r>
        <w:rPr>
          <w:b/>
        </w:rPr>
        <w:t>25.</w:t>
      </w:r>
      <w:r>
        <w:tab/>
        <w:t>Deleted: SL 2020/67 r. 62.]</w:t>
      </w:r>
    </w:p>
    <w:p>
      <w:pPr>
        <w:pStyle w:val="Heading5"/>
      </w:pPr>
      <w:bookmarkStart w:id="61" w:name="_Toc41557769"/>
      <w:r>
        <w:rPr>
          <w:rStyle w:val="CharSectno"/>
        </w:rPr>
        <w:t>26</w:t>
      </w:r>
      <w:r>
        <w:t>.</w:t>
      </w:r>
      <w:r>
        <w:tab/>
        <w:t>Your attendance at a status conference, pre</w:t>
      </w:r>
      <w:r>
        <w:noBreakHyphen/>
        <w:t>trial conference or hearing</w:t>
      </w:r>
      <w:bookmarkEnd w:id="61"/>
    </w:p>
    <w:p>
      <w:pPr>
        <w:pStyle w:val="Subsection"/>
      </w:pPr>
      <w:r>
        <w:tab/>
        <w:t>(1)</w:t>
      </w:r>
      <w:r>
        <w:tab/>
        <w:t>You must attend a status conference, pre</w:t>
      </w:r>
      <w:r>
        <w:noBreakHyphen/>
        <w:t>trial conference, or any hearing referred to in rule 23AA(3), in person.</w:t>
      </w:r>
    </w:p>
    <w:p>
      <w:pPr>
        <w:pStyle w:val="Subsection"/>
      </w:pPr>
      <w:r>
        <w:tab/>
        <w:t>(1A)</w:t>
      </w:r>
      <w:r>
        <w:tab/>
        <w:t>A subrogated insurer who is authorised in writing by you may, upon presentation of the written authorisation to the Court, represent or assist you at a status conference, a pre</w:t>
      </w:r>
      <w:r>
        <w:noBreakHyphen/>
        <w:t xml:space="preserve">trial conference or a hearing referred to in rule 23AA(3), but not at the trial of your case. </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applies with any necessary modifications in relation to the default judgment.</w:t>
      </w:r>
    </w:p>
    <w:p>
      <w:pPr>
        <w:pStyle w:val="Footnotesection"/>
      </w:pPr>
      <w:r>
        <w:tab/>
        <w:t>[Rule 26 amended: SL 2020/67 r. 63.]</w:t>
      </w:r>
    </w:p>
    <w:p>
      <w:pPr>
        <w:pStyle w:val="Heading5"/>
      </w:pPr>
      <w:bookmarkStart w:id="62" w:name="_Toc41557770"/>
      <w:r>
        <w:rPr>
          <w:rStyle w:val="CharSectno"/>
        </w:rPr>
        <w:t>27</w:t>
      </w:r>
      <w:r>
        <w:t>.</w:t>
      </w:r>
      <w:r>
        <w:tab/>
        <w:t>Listing the case for trial</w:t>
      </w:r>
      <w:bookmarkEnd w:id="62"/>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63" w:name="_Toc41557771"/>
      <w:r>
        <w:rPr>
          <w:rStyle w:val="CharSectno"/>
        </w:rPr>
        <w:t>28</w:t>
      </w:r>
      <w:r>
        <w:t>.</w:t>
      </w:r>
      <w:r>
        <w:tab/>
        <w:t>Status of things said or done at a status conference or a pre</w:t>
      </w:r>
      <w:r>
        <w:noBreakHyphen/>
        <w:t>trial conference</w:t>
      </w:r>
      <w:bookmarkEnd w:id="63"/>
    </w:p>
    <w:p>
      <w:pPr>
        <w:pStyle w:val="Subsection"/>
      </w:pPr>
      <w:r>
        <w:tab/>
        <w:t>(1A)</w:t>
      </w:r>
      <w:r>
        <w:tab/>
        <w:t>A status conference must be conducted before a magistrate.</w:t>
      </w:r>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status conference or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Footnotesection"/>
      </w:pPr>
      <w:bookmarkStart w:id="64" w:name="_Toc41488674"/>
      <w:bookmarkStart w:id="65" w:name="_Toc41551656"/>
      <w:r>
        <w:tab/>
        <w:t>[Rule 28 amended: SL 2020/67 r. 64.]</w:t>
      </w:r>
    </w:p>
    <w:p>
      <w:pPr>
        <w:pStyle w:val="Heading2"/>
      </w:pPr>
      <w:bookmarkStart w:id="66" w:name="_Toc41553303"/>
      <w:bookmarkStart w:id="67" w:name="_Toc41557088"/>
      <w:bookmarkStart w:id="68" w:name="_Toc41557772"/>
      <w:r>
        <w:rPr>
          <w:rStyle w:val="CharPartNo"/>
        </w:rPr>
        <w:t>Part 6</w:t>
      </w:r>
      <w:r>
        <w:rPr>
          <w:rStyle w:val="CharDivNo"/>
        </w:rPr>
        <w:t> </w:t>
      </w:r>
      <w:r>
        <w:t>—</w:t>
      </w:r>
      <w:r>
        <w:rPr>
          <w:rStyle w:val="CharDivText"/>
        </w:rPr>
        <w:t> </w:t>
      </w:r>
      <w:r>
        <w:rPr>
          <w:rStyle w:val="CharPartText"/>
        </w:rPr>
        <w:t>Mediation</w:t>
      </w:r>
      <w:bookmarkEnd w:id="64"/>
      <w:bookmarkEnd w:id="65"/>
      <w:bookmarkEnd w:id="66"/>
      <w:bookmarkEnd w:id="67"/>
      <w:bookmarkEnd w:id="68"/>
    </w:p>
    <w:p>
      <w:pPr>
        <w:pStyle w:val="Heading5"/>
      </w:pPr>
      <w:bookmarkStart w:id="69" w:name="_Toc41557773"/>
      <w:r>
        <w:rPr>
          <w:rStyle w:val="CharSectno"/>
        </w:rPr>
        <w:t>29</w:t>
      </w:r>
      <w:r>
        <w:t>.</w:t>
      </w:r>
      <w:r>
        <w:tab/>
        <w:t>Mediation conference</w:t>
      </w:r>
      <w:bookmarkEnd w:id="69"/>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70" w:name="_Toc41557774"/>
      <w:r>
        <w:rPr>
          <w:rStyle w:val="CharSectno"/>
        </w:rPr>
        <w:t>30</w:t>
      </w:r>
      <w:r>
        <w:t>.</w:t>
      </w:r>
      <w:r>
        <w:tab/>
        <w:t>Attendance of parties at mediation conferences</w:t>
      </w:r>
      <w:bookmarkEnd w:id="70"/>
    </w:p>
    <w:p>
      <w:pPr>
        <w:pStyle w:val="Subsection"/>
      </w:pPr>
      <w:r>
        <w:tab/>
      </w:r>
      <w:r>
        <w:tab/>
        <w:t>Unless the mediator otherwise approves, you must attend a mediation conference in person.</w:t>
      </w:r>
    </w:p>
    <w:p>
      <w:pPr>
        <w:pStyle w:val="Heading5"/>
      </w:pPr>
      <w:bookmarkStart w:id="71" w:name="_Toc41557775"/>
      <w:r>
        <w:rPr>
          <w:rStyle w:val="CharSectno"/>
        </w:rPr>
        <w:t>31</w:t>
      </w:r>
      <w:r>
        <w:t>.</w:t>
      </w:r>
      <w:r>
        <w:tab/>
        <w:t>Outcome of mediation</w:t>
      </w:r>
      <w:bookmarkEnd w:id="71"/>
    </w:p>
    <w:p>
      <w:pPr>
        <w:pStyle w:val="Subsection"/>
      </w:pPr>
      <w:r>
        <w:tab/>
      </w:r>
      <w:r>
        <w:tab/>
        <w:t>If you are the claimant you must, within 14 days after the mediation conference, lodge a notice of the outcome of the mediation in the approved form.</w:t>
      </w:r>
    </w:p>
    <w:p>
      <w:pPr>
        <w:pStyle w:val="Heading5"/>
      </w:pPr>
      <w:bookmarkStart w:id="72" w:name="_Toc41557776"/>
      <w:r>
        <w:rPr>
          <w:rStyle w:val="CharSectno"/>
        </w:rPr>
        <w:t>32</w:t>
      </w:r>
      <w:r>
        <w:t>.</w:t>
      </w:r>
      <w:r>
        <w:tab/>
        <w:t>Further pre</w:t>
      </w:r>
      <w:r>
        <w:noBreakHyphen/>
        <w:t>trial conference if case not settled</w:t>
      </w:r>
      <w:bookmarkEnd w:id="72"/>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73" w:name="_Toc41488679"/>
      <w:bookmarkStart w:id="74" w:name="_Toc41551661"/>
      <w:bookmarkStart w:id="75" w:name="_Toc41553308"/>
      <w:bookmarkStart w:id="76" w:name="_Toc41557093"/>
      <w:bookmarkStart w:id="77" w:name="_Toc41557777"/>
      <w:r>
        <w:rPr>
          <w:rStyle w:val="CharPartNo"/>
        </w:rPr>
        <w:t>Part 7</w:t>
      </w:r>
      <w:r>
        <w:rPr>
          <w:rStyle w:val="CharDivNo"/>
        </w:rPr>
        <w:t> </w:t>
      </w:r>
      <w:r>
        <w:t>—</w:t>
      </w:r>
      <w:r>
        <w:rPr>
          <w:rStyle w:val="CharDivText"/>
        </w:rPr>
        <w:t> </w:t>
      </w:r>
      <w:r>
        <w:rPr>
          <w:rStyle w:val="CharPartText"/>
        </w:rPr>
        <w:t>Consent orders and settlement</w:t>
      </w:r>
      <w:bookmarkEnd w:id="73"/>
      <w:bookmarkEnd w:id="74"/>
      <w:bookmarkEnd w:id="75"/>
      <w:bookmarkEnd w:id="76"/>
      <w:bookmarkEnd w:id="77"/>
    </w:p>
    <w:p>
      <w:pPr>
        <w:pStyle w:val="Heading5"/>
      </w:pPr>
      <w:bookmarkStart w:id="78" w:name="_Toc41557778"/>
      <w:r>
        <w:rPr>
          <w:rStyle w:val="CharSectno"/>
        </w:rPr>
        <w:t>33</w:t>
      </w:r>
      <w:r>
        <w:t>.</w:t>
      </w:r>
      <w:r>
        <w:tab/>
        <w:t>Memorandum of consent</w:t>
      </w:r>
      <w:bookmarkEnd w:id="78"/>
    </w:p>
    <w:p>
      <w:pPr>
        <w:pStyle w:val="Subsection"/>
      </w:pPr>
      <w:r>
        <w:tab/>
      </w:r>
      <w:r>
        <w:tab/>
        <w:t>If you want to settle a case or consent to any other order you may lodge a memorandum to that effect in the approved form, signed by you and every other party.</w:t>
      </w:r>
    </w:p>
    <w:p>
      <w:pPr>
        <w:pStyle w:val="Heading5"/>
      </w:pPr>
      <w:bookmarkStart w:id="79" w:name="_Toc41557779"/>
      <w:r>
        <w:rPr>
          <w:rStyle w:val="CharSectno"/>
        </w:rPr>
        <w:t>34</w:t>
      </w:r>
      <w:r>
        <w:t>.</w:t>
      </w:r>
      <w:r>
        <w:tab/>
        <w:t>Registrar may make consent orders or give judgment</w:t>
      </w:r>
      <w:bookmarkEnd w:id="79"/>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80" w:name="_Toc41557780"/>
      <w:r>
        <w:rPr>
          <w:rStyle w:val="CharSectno"/>
        </w:rPr>
        <w:t>35</w:t>
      </w:r>
      <w:r>
        <w:t>.</w:t>
      </w:r>
      <w:r>
        <w:tab/>
        <w:t>When the rules require your consent</w:t>
      </w:r>
      <w:bookmarkEnd w:id="80"/>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81" w:name="_Toc41557781"/>
      <w:r>
        <w:rPr>
          <w:rStyle w:val="CharSectno"/>
        </w:rPr>
        <w:t>36</w:t>
      </w:r>
      <w:r>
        <w:t>.</w:t>
      </w:r>
      <w:r>
        <w:tab/>
        <w:t>Settling claims involving a person under a legal disability</w:t>
      </w:r>
      <w:bookmarkEnd w:id="81"/>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Gazette 3 Jun 2008 p. 2145.]</w:t>
      </w:r>
    </w:p>
    <w:p>
      <w:pPr>
        <w:pStyle w:val="Heading2"/>
      </w:pPr>
      <w:bookmarkStart w:id="82" w:name="_Toc41488684"/>
      <w:bookmarkStart w:id="83" w:name="_Toc41551666"/>
      <w:bookmarkStart w:id="84" w:name="_Toc41553313"/>
      <w:bookmarkStart w:id="85" w:name="_Toc41557098"/>
      <w:bookmarkStart w:id="86" w:name="_Toc41557782"/>
      <w:r>
        <w:rPr>
          <w:rStyle w:val="CharPartNo"/>
        </w:rPr>
        <w:t>Part 8</w:t>
      </w:r>
      <w:r>
        <w:t> — </w:t>
      </w:r>
      <w:r>
        <w:rPr>
          <w:rStyle w:val="CharPartText"/>
        </w:rPr>
        <w:t>Trial</w:t>
      </w:r>
      <w:bookmarkEnd w:id="82"/>
      <w:bookmarkEnd w:id="83"/>
      <w:bookmarkEnd w:id="84"/>
      <w:bookmarkEnd w:id="85"/>
      <w:bookmarkEnd w:id="86"/>
    </w:p>
    <w:p>
      <w:pPr>
        <w:pStyle w:val="Heading5"/>
        <w:spacing w:before="180"/>
      </w:pPr>
      <w:bookmarkStart w:id="87" w:name="_Toc41557783"/>
      <w:r>
        <w:rPr>
          <w:rStyle w:val="CharSectno"/>
        </w:rPr>
        <w:t>37</w:t>
      </w:r>
      <w:r>
        <w:t>.</w:t>
      </w:r>
      <w:r>
        <w:tab/>
        <w:t>How the trial of your case is to be conducted</w:t>
      </w:r>
      <w:bookmarkEnd w:id="87"/>
    </w:p>
    <w:p>
      <w:pPr>
        <w:pStyle w:val="Subsection"/>
      </w:pPr>
      <w:r>
        <w:tab/>
      </w:r>
      <w:r>
        <w:tab/>
        <w:t>The trial of your case must be conducted in accordance with orders given by the Court.</w:t>
      </w:r>
    </w:p>
    <w:p>
      <w:pPr>
        <w:pStyle w:val="Footnotesection"/>
      </w:pPr>
      <w:r>
        <w:tab/>
        <w:t>[Rule 37 amended: Gazette 3 Jun 2008 p. 2145.]</w:t>
      </w:r>
    </w:p>
    <w:p>
      <w:pPr>
        <w:pStyle w:val="Heading5"/>
        <w:spacing w:before="180"/>
      </w:pPr>
      <w:bookmarkStart w:id="88" w:name="_Toc41557784"/>
      <w:r>
        <w:rPr>
          <w:rStyle w:val="CharSectno"/>
        </w:rPr>
        <w:t>38</w:t>
      </w:r>
      <w:r>
        <w:t>.</w:t>
      </w:r>
      <w:r>
        <w:tab/>
        <w:t>Your attendance at trial</w:t>
      </w:r>
      <w:bookmarkEnd w:id="88"/>
    </w:p>
    <w:p>
      <w:pPr>
        <w:pStyle w:val="Subsection"/>
      </w:pPr>
      <w:r>
        <w:tab/>
      </w:r>
      <w:r>
        <w:tab/>
        <w:t>You must attend the trial of your case in person.</w:t>
      </w:r>
    </w:p>
    <w:p>
      <w:pPr>
        <w:pStyle w:val="Heading5"/>
        <w:spacing w:before="180"/>
      </w:pPr>
      <w:bookmarkStart w:id="89" w:name="_Toc41557785"/>
      <w:r>
        <w:rPr>
          <w:rStyle w:val="CharSectno"/>
        </w:rPr>
        <w:t>39</w:t>
      </w:r>
      <w:r>
        <w:t>.</w:t>
      </w:r>
      <w:r>
        <w:tab/>
        <w:t>How to call witnesses</w:t>
      </w:r>
      <w:bookmarkEnd w:id="89"/>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keepNext/>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Gazette 21 Jul 2017 p. 4027.]</w:t>
      </w:r>
    </w:p>
    <w:p>
      <w:pPr>
        <w:pStyle w:val="Heading5"/>
      </w:pPr>
      <w:bookmarkStart w:id="90" w:name="_Toc41557786"/>
      <w:r>
        <w:rPr>
          <w:rStyle w:val="CharSectno"/>
        </w:rPr>
        <w:t>39A</w:t>
      </w:r>
      <w:r>
        <w:t>.</w:t>
      </w:r>
      <w:r>
        <w:tab/>
        <w:t>Compliance with witness summons</w:t>
      </w:r>
      <w:bookmarkEnd w:id="90"/>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tab/>
        <w:t>(4)</w:t>
      </w:r>
      <w:r>
        <w:tab/>
        <w:t>The copy of a document may be —</w:t>
      </w:r>
    </w:p>
    <w:p>
      <w:pPr>
        <w:pStyle w:val="Indenta"/>
      </w:pPr>
      <w:r>
        <w:tab/>
        <w:t>(a)</w:t>
      </w:r>
      <w:r>
        <w:tab/>
        <w:t>a photocopy; or</w:t>
      </w:r>
    </w:p>
    <w:p>
      <w:pPr>
        <w:pStyle w:val="Indenta"/>
        <w:keepNext/>
      </w:pPr>
      <w:r>
        <w:tab/>
        <w:t>(b)</w:t>
      </w:r>
      <w:r>
        <w:tab/>
        <w:t>in PDF format on a CD</w:t>
      </w:r>
      <w:r>
        <w:noBreakHyphen/>
        <w:t>ROM.</w:t>
      </w:r>
    </w:p>
    <w:p>
      <w:pPr>
        <w:pStyle w:val="Footnotesection"/>
        <w:ind w:left="890" w:hanging="890"/>
      </w:pPr>
      <w:r>
        <w:tab/>
        <w:t>[Rule 39A inserted: Gazette 21 Jul 2017 p. 4027.]</w:t>
      </w:r>
    </w:p>
    <w:p>
      <w:pPr>
        <w:pStyle w:val="Heading5"/>
      </w:pPr>
      <w:bookmarkStart w:id="91" w:name="_Toc41557787"/>
      <w:r>
        <w:rPr>
          <w:rStyle w:val="CharSectno"/>
        </w:rPr>
        <w:t>40</w:t>
      </w:r>
      <w:r>
        <w:t>.</w:t>
      </w:r>
      <w:r>
        <w:tab/>
        <w:t>Return of things after trial</w:t>
      </w:r>
      <w:bookmarkEnd w:id="91"/>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exhibit is tendered at your trial.</w:t>
      </w:r>
    </w:p>
    <w:p>
      <w:pPr>
        <w:pStyle w:val="Subsection"/>
      </w:pPr>
      <w:r>
        <w:tab/>
        <w:t>(3)</w:t>
      </w:r>
      <w:r>
        <w:tab/>
        <w:t>If you do not take possession of the thing within 60 days after your entitlement to the return of something under subrule (1) arises, the registrar may dispose of the thing as the registrar thinks fit.</w:t>
      </w:r>
    </w:p>
    <w:p>
      <w:pPr>
        <w:pStyle w:val="Footnotesection"/>
        <w:ind w:left="890" w:hanging="890"/>
      </w:pPr>
      <w:r>
        <w:tab/>
        <w:t>[Rule 40 amended: Gazette 18 Sep 2018 p. 3516.]</w:t>
      </w:r>
    </w:p>
    <w:p>
      <w:pPr>
        <w:pStyle w:val="Heading2"/>
      </w:pPr>
      <w:bookmarkStart w:id="92" w:name="_Toc41488690"/>
      <w:bookmarkStart w:id="93" w:name="_Toc41551672"/>
      <w:bookmarkStart w:id="94" w:name="_Toc41553319"/>
      <w:bookmarkStart w:id="95" w:name="_Toc41557104"/>
      <w:bookmarkStart w:id="96" w:name="_Toc41557788"/>
      <w:r>
        <w:rPr>
          <w:rStyle w:val="CharPartNo"/>
        </w:rPr>
        <w:t>Part 9</w:t>
      </w:r>
      <w:r>
        <w:t> — </w:t>
      </w:r>
      <w:r>
        <w:rPr>
          <w:rStyle w:val="CharPartText"/>
        </w:rPr>
        <w:t>Orders and judgments</w:t>
      </w:r>
      <w:bookmarkEnd w:id="92"/>
      <w:bookmarkEnd w:id="93"/>
      <w:bookmarkEnd w:id="94"/>
      <w:bookmarkEnd w:id="95"/>
      <w:bookmarkEnd w:id="96"/>
    </w:p>
    <w:p>
      <w:pPr>
        <w:pStyle w:val="Heading5"/>
      </w:pPr>
      <w:bookmarkStart w:id="97" w:name="_Toc41557789"/>
      <w:r>
        <w:rPr>
          <w:rStyle w:val="CharSectno"/>
        </w:rPr>
        <w:t>41</w:t>
      </w:r>
      <w:r>
        <w:t>.</w:t>
      </w:r>
      <w:r>
        <w:tab/>
        <w:t>Money paid to you if you are a person under a legal disability</w:t>
      </w:r>
      <w:bookmarkEnd w:id="97"/>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Gazette 24 May 2013 p. 2059.]</w:t>
      </w:r>
    </w:p>
    <w:p>
      <w:pPr>
        <w:pStyle w:val="Heading5"/>
      </w:pPr>
      <w:bookmarkStart w:id="98" w:name="_Toc41557790"/>
      <w:r>
        <w:rPr>
          <w:rStyle w:val="CharSectno"/>
        </w:rPr>
        <w:t>42</w:t>
      </w:r>
      <w:r>
        <w:t>.</w:t>
      </w:r>
      <w:r>
        <w:tab/>
        <w:t>Setting aside default judgment</w:t>
      </w:r>
      <w:bookmarkEnd w:id="98"/>
    </w:p>
    <w:p>
      <w:pPr>
        <w:pStyle w:val="Subsection"/>
      </w:pPr>
      <w:r>
        <w:tab/>
      </w:r>
      <w:r>
        <w:tab/>
        <w:t>If the Court gives default judgment against you and you want to apply for the judgment to be set aside you must apply within 21 days after the judgment was given or by such other date as the Court allows.</w:t>
      </w:r>
    </w:p>
    <w:p>
      <w:pPr>
        <w:pStyle w:val="Footnotesection"/>
      </w:pPr>
      <w:r>
        <w:tab/>
        <w:t>[Rule 42 amended: SL 2020/67 r. 65.]</w:t>
      </w:r>
    </w:p>
    <w:p>
      <w:pPr>
        <w:pStyle w:val="Heading5"/>
      </w:pPr>
      <w:bookmarkStart w:id="99" w:name="_Toc41557791"/>
      <w:r>
        <w:rPr>
          <w:rStyle w:val="CharSectno"/>
        </w:rPr>
        <w:t>43</w:t>
      </w:r>
      <w:r>
        <w:t>.</w:t>
      </w:r>
      <w:r>
        <w:tab/>
        <w:t>Decisions of registrars</w:t>
      </w:r>
      <w:bookmarkEnd w:id="99"/>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Gazette 24 May 2013 p. 2059.]</w:t>
      </w:r>
    </w:p>
    <w:p>
      <w:pPr>
        <w:pStyle w:val="Heading5"/>
      </w:pPr>
      <w:bookmarkStart w:id="100" w:name="_Toc41557792"/>
      <w:r>
        <w:rPr>
          <w:rStyle w:val="CharSectno"/>
        </w:rPr>
        <w:t>44</w:t>
      </w:r>
      <w:r>
        <w:t>.</w:t>
      </w:r>
      <w:r>
        <w:tab/>
        <w:t>Requests for certificate of judgment</w:t>
      </w:r>
      <w:bookmarkEnd w:id="100"/>
    </w:p>
    <w:p>
      <w:pPr>
        <w:pStyle w:val="Subsection"/>
      </w:pPr>
      <w:r>
        <w:tab/>
      </w:r>
      <w:r>
        <w:tab/>
        <w:t>If you want a certificate of a judgment, you must lodge a request for the judgment in an approved form.</w:t>
      </w:r>
    </w:p>
    <w:p>
      <w:pPr>
        <w:pStyle w:val="Heading2"/>
      </w:pPr>
      <w:bookmarkStart w:id="101" w:name="_Toc41488695"/>
      <w:bookmarkStart w:id="102" w:name="_Toc41551677"/>
      <w:bookmarkStart w:id="103" w:name="_Toc41553324"/>
      <w:bookmarkStart w:id="104" w:name="_Toc41557109"/>
      <w:bookmarkStart w:id="105" w:name="_Toc41557793"/>
      <w:r>
        <w:rPr>
          <w:rStyle w:val="CharPartNo"/>
        </w:rPr>
        <w:t>Part 10A</w:t>
      </w:r>
      <w:r>
        <w:rPr>
          <w:rStyle w:val="CharDivNo"/>
        </w:rPr>
        <w:t> </w:t>
      </w:r>
      <w:r>
        <w:t>—</w:t>
      </w:r>
      <w:r>
        <w:rPr>
          <w:rStyle w:val="CharDivText"/>
        </w:rPr>
        <w:t> </w:t>
      </w:r>
      <w:r>
        <w:rPr>
          <w:rStyle w:val="CharPartText"/>
        </w:rPr>
        <w:t>Inactive cases</w:t>
      </w:r>
      <w:bookmarkEnd w:id="101"/>
      <w:bookmarkEnd w:id="102"/>
      <w:bookmarkEnd w:id="103"/>
      <w:bookmarkEnd w:id="104"/>
      <w:bookmarkEnd w:id="105"/>
    </w:p>
    <w:p>
      <w:pPr>
        <w:pStyle w:val="Footnoteheading"/>
      </w:pPr>
      <w:r>
        <w:tab/>
        <w:t>[Heading inserted: Gazette 5 Apr 2019 p. 1014.]</w:t>
      </w:r>
    </w:p>
    <w:p>
      <w:pPr>
        <w:pStyle w:val="Heading5"/>
      </w:pPr>
      <w:bookmarkStart w:id="106" w:name="_Toc41557794"/>
      <w:r>
        <w:rPr>
          <w:rStyle w:val="CharSectno"/>
        </w:rPr>
        <w:t>45A</w:t>
      </w:r>
      <w:r>
        <w:t>.</w:t>
      </w:r>
      <w:r>
        <w:tab/>
        <w:t>Term used: inactive case</w:t>
      </w:r>
      <w:bookmarkEnd w:id="106"/>
    </w:p>
    <w:p>
      <w:pPr>
        <w:pStyle w:val="Subsection"/>
      </w:pPr>
      <w:r>
        <w:tab/>
      </w:r>
      <w:r>
        <w:tab/>
        <w:t xml:space="preserve">In this Part — </w:t>
      </w:r>
    </w:p>
    <w:p>
      <w:pPr>
        <w:pStyle w:val="Defstart"/>
      </w:pPr>
      <w:r>
        <w:tab/>
      </w:r>
      <w:r>
        <w:rPr>
          <w:rStyle w:val="CharDefText"/>
        </w:rPr>
        <w:t>inactive case</w:t>
      </w:r>
      <w:r>
        <w:t xml:space="preserve"> means a case that has become inactive under rule 45B.</w:t>
      </w:r>
    </w:p>
    <w:p>
      <w:pPr>
        <w:pStyle w:val="Footnotesection"/>
      </w:pPr>
      <w:r>
        <w:tab/>
        <w:t>[Rule 45A inserted: Gazette 5 Apr 2019 p. 1015.]</w:t>
      </w:r>
    </w:p>
    <w:p>
      <w:pPr>
        <w:pStyle w:val="Heading5"/>
      </w:pPr>
      <w:bookmarkStart w:id="107" w:name="_Toc41557795"/>
      <w:r>
        <w:rPr>
          <w:rStyle w:val="CharSectno"/>
        </w:rPr>
        <w:t>45B</w:t>
      </w:r>
      <w:r>
        <w:t>.</w:t>
      </w:r>
      <w:r>
        <w:tab/>
        <w:t>When your case becomes inactive</w:t>
      </w:r>
      <w:bookmarkEnd w:id="107"/>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Ednotesubsection"/>
      </w:pPr>
      <w:r>
        <w:tab/>
        <w:t>[(4)</w:t>
      </w:r>
      <w:r>
        <w:tab/>
        <w:t>deleted]</w:t>
      </w:r>
    </w:p>
    <w:p>
      <w:pPr>
        <w:pStyle w:val="Footnotesection"/>
      </w:pPr>
      <w:r>
        <w:tab/>
        <w:t>[Rule 45B inserted: Gazette 31 Dec 2013 p. 6545-6; amended: Gazette 5 Apr 2019 p. 1015.]</w:t>
      </w:r>
    </w:p>
    <w:p>
      <w:pPr>
        <w:pStyle w:val="Heading5"/>
      </w:pPr>
      <w:bookmarkStart w:id="108" w:name="_Toc41557796"/>
      <w:r>
        <w:rPr>
          <w:rStyle w:val="CharSectno"/>
        </w:rPr>
        <w:t>45C</w:t>
      </w:r>
      <w:r>
        <w:t>.</w:t>
      </w:r>
      <w:r>
        <w:tab/>
        <w:t>Notification of inactive cases</w:t>
      </w:r>
      <w:bookmarkEnd w:id="108"/>
    </w:p>
    <w:p>
      <w:pPr>
        <w:pStyle w:val="Subsection"/>
      </w:pPr>
      <w:r>
        <w:tab/>
        <w:t>(1)</w:t>
      </w:r>
      <w:r>
        <w:tab/>
        <w:t xml:space="preserve">If your case becomes an inactive case, the Court is to give you and all the other parties to the case written notice of — </w:t>
      </w:r>
    </w:p>
    <w:p>
      <w:pPr>
        <w:pStyle w:val="Indenta"/>
      </w:pPr>
      <w:r>
        <w:tab/>
        <w:t>(a)</w:t>
      </w:r>
      <w:r>
        <w:tab/>
        <w:t>the fact that the case has become an inactive case and why; and</w:t>
      </w:r>
    </w:p>
    <w:p>
      <w:pPr>
        <w:pStyle w:val="Indenta"/>
      </w:pPr>
      <w:r>
        <w:tab/>
        <w:t>(b)</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has become an inactive case and why; and</w:t>
      </w:r>
    </w:p>
    <w:p>
      <w:pPr>
        <w:pStyle w:val="Indenta"/>
      </w:pPr>
      <w:r>
        <w:tab/>
        <w:t>(b)</w:t>
      </w:r>
      <w:r>
        <w:tab/>
        <w:t>the effect of rule 45D.</w:t>
      </w:r>
    </w:p>
    <w:p>
      <w:pPr>
        <w:pStyle w:val="Footnotesection"/>
      </w:pPr>
      <w:r>
        <w:tab/>
        <w:t>[Rule 45C inserted: Gazette 5 Apr 2019 p. 1015.]</w:t>
      </w:r>
    </w:p>
    <w:p>
      <w:pPr>
        <w:pStyle w:val="Heading5"/>
      </w:pPr>
      <w:bookmarkStart w:id="109" w:name="_Toc41557797"/>
      <w:r>
        <w:rPr>
          <w:rStyle w:val="CharSectno"/>
        </w:rPr>
        <w:t>45D</w:t>
      </w:r>
      <w:r>
        <w:t>.</w:t>
      </w:r>
      <w:r>
        <w:tab/>
        <w:t>Consequences of case becoming an inactive case</w:t>
      </w:r>
      <w:bookmarkEnd w:id="109"/>
    </w:p>
    <w:p>
      <w:pPr>
        <w:pStyle w:val="Subsection"/>
      </w:pPr>
      <w:r>
        <w:tab/>
      </w:r>
      <w:r>
        <w:tab/>
        <w:t xml:space="preserve">So long as your case is an inactive case,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Gazette 31 Dec 2013 p. 6546; amended: Gazette 5 Apr 2019 p. 1015.]</w:t>
      </w:r>
    </w:p>
    <w:p>
      <w:pPr>
        <w:pStyle w:val="Heading5"/>
      </w:pPr>
      <w:bookmarkStart w:id="110" w:name="_Toc41557798"/>
      <w:r>
        <w:rPr>
          <w:rStyle w:val="CharSectno"/>
        </w:rPr>
        <w:t>45E</w:t>
      </w:r>
      <w:r>
        <w:t>.</w:t>
      </w:r>
      <w:r>
        <w:tab/>
        <w:t>Cases no longer taken to be inactive</w:t>
      </w:r>
      <w:bookmarkEnd w:id="110"/>
    </w:p>
    <w:p>
      <w:pPr>
        <w:pStyle w:val="Subsection"/>
      </w:pPr>
      <w:r>
        <w:tab/>
        <w:t>(1)</w:t>
      </w:r>
      <w:r>
        <w:tab/>
        <w:t>If your case is an inactive case, you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your case is no longer taken to be inactive, it may make further orders for the conduct of the case in a timely way.</w:t>
      </w:r>
    </w:p>
    <w:p>
      <w:pPr>
        <w:pStyle w:val="Footnotesection"/>
      </w:pPr>
      <w:r>
        <w:tab/>
        <w:t>[Rule 45E inserted: Gazette 5 Apr 2019 p. 1016.]</w:t>
      </w:r>
    </w:p>
    <w:p>
      <w:pPr>
        <w:pStyle w:val="Heading5"/>
      </w:pPr>
      <w:bookmarkStart w:id="111" w:name="_Toc41557799"/>
      <w:r>
        <w:rPr>
          <w:rStyle w:val="CharSectno"/>
        </w:rPr>
        <w:t>45F</w:t>
      </w:r>
      <w:r>
        <w:t>.</w:t>
      </w:r>
      <w:r>
        <w:tab/>
        <w:t>Dismissal of inactive cases</w:t>
      </w:r>
      <w:bookmarkEnd w:id="111"/>
    </w:p>
    <w:p>
      <w:pPr>
        <w:pStyle w:val="Subsection"/>
      </w:pPr>
      <w:r>
        <w:tab/>
        <w:t>(1)</w:t>
      </w:r>
      <w:r>
        <w:tab/>
        <w:t>If your case remains an inactive case for 6 continuous months, it is taken to be dismissed.</w:t>
      </w:r>
    </w:p>
    <w:p>
      <w:pPr>
        <w:pStyle w:val="Subsection"/>
      </w:pPr>
      <w:r>
        <w:tab/>
        <w:t>(2)</w:t>
      </w:r>
      <w:r>
        <w:tab/>
        <w:t>If the Court orders that your case is no longer taken to be inactive and neither you nor any other party to the case takes any procedural step in the case in the 6 months after the date of the order, your case is taken to be dismissed.</w:t>
      </w:r>
    </w:p>
    <w:p>
      <w:pPr>
        <w:pStyle w:val="Subsection"/>
      </w:pPr>
      <w:r>
        <w:tab/>
        <w:t>(3)</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your case under this rule.</w:t>
      </w:r>
    </w:p>
    <w:p>
      <w:pPr>
        <w:pStyle w:val="Subsection"/>
      </w:pPr>
      <w:r>
        <w:tab/>
        <w:t>(5)</w:t>
      </w:r>
      <w:r>
        <w:tab/>
        <w:t>For the purposes of subrule (4), it does not matter that your case was taken to be dismissed before the commencement of that subrule.</w:t>
      </w:r>
    </w:p>
    <w:p>
      <w:pPr>
        <w:pStyle w:val="Footnotesection"/>
      </w:pPr>
      <w:r>
        <w:tab/>
        <w:t>[Rule 45F inserted: Gazette 5 Apr 2019 p. 1016.]</w:t>
      </w:r>
    </w:p>
    <w:p>
      <w:pPr>
        <w:pStyle w:val="Heading2"/>
      </w:pPr>
      <w:bookmarkStart w:id="112" w:name="_Toc41488702"/>
      <w:bookmarkStart w:id="113" w:name="_Toc41551684"/>
      <w:bookmarkStart w:id="114" w:name="_Toc41553331"/>
      <w:bookmarkStart w:id="115" w:name="_Toc41557116"/>
      <w:bookmarkStart w:id="116" w:name="_Toc41557800"/>
      <w:r>
        <w:rPr>
          <w:rStyle w:val="CharPartNo"/>
        </w:rPr>
        <w:t>Part 10</w:t>
      </w:r>
      <w:r>
        <w:t> — </w:t>
      </w:r>
      <w:r>
        <w:rPr>
          <w:rStyle w:val="CharPartText"/>
        </w:rPr>
        <w:t>How to lodge documents</w:t>
      </w:r>
      <w:bookmarkEnd w:id="112"/>
      <w:bookmarkEnd w:id="113"/>
      <w:bookmarkEnd w:id="114"/>
      <w:bookmarkEnd w:id="115"/>
      <w:bookmarkEnd w:id="116"/>
    </w:p>
    <w:p>
      <w:pPr>
        <w:pStyle w:val="Heading5"/>
      </w:pPr>
      <w:bookmarkStart w:id="117" w:name="_Toc41557801"/>
      <w:r>
        <w:rPr>
          <w:rStyle w:val="CharSectno"/>
        </w:rPr>
        <w:t>45</w:t>
      </w:r>
      <w:r>
        <w:t>.</w:t>
      </w:r>
      <w:r>
        <w:tab/>
        <w:t>How to lodge a document</w:t>
      </w:r>
      <w:bookmarkEnd w:id="117"/>
    </w:p>
    <w:p>
      <w:pPr>
        <w:pStyle w:val="Subsection"/>
      </w:pPr>
      <w:r>
        <w:tab/>
      </w:r>
      <w:r>
        <w:tab/>
        <w:t xml:space="preserve">In order to lodge a document with the Court you must lodge it in accordance with this Part at a Court registry together with any fee required under the </w:t>
      </w:r>
      <w:r>
        <w:rPr>
          <w:i/>
          <w:iCs/>
        </w:rPr>
        <w:t>Magistrates Court (Fees) Regulations 2005</w:t>
      </w:r>
      <w:r>
        <w:t>.</w:t>
      </w:r>
    </w:p>
    <w:p>
      <w:pPr>
        <w:pStyle w:val="Heading5"/>
      </w:pPr>
      <w:bookmarkStart w:id="118" w:name="_Toc41557802"/>
      <w:r>
        <w:rPr>
          <w:rStyle w:val="CharSectno"/>
        </w:rPr>
        <w:t>46</w:t>
      </w:r>
      <w:r>
        <w:t>.</w:t>
      </w:r>
      <w:r>
        <w:tab/>
        <w:t>Where you may lodge a claim that starts a case</w:t>
      </w:r>
      <w:bookmarkEnd w:id="118"/>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r>
        <w:rPr>
          <w:i/>
          <w:iCs/>
        </w:rPr>
        <w:t>Magistrates Court Act 2004</w:t>
      </w:r>
      <w:r>
        <w:t xml:space="preserve"> section 26(5).</w:t>
      </w:r>
    </w:p>
    <w:p>
      <w:pPr>
        <w:pStyle w:val="Footnotesection"/>
      </w:pPr>
      <w:r>
        <w:tab/>
        <w:t>[Rule 46 amended: Gazette 24 Aug 2007 p. 4333.]</w:t>
      </w:r>
    </w:p>
    <w:p>
      <w:pPr>
        <w:pStyle w:val="Heading5"/>
        <w:spacing w:before="180"/>
      </w:pPr>
      <w:bookmarkStart w:id="119" w:name="_Toc41557803"/>
      <w:r>
        <w:rPr>
          <w:rStyle w:val="CharSectno"/>
        </w:rPr>
        <w:t>47</w:t>
      </w:r>
      <w:r>
        <w:t>.</w:t>
      </w:r>
      <w:r>
        <w:tab/>
        <w:t>If a registrar refuses to accept your document for lodgment</w:t>
      </w:r>
      <w:bookmarkEnd w:id="119"/>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120" w:name="_Toc41557804"/>
      <w:r>
        <w:rPr>
          <w:rStyle w:val="CharSectno"/>
        </w:rPr>
        <w:t>48</w:t>
      </w:r>
      <w:r>
        <w:t>.</w:t>
      </w:r>
      <w:r>
        <w:tab/>
        <w:t>You may lodge documents by hand delivery or pre</w:t>
      </w:r>
      <w:r>
        <w:noBreakHyphen/>
        <w:t>paid post</w:t>
      </w:r>
      <w:bookmarkEnd w:id="120"/>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121" w:name="_Toc41557805"/>
      <w:r>
        <w:rPr>
          <w:rStyle w:val="CharSectno"/>
        </w:rPr>
        <w:t>49</w:t>
      </w:r>
      <w:r>
        <w:t>.</w:t>
      </w:r>
      <w:r>
        <w:tab/>
        <w:t>Lodging documents electronically or by fax</w:t>
      </w:r>
      <w:bookmarkEnd w:id="121"/>
    </w:p>
    <w:p>
      <w:pPr>
        <w:pStyle w:val="Subsection"/>
        <w:spacing w:before="120"/>
      </w:pPr>
      <w:r>
        <w:tab/>
      </w:r>
      <w:r>
        <w:tab/>
        <w:t xml:space="preserve">You may lodge a document electronically or by fax if the </w:t>
      </w:r>
      <w:r>
        <w:rPr>
          <w:i/>
          <w:iCs/>
        </w:rPr>
        <w:t>Magistrates Court (General) Rules 2005</w:t>
      </w:r>
      <w:r>
        <w:t xml:space="preserve"> enable you to do so.</w:t>
      </w:r>
    </w:p>
    <w:p>
      <w:pPr>
        <w:pStyle w:val="Heading2"/>
      </w:pPr>
      <w:bookmarkStart w:id="122" w:name="_Toc41488708"/>
      <w:bookmarkStart w:id="123" w:name="_Toc41551690"/>
      <w:bookmarkStart w:id="124" w:name="_Toc41553337"/>
      <w:bookmarkStart w:id="125" w:name="_Toc41557122"/>
      <w:bookmarkStart w:id="126" w:name="_Toc41557806"/>
      <w:r>
        <w:rPr>
          <w:rStyle w:val="CharPartNo"/>
        </w:rPr>
        <w:t>Part 11</w:t>
      </w:r>
      <w:r>
        <w:t> — </w:t>
      </w:r>
      <w:r>
        <w:rPr>
          <w:rStyle w:val="CharPartText"/>
        </w:rPr>
        <w:t>How to serve documents</w:t>
      </w:r>
      <w:bookmarkEnd w:id="122"/>
      <w:bookmarkEnd w:id="123"/>
      <w:bookmarkEnd w:id="124"/>
      <w:bookmarkEnd w:id="125"/>
      <w:bookmarkEnd w:id="126"/>
    </w:p>
    <w:p>
      <w:pPr>
        <w:pStyle w:val="Heading3"/>
      </w:pPr>
      <w:bookmarkStart w:id="127" w:name="_Toc41488709"/>
      <w:bookmarkStart w:id="128" w:name="_Toc41551691"/>
      <w:bookmarkStart w:id="129" w:name="_Toc41553338"/>
      <w:bookmarkStart w:id="130" w:name="_Toc41557123"/>
      <w:bookmarkStart w:id="131" w:name="_Toc41557807"/>
      <w:r>
        <w:rPr>
          <w:rStyle w:val="CharDivNo"/>
        </w:rPr>
        <w:t>Division 1</w:t>
      </w:r>
      <w:r>
        <w:t> — </w:t>
      </w:r>
      <w:r>
        <w:rPr>
          <w:rStyle w:val="CharDivText"/>
        </w:rPr>
        <w:t>General</w:t>
      </w:r>
      <w:bookmarkEnd w:id="127"/>
      <w:bookmarkEnd w:id="128"/>
      <w:bookmarkEnd w:id="129"/>
      <w:bookmarkEnd w:id="130"/>
      <w:bookmarkEnd w:id="131"/>
    </w:p>
    <w:p>
      <w:pPr>
        <w:pStyle w:val="Heading5"/>
      </w:pPr>
      <w:bookmarkStart w:id="132" w:name="_Toc41557808"/>
      <w:r>
        <w:rPr>
          <w:rStyle w:val="CharSectno"/>
        </w:rPr>
        <w:t>50</w:t>
      </w:r>
      <w:r>
        <w:t>.</w:t>
      </w:r>
      <w:r>
        <w:tab/>
        <w:t>Meaning of serve</w:t>
      </w:r>
      <w:bookmarkEnd w:id="132"/>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133" w:name="_Toc41557809"/>
      <w:r>
        <w:rPr>
          <w:rStyle w:val="CharSectno"/>
        </w:rPr>
        <w:t>51</w:t>
      </w:r>
      <w:r>
        <w:t>.</w:t>
      </w:r>
      <w:r>
        <w:tab/>
        <w:t>How to serve a document</w:t>
      </w:r>
      <w:bookmarkEnd w:id="133"/>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Gazette 24 May 2013 p. 2059.]</w:t>
      </w:r>
    </w:p>
    <w:p>
      <w:pPr>
        <w:pStyle w:val="Heading5"/>
      </w:pPr>
      <w:bookmarkStart w:id="134" w:name="_Toc41557810"/>
      <w:r>
        <w:rPr>
          <w:rStyle w:val="CharSectno"/>
        </w:rPr>
        <w:t>52</w:t>
      </w:r>
      <w:r>
        <w:t>.</w:t>
      </w:r>
      <w:r>
        <w:tab/>
        <w:t>An enforcement officer may serve documents for you</w:t>
      </w:r>
      <w:bookmarkEnd w:id="134"/>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Gazette 24 Aug 2007 p. 4334; 3 May 2016 p. 1362.]</w:t>
      </w:r>
    </w:p>
    <w:p>
      <w:pPr>
        <w:pStyle w:val="Heading5"/>
      </w:pPr>
      <w:bookmarkStart w:id="135" w:name="_Toc41557811"/>
      <w:r>
        <w:rPr>
          <w:rStyle w:val="CharSectno"/>
        </w:rPr>
        <w:t>53</w:t>
      </w:r>
      <w:r>
        <w:t>.</w:t>
      </w:r>
      <w:r>
        <w:tab/>
        <w:t>You must lodge an affidavit after serving a document</w:t>
      </w:r>
      <w:bookmarkEnd w:id="135"/>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Gazette 24 Aug 2007 p. 4334; 3 May 2016 p. 1362.]</w:t>
      </w:r>
    </w:p>
    <w:p>
      <w:pPr>
        <w:pStyle w:val="Heading3"/>
      </w:pPr>
      <w:bookmarkStart w:id="136" w:name="_Toc41488714"/>
      <w:bookmarkStart w:id="137" w:name="_Toc41551696"/>
      <w:bookmarkStart w:id="138" w:name="_Toc41553343"/>
      <w:bookmarkStart w:id="139" w:name="_Toc41557128"/>
      <w:bookmarkStart w:id="140" w:name="_Toc41557812"/>
      <w:r>
        <w:rPr>
          <w:rStyle w:val="CharDivNo"/>
        </w:rPr>
        <w:t>Division 2</w:t>
      </w:r>
      <w:r>
        <w:t> — </w:t>
      </w:r>
      <w:r>
        <w:rPr>
          <w:rStyle w:val="CharDivText"/>
        </w:rPr>
        <w:t>Service at a residential or business address</w:t>
      </w:r>
      <w:bookmarkEnd w:id="136"/>
      <w:bookmarkEnd w:id="137"/>
      <w:bookmarkEnd w:id="138"/>
      <w:bookmarkEnd w:id="139"/>
      <w:bookmarkEnd w:id="140"/>
    </w:p>
    <w:p>
      <w:pPr>
        <w:pStyle w:val="Footnoteheading"/>
      </w:pPr>
      <w:r>
        <w:tab/>
        <w:t>[Heading inserted: Gazette 20 May 2011 p. 1840.]</w:t>
      </w:r>
    </w:p>
    <w:p>
      <w:pPr>
        <w:pStyle w:val="Heading5"/>
      </w:pPr>
      <w:bookmarkStart w:id="141" w:name="_Toc41557813"/>
      <w:r>
        <w:rPr>
          <w:rStyle w:val="CharSectno"/>
        </w:rPr>
        <w:t>54</w:t>
      </w:r>
      <w:r>
        <w:t>.</w:t>
      </w:r>
      <w:r>
        <w:tab/>
        <w:t>Your address must be on each document</w:t>
      </w:r>
      <w:bookmarkEnd w:id="141"/>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Gazette 3 Jun 2008 p. 2145</w:t>
      </w:r>
      <w:r>
        <w:noBreakHyphen/>
        <w:t>6.]</w:t>
      </w:r>
    </w:p>
    <w:p>
      <w:pPr>
        <w:pStyle w:val="Heading5"/>
      </w:pPr>
      <w:bookmarkStart w:id="142" w:name="_Toc41557814"/>
      <w:r>
        <w:rPr>
          <w:rStyle w:val="CharSectno"/>
        </w:rPr>
        <w:t>55</w:t>
      </w:r>
      <w:r>
        <w:t>.</w:t>
      </w:r>
      <w:r>
        <w:tab/>
        <w:t>If you are not represented</w:t>
      </w:r>
      <w:bookmarkEnd w:id="142"/>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Gazette 3 Jun 2008 p. 2146; 24 May 2013 p. 2059.]</w:t>
      </w:r>
    </w:p>
    <w:p>
      <w:pPr>
        <w:pStyle w:val="Heading5"/>
      </w:pPr>
      <w:bookmarkStart w:id="143" w:name="_Toc41557815"/>
      <w:r>
        <w:rPr>
          <w:rStyle w:val="CharSectno"/>
        </w:rPr>
        <w:t>56</w:t>
      </w:r>
      <w:r>
        <w:t>.</w:t>
      </w:r>
      <w:r>
        <w:tab/>
        <w:t>If you are represented</w:t>
      </w:r>
      <w:bookmarkEnd w:id="143"/>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Gazette 3 Jun 2008 p. 2146.]</w:t>
      </w:r>
    </w:p>
    <w:p>
      <w:pPr>
        <w:pStyle w:val="Heading5"/>
      </w:pPr>
      <w:bookmarkStart w:id="144" w:name="_Toc41557816"/>
      <w:r>
        <w:rPr>
          <w:rStyle w:val="CharSectno"/>
        </w:rPr>
        <w:t>57</w:t>
      </w:r>
      <w:r>
        <w:t>.</w:t>
      </w:r>
      <w:r>
        <w:tab/>
        <w:t>If your address changes</w:t>
      </w:r>
      <w:bookmarkEnd w:id="144"/>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145" w:name="_Toc41488719"/>
      <w:bookmarkStart w:id="146" w:name="_Toc41551701"/>
      <w:bookmarkStart w:id="147" w:name="_Toc41553348"/>
      <w:bookmarkStart w:id="148" w:name="_Toc41557133"/>
      <w:bookmarkStart w:id="149" w:name="_Toc41557817"/>
      <w:r>
        <w:rPr>
          <w:rStyle w:val="CharDivNo"/>
        </w:rPr>
        <w:t>Division 3</w:t>
      </w:r>
      <w:r>
        <w:t> — </w:t>
      </w:r>
      <w:r>
        <w:rPr>
          <w:rStyle w:val="CharDivText"/>
        </w:rPr>
        <w:t>Personal service</w:t>
      </w:r>
      <w:bookmarkEnd w:id="145"/>
      <w:bookmarkEnd w:id="146"/>
      <w:bookmarkEnd w:id="147"/>
      <w:bookmarkEnd w:id="148"/>
      <w:bookmarkEnd w:id="149"/>
    </w:p>
    <w:p>
      <w:pPr>
        <w:pStyle w:val="Heading5"/>
      </w:pPr>
      <w:bookmarkStart w:id="150" w:name="_Toc41557818"/>
      <w:r>
        <w:rPr>
          <w:rStyle w:val="CharSectno"/>
        </w:rPr>
        <w:t>58</w:t>
      </w:r>
      <w:r>
        <w:t>.</w:t>
      </w:r>
      <w:r>
        <w:tab/>
        <w:t>Service on an individual personally</w:t>
      </w:r>
      <w:bookmarkEnd w:id="150"/>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Gazette 2 Jul 2010 p. 3196; 31 Dec 2013 p. 6547.]</w:t>
      </w:r>
    </w:p>
    <w:p>
      <w:pPr>
        <w:pStyle w:val="Heading5"/>
      </w:pPr>
      <w:bookmarkStart w:id="151" w:name="_Toc41557819"/>
      <w:r>
        <w:rPr>
          <w:rStyle w:val="CharSectno"/>
        </w:rPr>
        <w:t>59</w:t>
      </w:r>
      <w:r>
        <w:t>.</w:t>
      </w:r>
      <w:r>
        <w:tab/>
        <w:t>Service on a partnership personally</w:t>
      </w:r>
      <w:bookmarkEnd w:id="151"/>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152" w:name="_Toc41557820"/>
      <w:r>
        <w:rPr>
          <w:rStyle w:val="CharSectno"/>
        </w:rPr>
        <w:t>60</w:t>
      </w:r>
      <w:r>
        <w:t>.</w:t>
      </w:r>
      <w:r>
        <w:tab/>
        <w:t>Service on a corporation personally</w:t>
      </w:r>
      <w:bookmarkEnd w:id="152"/>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Gazette 3 Jun 2008 p. 2146.]</w:t>
      </w:r>
    </w:p>
    <w:p>
      <w:pPr>
        <w:pStyle w:val="Heading5"/>
      </w:pPr>
      <w:bookmarkStart w:id="153" w:name="_Toc41557821"/>
      <w:r>
        <w:rPr>
          <w:rStyle w:val="CharSectno"/>
        </w:rPr>
        <w:t>61</w:t>
      </w:r>
      <w:r>
        <w:t>.</w:t>
      </w:r>
      <w:r>
        <w:tab/>
        <w:t>Service on a public authority personally</w:t>
      </w:r>
      <w:bookmarkEnd w:id="153"/>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154" w:name="_Toc41488724"/>
      <w:bookmarkStart w:id="155" w:name="_Toc41551706"/>
      <w:bookmarkStart w:id="156" w:name="_Toc41553353"/>
      <w:bookmarkStart w:id="157" w:name="_Toc41557138"/>
      <w:bookmarkStart w:id="158" w:name="_Toc41557822"/>
      <w:r>
        <w:rPr>
          <w:rStyle w:val="CharDivNo"/>
        </w:rPr>
        <w:t>Division 4</w:t>
      </w:r>
      <w:r>
        <w:t> — </w:t>
      </w:r>
      <w:r>
        <w:rPr>
          <w:rStyle w:val="CharDivText"/>
        </w:rPr>
        <w:t>Miscellaneous</w:t>
      </w:r>
      <w:bookmarkEnd w:id="154"/>
      <w:bookmarkEnd w:id="155"/>
      <w:bookmarkEnd w:id="156"/>
      <w:bookmarkEnd w:id="157"/>
      <w:bookmarkEnd w:id="158"/>
    </w:p>
    <w:p>
      <w:pPr>
        <w:pStyle w:val="Footnoteheading"/>
      </w:pPr>
      <w:r>
        <w:tab/>
        <w:t>[Heading inserted: Gazette 3 Jun 2008 p. 2147.]</w:t>
      </w:r>
    </w:p>
    <w:p>
      <w:pPr>
        <w:pStyle w:val="Heading5"/>
      </w:pPr>
      <w:bookmarkStart w:id="159" w:name="_Toc41557823"/>
      <w:r>
        <w:rPr>
          <w:rStyle w:val="CharSectno"/>
        </w:rPr>
        <w:t>62A</w:t>
      </w:r>
      <w:r>
        <w:t>.</w:t>
      </w:r>
      <w:r>
        <w:tab/>
        <w:t>Applications for substituted service</w:t>
      </w:r>
      <w:bookmarkEnd w:id="159"/>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Gazette 3 Jun 2008 p. 2147.]</w:t>
      </w:r>
    </w:p>
    <w:p>
      <w:pPr>
        <w:pStyle w:val="Heading2"/>
      </w:pPr>
      <w:bookmarkStart w:id="160" w:name="_Toc41488726"/>
      <w:bookmarkStart w:id="161" w:name="_Toc41551708"/>
      <w:bookmarkStart w:id="162" w:name="_Toc41553355"/>
      <w:bookmarkStart w:id="163" w:name="_Toc41557140"/>
      <w:bookmarkStart w:id="164" w:name="_Toc41557824"/>
      <w:r>
        <w:rPr>
          <w:rStyle w:val="CharPartNo"/>
        </w:rPr>
        <w:t>Part 12</w:t>
      </w:r>
      <w:r>
        <w:rPr>
          <w:rStyle w:val="CharDivNo"/>
        </w:rPr>
        <w:t> </w:t>
      </w:r>
      <w:r>
        <w:t>—</w:t>
      </w:r>
      <w:r>
        <w:rPr>
          <w:rStyle w:val="CharDivText"/>
        </w:rPr>
        <w:t> </w:t>
      </w:r>
      <w:r>
        <w:rPr>
          <w:rStyle w:val="CharPartText"/>
        </w:rPr>
        <w:t>How to make an application</w:t>
      </w:r>
      <w:bookmarkEnd w:id="160"/>
      <w:bookmarkEnd w:id="161"/>
      <w:bookmarkEnd w:id="162"/>
      <w:bookmarkEnd w:id="163"/>
      <w:bookmarkEnd w:id="164"/>
    </w:p>
    <w:p>
      <w:pPr>
        <w:pStyle w:val="Heading5"/>
      </w:pPr>
      <w:bookmarkStart w:id="165" w:name="_Toc41557825"/>
      <w:r>
        <w:rPr>
          <w:rStyle w:val="CharSectno"/>
        </w:rPr>
        <w:t>62</w:t>
      </w:r>
      <w:r>
        <w:t>.</w:t>
      </w:r>
      <w:r>
        <w:tab/>
        <w:t>How to make a written application</w:t>
      </w:r>
      <w:bookmarkEnd w:id="165"/>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166" w:name="_Toc41557826"/>
      <w:r>
        <w:rPr>
          <w:rStyle w:val="CharSectno"/>
        </w:rPr>
        <w:t>63</w:t>
      </w:r>
      <w:r>
        <w:t>.</w:t>
      </w:r>
      <w:r>
        <w:tab/>
        <w:t>Your supporting affidavit</w:t>
      </w:r>
      <w:bookmarkEnd w:id="166"/>
    </w:p>
    <w:p>
      <w:pPr>
        <w:pStyle w:val="Subsection"/>
      </w:pPr>
      <w:r>
        <w:tab/>
      </w:r>
      <w:r>
        <w:tab/>
        <w:t>Unless rule 18(3) applies, if you are making a written application it must be lodged together with a supporting affidavit.</w:t>
      </w:r>
    </w:p>
    <w:p>
      <w:pPr>
        <w:pStyle w:val="Heading5"/>
      </w:pPr>
      <w:bookmarkStart w:id="167" w:name="_Toc41557827"/>
      <w:r>
        <w:rPr>
          <w:rStyle w:val="CharSectno"/>
        </w:rPr>
        <w:t>64</w:t>
      </w:r>
      <w:r>
        <w:t>.</w:t>
      </w:r>
      <w:r>
        <w:tab/>
        <w:t>Application must be served</w:t>
      </w:r>
      <w:bookmarkEnd w:id="167"/>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Gazette 3 Jun 2008 p. 2147; 20 May 2011 p. 1840-1; 30 Sep 2016 p. 4176.]</w:t>
      </w:r>
    </w:p>
    <w:p>
      <w:pPr>
        <w:pStyle w:val="Heading5"/>
      </w:pPr>
      <w:bookmarkStart w:id="168" w:name="_Toc41557828"/>
      <w:r>
        <w:rPr>
          <w:rStyle w:val="CharSectno"/>
        </w:rPr>
        <w:t>65</w:t>
      </w:r>
      <w:r>
        <w:t>.</w:t>
      </w:r>
      <w:r>
        <w:tab/>
        <w:t>Response to an application</w:t>
      </w:r>
      <w:bookmarkEnd w:id="168"/>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169" w:name="_Toc41557829"/>
      <w:r>
        <w:rPr>
          <w:rStyle w:val="CharSectno"/>
        </w:rPr>
        <w:t>66</w:t>
      </w:r>
      <w:r>
        <w:t>.</w:t>
      </w:r>
      <w:r>
        <w:tab/>
        <w:t>How the Court will deal with your application</w:t>
      </w:r>
      <w:bookmarkEnd w:id="169"/>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Gazette 3 Jun 2008 p. 2148.]</w:t>
      </w:r>
    </w:p>
    <w:p>
      <w:pPr>
        <w:pStyle w:val="Heading2"/>
      </w:pPr>
      <w:bookmarkStart w:id="170" w:name="_Toc41488732"/>
      <w:bookmarkStart w:id="171" w:name="_Toc41551714"/>
      <w:bookmarkStart w:id="172" w:name="_Toc41553361"/>
      <w:bookmarkStart w:id="173" w:name="_Toc41557146"/>
      <w:bookmarkStart w:id="174" w:name="_Toc41557830"/>
      <w:r>
        <w:rPr>
          <w:rStyle w:val="CharPartNo"/>
        </w:rPr>
        <w:t>Part 13</w:t>
      </w:r>
      <w:r>
        <w:rPr>
          <w:rStyle w:val="CharDivNo"/>
        </w:rPr>
        <w:t> </w:t>
      </w:r>
      <w:r>
        <w:t>—</w:t>
      </w:r>
      <w:r>
        <w:rPr>
          <w:rStyle w:val="CharDivText"/>
        </w:rPr>
        <w:t> </w:t>
      </w:r>
      <w:r>
        <w:rPr>
          <w:rStyle w:val="CharPartText"/>
        </w:rPr>
        <w:t>Affidavits</w:t>
      </w:r>
      <w:bookmarkEnd w:id="170"/>
      <w:bookmarkEnd w:id="171"/>
      <w:bookmarkEnd w:id="172"/>
      <w:bookmarkEnd w:id="173"/>
      <w:bookmarkEnd w:id="174"/>
    </w:p>
    <w:p>
      <w:pPr>
        <w:pStyle w:val="Heading5"/>
      </w:pPr>
      <w:bookmarkStart w:id="175" w:name="_Toc41557831"/>
      <w:r>
        <w:rPr>
          <w:rStyle w:val="CharSectno"/>
        </w:rPr>
        <w:t>67</w:t>
      </w:r>
      <w:r>
        <w:t>.</w:t>
      </w:r>
      <w:r>
        <w:tab/>
        <w:t>Form of an affidavit</w:t>
      </w:r>
      <w:bookmarkEnd w:id="175"/>
    </w:p>
    <w:p>
      <w:pPr>
        <w:pStyle w:val="Subsection"/>
      </w:pPr>
      <w:r>
        <w:tab/>
      </w:r>
      <w:r>
        <w:tab/>
        <w:t>An affidavit lodged by you must be in the approved form.</w:t>
      </w:r>
    </w:p>
    <w:p>
      <w:pPr>
        <w:pStyle w:val="Heading5"/>
      </w:pPr>
      <w:bookmarkStart w:id="176" w:name="_Toc41557832"/>
      <w:r>
        <w:rPr>
          <w:rStyle w:val="CharSectno"/>
        </w:rPr>
        <w:t>68</w:t>
      </w:r>
      <w:r>
        <w:t>.</w:t>
      </w:r>
      <w:r>
        <w:tab/>
        <w:t>Content of an affidavit</w:t>
      </w:r>
      <w:bookmarkEnd w:id="176"/>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Gazette 3 Jun 2008 p. 2148.]</w:t>
      </w:r>
    </w:p>
    <w:p>
      <w:pPr>
        <w:pStyle w:val="Heading2"/>
      </w:pPr>
      <w:bookmarkStart w:id="177" w:name="_Toc41488735"/>
      <w:bookmarkStart w:id="178" w:name="_Toc41551717"/>
      <w:bookmarkStart w:id="179" w:name="_Toc41553364"/>
      <w:bookmarkStart w:id="180" w:name="_Toc41557149"/>
      <w:bookmarkStart w:id="181" w:name="_Toc41557833"/>
      <w:r>
        <w:rPr>
          <w:rStyle w:val="CharPartNo"/>
        </w:rPr>
        <w:t>Part 14</w:t>
      </w:r>
      <w:r>
        <w:t> — </w:t>
      </w:r>
      <w:r>
        <w:rPr>
          <w:rStyle w:val="CharPartText"/>
        </w:rPr>
        <w:t>If you need a litigation guardian</w:t>
      </w:r>
      <w:bookmarkEnd w:id="177"/>
      <w:bookmarkEnd w:id="178"/>
      <w:bookmarkEnd w:id="179"/>
      <w:bookmarkEnd w:id="180"/>
      <w:bookmarkEnd w:id="181"/>
    </w:p>
    <w:p>
      <w:pPr>
        <w:pStyle w:val="Heading5"/>
      </w:pPr>
      <w:bookmarkStart w:id="182" w:name="_Toc41557834"/>
      <w:r>
        <w:rPr>
          <w:rStyle w:val="CharSectno"/>
        </w:rPr>
        <w:t>69</w:t>
      </w:r>
      <w:r>
        <w:t>.</w:t>
      </w:r>
      <w:r>
        <w:tab/>
        <w:t>Terms used</w:t>
      </w:r>
      <w:bookmarkEnd w:id="182"/>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83" w:name="_Toc41557835"/>
      <w:r>
        <w:rPr>
          <w:rStyle w:val="CharSectno"/>
        </w:rPr>
        <w:t>70</w:t>
      </w:r>
      <w:r>
        <w:t>.</w:t>
      </w:r>
      <w:r>
        <w:tab/>
        <w:t>When this Part applies</w:t>
      </w:r>
      <w:bookmarkEnd w:id="183"/>
    </w:p>
    <w:p>
      <w:pPr>
        <w:pStyle w:val="Subsection"/>
      </w:pPr>
      <w:r>
        <w:tab/>
      </w:r>
      <w:r>
        <w:tab/>
        <w:t>This Part applies if you are a person under a legal disability and you are, or intend to be, a party to a case.</w:t>
      </w:r>
    </w:p>
    <w:p>
      <w:pPr>
        <w:pStyle w:val="Heading5"/>
      </w:pPr>
      <w:bookmarkStart w:id="184" w:name="_Toc41557836"/>
      <w:r>
        <w:rPr>
          <w:rStyle w:val="CharSectno"/>
        </w:rPr>
        <w:t>71</w:t>
      </w:r>
      <w:r>
        <w:t>.</w:t>
      </w:r>
      <w:r>
        <w:tab/>
        <w:t>If you are a represented person</w:t>
      </w:r>
      <w:bookmarkEnd w:id="184"/>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185" w:name="_Toc41557837"/>
      <w:r>
        <w:rPr>
          <w:rStyle w:val="CharSectno"/>
        </w:rPr>
        <w:t>72</w:t>
      </w:r>
      <w:r>
        <w:t>.</w:t>
      </w:r>
      <w:r>
        <w:tab/>
        <w:t>Affidavit your litigation guardian must lodge and serve if you are a represented person</w:t>
      </w:r>
      <w:bookmarkEnd w:id="185"/>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186" w:name="_Toc41557838"/>
      <w:r>
        <w:rPr>
          <w:rStyle w:val="CharSectno"/>
        </w:rPr>
        <w:t>73</w:t>
      </w:r>
      <w:r>
        <w:t>.</w:t>
      </w:r>
      <w:r>
        <w:tab/>
        <w:t>If you are a child</w:t>
      </w:r>
      <w:bookmarkEnd w:id="186"/>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187" w:name="_Toc41557839"/>
      <w:r>
        <w:rPr>
          <w:rStyle w:val="CharSectno"/>
        </w:rPr>
        <w:t>74</w:t>
      </w:r>
      <w:r>
        <w:t>.</w:t>
      </w:r>
      <w:r>
        <w:tab/>
        <w:t>Affidavits your litigation guardian must lodge and serve if you are a child</w:t>
      </w:r>
      <w:bookmarkEnd w:id="187"/>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188" w:name="_Toc41557840"/>
      <w:r>
        <w:rPr>
          <w:rStyle w:val="CharSectno"/>
        </w:rPr>
        <w:t>75</w:t>
      </w:r>
      <w:r>
        <w:t>.</w:t>
      </w:r>
      <w:r>
        <w:tab/>
        <w:t>Person may apply to be appointed your litigation guardian</w:t>
      </w:r>
      <w:bookmarkEnd w:id="188"/>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189" w:name="_Toc41488743"/>
      <w:bookmarkStart w:id="190" w:name="_Toc41551725"/>
      <w:bookmarkStart w:id="191" w:name="_Toc41553372"/>
      <w:bookmarkStart w:id="192" w:name="_Toc41557157"/>
      <w:bookmarkStart w:id="193" w:name="_Toc41557841"/>
      <w:r>
        <w:rPr>
          <w:rStyle w:val="CharPartNo"/>
        </w:rPr>
        <w:t>Part 15</w:t>
      </w:r>
      <w:r>
        <w:rPr>
          <w:rStyle w:val="CharDivNo"/>
        </w:rPr>
        <w:t> </w:t>
      </w:r>
      <w:r>
        <w:t>—</w:t>
      </w:r>
      <w:r>
        <w:rPr>
          <w:rStyle w:val="CharDivText"/>
        </w:rPr>
        <w:t> </w:t>
      </w:r>
      <w:r>
        <w:rPr>
          <w:rStyle w:val="CharPartText"/>
        </w:rPr>
        <w:t>Miscellaneous</w:t>
      </w:r>
      <w:bookmarkEnd w:id="189"/>
      <w:bookmarkEnd w:id="190"/>
      <w:bookmarkEnd w:id="191"/>
      <w:bookmarkEnd w:id="192"/>
      <w:bookmarkEnd w:id="193"/>
    </w:p>
    <w:p>
      <w:pPr>
        <w:pStyle w:val="Heading5"/>
      </w:pPr>
      <w:bookmarkStart w:id="194" w:name="_Toc41557842"/>
      <w:r>
        <w:rPr>
          <w:rStyle w:val="CharSectno"/>
        </w:rPr>
        <w:t>76A</w:t>
      </w:r>
      <w:r>
        <w:t>.</w:t>
      </w:r>
      <w:r>
        <w:tab/>
        <w:t xml:space="preserve">If you are making an application under the </w:t>
      </w:r>
      <w:r>
        <w:rPr>
          <w:i/>
          <w:iCs/>
        </w:rPr>
        <w:t>Residential Tenancies Act 1987</w:t>
      </w:r>
      <w:bookmarkEnd w:id="194"/>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Gazette 3 Jun 2008 p. 2148.]</w:t>
      </w:r>
    </w:p>
    <w:p>
      <w:pPr>
        <w:pStyle w:val="Heading5"/>
      </w:pPr>
      <w:bookmarkStart w:id="195" w:name="_Toc41557843"/>
      <w:r>
        <w:rPr>
          <w:rStyle w:val="CharSectno"/>
        </w:rPr>
        <w:t>76B</w:t>
      </w:r>
      <w:r>
        <w:t>.</w:t>
      </w:r>
      <w:r>
        <w:tab/>
        <w:t>If you want to change venues</w:t>
      </w:r>
      <w:bookmarkEnd w:id="195"/>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Gazette 3 Jun 2008 p. 2148.]</w:t>
      </w:r>
    </w:p>
    <w:p>
      <w:pPr>
        <w:pStyle w:val="Heading5"/>
      </w:pPr>
      <w:bookmarkStart w:id="196" w:name="_Toc41557844"/>
      <w:r>
        <w:rPr>
          <w:rStyle w:val="CharSectno"/>
        </w:rPr>
        <w:t>76C</w:t>
      </w:r>
      <w:r>
        <w:t>.</w:t>
      </w:r>
      <w:r>
        <w:tab/>
        <w:t>If you want to correct typographical and other errors</w:t>
      </w:r>
      <w:bookmarkEnd w:id="196"/>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Gazette 3 Jun 2008 p. 2148.]</w:t>
      </w:r>
    </w:p>
    <w:p>
      <w:pPr>
        <w:pStyle w:val="Heading5"/>
      </w:pPr>
      <w:bookmarkStart w:id="197" w:name="_Toc41557845"/>
      <w:r>
        <w:rPr>
          <w:rStyle w:val="CharSectno"/>
        </w:rPr>
        <w:t>76</w:t>
      </w:r>
      <w:r>
        <w:t>.</w:t>
      </w:r>
      <w:r>
        <w:tab/>
        <w:t>You may discontinue claim</w:t>
      </w:r>
      <w:bookmarkEnd w:id="197"/>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Gazette 21 Jul 2017 p. 4027.]</w:t>
      </w:r>
    </w:p>
    <w:p>
      <w:pPr>
        <w:pStyle w:val="Heading5"/>
      </w:pPr>
      <w:bookmarkStart w:id="198" w:name="_Toc41557846"/>
      <w:r>
        <w:rPr>
          <w:rStyle w:val="CharSectno"/>
        </w:rPr>
        <w:t>77</w:t>
      </w:r>
      <w:r>
        <w:t>.</w:t>
      </w:r>
      <w:r>
        <w:tab/>
        <w:t>Availability of forms</w:t>
      </w:r>
      <w:bookmarkEnd w:id="198"/>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199" w:name="_Toc41557847"/>
      <w:r>
        <w:rPr>
          <w:rStyle w:val="CharSectno"/>
        </w:rPr>
        <w:t>78</w:t>
      </w:r>
      <w:r>
        <w:t>.</w:t>
      </w:r>
      <w:r>
        <w:tab/>
        <w:t>Partnership name may be used</w:t>
      </w:r>
      <w:bookmarkEnd w:id="199"/>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Gazette 3 Jun 2008 p. 2149.]</w:t>
      </w:r>
    </w:p>
    <w:p>
      <w:pPr>
        <w:pStyle w:val="Heading5"/>
      </w:pPr>
      <w:bookmarkStart w:id="200" w:name="_Toc41557848"/>
      <w:r>
        <w:rPr>
          <w:rStyle w:val="CharSectno"/>
        </w:rPr>
        <w:t>79</w:t>
      </w:r>
      <w:r>
        <w:t>.</w:t>
      </w:r>
      <w:r>
        <w:tab/>
        <w:t>When you are required to do things personally and you are not an individual</w:t>
      </w:r>
      <w:bookmarkEnd w:id="200"/>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Gazette 24 Aug 2007 p. 4334.]</w:t>
      </w:r>
    </w:p>
    <w:p>
      <w:pPr>
        <w:pStyle w:val="Heading5"/>
      </w:pPr>
      <w:bookmarkStart w:id="201" w:name="_Toc41557849"/>
      <w:r>
        <w:rPr>
          <w:rStyle w:val="CharSectno"/>
        </w:rPr>
        <w:t>80</w:t>
      </w:r>
      <w:r>
        <w:t>.</w:t>
      </w:r>
      <w:r>
        <w:tab/>
        <w:t>Payments into Court</w:t>
      </w:r>
      <w:bookmarkEnd w:id="201"/>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202" w:name="_Toc41557850"/>
      <w:r>
        <w:rPr>
          <w:rStyle w:val="CharSectno"/>
        </w:rPr>
        <w:t>81</w:t>
      </w:r>
      <w:r>
        <w:t>.</w:t>
      </w:r>
      <w:r>
        <w:tab/>
        <w:t xml:space="preserve">Registrar’s powers under the </w:t>
      </w:r>
      <w:r>
        <w:rPr>
          <w:rStyle w:val="CharPartText"/>
          <w:i/>
          <w:iCs/>
        </w:rPr>
        <w:t>Civil Judgments Enforcement Act 2004</w:t>
      </w:r>
      <w:bookmarkEnd w:id="202"/>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pStyle w:val="Heading2"/>
      </w:pPr>
      <w:bookmarkStart w:id="203" w:name="_Toc41551735"/>
      <w:bookmarkStart w:id="204" w:name="_Toc41553382"/>
      <w:bookmarkStart w:id="205" w:name="_Toc41557167"/>
      <w:bookmarkStart w:id="206" w:name="_Toc41557851"/>
      <w:r>
        <w:rPr>
          <w:rStyle w:val="CharPartNo"/>
        </w:rPr>
        <w:t>Part 16</w:t>
      </w:r>
      <w:r>
        <w:rPr>
          <w:rStyle w:val="CharDivNo"/>
        </w:rPr>
        <w:t> </w:t>
      </w:r>
      <w:r>
        <w:t>—</w:t>
      </w:r>
      <w:r>
        <w:rPr>
          <w:rStyle w:val="CharDivText"/>
        </w:rPr>
        <w:t> </w:t>
      </w:r>
      <w:r>
        <w:rPr>
          <w:rStyle w:val="CharPartText"/>
        </w:rPr>
        <w:t xml:space="preserve">Transitional rules for the </w:t>
      </w:r>
      <w:r>
        <w:rPr>
          <w:rStyle w:val="CharPartText"/>
          <w:i/>
        </w:rPr>
        <w:t>Magistrates Court Rules Amendment Rules 2020</w:t>
      </w:r>
      <w:bookmarkEnd w:id="203"/>
      <w:bookmarkEnd w:id="204"/>
      <w:bookmarkEnd w:id="205"/>
      <w:bookmarkEnd w:id="206"/>
    </w:p>
    <w:p>
      <w:pPr>
        <w:pStyle w:val="Footnoteheading"/>
      </w:pPr>
      <w:r>
        <w:tab/>
        <w:t>[Heading inserted: SL 2020/67 r. 66.]</w:t>
      </w:r>
    </w:p>
    <w:p>
      <w:pPr>
        <w:pStyle w:val="Heading5"/>
      </w:pPr>
      <w:bookmarkStart w:id="207" w:name="_Toc41557852"/>
      <w:r>
        <w:rPr>
          <w:rStyle w:val="CharSectno"/>
        </w:rPr>
        <w:t>82</w:t>
      </w:r>
      <w:r>
        <w:t>.</w:t>
      </w:r>
      <w:r>
        <w:tab/>
        <w:t>Terms used in this Part</w:t>
      </w:r>
      <w:bookmarkEnd w:id="207"/>
    </w:p>
    <w:p>
      <w:pPr>
        <w:pStyle w:val="Subsection"/>
      </w:pPr>
      <w:r>
        <w:tab/>
      </w:r>
      <w:r>
        <w:tab/>
        <w:t xml:space="preserve">In this Part — </w:t>
      </w:r>
    </w:p>
    <w:p>
      <w:pPr>
        <w:pStyle w:val="Defstart"/>
      </w:pPr>
      <w:r>
        <w:tab/>
      </w:r>
      <w:r>
        <w:rPr>
          <w:rStyle w:val="CharDefText"/>
        </w:rPr>
        <w:t>amended Rules</w:t>
      </w:r>
      <w:r>
        <w:t xml:space="preserve"> means the </w:t>
      </w:r>
      <w:r>
        <w:rPr>
          <w:i/>
        </w:rPr>
        <w:t>Magistrates Court (Minor Cases Procedure)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(Minor Cases Procedure)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82 inserted: SL 2020/67 r. 66.]</w:t>
      </w:r>
    </w:p>
    <w:p>
      <w:pPr>
        <w:pStyle w:val="Heading5"/>
      </w:pPr>
      <w:bookmarkStart w:id="208" w:name="_Toc41557853"/>
      <w:r>
        <w:rPr>
          <w:rStyle w:val="CharSectno"/>
        </w:rPr>
        <w:t>83</w:t>
      </w:r>
      <w:r>
        <w:t>.</w:t>
      </w:r>
      <w:r>
        <w:tab/>
        <w:t>Application of amended Rules in relation to transitional cases</w:t>
      </w:r>
      <w:bookmarkEnd w:id="208"/>
    </w:p>
    <w:p>
      <w:pPr>
        <w:pStyle w:val="Subsection"/>
      </w:pPr>
      <w:r>
        <w:tab/>
        <w:t>(1)</w:t>
      </w:r>
      <w:r>
        <w:tab/>
        <w:t>Subject to rule 84,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86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83 inserted: SL 2020/67 r. 66.]</w:t>
      </w:r>
    </w:p>
    <w:p>
      <w:pPr>
        <w:pStyle w:val="Heading5"/>
      </w:pPr>
      <w:bookmarkStart w:id="209" w:name="_Toc41557854"/>
      <w:r>
        <w:rPr>
          <w:rStyle w:val="CharSectno"/>
        </w:rPr>
        <w:t>84</w:t>
      </w:r>
      <w:r>
        <w:t>.</w:t>
      </w:r>
      <w:r>
        <w:tab/>
        <w:t>Application of former Rules in relation to certain transitional cases</w:t>
      </w:r>
      <w:bookmarkEnd w:id="209"/>
    </w:p>
    <w:p>
      <w:pPr>
        <w:pStyle w:val="Subsection"/>
      </w:pPr>
      <w:r>
        <w:tab/>
        <w:t>(1)</w:t>
      </w:r>
      <w:r>
        <w:tab/>
        <w:t xml:space="preserve">This rule applies to a transitional case if — </w:t>
      </w:r>
    </w:p>
    <w:p>
      <w:pPr>
        <w:pStyle w:val="Indenta"/>
      </w:pPr>
      <w:r>
        <w:tab/>
        <w:t>(a)</w:t>
      </w:r>
      <w:r>
        <w:tab/>
        <w:t xml:space="preserve">under the former Rules Parts 2 and 3,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86; or</w:t>
      </w:r>
    </w:p>
    <w:p>
      <w:pPr>
        <w:pStyle w:val="Indenta"/>
      </w:pPr>
      <w:r>
        <w:tab/>
        <w:t>(b)</w:t>
      </w:r>
      <w:r>
        <w:tab/>
        <w:t>the case is concluded.</w:t>
      </w:r>
    </w:p>
    <w:p>
      <w:pPr>
        <w:pStyle w:val="Footnotesection"/>
      </w:pPr>
      <w:r>
        <w:tab/>
        <w:t>[Rule 84 inserted: SL 2020/67 r. 66.]</w:t>
      </w:r>
    </w:p>
    <w:p>
      <w:pPr>
        <w:pStyle w:val="Heading5"/>
      </w:pPr>
      <w:bookmarkStart w:id="210" w:name="_Toc41557855"/>
      <w:r>
        <w:rPr>
          <w:rStyle w:val="CharSectno"/>
        </w:rPr>
        <w:t>85</w:t>
      </w:r>
      <w:r>
        <w:t>.</w:t>
      </w:r>
      <w:r>
        <w:tab/>
        <w:t>Listing transitional cases for a status conference</w:t>
      </w:r>
      <w:bookmarkEnd w:id="210"/>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85 inserted: SL 2020/67 r. 66.]</w:t>
      </w:r>
    </w:p>
    <w:p>
      <w:pPr>
        <w:pStyle w:val="Heading5"/>
      </w:pPr>
      <w:bookmarkStart w:id="211" w:name="_Toc41557856"/>
      <w:r>
        <w:rPr>
          <w:rStyle w:val="CharSectno"/>
        </w:rPr>
        <w:t>86</w:t>
      </w:r>
      <w:r>
        <w:t>.</w:t>
      </w:r>
      <w:r>
        <w:tab/>
        <w:t>Court or registrar may give directions in relation to transitional issues</w:t>
      </w:r>
      <w:bookmarkEnd w:id="211"/>
    </w:p>
    <w:p>
      <w:pPr>
        <w:pStyle w:val="Subsection"/>
      </w:pPr>
      <w:r>
        <w:tab/>
        <w:t>(1)</w:t>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86 inserted: SL 2020/67 r. 66.]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2" w:name="_Toc41551741"/>
      <w:bookmarkStart w:id="213" w:name="_Toc41553388"/>
      <w:bookmarkStart w:id="214" w:name="_Toc41557173"/>
      <w:bookmarkStart w:id="215" w:name="_Toc41557857"/>
      <w:bookmarkStart w:id="216" w:name="_Toc41488755"/>
      <w:r>
        <w:t>Notes</w:t>
      </w:r>
      <w:bookmarkEnd w:id="212"/>
      <w:bookmarkEnd w:id="213"/>
      <w:bookmarkEnd w:id="214"/>
      <w:bookmarkEnd w:id="215"/>
    </w:p>
    <w:p>
      <w:pPr>
        <w:pStyle w:val="nStatement"/>
      </w:pPr>
      <w:r>
        <w:t xml:space="preserve">This is a compilation of the </w:t>
      </w:r>
      <w:r>
        <w:rPr>
          <w:i/>
          <w:noProof/>
        </w:rPr>
        <w:t>Magistrates Court (Minor Cases Procedure) Rules 2005</w:t>
      </w:r>
      <w:r>
        <w:t xml:space="preserve"> and includes amendments made by other written laws. For provisions that have come into operation, and for information about any reprints, see the compilation table.</w:t>
      </w:r>
    </w:p>
    <w:p>
      <w:pPr>
        <w:pStyle w:val="nHeading3"/>
      </w:pPr>
      <w:bookmarkStart w:id="217" w:name="_Toc41557858"/>
      <w:r>
        <w:t>Compilation table</w:t>
      </w:r>
      <w:bookmarkEnd w:id="2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(Minor Cases Procedure) Rules 2005</w:t>
            </w:r>
            <w:r>
              <w:rPr>
                <w:b/>
                <w:bCs/>
                <w:snapToGrid w:val="0"/>
              </w:rPr>
              <w:t xml:space="preserve"> as at 14 Nov 2008 </w:t>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bCs/>
                <w:snapToGrid w:val="0"/>
                <w:spacing w:val="-2"/>
              </w:rPr>
              <w:t>r. 1 and 2: 3 May 2016 (see r. 2(a));</w:t>
            </w:r>
            <w:r>
              <w:rPr>
                <w:bCs/>
                <w:snapToGrid w:val="0"/>
                <w:spacing w:val="-2"/>
              </w:rPr>
              <w:br/>
              <w:t>Rules other than r. 1 and 2: 4 May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bCs/>
                <w:snapToGrid w:val="0"/>
                <w:spacing w:val="-2"/>
              </w:rPr>
            </w:pPr>
            <w:r>
              <w:rPr>
                <w:bCs/>
                <w:snapToGrid w:val="0"/>
                <w:spacing w:val="-2"/>
              </w:rPr>
              <w:t>r. 1 and 2: 30 Sep 2016 (see r. 2(a));</w:t>
            </w:r>
            <w:r>
              <w:rPr>
                <w:bCs/>
                <w:snapToGrid w:val="0"/>
                <w:spacing w:val="-2"/>
              </w:rPr>
              <w:br/>
              <w:t>Rules other than r. 1 and 2: 1 Oct 2016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Magistrates Court (Minor Cases Procedure) Rules 2005</w:t>
            </w:r>
            <w:r>
              <w:rPr>
                <w:b/>
                <w:bCs/>
                <w:snapToGrid w:val="0"/>
                <w:spacing w:val="-2"/>
              </w:rPr>
              <w:t xml:space="preserve"> as at 12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bCs/>
                <w:snapToGrid w:val="0"/>
                <w:spacing w:val="-2"/>
              </w:rPr>
            </w:pPr>
            <w:r>
              <w:rPr>
                <w:bCs/>
                <w:snapToGrid w:val="0"/>
                <w:spacing w:val="-2"/>
              </w:rPr>
              <w:t>22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Rules Amendment Rules 2018</w:t>
            </w:r>
            <w:r>
              <w:t xml:space="preserve"> Pt. 3</w:t>
            </w:r>
          </w:p>
        </w:tc>
        <w:tc>
          <w:tcPr>
            <w:tcW w:w="1276" w:type="dxa"/>
          </w:tcPr>
          <w:p>
            <w:pPr>
              <w:pStyle w:val="nTable"/>
              <w:keepNext/>
              <w:spacing w:after="40"/>
            </w:pPr>
            <w:r>
              <w:t>18 Sep 2018 p. 3515</w:t>
            </w:r>
            <w:r>
              <w:noBreakHyphen/>
              <w:t>16</w:t>
            </w:r>
          </w:p>
        </w:tc>
        <w:tc>
          <w:tcPr>
            <w:tcW w:w="2693" w:type="dxa"/>
          </w:tcPr>
          <w:p>
            <w:pPr>
              <w:pStyle w:val="nTable"/>
              <w:keepNext/>
              <w:spacing w:after="40"/>
              <w:rPr>
                <w:bCs/>
                <w:snapToGrid w:val="0"/>
                <w:spacing w:val="-2"/>
              </w:rPr>
            </w:pPr>
            <w:r>
              <w:rPr>
                <w:bCs/>
                <w:snapToGrid w:val="0"/>
                <w:spacing w:val="-2"/>
              </w:rPr>
              <w:t>19 Sep 2018 (see r. 2(b))</w:t>
            </w:r>
          </w:p>
        </w:tc>
      </w:tr>
      <w:tr>
        <w:tc>
          <w:tcPr>
            <w:tcW w:w="3118" w:type="dxa"/>
            <w:tcBorders>
              <w:top w:val="nil"/>
              <w:bottom w:val="nil"/>
            </w:tcBorders>
          </w:tcPr>
          <w:p>
            <w:pPr>
              <w:pStyle w:val="nTable"/>
              <w:spacing w:after="40"/>
              <w:rPr>
                <w:i/>
              </w:rPr>
            </w:pPr>
            <w:r>
              <w:rPr>
                <w:i/>
              </w:rPr>
              <w:t>Magistrates Court Rules Amendment (Inactive Cases) Rules 2019</w:t>
            </w:r>
            <w:r>
              <w:t xml:space="preserve"> Pt. 3</w:t>
            </w:r>
          </w:p>
        </w:tc>
        <w:tc>
          <w:tcPr>
            <w:tcW w:w="1276" w:type="dxa"/>
            <w:tcBorders>
              <w:top w:val="nil"/>
              <w:bottom w:val="nil"/>
            </w:tcBorders>
          </w:tcPr>
          <w:p>
            <w:pPr>
              <w:pStyle w:val="nTable"/>
              <w:keepNext/>
              <w:spacing w:after="40"/>
            </w:pPr>
            <w:r>
              <w:t>5 Apr 2019 p. 1012</w:t>
            </w:r>
            <w:r>
              <w:noBreakHyphen/>
              <w:t>16</w:t>
            </w:r>
          </w:p>
        </w:tc>
        <w:tc>
          <w:tcPr>
            <w:tcW w:w="2693" w:type="dxa"/>
            <w:tcBorders>
              <w:top w:val="nil"/>
              <w:bottom w:val="nil"/>
            </w:tcBorders>
          </w:tcPr>
          <w:p>
            <w:pPr>
              <w:pStyle w:val="nTable"/>
              <w:keepNext/>
              <w:spacing w:after="40"/>
              <w:rPr>
                <w:bCs/>
                <w:snapToGrid w:val="0"/>
                <w:spacing w:val="-2"/>
              </w:rPr>
            </w:pPr>
            <w:r>
              <w:rPr>
                <w:bCs/>
                <w:snapToGrid w:val="0"/>
                <w:spacing w:val="-2"/>
              </w:rPr>
              <w:t>6 Apr 2019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Magistrates Court Rules Amendment Rules 2020</w:t>
            </w:r>
            <w:r>
              <w:t xml:space="preserve"> Pt. 3</w:t>
            </w:r>
          </w:p>
        </w:tc>
        <w:tc>
          <w:tcPr>
            <w:tcW w:w="1276" w:type="dxa"/>
            <w:tcBorders>
              <w:bottom w:val="single" w:sz="4" w:space="0" w:color="auto"/>
            </w:tcBorders>
          </w:tcPr>
          <w:p>
            <w:pPr>
              <w:pStyle w:val="nTable"/>
              <w:keepNext/>
              <w:spacing w:after="40"/>
            </w:pPr>
            <w:r>
              <w:t>SL 2020/67 28 May 2020</w:t>
            </w:r>
          </w:p>
        </w:tc>
        <w:tc>
          <w:tcPr>
            <w:tcW w:w="2693" w:type="dxa"/>
            <w:tcBorders>
              <w:bottom w:val="single" w:sz="4" w:space="0" w:color="auto"/>
            </w:tcBorders>
          </w:tcPr>
          <w:p>
            <w:pPr>
              <w:pStyle w:val="nTable"/>
              <w:keepNext/>
              <w:spacing w:after="40"/>
              <w:rPr>
                <w:bCs/>
                <w:snapToGrid w:val="0"/>
                <w:spacing w:val="-2"/>
              </w:rPr>
            </w:pPr>
            <w:r>
              <w:rPr>
                <w:bCs/>
                <w:snapToGrid w:val="0"/>
                <w:spacing w:val="-2"/>
              </w:rPr>
              <w:t>1 Jun 2020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219" w:name="_Toc41557175"/>
      <w:bookmarkStart w:id="220" w:name="_Toc41557859"/>
      <w:bookmarkEnd w:id="216"/>
      <w:r>
        <w:rPr>
          <w:sz w:val="28"/>
        </w:rPr>
        <w:t>Defined terms</w:t>
      </w:r>
      <w:bookmarkEnd w:id="219"/>
      <w:bookmarkEnd w:id="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administrative staff member</w:t>
      </w:r>
      <w:r>
        <w:tab/>
        <w:t>4</w:t>
      </w:r>
    </w:p>
    <w:p>
      <w:pPr>
        <w:pStyle w:val="DefinedTerms"/>
      </w:pPr>
      <w:r>
        <w:t>agent</w:t>
      </w:r>
      <w:r>
        <w:tab/>
        <w:t>4</w:t>
      </w:r>
    </w:p>
    <w:p>
      <w:pPr>
        <w:pStyle w:val="DefinedTerms"/>
      </w:pPr>
      <w:r>
        <w:t>amended Rules</w:t>
      </w:r>
      <w:r>
        <w:tab/>
        <w:t>82</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commencement day</w:t>
      </w:r>
      <w:r>
        <w:tab/>
        <w:t>82</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departmental officer</w:t>
      </w:r>
      <w:r>
        <w:tab/>
        <w:t>4</w:t>
      </w:r>
    </w:p>
    <w:p>
      <w:pPr>
        <w:pStyle w:val="DefinedTerms"/>
      </w:pPr>
      <w:r>
        <w:t>enforcement officer</w:t>
      </w:r>
      <w:r>
        <w:tab/>
        <w:t>4</w:t>
      </w:r>
    </w:p>
    <w:p>
      <w:pPr>
        <w:pStyle w:val="DefinedTerms"/>
      </w:pPr>
      <w:r>
        <w:t>former Rules</w:t>
      </w:r>
      <w:r>
        <w:tab/>
        <w:t>82</w:t>
      </w:r>
    </w:p>
    <w:p>
      <w:pPr>
        <w:pStyle w:val="DefinedTerms"/>
      </w:pPr>
      <w:r>
        <w:t>inactive case</w:t>
      </w:r>
      <w:r>
        <w:tab/>
        <w:t>45A</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third party</w:t>
      </w:r>
      <w:r>
        <w:tab/>
        <w:t>4</w:t>
      </w:r>
    </w:p>
    <w:p>
      <w:pPr>
        <w:pStyle w:val="DefinedTerms"/>
      </w:pPr>
      <w:r>
        <w:t>third party claim</w:t>
      </w:r>
      <w:r>
        <w:tab/>
        <w:t>4</w:t>
      </w:r>
    </w:p>
    <w:p>
      <w:pPr>
        <w:pStyle w:val="DefinedTerms"/>
      </w:pPr>
      <w:r>
        <w:t>transitional case</w:t>
      </w:r>
      <w:r>
        <w:tab/>
        <w:t>82</w:t>
      </w:r>
    </w:p>
    <w:p>
      <w:pPr>
        <w:pStyle w:val="DefinedTerms"/>
      </w:pPr>
      <w:r>
        <w:t>working day</w:t>
      </w:r>
      <w:r>
        <w:tab/>
        <w:t>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1" w:name="DefinedTerms"/>
    <w:bookmarkEnd w:id="2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2" w:name="Coversheet"/>
    <w:bookmarkEnd w:id="2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lvlText w:val="%1."/>
      <w:lvlJc w:val="left"/>
      <w:pPr>
        <w:tabs>
          <w:tab w:val="num" w:pos="1492"/>
        </w:tabs>
        <w:ind w:left="1492" w:hanging="360"/>
      </w:pPr>
    </w:lvl>
  </w:abstractNum>
  <w:abstractNum w:abstractNumId="1">
    <w:nsid w:val="FFFFFF7D"/>
    <w:multiLevelType w:val="singleLevel"/>
    <w:tmpl w:val="EFF0913C"/>
    <w:lvl w:ilvl="0">
      <w:start w:val="1"/>
      <w:numFmt w:val="decimal"/>
      <w:lvlText w:val="%1."/>
      <w:lvlJc w:val="left"/>
      <w:pPr>
        <w:tabs>
          <w:tab w:val="num" w:pos="1209"/>
        </w:tabs>
        <w:ind w:left="1209" w:hanging="360"/>
      </w:pPr>
    </w:lvl>
  </w:abstractNum>
  <w:abstractNum w:abstractNumId="2">
    <w:nsid w:val="FFFFFF7E"/>
    <w:multiLevelType w:val="singleLevel"/>
    <w:tmpl w:val="E4C032EC"/>
    <w:lvl w:ilvl="0">
      <w:start w:val="1"/>
      <w:numFmt w:val="decimal"/>
      <w:lvlText w:val="%1."/>
      <w:lvlJc w:val="left"/>
      <w:pPr>
        <w:tabs>
          <w:tab w:val="num" w:pos="926"/>
        </w:tabs>
        <w:ind w:left="926" w:hanging="360"/>
      </w:pPr>
    </w:lvl>
  </w:abstractNum>
  <w:abstractNum w:abstractNumId="3">
    <w:nsid w:val="FFFFFF7F"/>
    <w:multiLevelType w:val="singleLevel"/>
    <w:tmpl w:val="92D437E6"/>
    <w:lvl w:ilvl="0">
      <w:start w:val="1"/>
      <w:numFmt w:val="decimal"/>
      <w:lvlText w:val="%1."/>
      <w:lvlJc w:val="left"/>
      <w:pPr>
        <w:tabs>
          <w:tab w:val="num" w:pos="643"/>
        </w:tabs>
        <w:ind w:left="643" w:hanging="360"/>
      </w:pPr>
    </w:lvl>
  </w:abstractNum>
  <w:abstractNum w:abstractNumId="4">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lvlText w:val="%1."/>
      <w:lvlJc w:val="left"/>
      <w:pPr>
        <w:tabs>
          <w:tab w:val="num" w:pos="360"/>
        </w:tabs>
        <w:ind w:left="360" w:hanging="360"/>
      </w:pPr>
    </w:lvl>
  </w:abstractNum>
  <w:abstractNum w:abstractNumId="9">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7161548"/>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 w:name="WAFER_20200527161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7161548_GUID" w:val="20b7a835-2c86-42a1-aae2-2debc61de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3A1C-B268-4F04-A829-DA2FC9D9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12244</Words>
  <Characters>55591</Characters>
  <Application>Microsoft Office Word</Application>
  <DocSecurity>0</DocSecurity>
  <Lines>1635</Lines>
  <Paragraphs>1076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2005 - 02-e0-00</dc:title>
  <dc:subject/>
  <dc:creator/>
  <cp:keywords/>
  <dc:description/>
  <cp:lastModifiedBy>svcMRProcess</cp:lastModifiedBy>
  <cp:revision>4</cp:revision>
  <cp:lastPrinted>2017-05-02T07:15:00Z</cp:lastPrinted>
  <dcterms:created xsi:type="dcterms:W3CDTF">2020-05-28T06:24:00Z</dcterms:created>
  <dcterms:modified xsi:type="dcterms:W3CDTF">2020-05-28T06:24:00Z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01 Jun 2020</vt:lpwstr>
  </property>
  <property fmtid="{D5CDD505-2E9C-101B-9397-08002B2CF9AE}" pid="8" name="Suffix">
    <vt:lpwstr>02-e0-00</vt:lpwstr>
  </property>
  <property fmtid="{D5CDD505-2E9C-101B-9397-08002B2CF9AE}" pid="9" name="CommencementDate">
    <vt:lpwstr>20200601</vt:lpwstr>
  </property>
</Properties>
</file>