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_Toc42181707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_Toc42181708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_Toc42181709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_Toc42181710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_Toc42181711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_Toc42181712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_Toc42181713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_Toc42181714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_Toc42181715 \h </w:instrText>
      </w:r>
      <w:r>
        <w:fldChar w:fldCharType="separate"/>
      </w:r>
      <w:r>
        <w:t>5</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_Toc42181716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_Toc42181717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_Toc42181718 \h </w:instrText>
      </w:r>
      <w:r>
        <w:fldChar w:fldCharType="separate"/>
      </w:r>
      <w:r>
        <w:t>7</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_Toc42181719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_Toc42181720 \h </w:instrText>
      </w:r>
      <w:r>
        <w:fldChar w:fldCharType="separate"/>
      </w:r>
      <w:r>
        <w:t>8</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_Toc42181721 \h </w:instrText>
      </w:r>
      <w:r>
        <w:fldChar w:fldCharType="separate"/>
      </w:r>
      <w:r>
        <w:t>8</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_Toc42181722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_Toc42181723 \h </w:instrText>
      </w:r>
      <w:r>
        <w:fldChar w:fldCharType="separate"/>
      </w:r>
      <w:r>
        <w:t>9</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_Toc42181724 \h </w:instrText>
      </w:r>
      <w:r>
        <w:fldChar w:fldCharType="separate"/>
      </w:r>
      <w:r>
        <w:t>10</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_Toc42181725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_Toc42181726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_Toc42181727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_Toc42181728 \h </w:instrText>
      </w:r>
      <w:r>
        <w:fldChar w:fldCharType="separate"/>
      </w:r>
      <w:r>
        <w:t>11</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_Toc42181729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tab/>
        <w:t>Duration of approval to breed cats (s. 37(6))</w:t>
      </w:r>
      <w:r>
        <w:tab/>
      </w:r>
      <w:r>
        <w:fldChar w:fldCharType="begin"/>
      </w:r>
      <w:r>
        <w:instrText xml:space="preserve"> PAGEREF _Toc42181730 \h </w:instrText>
      </w:r>
      <w:r>
        <w:fldChar w:fldCharType="separate"/>
      </w:r>
      <w:r>
        <w:t>12</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_Toc42181731 \h </w:instrText>
      </w:r>
      <w:r>
        <w:fldChar w:fldCharType="separate"/>
      </w:r>
      <w:r>
        <w:t>12</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_Toc42181732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_Toc42181733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_Toc42181734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_Toc42181735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_Toc42181736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_Toc42181740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_Toc42181742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Cat Act 2011</w:t>
      </w:r>
    </w:p>
    <w:p>
      <w:pPr>
        <w:pStyle w:val="NameofActReg"/>
      </w:pPr>
      <w:r>
        <w:t>Cat Regulations 2012</w:t>
      </w:r>
    </w:p>
    <w:p>
      <w:pPr>
        <w:pStyle w:val="Heading5"/>
      </w:pPr>
      <w:bookmarkStart w:id="3" w:name="_Toc42181707"/>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w:t>
      </w:r>
      <w:r>
        <w:t>.</w:t>
      </w:r>
    </w:p>
    <w:p>
      <w:pPr>
        <w:pStyle w:val="Heading5"/>
      </w:pPr>
      <w:bookmarkStart w:id="5" w:name="_Toc42181708"/>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6" w:name="_Toc42181709"/>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42181710"/>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42181711"/>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42181712"/>
      <w:r>
        <w:rPr>
          <w:rStyle w:val="CharSectno"/>
        </w:rPr>
        <w:t>6</w:t>
      </w:r>
      <w:r>
        <w:t>.</w:t>
      </w:r>
      <w:r>
        <w:tab/>
        <w:t>Microchip database companies (s. 3(1))</w:t>
      </w:r>
      <w:bookmarkEnd w:id="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42181713"/>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 SL 2020/69 r. 4.]</w:t>
      </w:r>
    </w:p>
    <w:p>
      <w:pPr>
        <w:pStyle w:val="Heading5"/>
      </w:pPr>
      <w:bookmarkStart w:id="11" w:name="_Toc42181714"/>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42181715"/>
      <w:r>
        <w:rPr>
          <w:rStyle w:val="CharSectno"/>
        </w:rPr>
        <w:t>9</w:t>
      </w:r>
      <w:r>
        <w:t>.</w:t>
      </w:r>
      <w:r>
        <w:tab/>
        <w:t>Cats exempt from registration (s. 5(2)(c) and 9(2)(b))</w:t>
      </w:r>
      <w:bookmarkEnd w:id="12"/>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13" w:name="_Toc42181716"/>
      <w:r>
        <w:rPr>
          <w:rStyle w:val="CharSectno"/>
        </w:rPr>
        <w:t>10</w:t>
      </w:r>
      <w:r>
        <w:t>.</w:t>
      </w:r>
      <w:r>
        <w:tab/>
        <w:t>Cats exempt from wearing tag (s. 6(2))</w:t>
      </w:r>
      <w:bookmarkEnd w:id="13"/>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14" w:name="_Toc42181717"/>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5" w:name="_Toc42181718"/>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6" w:name="_Toc42181719"/>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42181720"/>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42181721"/>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42181722"/>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42181723"/>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42181724"/>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42181725"/>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42181726"/>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42181727"/>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25" w:name="_Toc42181728"/>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42181729"/>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27" w:name="_Toc42181730"/>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42181731"/>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42181732"/>
      <w:r>
        <w:rPr>
          <w:rStyle w:val="CharSectno"/>
        </w:rPr>
        <w:t>26</w:t>
      </w:r>
      <w:r>
        <w:t>.</w:t>
      </w:r>
      <w:r>
        <w:tab/>
        <w:t>Warrant (s. 58)</w:t>
      </w:r>
      <w:bookmarkEnd w:id="29"/>
    </w:p>
    <w:p>
      <w:pPr>
        <w:pStyle w:val="Subsection"/>
      </w:pPr>
      <w:r>
        <w:tab/>
      </w:r>
      <w:r>
        <w:tab/>
        <w:t>The form of a warrant is Form 5.</w:t>
      </w:r>
    </w:p>
    <w:p>
      <w:pPr>
        <w:pStyle w:val="Heading5"/>
      </w:pPr>
      <w:bookmarkStart w:id="30" w:name="_Toc42181733"/>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42181734"/>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42181735"/>
      <w:r>
        <w:rPr>
          <w:rStyle w:val="CharSectno"/>
        </w:rPr>
        <w:t>29</w:t>
      </w:r>
      <w:r>
        <w:t>.</w:t>
      </w:r>
      <w:r>
        <w:tab/>
        <w:t>Objection (s. 69(2))</w:t>
      </w:r>
      <w:bookmarkEnd w:id="32"/>
    </w:p>
    <w:p>
      <w:pPr>
        <w:pStyle w:val="Subsection"/>
      </w:pPr>
      <w:r>
        <w:tab/>
      </w:r>
      <w:r>
        <w:tab/>
        <w:t>The form of an objection is Form 8.</w:t>
      </w:r>
    </w:p>
    <w:p>
      <w:pPr>
        <w:pStyle w:val="Heading5"/>
      </w:pPr>
      <w:bookmarkStart w:id="33" w:name="_Toc42181736"/>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4" w:name="_Toc42164712"/>
      <w:bookmarkStart w:id="35" w:name="_Toc42165349"/>
      <w:bookmarkStart w:id="36" w:name="_Toc42181737"/>
      <w:r>
        <w:rPr>
          <w:rStyle w:val="CharSchNo"/>
        </w:rPr>
        <w:t>Schedule 1</w:t>
      </w:r>
      <w:r>
        <w:rPr>
          <w:rStyle w:val="CharSDivNo"/>
        </w:rPr>
        <w:t> </w:t>
      </w:r>
      <w:r>
        <w:t>—</w:t>
      </w:r>
      <w:r>
        <w:rPr>
          <w:rStyle w:val="CharSDivText"/>
        </w:rPr>
        <w:t> </w:t>
      </w:r>
      <w:r>
        <w:rPr>
          <w:rStyle w:val="CharSchText"/>
        </w:rPr>
        <w:t>Forms</w:t>
      </w:r>
      <w:bookmarkEnd w:id="34"/>
      <w:bookmarkEnd w:id="35"/>
      <w:bookmarkEnd w:id="36"/>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8" w:name="_Toc42164713"/>
      <w:bookmarkStart w:id="39" w:name="_Toc42165350"/>
      <w:bookmarkStart w:id="40" w:name="_Toc42181738"/>
      <w:r>
        <w:rPr>
          <w:rStyle w:val="CharSchNo"/>
        </w:rPr>
        <w:t>Schedule 2</w:t>
      </w:r>
      <w:r>
        <w:t> — </w:t>
      </w:r>
      <w:r>
        <w:rPr>
          <w:rStyle w:val="CharSchText"/>
        </w:rPr>
        <w:t>Modified penalties</w:t>
      </w:r>
      <w:bookmarkEnd w:id="38"/>
      <w:bookmarkEnd w:id="39"/>
      <w:bookmarkEnd w:id="40"/>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9"/>
          <w:headerReference w:type="default" r:id="rId30"/>
          <w:headerReference w:type="first" r:id="rId31"/>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32"/>
          <w:headerReference w:type="default" r:id="rId33"/>
          <w:type w:val="continuous"/>
          <w:pgSz w:w="11907" w:h="16840" w:code="9"/>
          <w:pgMar w:top="2376" w:right="2404" w:bottom="3544" w:left="2404" w:header="709" w:footer="3379" w:gutter="0"/>
          <w:cols w:space="720"/>
          <w:noEndnote/>
          <w:docGrid w:linePitch="326"/>
        </w:sectPr>
      </w:pPr>
    </w:p>
    <w:p>
      <w:pPr>
        <w:pStyle w:val="yScheduleHeading"/>
      </w:pPr>
      <w:bookmarkStart w:id="41" w:name="_Toc42164714"/>
      <w:bookmarkStart w:id="42" w:name="_Toc42165351"/>
      <w:bookmarkStart w:id="43" w:name="_Toc42181739"/>
      <w:r>
        <w:rPr>
          <w:rStyle w:val="CharSchNo"/>
        </w:rPr>
        <w:t>Schedule 3</w:t>
      </w:r>
      <w:r>
        <w:t> — </w:t>
      </w:r>
      <w:r>
        <w:rPr>
          <w:rStyle w:val="CharSchText"/>
        </w:rPr>
        <w:t>Fees</w:t>
      </w:r>
      <w:bookmarkEnd w:id="41"/>
      <w:bookmarkEnd w:id="42"/>
      <w:bookmarkEnd w:id="43"/>
    </w:p>
    <w:p>
      <w:pPr>
        <w:pStyle w:val="yShoulderClause"/>
      </w:pPr>
      <w:r>
        <w:t>[r. 11 and 21]</w:t>
      </w:r>
    </w:p>
    <w:p>
      <w:pPr>
        <w:pStyle w:val="yFootnoteheading"/>
      </w:pPr>
      <w:r>
        <w:tab/>
        <w:t>[Heading inserted: Gazette 23 Aug 2013 p. 4006.]</w:t>
      </w:r>
    </w:p>
    <w:p>
      <w:pPr>
        <w:pStyle w:val="yHeading5"/>
      </w:pPr>
      <w:bookmarkStart w:id="44" w:name="_Toc42181740"/>
      <w:r>
        <w:rPr>
          <w:rStyle w:val="CharSClsNo"/>
        </w:rPr>
        <w:t>1</w:t>
      </w:r>
      <w:r>
        <w:t>.</w:t>
      </w:r>
      <w:r>
        <w:tab/>
        <w:t>Fees payable</w:t>
      </w:r>
      <w:bookmarkEnd w:id="44"/>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5"/>
          <w:headerReference w:type="default" r:id="rId36"/>
          <w:type w:val="continuous"/>
          <w:pgSz w:w="11907" w:h="16840" w:code="9"/>
          <w:pgMar w:top="2376" w:right="2404" w:bottom="3544" w:left="2404" w:header="709" w:footer="3379" w:gutter="0"/>
          <w:cols w:space="720"/>
          <w:noEndnote/>
          <w:docGrid w:linePitch="326"/>
        </w:sectPr>
      </w:pPr>
    </w:p>
    <w:p>
      <w:pPr>
        <w:pStyle w:val="nHeading2"/>
      </w:pPr>
      <w:bookmarkStart w:id="45" w:name="_Toc42164716"/>
      <w:bookmarkStart w:id="46" w:name="_Toc42165353"/>
      <w:bookmarkStart w:id="47" w:name="_Toc42181741"/>
      <w:r>
        <w:t>Notes</w:t>
      </w:r>
      <w:bookmarkEnd w:id="45"/>
      <w:bookmarkEnd w:id="46"/>
      <w:bookmarkEnd w:id="47"/>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48" w:name="_Toc42181742"/>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nil"/>
            </w:tcBorders>
            <w:shd w:val="clear" w:color="auto" w:fill="auto"/>
          </w:tcPr>
          <w:p>
            <w:pPr>
              <w:pStyle w:val="nTable"/>
              <w:keepNext/>
              <w:spacing w:after="40"/>
              <w:rPr>
                <w:i/>
              </w:rPr>
            </w:pPr>
            <w:r>
              <w:rPr>
                <w:i/>
              </w:rPr>
              <w:t>Cat Amendment Regulations 2020</w:t>
            </w:r>
          </w:p>
        </w:tc>
        <w:tc>
          <w:tcPr>
            <w:tcW w:w="1276" w:type="dxa"/>
            <w:tcBorders>
              <w:top w:val="nil"/>
              <w:bottom w:val="nil"/>
            </w:tcBorders>
            <w:shd w:val="clear" w:color="auto" w:fill="auto"/>
          </w:tcPr>
          <w:p>
            <w:pPr>
              <w:pStyle w:val="nTable"/>
              <w:keepNext/>
              <w:spacing w:after="40"/>
            </w:pPr>
            <w:r>
              <w:t>SL 2020/17 20 Mar 2020</w:t>
            </w:r>
          </w:p>
        </w:tc>
        <w:tc>
          <w:tcPr>
            <w:tcW w:w="2694" w:type="dxa"/>
            <w:tcBorders>
              <w:top w:val="nil"/>
              <w:bottom w:val="nil"/>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r>
        <w:tc>
          <w:tcPr>
            <w:tcW w:w="3118" w:type="dxa"/>
            <w:tcBorders>
              <w:top w:val="nil"/>
              <w:bottom w:val="single" w:sz="4" w:space="0" w:color="auto"/>
            </w:tcBorders>
            <w:shd w:val="clear" w:color="auto" w:fill="auto"/>
          </w:tcPr>
          <w:p>
            <w:pPr>
              <w:pStyle w:val="nTable"/>
              <w:keepNext/>
              <w:spacing w:after="40"/>
              <w:rPr>
                <w:i/>
              </w:rPr>
            </w:pPr>
            <w:r>
              <w:rPr>
                <w:i/>
              </w:rPr>
              <w:t>Cat Amendment Regulations (No. 3) 2020</w:t>
            </w:r>
          </w:p>
        </w:tc>
        <w:tc>
          <w:tcPr>
            <w:tcW w:w="1276" w:type="dxa"/>
            <w:tcBorders>
              <w:top w:val="nil"/>
              <w:bottom w:val="single" w:sz="4" w:space="0" w:color="auto"/>
            </w:tcBorders>
            <w:shd w:val="clear" w:color="auto" w:fill="auto"/>
          </w:tcPr>
          <w:p>
            <w:pPr>
              <w:pStyle w:val="nTable"/>
              <w:keepNext/>
              <w:spacing w:after="40"/>
            </w:pPr>
            <w:r>
              <w:t>SL 2020/69 5 Jun 2020</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rPr>
              <w:t>r. 1 and 2: 5 Jun 2020 (see r. 2(a));</w:t>
            </w:r>
            <w:r>
              <w:rPr>
                <w:bCs/>
                <w:snapToGrid w:val="0"/>
              </w:rPr>
              <w:br/>
              <w:t>Regulations other than r. 1 and 2: 6 Jun 2020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0" w:name="_Toc42164718"/>
      <w:bookmarkStart w:id="51" w:name="_Toc42165355"/>
      <w:bookmarkStart w:id="52" w:name="_Toc42181743"/>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04120310"/>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 w:name="WAFER_2020060412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10_GUID" w:val="6c9029de-3c8e-4ee2-adf9-6c031a8e50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5F6C-9E3A-4F18-A01C-DB91347E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5698</Words>
  <Characters>33624</Characters>
  <Application>Microsoft Office Word</Application>
  <DocSecurity>0</DocSecurity>
  <Lines>1159</Lines>
  <Paragraphs>873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2012 - 01-f0-00</dc:title>
  <dc:subject/>
  <dc:creator/>
  <cp:keywords/>
  <dc:description/>
  <cp:lastModifiedBy>svcMRProcess</cp:lastModifiedBy>
  <cp:revision>4</cp:revision>
  <cp:lastPrinted>2015-12-11T06:15:00Z</cp:lastPrinted>
  <dcterms:created xsi:type="dcterms:W3CDTF">2020-06-05T06:58:00Z</dcterms:created>
  <dcterms:modified xsi:type="dcterms:W3CDTF">2020-06-05T06:58:00Z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06 Jun 2020</vt:lpwstr>
  </property>
  <property fmtid="{D5CDD505-2E9C-101B-9397-08002B2CF9AE}" pid="7" name="Suffix">
    <vt:lpwstr>01-f0-00</vt:lpwstr>
  </property>
  <property fmtid="{D5CDD505-2E9C-101B-9397-08002B2CF9AE}" pid="8" name="CommencementDate">
    <vt:lpwstr>20200606</vt:lpwstr>
  </property>
</Properties>
</file>