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_Toc42522489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_Toc42522490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_Toc42522491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_Toc42522492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_Toc42522493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_Toc42522494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_Toc42522495 \h </w:instrText>
      </w:r>
      <w:r>
        <w:fldChar w:fldCharType="separate"/>
      </w:r>
      <w:r>
        <w:t>4</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_Toc42522496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_Toc42522497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_Toc42522498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_Toc42522499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4"/>
        <w:tabs>
          <w:tab w:val="right" w:leader="do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_Toc42522502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_Toc42522503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_Toc42522504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_Toc42522505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_Toc42522506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_Toc42522507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_Toc42522509 \h </w:instrText>
      </w:r>
      <w:r>
        <w:fldChar w:fldCharType="separate"/>
      </w:r>
      <w:r>
        <w:t>9</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_Toc42522510 \h </w:instrText>
      </w:r>
      <w:r>
        <w:fldChar w:fldCharType="separate"/>
      </w:r>
      <w:r>
        <w:t>10</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_Toc42522511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_Toc42522515 \h </w:instrText>
      </w:r>
      <w:r>
        <w:fldChar w:fldCharType="separate"/>
      </w:r>
      <w:r>
        <w:t>16</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_Toc42522516 \h </w:instrText>
      </w:r>
      <w:r>
        <w:fldChar w:fldCharType="separate"/>
      </w:r>
      <w:r>
        <w:t>16</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_Toc42522517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_Toc42522521 \h </w:instrText>
      </w:r>
      <w:r>
        <w:fldChar w:fldCharType="separate"/>
      </w:r>
      <w:r>
        <w:t>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_Toc42522522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2522489"/>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42522490"/>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42522491"/>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6" w:name="_Toc42522492"/>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7" w:name="_Toc42522493"/>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8" w:name="_Toc42522494"/>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9" w:name="_Toc42522495"/>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42522496"/>
      <w:r>
        <w:rPr>
          <w:rStyle w:val="CharSectno"/>
        </w:rPr>
        <w:t>8</w:t>
      </w:r>
      <w:r>
        <w:t>.</w:t>
      </w:r>
      <w:r>
        <w:tab/>
        <w:t>Payment</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1" w:name="_Toc42522497"/>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12" w:name="_Toc42522498"/>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42522499"/>
      <w:r>
        <w:rPr>
          <w:rStyle w:val="CharSectno"/>
        </w:rPr>
        <w:t>12</w:t>
      </w:r>
      <w:r>
        <w:t>.</w:t>
      </w:r>
      <w:r>
        <w:tab/>
        <w:t>Prescribed rate of interest for s. 62(16) of Act</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42508029"/>
      <w:bookmarkStart w:id="15" w:name="_Toc42522500"/>
      <w:r>
        <w:rPr>
          <w:rStyle w:val="CharSchNo"/>
        </w:rPr>
        <w:t>Schedule 1</w:t>
      </w:r>
      <w:r>
        <w:t> — </w:t>
      </w:r>
      <w:r>
        <w:rPr>
          <w:rStyle w:val="CharSchText"/>
        </w:rPr>
        <w:t>Supply charges</w:t>
      </w:r>
      <w:bookmarkEnd w:id="14"/>
      <w:bookmarkEnd w:id="15"/>
    </w:p>
    <w:p>
      <w:pPr>
        <w:pStyle w:val="yShoulderClause"/>
      </w:pPr>
      <w:r>
        <w:t>[bl. 3, 4(1) and 10(1)]</w:t>
      </w:r>
    </w:p>
    <w:p>
      <w:pPr>
        <w:pStyle w:val="yFootnoteheading"/>
      </w:pPr>
      <w:r>
        <w:tab/>
        <w:t>[Heading inserted: Gazette 21 Jun 2019 p. 2128.]</w:t>
      </w:r>
    </w:p>
    <w:p>
      <w:pPr>
        <w:pStyle w:val="yHeading3"/>
      </w:pPr>
      <w:bookmarkStart w:id="16" w:name="_Toc42508030"/>
      <w:bookmarkStart w:id="17" w:name="_Toc42522501"/>
      <w:r>
        <w:rPr>
          <w:rStyle w:val="CharSDivNo"/>
        </w:rPr>
        <w:t>Division 1</w:t>
      </w:r>
      <w:r>
        <w:t> — </w:t>
      </w:r>
      <w:r>
        <w:rPr>
          <w:rStyle w:val="CharSDivText"/>
        </w:rPr>
        <w:t>Tariffs other than MyPower tariffs</w:t>
      </w:r>
      <w:bookmarkEnd w:id="16"/>
      <w:bookmarkEnd w:id="17"/>
    </w:p>
    <w:p>
      <w:pPr>
        <w:pStyle w:val="yFootnoteheading"/>
      </w:pPr>
      <w:r>
        <w:tab/>
        <w:t>[Heading inserted: Gazette 21 Jun 2019 p. 2128.]</w:t>
      </w:r>
    </w:p>
    <w:p>
      <w:pPr>
        <w:pStyle w:val="yHeading5"/>
      </w:pPr>
      <w:bookmarkStart w:id="18" w:name="_Toc42522502"/>
      <w:r>
        <w:rPr>
          <w:rStyle w:val="CharSClsNo"/>
        </w:rPr>
        <w:t>1</w:t>
      </w:r>
      <w:r>
        <w:t>.</w:t>
      </w:r>
      <w:r>
        <w:tab/>
        <w:t>Tariff L2 (general supply — low/medium voltage tariff)</w:t>
      </w:r>
      <w:bookmarkEnd w:id="18"/>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2128.]</w:t>
      </w:r>
    </w:p>
    <w:p>
      <w:pPr>
        <w:pStyle w:val="yHeading5"/>
      </w:pPr>
      <w:bookmarkStart w:id="19" w:name="_Toc42522503"/>
      <w:r>
        <w:rPr>
          <w:rStyle w:val="CharSClsNo"/>
        </w:rPr>
        <w:t>2</w:t>
      </w:r>
      <w:r>
        <w:t>.</w:t>
      </w:r>
      <w:r>
        <w:tab/>
        <w:t>Tariff L4 (general supply — low/medium voltage tariff)</w:t>
      </w:r>
      <w:bookmarkEnd w:id="19"/>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2128.]</w:t>
      </w:r>
    </w:p>
    <w:p>
      <w:pPr>
        <w:pStyle w:val="yHeading5"/>
      </w:pPr>
      <w:bookmarkStart w:id="20" w:name="_Toc42522504"/>
      <w:r>
        <w:rPr>
          <w:rStyle w:val="CharSClsNo"/>
        </w:rPr>
        <w:t>3</w:t>
      </w:r>
      <w:r>
        <w:t>.</w:t>
      </w:r>
      <w:r>
        <w:tab/>
        <w:t>Tariff A2 (residential tariff)</w:t>
      </w:r>
      <w:bookmarkEnd w:id="20"/>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3 inserted: Gazette 21 Jun 2019 p. 2128</w:t>
      </w:r>
      <w:r>
        <w:noBreakHyphen/>
        <w:t>9.]</w:t>
      </w:r>
    </w:p>
    <w:p>
      <w:pPr>
        <w:pStyle w:val="yHeading5"/>
      </w:pPr>
      <w:bookmarkStart w:id="21" w:name="_Toc42522505"/>
      <w:r>
        <w:rPr>
          <w:rStyle w:val="CharSClsNo"/>
        </w:rPr>
        <w:t>4</w:t>
      </w:r>
      <w:r>
        <w:t>.</w:t>
      </w:r>
      <w:r>
        <w:tab/>
        <w:t>Tariff C2 (special community service tariff)</w:t>
      </w:r>
      <w:bookmarkEnd w:id="21"/>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Gazette 21 Jun 2019 p. 2129.]</w:t>
      </w:r>
    </w:p>
    <w:p>
      <w:pPr>
        <w:pStyle w:val="yHeading5"/>
      </w:pPr>
      <w:bookmarkStart w:id="22" w:name="_Toc42522506"/>
      <w:r>
        <w:rPr>
          <w:rStyle w:val="CharSClsNo"/>
        </w:rPr>
        <w:t>5</w:t>
      </w:r>
      <w:r>
        <w:t>.</w:t>
      </w:r>
      <w:r>
        <w:tab/>
        <w:t>Tariff D2 (special tariff for certain premises)</w:t>
      </w:r>
      <w:bookmarkEnd w:id="22"/>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Gazette 21 Jun 2019 p. 2129</w:t>
      </w:r>
      <w:r>
        <w:noBreakHyphen/>
        <w:t>30.]</w:t>
      </w:r>
    </w:p>
    <w:p>
      <w:pPr>
        <w:pStyle w:val="yHeading5"/>
      </w:pPr>
      <w:bookmarkStart w:id="23" w:name="_Toc42522507"/>
      <w:r>
        <w:rPr>
          <w:rStyle w:val="CharSClsNo"/>
        </w:rPr>
        <w:t>6</w:t>
      </w:r>
      <w:r>
        <w:t>.</w:t>
      </w:r>
      <w:r>
        <w:tab/>
        <w:t>Tariff K2 (general supply with residential tariff)</w:t>
      </w:r>
      <w:bookmarkEnd w:id="23"/>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6 inserted: Gazette 21 Jun 2019 p. 2130.]</w:t>
      </w:r>
    </w:p>
    <w:p>
      <w:pPr>
        <w:pStyle w:val="yHeading3"/>
      </w:pPr>
      <w:bookmarkStart w:id="24" w:name="_Toc42508037"/>
      <w:bookmarkStart w:id="25" w:name="_Toc42522508"/>
      <w:r>
        <w:rPr>
          <w:rStyle w:val="CharSDivNo"/>
        </w:rPr>
        <w:t>Division 2</w:t>
      </w:r>
      <w:r>
        <w:t> — </w:t>
      </w:r>
      <w:r>
        <w:rPr>
          <w:rStyle w:val="CharSDivText"/>
        </w:rPr>
        <w:t>MyPower tariffs</w:t>
      </w:r>
      <w:bookmarkEnd w:id="24"/>
      <w:bookmarkEnd w:id="25"/>
    </w:p>
    <w:p>
      <w:pPr>
        <w:pStyle w:val="yFootnoteheading"/>
      </w:pPr>
      <w:r>
        <w:tab/>
        <w:t>[Heading inserted: Gazette 21 Jun 2019 p. 2130.]</w:t>
      </w:r>
    </w:p>
    <w:p>
      <w:pPr>
        <w:pStyle w:val="yHeading5"/>
      </w:pPr>
      <w:bookmarkStart w:id="26" w:name="_Toc42522509"/>
      <w:r>
        <w:rPr>
          <w:rStyle w:val="CharSClsNo"/>
        </w:rPr>
        <w:t>7</w:t>
      </w:r>
      <w:r>
        <w:t>.</w:t>
      </w:r>
      <w:r>
        <w:tab/>
        <w:t>Terms used</w:t>
      </w:r>
      <w:bookmarkEnd w:id="26"/>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keepNex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Gazette 21 Jun 2019 p. 2130</w:t>
      </w:r>
      <w:r>
        <w:noBreakHyphen/>
        <w:t>1.]</w:t>
      </w:r>
    </w:p>
    <w:p>
      <w:pPr>
        <w:pStyle w:val="yHeading5"/>
      </w:pPr>
      <w:bookmarkStart w:id="27" w:name="_Toc42522510"/>
      <w:r>
        <w:rPr>
          <w:rStyle w:val="CharSClsNo"/>
        </w:rPr>
        <w:t>8</w:t>
      </w:r>
      <w:r>
        <w:t>.</w:t>
      </w:r>
      <w:r>
        <w:tab/>
        <w:t>MyPower residential tariffs</w:t>
      </w:r>
      <w:bookmarkEnd w:id="27"/>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$1.118275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r>
        <w:trPr>
          <w:cantSplit/>
        </w:trPr>
        <w:tc>
          <w:tcPr>
            <w:tcW w:w="2126" w:type="dxa"/>
          </w:tcPr>
          <w:p>
            <w:pPr>
              <w:pStyle w:val="yTableNAm"/>
            </w:pPr>
            <w:r>
              <w:rPr>
                <w:szCs w:val="22"/>
              </w:rPr>
              <w:t>MyPower residential 3 fixed plan price</w:t>
            </w:r>
          </w:p>
        </w:tc>
        <w:tc>
          <w:tcPr>
            <w:tcW w:w="1418" w:type="dxa"/>
          </w:tcPr>
          <w:p>
            <w:pPr>
              <w:pStyle w:val="yTableNAm"/>
            </w:pPr>
            <w:r>
              <w:rPr>
                <w:szCs w:val="22"/>
              </w:rPr>
              <w:t>$2.419907 per day</w:t>
            </w:r>
          </w:p>
        </w:tc>
        <w:tc>
          <w:tcPr>
            <w:tcW w:w="1701" w:type="dxa"/>
          </w:tcPr>
          <w:p>
            <w:pPr>
              <w:pStyle w:val="yTableNAm"/>
            </w:pPr>
            <w:r>
              <w:rPr>
                <w:szCs w:val="22"/>
              </w:rPr>
              <w:t>$0.100000 per unit</w:t>
            </w:r>
          </w:p>
        </w:tc>
        <w:tc>
          <w:tcPr>
            <w:tcW w:w="1559" w:type="dxa"/>
          </w:tcPr>
          <w:p>
            <w:pPr>
              <w:pStyle w:val="yTableNAm"/>
            </w:pPr>
            <w:r>
              <w:rPr>
                <w:szCs w:val="22"/>
              </w:rPr>
              <w:t xml:space="preserve">3 units </w:t>
            </w:r>
            <w:r>
              <w:rPr>
                <w:szCs w:val="22"/>
              </w:rPr>
              <w:br/>
              <w:t>per hour</w:t>
            </w:r>
          </w:p>
        </w:tc>
      </w:tr>
      <w:tr>
        <w:trPr>
          <w:cantSplit/>
        </w:trPr>
        <w:tc>
          <w:tcPr>
            <w:tcW w:w="2126" w:type="dxa"/>
          </w:tcPr>
          <w:p>
            <w:pPr>
              <w:pStyle w:val="yTableNAm"/>
            </w:pPr>
            <w:r>
              <w:rPr>
                <w:szCs w:val="22"/>
              </w:rPr>
              <w:t>MyPower residential 5 fixed plan price</w:t>
            </w:r>
          </w:p>
        </w:tc>
        <w:tc>
          <w:tcPr>
            <w:tcW w:w="1418" w:type="dxa"/>
          </w:tcPr>
          <w:p>
            <w:pPr>
              <w:pStyle w:val="yTableNAm"/>
            </w:pPr>
            <w:r>
              <w:rPr>
                <w:szCs w:val="22"/>
              </w:rPr>
              <w:t>$4.896768 per day</w:t>
            </w:r>
          </w:p>
        </w:tc>
        <w:tc>
          <w:tcPr>
            <w:tcW w:w="1701" w:type="dxa"/>
          </w:tcPr>
          <w:p>
            <w:pPr>
              <w:pStyle w:val="yTableNAm"/>
            </w:pPr>
            <w:r>
              <w:rPr>
                <w:szCs w:val="22"/>
              </w:rPr>
              <w:t>$0.100000 per unit</w:t>
            </w:r>
          </w:p>
        </w:tc>
        <w:tc>
          <w:tcPr>
            <w:tcW w:w="1559" w:type="dxa"/>
          </w:tcPr>
          <w:p>
            <w:pPr>
              <w:pStyle w:val="yTableNAm"/>
            </w:pPr>
            <w:r>
              <w:rPr>
                <w:szCs w:val="22"/>
              </w:rPr>
              <w:t xml:space="preserve">5 units </w:t>
            </w:r>
            <w:r>
              <w:rPr>
                <w:szCs w:val="22"/>
              </w:rPr>
              <w:br/>
              <w:t>per hour</w:t>
            </w:r>
          </w:p>
        </w:tc>
      </w:tr>
      <w:tr>
        <w:trPr>
          <w:cantSplit/>
        </w:trPr>
        <w:tc>
          <w:tcPr>
            <w:tcW w:w="2126" w:type="dxa"/>
          </w:tcPr>
          <w:p>
            <w:pPr>
              <w:pStyle w:val="yTableNAm"/>
            </w:pPr>
            <w:r>
              <w:rPr>
                <w:szCs w:val="22"/>
              </w:rPr>
              <w:t>MyPower residential 7 fixed plan price</w:t>
            </w:r>
          </w:p>
        </w:tc>
        <w:tc>
          <w:tcPr>
            <w:tcW w:w="1418" w:type="dxa"/>
          </w:tcPr>
          <w:p>
            <w:pPr>
              <w:pStyle w:val="yTableNAm"/>
            </w:pPr>
            <w:r>
              <w:rPr>
                <w:szCs w:val="22"/>
              </w:rPr>
              <w:t>$8.065171 per day</w:t>
            </w:r>
          </w:p>
        </w:tc>
        <w:tc>
          <w:tcPr>
            <w:tcW w:w="1701" w:type="dxa"/>
          </w:tcPr>
          <w:p>
            <w:pPr>
              <w:pStyle w:val="yTableNAm"/>
            </w:pPr>
            <w:r>
              <w:rPr>
                <w:szCs w:val="22"/>
              </w:rPr>
              <w:t>$0.100000 per unit</w:t>
            </w:r>
          </w:p>
        </w:tc>
        <w:tc>
          <w:tcPr>
            <w:tcW w:w="1559" w:type="dxa"/>
          </w:tcPr>
          <w:p>
            <w:pPr>
              <w:pStyle w:val="yTableNAm"/>
            </w:pPr>
            <w:r>
              <w:rPr>
                <w:szCs w:val="22"/>
              </w:rPr>
              <w:t xml:space="preserve">7 units </w:t>
            </w:r>
            <w:r>
              <w:rPr>
                <w:szCs w:val="22"/>
              </w:rPr>
              <w:br/>
              <w:t>per hour</w:t>
            </w:r>
          </w:p>
        </w:tc>
      </w:tr>
      <w:tr>
        <w:trPr>
          <w:cantSplit/>
        </w:trPr>
        <w:tc>
          <w:tcPr>
            <w:tcW w:w="2126" w:type="dxa"/>
          </w:tcPr>
          <w:p>
            <w:pPr>
              <w:pStyle w:val="yTableNAm"/>
            </w:pPr>
            <w:r>
              <w:rPr>
                <w:szCs w:val="22"/>
              </w:rPr>
              <w:t>MyPower residential 10 fixed plan price</w:t>
            </w:r>
          </w:p>
        </w:tc>
        <w:tc>
          <w:tcPr>
            <w:tcW w:w="1418" w:type="dxa"/>
          </w:tcPr>
          <w:p>
            <w:pPr>
              <w:pStyle w:val="yTableNAm"/>
            </w:pPr>
            <w:r>
              <w:rPr>
                <w:szCs w:val="22"/>
              </w:rPr>
              <w:t>$12.174724 per day</w:t>
            </w:r>
          </w:p>
        </w:tc>
        <w:tc>
          <w:tcPr>
            <w:tcW w:w="1701" w:type="dxa"/>
          </w:tcPr>
          <w:p>
            <w:pPr>
              <w:pStyle w:val="yTableNAm"/>
            </w:pPr>
            <w:r>
              <w:rPr>
                <w:szCs w:val="22"/>
              </w:rPr>
              <w:t>$0.100000 per unit</w:t>
            </w:r>
          </w:p>
        </w:tc>
        <w:tc>
          <w:tcPr>
            <w:tcW w:w="1559" w:type="dxa"/>
          </w:tcPr>
          <w:p>
            <w:pPr>
              <w:pStyle w:val="yTableNAm"/>
            </w:pPr>
            <w:r>
              <w:rPr>
                <w:szCs w:val="22"/>
              </w:rPr>
              <w:t>10 units per hour</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$24.791681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bl>
    <w:p>
      <w:pPr>
        <w:pStyle w:val="yFootnotesection"/>
      </w:pPr>
      <w:r>
        <w:tab/>
        <w:t>[Clause 8 inserted: Gazette 21 Jun 2019 p. 2131</w:t>
      </w:r>
      <w:r>
        <w:noBreakHyphen/>
        <w:t>2.]</w:t>
      </w:r>
    </w:p>
    <w:p>
      <w:pPr>
        <w:pStyle w:val="yHeading5"/>
      </w:pPr>
      <w:bookmarkStart w:id="28" w:name="_Toc42522511"/>
      <w:r>
        <w:rPr>
          <w:rStyle w:val="CharSClsNo"/>
        </w:rPr>
        <w:t>9</w:t>
      </w:r>
      <w:r>
        <w:rPr>
          <w:sz w:val="20"/>
        </w:rPr>
        <w:t>.</w:t>
      </w:r>
      <w:r>
        <w:rPr>
          <w:sz w:val="20"/>
        </w:rPr>
        <w:tab/>
        <w:t>MyPower non</w:t>
      </w:r>
      <w:r>
        <w:rPr>
          <w:sz w:val="20"/>
        </w:rPr>
        <w:noBreakHyphen/>
        <w:t>residential tariffs</w:t>
      </w:r>
      <w:bookmarkEnd w:id="28"/>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t>MyPower business 3 fixed plan price</w:t>
            </w:r>
          </w:p>
        </w:tc>
        <w:tc>
          <w:tcPr>
            <w:tcW w:w="1418" w:type="dxa"/>
          </w:tcPr>
          <w:p>
            <w:pPr>
              <w:pStyle w:val="yTableNAm"/>
            </w:pPr>
            <w:r>
              <w:t>$2.607333 per day</w:t>
            </w:r>
          </w:p>
        </w:tc>
        <w:tc>
          <w:tcPr>
            <w:tcW w:w="1701" w:type="dxa"/>
          </w:tcPr>
          <w:p>
            <w:pPr>
              <w:pStyle w:val="yTableNAm"/>
            </w:pPr>
            <w:r>
              <w:t>$0.100000 per unit</w:t>
            </w:r>
          </w:p>
        </w:tc>
        <w:tc>
          <w:tcPr>
            <w:tcW w:w="1559" w:type="dxa"/>
          </w:tcPr>
          <w:p>
            <w:pPr>
              <w:pStyle w:val="yTableNAm"/>
            </w:pPr>
            <w:r>
              <w:t xml:space="preserve">3 units </w:t>
            </w:r>
            <w:r>
              <w:br/>
              <w:t>per hour</w:t>
            </w:r>
          </w:p>
        </w:tc>
      </w:tr>
      <w:tr>
        <w:trPr>
          <w:cantSplit/>
        </w:trPr>
        <w:tc>
          <w:tcPr>
            <w:tcW w:w="2126" w:type="dxa"/>
          </w:tcPr>
          <w:p>
            <w:pPr>
              <w:pStyle w:val="yTableNAm"/>
            </w:pPr>
            <w:r>
              <w:t>MyPower business 5 fixed plan price</w:t>
            </w:r>
          </w:p>
        </w:tc>
        <w:tc>
          <w:tcPr>
            <w:tcW w:w="1418" w:type="dxa"/>
          </w:tcPr>
          <w:p>
            <w:pPr>
              <w:pStyle w:val="yTableNAm"/>
            </w:pPr>
            <w:r>
              <w:t>$6.203988 per day</w:t>
            </w:r>
          </w:p>
        </w:tc>
        <w:tc>
          <w:tcPr>
            <w:tcW w:w="1701" w:type="dxa"/>
          </w:tcPr>
          <w:p>
            <w:pPr>
              <w:pStyle w:val="yTableNAm"/>
            </w:pPr>
            <w:r>
              <w:t>$0.100000 per unit</w:t>
            </w:r>
          </w:p>
        </w:tc>
        <w:tc>
          <w:tcPr>
            <w:tcW w:w="1559" w:type="dxa"/>
          </w:tcPr>
          <w:p>
            <w:pPr>
              <w:pStyle w:val="yTableNAm"/>
            </w:pPr>
            <w:r>
              <w:t xml:space="preserve">5 units </w:t>
            </w:r>
            <w:r>
              <w:br/>
              <w:t>per hour</w:t>
            </w:r>
          </w:p>
        </w:tc>
      </w:tr>
      <w:tr>
        <w:trPr>
          <w:cantSplit/>
        </w:trPr>
        <w:tc>
          <w:tcPr>
            <w:tcW w:w="2126" w:type="dxa"/>
          </w:tcPr>
          <w:p>
            <w:pPr>
              <w:pStyle w:val="yTableNAm"/>
            </w:pPr>
            <w:r>
              <w:t>MyPower business 7 fixed plan price</w:t>
            </w:r>
          </w:p>
        </w:tc>
        <w:tc>
          <w:tcPr>
            <w:tcW w:w="1418" w:type="dxa"/>
          </w:tcPr>
          <w:p>
            <w:pPr>
              <w:pStyle w:val="yTableNAm"/>
            </w:pPr>
            <w:r>
              <w:t>$11.101485 per day</w:t>
            </w:r>
          </w:p>
        </w:tc>
        <w:tc>
          <w:tcPr>
            <w:tcW w:w="1701" w:type="dxa"/>
          </w:tcPr>
          <w:p>
            <w:pPr>
              <w:pStyle w:val="yTableNAm"/>
            </w:pPr>
            <w:r>
              <w:t>$0.100000 per unit</w:t>
            </w:r>
          </w:p>
        </w:tc>
        <w:tc>
          <w:tcPr>
            <w:tcW w:w="1559" w:type="dxa"/>
          </w:tcPr>
          <w:p>
            <w:pPr>
              <w:pStyle w:val="yTableNAm"/>
            </w:pPr>
            <w:r>
              <w:t xml:space="preserve">7 units </w:t>
            </w:r>
            <w:r>
              <w:br/>
              <w:t>per hour</w:t>
            </w:r>
          </w:p>
        </w:tc>
      </w:tr>
      <w:tr>
        <w:trPr>
          <w:cantSplit/>
        </w:trPr>
        <w:tc>
          <w:tcPr>
            <w:tcW w:w="2126" w:type="dxa"/>
          </w:tcPr>
          <w:p>
            <w:pPr>
              <w:pStyle w:val="yTableNAm"/>
            </w:pPr>
            <w:r>
              <w:t>MyPower business 10 fixed plan price</w:t>
            </w:r>
          </w:p>
        </w:tc>
        <w:tc>
          <w:tcPr>
            <w:tcW w:w="1418" w:type="dxa"/>
          </w:tcPr>
          <w:p>
            <w:pPr>
              <w:pStyle w:val="yTableNAm"/>
            </w:pPr>
            <w:r>
              <w:t>$16.540685 per day</w:t>
            </w:r>
          </w:p>
        </w:tc>
        <w:tc>
          <w:tcPr>
            <w:tcW w:w="1701" w:type="dxa"/>
          </w:tcPr>
          <w:p>
            <w:pPr>
              <w:pStyle w:val="yTableNAm"/>
            </w:pPr>
            <w:r>
              <w:t>$0.100000 per unit</w:t>
            </w:r>
          </w:p>
        </w:tc>
        <w:tc>
          <w:tcPr>
            <w:tcW w:w="1559" w:type="dxa"/>
          </w:tcPr>
          <w:p>
            <w:pPr>
              <w:pStyle w:val="yTableNAm"/>
            </w:pPr>
            <w:r>
              <w:t>10 units per hour</w:t>
            </w:r>
          </w:p>
        </w:tc>
      </w:tr>
      <w:tr>
        <w:trPr>
          <w:cantSplit/>
        </w:trPr>
        <w:tc>
          <w:tcPr>
            <w:tcW w:w="2126" w:type="dxa"/>
          </w:tcPr>
          <w:p>
            <w:pPr>
              <w:pStyle w:val="yTableNAm"/>
            </w:pPr>
            <w:r>
              <w:t>MyPower business 15 fixed plan price</w:t>
            </w:r>
          </w:p>
        </w:tc>
        <w:tc>
          <w:tcPr>
            <w:tcW w:w="1418" w:type="dxa"/>
          </w:tcPr>
          <w:p>
            <w:pPr>
              <w:pStyle w:val="yTableNAm"/>
            </w:pPr>
            <w:r>
              <w:t>$25.393421 per day</w:t>
            </w:r>
          </w:p>
        </w:tc>
        <w:tc>
          <w:tcPr>
            <w:tcW w:w="1701" w:type="dxa"/>
          </w:tcPr>
          <w:p>
            <w:pPr>
              <w:pStyle w:val="yTableNAm"/>
            </w:pPr>
            <w:r>
              <w:t>$0.100000 per unit</w:t>
            </w:r>
          </w:p>
        </w:tc>
        <w:tc>
          <w:tcPr>
            <w:tcW w:w="1559" w:type="dxa"/>
          </w:tcPr>
          <w:p>
            <w:pPr>
              <w:pStyle w:val="yTableNAm"/>
            </w:pPr>
            <w:r>
              <w:t>15 units per hour</w:t>
            </w:r>
          </w:p>
        </w:tc>
      </w:tr>
      <w:tr>
        <w:trPr>
          <w:cantSplit/>
        </w:trPr>
        <w:tc>
          <w:tcPr>
            <w:tcW w:w="2126" w:type="dxa"/>
          </w:tcPr>
          <w:p>
            <w:pPr>
              <w:pStyle w:val="yTableNAm"/>
            </w:pPr>
            <w:r>
              <w:t>MyPower business 20 fixed plan price</w:t>
            </w:r>
          </w:p>
        </w:tc>
        <w:tc>
          <w:tcPr>
            <w:tcW w:w="1418" w:type="dxa"/>
          </w:tcPr>
          <w:p>
            <w:pPr>
              <w:pStyle w:val="yTableNAm"/>
            </w:pPr>
            <w:r>
              <w:t>$46.989647 per day</w:t>
            </w:r>
          </w:p>
        </w:tc>
        <w:tc>
          <w:tcPr>
            <w:tcW w:w="1701" w:type="dxa"/>
          </w:tcPr>
          <w:p>
            <w:pPr>
              <w:pStyle w:val="yTableNAm"/>
            </w:pPr>
            <w:r>
              <w:t>$0.100000 per unit</w:t>
            </w:r>
          </w:p>
        </w:tc>
        <w:tc>
          <w:tcPr>
            <w:tcW w:w="1559" w:type="dxa"/>
          </w:tcPr>
          <w:p>
            <w:pPr>
              <w:pStyle w:val="yTableNAm"/>
            </w:pPr>
            <w:r>
              <w:t>20 units per hour</w:t>
            </w:r>
          </w:p>
        </w:tc>
      </w:tr>
      <w:tr>
        <w:trPr>
          <w:cantSplit/>
        </w:trPr>
        <w:tc>
          <w:tcPr>
            <w:tcW w:w="2126" w:type="dxa"/>
          </w:tcPr>
          <w:p>
            <w:pPr>
              <w:pStyle w:val="yTableNAm"/>
            </w:pPr>
            <w:r>
              <w:t>MyPower business 25 fixed plan price</w:t>
            </w:r>
          </w:p>
        </w:tc>
        <w:tc>
          <w:tcPr>
            <w:tcW w:w="1418" w:type="dxa"/>
          </w:tcPr>
          <w:p>
            <w:pPr>
              <w:pStyle w:val="yTableNAm"/>
            </w:pPr>
            <w:r>
              <w:t>$48.071605 per day</w:t>
            </w:r>
          </w:p>
        </w:tc>
        <w:tc>
          <w:tcPr>
            <w:tcW w:w="1701" w:type="dxa"/>
          </w:tcPr>
          <w:p>
            <w:pPr>
              <w:pStyle w:val="yTableNAm"/>
            </w:pPr>
            <w:r>
              <w:t>$0.100000 per unit</w:t>
            </w:r>
          </w:p>
        </w:tc>
        <w:tc>
          <w:tcPr>
            <w:tcW w:w="1559" w:type="dxa"/>
          </w:tcPr>
          <w:p>
            <w:pPr>
              <w:pStyle w:val="yTableNAm"/>
            </w:pPr>
            <w:r>
              <w:t>25 units per hour</w:t>
            </w:r>
          </w:p>
        </w:tc>
      </w:tr>
      <w:tr>
        <w:trPr>
          <w:cantSplit/>
        </w:trPr>
        <w:tc>
          <w:tcPr>
            <w:tcW w:w="2126" w:type="dxa"/>
          </w:tcPr>
          <w:p>
            <w:pPr>
              <w:pStyle w:val="yTableNAm"/>
            </w:pPr>
            <w:r>
              <w:t>MyPower business 30 fixed plan price</w:t>
            </w:r>
          </w:p>
        </w:tc>
        <w:tc>
          <w:tcPr>
            <w:tcW w:w="1418" w:type="dxa"/>
          </w:tcPr>
          <w:p>
            <w:pPr>
              <w:pStyle w:val="yTableNAm"/>
            </w:pPr>
            <w:r>
              <w:t>$66.301954 per day</w:t>
            </w:r>
          </w:p>
        </w:tc>
        <w:tc>
          <w:tcPr>
            <w:tcW w:w="1701" w:type="dxa"/>
          </w:tcPr>
          <w:p>
            <w:pPr>
              <w:pStyle w:val="yTableNAm"/>
            </w:pPr>
            <w:r>
              <w:t>$0.100000 per unit</w:t>
            </w:r>
          </w:p>
        </w:tc>
        <w:tc>
          <w:tcPr>
            <w:tcW w:w="1559" w:type="dxa"/>
          </w:tcPr>
          <w:p>
            <w:pPr>
              <w:pStyle w:val="yTableNAm"/>
            </w:pPr>
            <w:r>
              <w:t>30 units per hour</w:t>
            </w:r>
          </w:p>
        </w:tc>
      </w:tr>
      <w:tr>
        <w:trPr>
          <w:cantSplit/>
        </w:trPr>
        <w:tc>
          <w:tcPr>
            <w:tcW w:w="2126" w:type="dxa"/>
          </w:tcPr>
          <w:p>
            <w:pPr>
              <w:pStyle w:val="yTableNAm"/>
            </w:pPr>
            <w:r>
              <w:t>MyPower business 35 fixed plan price</w:t>
            </w:r>
          </w:p>
        </w:tc>
        <w:tc>
          <w:tcPr>
            <w:tcW w:w="1418" w:type="dxa"/>
          </w:tcPr>
          <w:p>
            <w:pPr>
              <w:pStyle w:val="yTableNAm"/>
            </w:pPr>
            <w:r>
              <w:t>$70.577512 per day</w:t>
            </w:r>
          </w:p>
        </w:tc>
        <w:tc>
          <w:tcPr>
            <w:tcW w:w="1701" w:type="dxa"/>
          </w:tcPr>
          <w:p>
            <w:pPr>
              <w:pStyle w:val="yTableNAm"/>
            </w:pPr>
            <w:r>
              <w:t>$0.100000 per unit</w:t>
            </w:r>
          </w:p>
        </w:tc>
        <w:tc>
          <w:tcPr>
            <w:tcW w:w="1559" w:type="dxa"/>
          </w:tcPr>
          <w:p>
            <w:pPr>
              <w:pStyle w:val="yTableNAm"/>
            </w:pPr>
            <w:r>
              <w:t>35 units per hour</w:t>
            </w:r>
          </w:p>
        </w:tc>
      </w:tr>
      <w:tr>
        <w:trPr>
          <w:cantSplit/>
        </w:trPr>
        <w:tc>
          <w:tcPr>
            <w:tcW w:w="2126" w:type="dxa"/>
          </w:tcPr>
          <w:p>
            <w:pPr>
              <w:pStyle w:val="yTableNAm"/>
            </w:pPr>
            <w:r>
              <w:t>MyPower business 40 fixed plan price</w:t>
            </w:r>
          </w:p>
        </w:tc>
        <w:tc>
          <w:tcPr>
            <w:tcW w:w="1418" w:type="dxa"/>
          </w:tcPr>
          <w:p>
            <w:pPr>
              <w:pStyle w:val="yTableNAm"/>
            </w:pPr>
            <w:r>
              <w:t>$96.735216 per day</w:t>
            </w:r>
          </w:p>
        </w:tc>
        <w:tc>
          <w:tcPr>
            <w:tcW w:w="1701" w:type="dxa"/>
          </w:tcPr>
          <w:p>
            <w:pPr>
              <w:pStyle w:val="yTableNAm"/>
            </w:pPr>
            <w:r>
              <w:t>$0.100000 per unit</w:t>
            </w:r>
          </w:p>
        </w:tc>
        <w:tc>
          <w:tcPr>
            <w:tcW w:w="1559" w:type="dxa"/>
          </w:tcPr>
          <w:p>
            <w:pPr>
              <w:pStyle w:val="yTableNAm"/>
            </w:pPr>
            <w:r>
              <w:t>40 units per hour</w:t>
            </w:r>
          </w:p>
        </w:tc>
      </w:tr>
      <w:tr>
        <w:trPr>
          <w:cantSplit/>
        </w:trPr>
        <w:tc>
          <w:tcPr>
            <w:tcW w:w="2126" w:type="dxa"/>
          </w:tcPr>
          <w:p>
            <w:pPr>
              <w:pStyle w:val="yTableNAm"/>
            </w:pPr>
            <w:r>
              <w:t>MyPower business 50 fixed plan price</w:t>
            </w:r>
          </w:p>
        </w:tc>
        <w:tc>
          <w:tcPr>
            <w:tcW w:w="1418" w:type="dxa"/>
          </w:tcPr>
          <w:p>
            <w:pPr>
              <w:pStyle w:val="yTableNAm"/>
            </w:pPr>
            <w:r>
              <w:t>$132.669357 per day</w:t>
            </w:r>
          </w:p>
        </w:tc>
        <w:tc>
          <w:tcPr>
            <w:tcW w:w="1701" w:type="dxa"/>
          </w:tcPr>
          <w:p>
            <w:pPr>
              <w:pStyle w:val="yTableNAm"/>
            </w:pPr>
            <w:r>
              <w:t>$0.100000 per unit</w:t>
            </w:r>
          </w:p>
        </w:tc>
        <w:tc>
          <w:tcPr>
            <w:tcW w:w="1559" w:type="dxa"/>
          </w:tcPr>
          <w:p>
            <w:pPr>
              <w:pStyle w:val="yTableNAm"/>
            </w:pPr>
            <w:r>
              <w:t>50 units per hour</w:t>
            </w:r>
          </w:p>
        </w:tc>
      </w:tr>
    </w:tbl>
    <w:p>
      <w:pPr>
        <w:pStyle w:val="yFootnotesection"/>
      </w:pPr>
      <w:r>
        <w:tab/>
        <w:t>[Clause 9 inserted: Gazette 21 Jun 2019 p. 2132</w:t>
      </w:r>
      <w:r>
        <w:noBreakHyphen/>
        <w:t>3.]</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0" w:name="_Toc42508041"/>
      <w:bookmarkStart w:id="31" w:name="_Toc42522512"/>
      <w:r>
        <w:rPr>
          <w:rStyle w:val="CharSchNo"/>
        </w:rPr>
        <w:t>Schedule 2</w:t>
      </w:r>
      <w:r>
        <w:t> — </w:t>
      </w:r>
      <w:r>
        <w:rPr>
          <w:rStyle w:val="CharSchText"/>
        </w:rPr>
        <w:t>Unmetered supply</w:t>
      </w:r>
      <w:bookmarkEnd w:id="30"/>
      <w:bookmarkEnd w:id="31"/>
    </w:p>
    <w:p>
      <w:pPr>
        <w:pStyle w:val="yShoulderClause"/>
      </w:pPr>
      <w:r>
        <w:t>[bl. 4(2) and (3)]</w:t>
      </w:r>
    </w:p>
    <w:p>
      <w:pPr>
        <w:pStyle w:val="yFootnoteheading"/>
      </w:pPr>
      <w:r>
        <w:tab/>
        <w:t>[Heading inserted: Gazette 21 Jun 2019 p. 2133.]</w:t>
      </w:r>
    </w:p>
    <w:p>
      <w:pPr>
        <w:pStyle w:val="yHeading3"/>
      </w:pPr>
      <w:bookmarkStart w:id="32" w:name="_Toc42508042"/>
      <w:bookmarkStart w:id="33" w:name="_Toc42522513"/>
      <w:r>
        <w:rPr>
          <w:rStyle w:val="CharSDivNo"/>
        </w:rPr>
        <w:t>Division 1</w:t>
      </w:r>
      <w:r>
        <w:t> — </w:t>
      </w:r>
      <w:r>
        <w:rPr>
          <w:rStyle w:val="CharSDivText"/>
        </w:rPr>
        <w:t>Street lighting</w:t>
      </w:r>
      <w:bookmarkEnd w:id="32"/>
      <w:bookmarkEnd w:id="33"/>
    </w:p>
    <w:p>
      <w:pPr>
        <w:pStyle w:val="yFootnoteheading"/>
      </w:pPr>
      <w:r>
        <w:tab/>
        <w:t>[Heading inserted: Gazette 21 Jun 2019 p. 2133.]</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39.7706</w:t>
            </w:r>
          </w:p>
        </w:tc>
        <w:tc>
          <w:tcPr>
            <w:tcW w:w="1512" w:type="dxa"/>
          </w:tcPr>
          <w:p>
            <w:pPr>
              <w:pStyle w:val="yTableNAm"/>
            </w:pPr>
            <w:r>
              <w:rPr>
                <w:sz w:val="16"/>
                <w:szCs w:val="16"/>
              </w:rPr>
              <w:t>40.6169</w:t>
            </w:r>
          </w:p>
        </w:tc>
        <w:tc>
          <w:tcPr>
            <w:tcW w:w="1370" w:type="dxa"/>
          </w:tcPr>
          <w:p>
            <w:pPr>
              <w:pStyle w:val="yTableNAm"/>
            </w:pPr>
            <w:r>
              <w:rPr>
                <w:sz w:val="16"/>
                <w:szCs w:val="16"/>
              </w:rPr>
              <w:t>43.7482</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46.2502</w:t>
            </w:r>
          </w:p>
        </w:tc>
        <w:tc>
          <w:tcPr>
            <w:tcW w:w="1512" w:type="dxa"/>
          </w:tcPr>
          <w:p>
            <w:pPr>
              <w:pStyle w:val="yTableNAm"/>
            </w:pPr>
            <w:r>
              <w:rPr>
                <w:sz w:val="16"/>
                <w:szCs w:val="16"/>
              </w:rPr>
              <w:t>47.3500</w:t>
            </w:r>
          </w:p>
        </w:tc>
        <w:tc>
          <w:tcPr>
            <w:tcW w:w="1370" w:type="dxa"/>
          </w:tcPr>
          <w:p>
            <w:pPr>
              <w:pStyle w:val="yTableNAm"/>
            </w:pPr>
            <w:r>
              <w:rPr>
                <w:sz w:val="16"/>
                <w:szCs w:val="16"/>
              </w:rPr>
              <w:t>51.9473</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54.9343</w:t>
            </w:r>
          </w:p>
        </w:tc>
        <w:tc>
          <w:tcPr>
            <w:tcW w:w="1512" w:type="dxa"/>
          </w:tcPr>
          <w:p>
            <w:pPr>
              <w:pStyle w:val="yTableNAm"/>
            </w:pPr>
            <w:r>
              <w:rPr>
                <w:sz w:val="16"/>
                <w:szCs w:val="16"/>
              </w:rPr>
              <w:t>56.7707</w:t>
            </w:r>
          </w:p>
        </w:tc>
        <w:tc>
          <w:tcPr>
            <w:tcW w:w="1370" w:type="dxa"/>
          </w:tcPr>
          <w:p>
            <w:pPr>
              <w:pStyle w:val="yTableNAm"/>
            </w:pPr>
            <w:r>
              <w:rPr>
                <w:sz w:val="16"/>
                <w:szCs w:val="16"/>
              </w:rPr>
              <w:t>63.5593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51.3455</w:t>
            </w:r>
          </w:p>
        </w:tc>
        <w:tc>
          <w:tcPr>
            <w:tcW w:w="1512" w:type="dxa"/>
          </w:tcPr>
          <w:p>
            <w:pPr>
              <w:pStyle w:val="yTableNAm"/>
            </w:pPr>
            <w:r>
              <w:rPr>
                <w:sz w:val="16"/>
                <w:szCs w:val="16"/>
              </w:rPr>
              <w:t>53.0219</w:t>
            </w:r>
          </w:p>
        </w:tc>
        <w:tc>
          <w:tcPr>
            <w:tcW w:w="1370" w:type="dxa"/>
          </w:tcPr>
          <w:p>
            <w:pPr>
              <w:pStyle w:val="yTableNAm"/>
            </w:pPr>
            <w:r>
              <w:rPr>
                <w:sz w:val="16"/>
                <w:szCs w:val="16"/>
              </w:rPr>
              <w:t>59.7605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68.3570</w:t>
            </w:r>
          </w:p>
        </w:tc>
        <w:tc>
          <w:tcPr>
            <w:tcW w:w="1512" w:type="dxa"/>
          </w:tcPr>
          <w:p>
            <w:pPr>
              <w:pStyle w:val="yTableNAm"/>
            </w:pPr>
            <w:r>
              <w:rPr>
                <w:sz w:val="16"/>
                <w:szCs w:val="16"/>
              </w:rPr>
              <w:t>71.8828</w:t>
            </w:r>
          </w:p>
        </w:tc>
        <w:tc>
          <w:tcPr>
            <w:tcW w:w="1370" w:type="dxa"/>
          </w:tcPr>
          <w:p>
            <w:pPr>
              <w:pStyle w:val="yTableNAm"/>
            </w:pPr>
            <w:r>
              <w:rPr>
                <w:sz w:val="16"/>
                <w:szCs w:val="16"/>
              </w:rPr>
              <w:t>85.1413</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81.6671</w:t>
            </w:r>
          </w:p>
        </w:tc>
        <w:tc>
          <w:tcPr>
            <w:tcW w:w="1512" w:type="dxa"/>
          </w:tcPr>
          <w:p>
            <w:pPr>
              <w:pStyle w:val="yTableNAm"/>
            </w:pPr>
            <w:r>
              <w:rPr>
                <w:sz w:val="16"/>
                <w:szCs w:val="16"/>
              </w:rPr>
              <w:t>85.0517</w:t>
            </w:r>
          </w:p>
        </w:tc>
        <w:tc>
          <w:tcPr>
            <w:tcW w:w="1370" w:type="dxa"/>
          </w:tcPr>
          <w:p>
            <w:pPr>
              <w:pStyle w:val="yTableNAm"/>
            </w:pPr>
            <w:r>
              <w:rPr>
                <w:sz w:val="16"/>
                <w:szCs w:val="16"/>
              </w:rPr>
              <w:t>115.9997</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54.7447</w:t>
            </w:r>
          </w:p>
        </w:tc>
        <w:tc>
          <w:tcPr>
            <w:tcW w:w="1512" w:type="dxa"/>
          </w:tcPr>
          <w:p>
            <w:pPr>
              <w:pStyle w:val="yTableNAm"/>
            </w:pPr>
            <w:r>
              <w:rPr>
                <w:sz w:val="16"/>
                <w:szCs w:val="16"/>
              </w:rPr>
              <w:t>56.7739</w:t>
            </w:r>
          </w:p>
        </w:tc>
        <w:tc>
          <w:tcPr>
            <w:tcW w:w="1370" w:type="dxa"/>
          </w:tcPr>
          <w:p>
            <w:pPr>
              <w:pStyle w:val="yTableNAm"/>
            </w:pPr>
            <w:r>
              <w:rPr>
                <w:sz w:val="16"/>
                <w:szCs w:val="16"/>
              </w:rPr>
              <w:t>66.3222</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71.1148</w:t>
            </w:r>
          </w:p>
        </w:tc>
        <w:tc>
          <w:tcPr>
            <w:tcW w:w="1512" w:type="dxa"/>
          </w:tcPr>
          <w:p>
            <w:pPr>
              <w:pStyle w:val="yTableNAm"/>
            </w:pPr>
            <w:r>
              <w:rPr>
                <w:sz w:val="16"/>
                <w:szCs w:val="16"/>
              </w:rPr>
              <w:t>74.9966</w:t>
            </w:r>
          </w:p>
        </w:tc>
        <w:tc>
          <w:tcPr>
            <w:tcW w:w="1370" w:type="dxa"/>
          </w:tcPr>
          <w:p>
            <w:pPr>
              <w:pStyle w:val="yTableNAm"/>
            </w:pPr>
            <w:r>
              <w:rPr>
                <w:sz w:val="16"/>
                <w:szCs w:val="16"/>
              </w:rPr>
              <w:t>89.8633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265.4778</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41.9512</w:t>
            </w:r>
          </w:p>
        </w:tc>
        <w:tc>
          <w:tcPr>
            <w:tcW w:w="1512" w:type="dxa"/>
          </w:tcPr>
          <w:p>
            <w:pPr>
              <w:pStyle w:val="yTableNAm"/>
            </w:pPr>
            <w:r>
              <w:rPr>
                <w:sz w:val="16"/>
                <w:szCs w:val="16"/>
              </w:rPr>
              <w:t>42.9984</w:t>
            </w:r>
          </w:p>
        </w:tc>
        <w:tc>
          <w:tcPr>
            <w:tcW w:w="1370" w:type="dxa"/>
          </w:tcPr>
          <w:p>
            <w:pPr>
              <w:pStyle w:val="yTableNAm"/>
            </w:pPr>
            <w:r>
              <w:rPr>
                <w:sz w:val="16"/>
                <w:szCs w:val="16"/>
              </w:rPr>
              <w:t>46.0879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53.7659</w:t>
            </w:r>
          </w:p>
        </w:tc>
        <w:tc>
          <w:tcPr>
            <w:tcW w:w="1512" w:type="dxa"/>
          </w:tcPr>
          <w:p>
            <w:pPr>
              <w:pStyle w:val="yTableNAm"/>
            </w:pPr>
            <w:r>
              <w:rPr>
                <w:sz w:val="16"/>
                <w:szCs w:val="16"/>
              </w:rPr>
              <w:t>56.1502</w:t>
            </w:r>
          </w:p>
        </w:tc>
        <w:tc>
          <w:tcPr>
            <w:tcW w:w="1370" w:type="dxa"/>
          </w:tcPr>
          <w:p>
            <w:pPr>
              <w:pStyle w:val="yTableNAm"/>
            </w:pPr>
            <w:r>
              <w:rPr>
                <w:sz w:val="16"/>
                <w:szCs w:val="16"/>
              </w:rPr>
              <w:t>67.0044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57.3070</w:t>
            </w:r>
          </w:p>
        </w:tc>
        <w:tc>
          <w:tcPr>
            <w:tcW w:w="1512" w:type="dxa"/>
          </w:tcPr>
          <w:p>
            <w:pPr>
              <w:pStyle w:val="yTableNAm"/>
            </w:pPr>
            <w:r>
              <w:rPr>
                <w:sz w:val="16"/>
                <w:szCs w:val="16"/>
              </w:rPr>
              <w:t>60.8976</w:t>
            </w:r>
          </w:p>
        </w:tc>
        <w:tc>
          <w:tcPr>
            <w:tcW w:w="1370" w:type="dxa"/>
          </w:tcPr>
          <w:p>
            <w:pPr>
              <w:pStyle w:val="yTableNAm"/>
            </w:pPr>
            <w:r>
              <w:rPr>
                <w:sz w:val="16"/>
                <w:szCs w:val="16"/>
              </w:rPr>
              <w:t>76.8782</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39.2591</w:t>
            </w:r>
          </w:p>
        </w:tc>
        <w:tc>
          <w:tcPr>
            <w:tcW w:w="1512" w:type="dxa"/>
          </w:tcPr>
          <w:p>
            <w:pPr>
              <w:pStyle w:val="yTableNAm"/>
            </w:pPr>
            <w:r>
              <w:rPr>
                <w:sz w:val="16"/>
                <w:szCs w:val="16"/>
              </w:rPr>
              <w:t>39.6511</w:t>
            </w:r>
          </w:p>
        </w:tc>
        <w:tc>
          <w:tcPr>
            <w:tcW w:w="1370" w:type="dxa"/>
          </w:tcPr>
          <w:p>
            <w:pPr>
              <w:pStyle w:val="yTableNAm"/>
            </w:pPr>
            <w:r>
              <w:rPr>
                <w:sz w:val="16"/>
                <w:szCs w:val="16"/>
              </w:rPr>
              <w:t>40.2545</w:t>
            </w:r>
          </w:p>
        </w:tc>
      </w:tr>
      <w:tr>
        <w:trPr>
          <w:cantSplit/>
        </w:trPr>
        <w:tc>
          <w:tcPr>
            <w:tcW w:w="567" w:type="dxa"/>
          </w:tcPr>
          <w:p>
            <w:pPr>
              <w:pStyle w:val="yTableNAm"/>
            </w:pPr>
            <w:r>
              <w:rPr>
                <w:sz w:val="16"/>
                <w:szCs w:val="16"/>
              </w:rPr>
              <w:t>Z.63</w:t>
            </w:r>
          </w:p>
        </w:tc>
        <w:tc>
          <w:tcPr>
            <w:tcW w:w="851" w:type="dxa"/>
          </w:tcPr>
          <w:p>
            <w:pPr>
              <w:pStyle w:val="yTableNAm"/>
            </w:pPr>
            <w:r>
              <w:rPr>
                <w:sz w:val="16"/>
                <w:szCs w:val="16"/>
              </w:rPr>
              <w:t>120</w:t>
            </w:r>
          </w:p>
        </w:tc>
        <w:tc>
          <w:tcPr>
            <w:tcW w:w="992" w:type="dxa"/>
          </w:tcPr>
          <w:p>
            <w:pPr>
              <w:pStyle w:val="yTableNAm"/>
            </w:pPr>
            <w:r>
              <w:rPr>
                <w:sz w:val="16"/>
                <w:szCs w:val="16"/>
              </w:rPr>
              <w:t>LED</w:t>
            </w:r>
          </w:p>
        </w:tc>
        <w:tc>
          <w:tcPr>
            <w:tcW w:w="1512" w:type="dxa"/>
            <w:gridSpan w:val="2"/>
          </w:tcPr>
          <w:p>
            <w:pPr>
              <w:pStyle w:val="yTableNAm"/>
            </w:pPr>
            <w:r>
              <w:rPr>
                <w:sz w:val="16"/>
                <w:szCs w:val="16"/>
              </w:rPr>
              <w:t>50.2248</w:t>
            </w:r>
          </w:p>
        </w:tc>
        <w:tc>
          <w:tcPr>
            <w:tcW w:w="1512" w:type="dxa"/>
          </w:tcPr>
          <w:p>
            <w:pPr>
              <w:pStyle w:val="yTableNAm"/>
            </w:pPr>
            <w:r>
              <w:rPr>
                <w:sz w:val="16"/>
                <w:szCs w:val="16"/>
              </w:rPr>
              <w:t>51.7613</w:t>
            </w:r>
          </w:p>
        </w:tc>
        <w:tc>
          <w:tcPr>
            <w:tcW w:w="1370" w:type="dxa"/>
          </w:tcPr>
          <w:p>
            <w:pPr>
              <w:pStyle w:val="yTableNAm"/>
            </w:pPr>
            <w:r>
              <w:rPr>
                <w:sz w:val="16"/>
                <w:szCs w:val="16"/>
              </w:rPr>
              <w:t>59.0684</w:t>
            </w:r>
          </w:p>
        </w:tc>
      </w:tr>
      <w:tr>
        <w:trPr>
          <w:cantSplit/>
        </w:trPr>
        <w:tc>
          <w:tcPr>
            <w:tcW w:w="567" w:type="dxa"/>
          </w:tcPr>
          <w:p>
            <w:pPr>
              <w:pStyle w:val="yTableNAm"/>
            </w:pPr>
            <w:r>
              <w:rPr>
                <w:sz w:val="16"/>
                <w:szCs w:val="16"/>
              </w:rPr>
              <w:t>Z.64</w:t>
            </w:r>
          </w:p>
        </w:tc>
        <w:tc>
          <w:tcPr>
            <w:tcW w:w="851" w:type="dxa"/>
          </w:tcPr>
          <w:p>
            <w:pPr>
              <w:pStyle w:val="yTableNAm"/>
            </w:pPr>
            <w:r>
              <w:rPr>
                <w:sz w:val="16"/>
                <w:szCs w:val="16"/>
              </w:rPr>
              <w:t>180</w:t>
            </w:r>
          </w:p>
        </w:tc>
        <w:tc>
          <w:tcPr>
            <w:tcW w:w="992" w:type="dxa"/>
          </w:tcPr>
          <w:p>
            <w:pPr>
              <w:pStyle w:val="yTableNAm"/>
            </w:pPr>
            <w:r>
              <w:rPr>
                <w:sz w:val="16"/>
                <w:szCs w:val="16"/>
              </w:rPr>
              <w:t>LED</w:t>
            </w:r>
          </w:p>
        </w:tc>
        <w:tc>
          <w:tcPr>
            <w:tcW w:w="1512" w:type="dxa"/>
            <w:gridSpan w:val="2"/>
          </w:tcPr>
          <w:p>
            <w:pPr>
              <w:pStyle w:val="yTableNAm"/>
            </w:pPr>
            <w:r>
              <w:rPr>
                <w:sz w:val="16"/>
                <w:szCs w:val="16"/>
              </w:rPr>
              <w:t>57.1959</w:t>
            </w:r>
          </w:p>
        </w:tc>
        <w:tc>
          <w:tcPr>
            <w:tcW w:w="1512" w:type="dxa"/>
          </w:tcPr>
          <w:p>
            <w:pPr>
              <w:pStyle w:val="yTableNAm"/>
            </w:pPr>
            <w:r>
              <w:rPr>
                <w:sz w:val="16"/>
                <w:szCs w:val="16"/>
              </w:rPr>
              <w:t>60.7568</w:t>
            </w:r>
          </w:p>
        </w:tc>
        <w:tc>
          <w:tcPr>
            <w:tcW w:w="1370" w:type="dxa"/>
          </w:tcPr>
          <w:p>
            <w:pPr>
              <w:pStyle w:val="yTableNAm"/>
            </w:pPr>
            <w:r>
              <w:rPr>
                <w:sz w:val="16"/>
                <w:szCs w:val="16"/>
              </w:rPr>
              <w:t>76.6045</w:t>
            </w:r>
          </w:p>
        </w:tc>
      </w:tr>
      <w:tr>
        <w:trPr>
          <w:cantSplit/>
        </w:trPr>
        <w:tc>
          <w:tcPr>
            <w:tcW w:w="567" w:type="dxa"/>
          </w:tcPr>
          <w:p>
            <w:pPr>
              <w:pStyle w:val="yTableNAm"/>
            </w:pPr>
            <w:r>
              <w:rPr>
                <w:sz w:val="16"/>
                <w:szCs w:val="16"/>
              </w:rPr>
              <w:t>Z.65</w:t>
            </w:r>
          </w:p>
        </w:tc>
        <w:tc>
          <w:tcPr>
            <w:tcW w:w="851" w:type="dxa"/>
          </w:tcPr>
          <w:p>
            <w:pPr>
              <w:pStyle w:val="yTableNAm"/>
            </w:pPr>
            <w:r>
              <w:rPr>
                <w:sz w:val="16"/>
                <w:szCs w:val="16"/>
              </w:rPr>
              <w:t>18</w:t>
            </w:r>
          </w:p>
        </w:tc>
        <w:tc>
          <w:tcPr>
            <w:tcW w:w="992" w:type="dxa"/>
          </w:tcPr>
          <w:p>
            <w:pPr>
              <w:pStyle w:val="yTableNAm"/>
            </w:pPr>
            <w:r>
              <w:rPr>
                <w:sz w:val="16"/>
                <w:szCs w:val="16"/>
              </w:rPr>
              <w:t>LED</w:t>
            </w:r>
          </w:p>
        </w:tc>
        <w:tc>
          <w:tcPr>
            <w:tcW w:w="1512" w:type="dxa"/>
            <w:gridSpan w:val="2"/>
          </w:tcPr>
          <w:p>
            <w:pPr>
              <w:pStyle w:val="yTableNAm"/>
            </w:pPr>
            <w:r>
              <w:rPr>
                <w:sz w:val="16"/>
                <w:szCs w:val="16"/>
              </w:rPr>
              <w:t>38.5633</w:t>
            </w:r>
          </w:p>
        </w:tc>
        <w:tc>
          <w:tcPr>
            <w:tcW w:w="1512" w:type="dxa"/>
          </w:tcPr>
          <w:p>
            <w:pPr>
              <w:pStyle w:val="yTableNAm"/>
            </w:pPr>
            <w:r>
              <w:rPr>
                <w:sz w:val="16"/>
                <w:szCs w:val="16"/>
              </w:rPr>
              <w:t>38.7962</w:t>
            </w:r>
          </w:p>
        </w:tc>
        <w:tc>
          <w:tcPr>
            <w:tcW w:w="1370" w:type="dxa"/>
          </w:tcPr>
          <w:p>
            <w:pPr>
              <w:pStyle w:val="yTableNAm"/>
            </w:pPr>
            <w:r>
              <w:rPr>
                <w:sz w:val="16"/>
                <w:szCs w:val="16"/>
              </w:rPr>
              <w:t>38.8217</w:t>
            </w:r>
          </w:p>
        </w:tc>
      </w:tr>
      <w:tr>
        <w:trPr>
          <w:cantSplit/>
        </w:trPr>
        <w:tc>
          <w:tcPr>
            <w:tcW w:w="567" w:type="dxa"/>
          </w:tcPr>
          <w:p>
            <w:pPr>
              <w:pStyle w:val="yTableNAm"/>
            </w:pPr>
            <w:r>
              <w:rPr>
                <w:sz w:val="16"/>
                <w:szCs w:val="16"/>
              </w:rPr>
              <w:t>Z.66</w:t>
            </w:r>
          </w:p>
        </w:tc>
        <w:tc>
          <w:tcPr>
            <w:tcW w:w="851" w:type="dxa"/>
          </w:tcPr>
          <w:p>
            <w:pPr>
              <w:pStyle w:val="yTableNAm"/>
            </w:pPr>
            <w:r>
              <w:rPr>
                <w:sz w:val="16"/>
                <w:szCs w:val="16"/>
              </w:rPr>
              <w:t>20</w:t>
            </w:r>
          </w:p>
        </w:tc>
        <w:tc>
          <w:tcPr>
            <w:tcW w:w="992" w:type="dxa"/>
          </w:tcPr>
          <w:p>
            <w:pPr>
              <w:pStyle w:val="yTableNAm"/>
            </w:pPr>
            <w:r>
              <w:rPr>
                <w:sz w:val="16"/>
                <w:szCs w:val="16"/>
              </w:rPr>
              <w:t>LED</w:t>
            </w:r>
          </w:p>
        </w:tc>
        <w:tc>
          <w:tcPr>
            <w:tcW w:w="1512" w:type="dxa"/>
            <w:gridSpan w:val="2"/>
          </w:tcPr>
          <w:p>
            <w:pPr>
              <w:pStyle w:val="yTableNAm"/>
            </w:pPr>
            <w:r>
              <w:rPr>
                <w:sz w:val="16"/>
                <w:szCs w:val="16"/>
              </w:rPr>
              <w:t>38.6777</w:t>
            </w:r>
          </w:p>
        </w:tc>
        <w:tc>
          <w:tcPr>
            <w:tcW w:w="1512" w:type="dxa"/>
          </w:tcPr>
          <w:p>
            <w:pPr>
              <w:pStyle w:val="yTableNAm"/>
            </w:pPr>
            <w:r>
              <w:rPr>
                <w:sz w:val="16"/>
                <w:szCs w:val="16"/>
              </w:rPr>
              <w:t>38.9367</w:t>
            </w:r>
          </w:p>
        </w:tc>
        <w:tc>
          <w:tcPr>
            <w:tcW w:w="1370" w:type="dxa"/>
          </w:tcPr>
          <w:p>
            <w:pPr>
              <w:pStyle w:val="yTableNAm"/>
            </w:pPr>
            <w:r>
              <w:rPr>
                <w:sz w:val="16"/>
                <w:szCs w:val="16"/>
              </w:rPr>
              <w:t>39.0572</w:t>
            </w:r>
          </w:p>
        </w:tc>
      </w:tr>
      <w:tr>
        <w:trPr>
          <w:cantSplit/>
        </w:trPr>
        <w:tc>
          <w:tcPr>
            <w:tcW w:w="567" w:type="dxa"/>
          </w:tcPr>
          <w:p>
            <w:pPr>
              <w:pStyle w:val="yTableNAm"/>
            </w:pPr>
            <w:r>
              <w:rPr>
                <w:sz w:val="16"/>
                <w:szCs w:val="16"/>
              </w:rPr>
              <w:t>Z.67</w:t>
            </w:r>
          </w:p>
        </w:tc>
        <w:tc>
          <w:tcPr>
            <w:tcW w:w="851" w:type="dxa"/>
          </w:tcPr>
          <w:p>
            <w:pPr>
              <w:pStyle w:val="yTableNAm"/>
            </w:pPr>
            <w:r>
              <w:rPr>
                <w:sz w:val="16"/>
                <w:szCs w:val="16"/>
              </w:rPr>
              <w:t>53</w:t>
            </w:r>
          </w:p>
        </w:tc>
        <w:tc>
          <w:tcPr>
            <w:tcW w:w="992" w:type="dxa"/>
          </w:tcPr>
          <w:p>
            <w:pPr>
              <w:pStyle w:val="yTableNAm"/>
            </w:pPr>
            <w:r>
              <w:rPr>
                <w:sz w:val="16"/>
                <w:szCs w:val="16"/>
              </w:rPr>
              <w:t>LED</w:t>
            </w:r>
          </w:p>
        </w:tc>
        <w:tc>
          <w:tcPr>
            <w:tcW w:w="1512" w:type="dxa"/>
            <w:gridSpan w:val="2"/>
          </w:tcPr>
          <w:p>
            <w:pPr>
              <w:pStyle w:val="yTableNAm"/>
            </w:pPr>
            <w:r>
              <w:rPr>
                <w:sz w:val="16"/>
                <w:szCs w:val="16"/>
              </w:rPr>
              <w:t>41.5806</w:t>
            </w:r>
          </w:p>
        </w:tc>
        <w:tc>
          <w:tcPr>
            <w:tcW w:w="1512" w:type="dxa"/>
          </w:tcPr>
          <w:p>
            <w:pPr>
              <w:pStyle w:val="yTableNAm"/>
            </w:pPr>
            <w:r>
              <w:rPr>
                <w:sz w:val="16"/>
                <w:szCs w:val="16"/>
              </w:rPr>
              <w:t>42.5380</w:t>
            </w:r>
          </w:p>
        </w:tc>
        <w:tc>
          <w:tcPr>
            <w:tcW w:w="1370" w:type="dxa"/>
          </w:tcPr>
          <w:p>
            <w:pPr>
              <w:pStyle w:val="yTableNAm"/>
            </w:pPr>
            <w:r>
              <w:rPr>
                <w:sz w:val="16"/>
                <w:szCs w:val="16"/>
              </w:rPr>
              <w:t>45.2835</w:t>
            </w:r>
          </w:p>
        </w:tc>
      </w:tr>
      <w:tr>
        <w:trPr>
          <w:cantSplit/>
        </w:trPr>
        <w:tc>
          <w:tcPr>
            <w:tcW w:w="567" w:type="dxa"/>
          </w:tcPr>
          <w:p>
            <w:pPr>
              <w:pStyle w:val="yTableNAm"/>
            </w:pPr>
            <w:r>
              <w:rPr>
                <w:sz w:val="16"/>
                <w:szCs w:val="16"/>
              </w:rPr>
              <w:t>Z.68</w:t>
            </w:r>
          </w:p>
        </w:tc>
        <w:tc>
          <w:tcPr>
            <w:tcW w:w="851" w:type="dxa"/>
          </w:tcPr>
          <w:p>
            <w:pPr>
              <w:pStyle w:val="yTableNAm"/>
            </w:pPr>
            <w:r>
              <w:rPr>
                <w:sz w:val="16"/>
                <w:szCs w:val="16"/>
              </w:rPr>
              <w:t>80</w:t>
            </w:r>
          </w:p>
        </w:tc>
        <w:tc>
          <w:tcPr>
            <w:tcW w:w="992" w:type="dxa"/>
          </w:tcPr>
          <w:p>
            <w:pPr>
              <w:pStyle w:val="yTableNAm"/>
            </w:pPr>
            <w:r>
              <w:rPr>
                <w:sz w:val="16"/>
                <w:szCs w:val="16"/>
              </w:rPr>
              <w:t>LED</w:t>
            </w:r>
          </w:p>
        </w:tc>
        <w:tc>
          <w:tcPr>
            <w:tcW w:w="1512" w:type="dxa"/>
            <w:gridSpan w:val="2"/>
          </w:tcPr>
          <w:p>
            <w:pPr>
              <w:pStyle w:val="yTableNAm"/>
            </w:pPr>
            <w:r>
              <w:rPr>
                <w:sz w:val="16"/>
                <w:szCs w:val="16"/>
              </w:rPr>
              <w:t>42.3919</w:t>
            </w:r>
          </w:p>
        </w:tc>
        <w:tc>
          <w:tcPr>
            <w:tcW w:w="1512" w:type="dxa"/>
          </w:tcPr>
          <w:p>
            <w:pPr>
              <w:pStyle w:val="yTableNAm"/>
            </w:pPr>
            <w:r>
              <w:rPr>
                <w:sz w:val="16"/>
                <w:szCs w:val="16"/>
              </w:rPr>
              <w:t>43.5460</w:t>
            </w:r>
          </w:p>
        </w:tc>
        <w:tc>
          <w:tcPr>
            <w:tcW w:w="1370" w:type="dxa"/>
          </w:tcPr>
          <w:p>
            <w:pPr>
              <w:pStyle w:val="yTableNAm"/>
            </w:pPr>
            <w:r>
              <w:rPr>
                <w:sz w:val="16"/>
                <w:szCs w:val="16"/>
              </w:rPr>
              <w:t>47.0444</w:t>
            </w:r>
          </w:p>
        </w:tc>
      </w:tr>
      <w:tr>
        <w:trPr>
          <w:cantSplit/>
        </w:trPr>
        <w:tc>
          <w:tcPr>
            <w:tcW w:w="567" w:type="dxa"/>
          </w:tcPr>
          <w:p>
            <w:pPr>
              <w:pStyle w:val="yTableNAm"/>
            </w:pPr>
            <w:r>
              <w:rPr>
                <w:sz w:val="16"/>
                <w:szCs w:val="16"/>
              </w:rPr>
              <w:t>Z.69</w:t>
            </w:r>
          </w:p>
        </w:tc>
        <w:tc>
          <w:tcPr>
            <w:tcW w:w="851" w:type="dxa"/>
          </w:tcPr>
          <w:p>
            <w:pPr>
              <w:pStyle w:val="yTableNAm"/>
            </w:pPr>
            <w:r>
              <w:rPr>
                <w:sz w:val="16"/>
                <w:szCs w:val="16"/>
              </w:rPr>
              <w:t>160</w:t>
            </w:r>
          </w:p>
        </w:tc>
        <w:tc>
          <w:tcPr>
            <w:tcW w:w="992" w:type="dxa"/>
          </w:tcPr>
          <w:p>
            <w:pPr>
              <w:pStyle w:val="yTableNAm"/>
            </w:pPr>
            <w:r>
              <w:rPr>
                <w:sz w:val="16"/>
                <w:szCs w:val="16"/>
              </w:rPr>
              <w:t>LED</w:t>
            </w:r>
          </w:p>
        </w:tc>
        <w:tc>
          <w:tcPr>
            <w:tcW w:w="1512" w:type="dxa"/>
            <w:gridSpan w:val="2"/>
          </w:tcPr>
          <w:p>
            <w:pPr>
              <w:pStyle w:val="yTableNAm"/>
            </w:pPr>
            <w:r>
              <w:rPr>
                <w:sz w:val="16"/>
                <w:szCs w:val="16"/>
              </w:rPr>
              <w:t>51.6095</w:t>
            </w:r>
          </w:p>
        </w:tc>
        <w:tc>
          <w:tcPr>
            <w:tcW w:w="1512" w:type="dxa"/>
          </w:tcPr>
          <w:p>
            <w:pPr>
              <w:pStyle w:val="yTableNAm"/>
            </w:pPr>
            <w:r>
              <w:rPr>
                <w:sz w:val="16"/>
                <w:szCs w:val="16"/>
              </w:rPr>
              <w:t>53.4776</w:t>
            </w:r>
          </w:p>
        </w:tc>
        <w:tc>
          <w:tcPr>
            <w:tcW w:w="1370" w:type="dxa"/>
          </w:tcPr>
          <w:p>
            <w:pPr>
              <w:pStyle w:val="yTableNAm"/>
            </w:pPr>
            <w:r>
              <w:rPr>
                <w:sz w:val="16"/>
                <w:szCs w:val="16"/>
              </w:rPr>
              <w:t>62.1718</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70.9693</w:t>
            </w:r>
          </w:p>
        </w:tc>
        <w:tc>
          <w:tcPr>
            <w:tcW w:w="1512" w:type="dxa"/>
          </w:tcPr>
          <w:p>
            <w:pPr>
              <w:pStyle w:val="yTableNAm"/>
            </w:pPr>
            <w:r>
              <w:rPr>
                <w:sz w:val="16"/>
                <w:szCs w:val="16"/>
              </w:rPr>
              <w:t>74.1477</w:t>
            </w:r>
          </w:p>
        </w:tc>
        <w:tc>
          <w:tcPr>
            <w:tcW w:w="1370" w:type="dxa"/>
          </w:tcPr>
          <w:p>
            <w:pPr>
              <w:pStyle w:val="yTableNAm"/>
            </w:pPr>
            <w:r>
              <w:rPr>
                <w:sz w:val="16"/>
                <w:szCs w:val="16"/>
              </w:rPr>
              <w:t>87.5580</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95.6262</w:t>
            </w:r>
          </w:p>
        </w:tc>
        <w:tc>
          <w:tcPr>
            <w:tcW w:w="1512" w:type="dxa"/>
          </w:tcPr>
          <w:p>
            <w:pPr>
              <w:pStyle w:val="yTableNAm"/>
            </w:pPr>
            <w:r>
              <w:rPr>
                <w:sz w:val="16"/>
                <w:szCs w:val="16"/>
              </w:rPr>
              <w:t>100.6154</w:t>
            </w:r>
          </w:p>
        </w:tc>
        <w:tc>
          <w:tcPr>
            <w:tcW w:w="1370" w:type="dxa"/>
          </w:tcPr>
          <w:p>
            <w:pPr>
              <w:pStyle w:val="yTableNAm"/>
            </w:pPr>
            <w:r>
              <w:rPr>
                <w:sz w:val="16"/>
                <w:szCs w:val="16"/>
              </w:rPr>
              <w:t>121.6606</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67.2142</w:t>
            </w:r>
          </w:p>
        </w:tc>
        <w:tc>
          <w:tcPr>
            <w:tcW w:w="1512" w:type="dxa"/>
          </w:tcPr>
          <w:p>
            <w:pPr>
              <w:pStyle w:val="yTableNAm"/>
            </w:pPr>
            <w:r>
              <w:rPr>
                <w:sz w:val="16"/>
                <w:szCs w:val="16"/>
              </w:rPr>
              <w:t>69.0138</w:t>
            </w:r>
          </w:p>
        </w:tc>
        <w:tc>
          <w:tcPr>
            <w:tcW w:w="1370" w:type="dxa"/>
          </w:tcPr>
          <w:p>
            <w:pPr>
              <w:pStyle w:val="yTableNAm"/>
            </w:pPr>
            <w:r>
              <w:rPr>
                <w:sz w:val="16"/>
                <w:szCs w:val="16"/>
              </w:rPr>
              <w:t>78.7944</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77.1398</w:t>
            </w:r>
          </w:p>
        </w:tc>
        <w:tc>
          <w:tcPr>
            <w:tcW w:w="1512" w:type="dxa"/>
          </w:tcPr>
          <w:p>
            <w:pPr>
              <w:pStyle w:val="yTableNAm"/>
            </w:pPr>
            <w:r>
              <w:rPr>
                <w:sz w:val="16"/>
                <w:szCs w:val="16"/>
              </w:rPr>
              <w:t>80.7650</w:t>
            </w:r>
          </w:p>
        </w:tc>
        <w:tc>
          <w:tcPr>
            <w:tcW w:w="1370" w:type="dxa"/>
          </w:tcPr>
          <w:p>
            <w:pPr>
              <w:pStyle w:val="yTableNAm"/>
            </w:pPr>
            <w:r>
              <w:rPr>
                <w:sz w:val="16"/>
                <w:szCs w:val="16"/>
              </w:rPr>
              <w:t>95.8963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86.3146</w:t>
            </w:r>
          </w:p>
        </w:tc>
        <w:tc>
          <w:tcPr>
            <w:tcW w:w="1512" w:type="dxa"/>
          </w:tcPr>
          <w:p>
            <w:pPr>
              <w:pStyle w:val="yTableNAm"/>
            </w:pPr>
            <w:r>
              <w:rPr>
                <w:sz w:val="16"/>
                <w:szCs w:val="16"/>
              </w:rPr>
              <w:t>89.9734</w:t>
            </w:r>
          </w:p>
        </w:tc>
        <w:tc>
          <w:tcPr>
            <w:tcW w:w="1370" w:type="dxa"/>
          </w:tcPr>
          <w:p>
            <w:pPr>
              <w:pStyle w:val="yTableNAm"/>
            </w:pPr>
            <w:r>
              <w:rPr>
                <w:sz w:val="16"/>
                <w:szCs w:val="16"/>
              </w:rPr>
              <w:t>105.1160</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34.4482</w:t>
            </w:r>
          </w:p>
        </w:tc>
        <w:tc>
          <w:tcPr>
            <w:tcW w:w="1512" w:type="dxa"/>
          </w:tcPr>
          <w:p>
            <w:pPr>
              <w:pStyle w:val="yTableNAm"/>
            </w:pPr>
            <w:r>
              <w:rPr>
                <w:sz w:val="16"/>
                <w:szCs w:val="16"/>
              </w:rPr>
              <w:t>35.1858</w:t>
            </w:r>
          </w:p>
        </w:tc>
        <w:tc>
          <w:tcPr>
            <w:tcW w:w="1370" w:type="dxa"/>
          </w:tcPr>
          <w:p>
            <w:pPr>
              <w:pStyle w:val="yTableNAm"/>
            </w:pPr>
            <w:r>
              <w:rPr>
                <w:sz w:val="16"/>
                <w:szCs w:val="16"/>
              </w:rPr>
              <w:t>37.8510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34.3299</w:t>
            </w:r>
          </w:p>
        </w:tc>
        <w:tc>
          <w:tcPr>
            <w:tcW w:w="1512" w:type="dxa"/>
          </w:tcPr>
          <w:p>
            <w:pPr>
              <w:pStyle w:val="yTableNAm"/>
            </w:pPr>
            <w:r>
              <w:rPr>
                <w:sz w:val="16"/>
                <w:szCs w:val="16"/>
              </w:rPr>
              <w:t>35.6143</w:t>
            </w:r>
          </w:p>
        </w:tc>
        <w:tc>
          <w:tcPr>
            <w:tcW w:w="1370" w:type="dxa"/>
          </w:tcPr>
          <w:p>
            <w:pPr>
              <w:pStyle w:val="yTableNAm"/>
            </w:pPr>
            <w:r>
              <w:rPr>
                <w:sz w:val="16"/>
                <w:szCs w:val="16"/>
              </w:rPr>
              <w:t>39.5902</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40.5667</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50.1719</w:t>
            </w:r>
          </w:p>
        </w:tc>
        <w:tc>
          <w:tcPr>
            <w:tcW w:w="1512" w:type="dxa"/>
          </w:tcPr>
          <w:p>
            <w:pPr>
              <w:pStyle w:val="yTableNAm"/>
            </w:pPr>
            <w:r>
              <w:rPr>
                <w:sz w:val="16"/>
                <w:szCs w:val="16"/>
              </w:rPr>
              <w:t>51.7979</w:t>
            </w:r>
          </w:p>
        </w:tc>
        <w:tc>
          <w:tcPr>
            <w:tcW w:w="1370" w:type="dxa"/>
          </w:tcPr>
          <w:p>
            <w:pPr>
              <w:pStyle w:val="yTableNAm"/>
            </w:pPr>
            <w:r>
              <w:rPr>
                <w:sz w:val="16"/>
                <w:szCs w:val="16"/>
              </w:rPr>
              <w:t>57.6650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80.6807</w:t>
            </w:r>
          </w:p>
        </w:tc>
        <w:tc>
          <w:tcPr>
            <w:tcW w:w="1512" w:type="dxa"/>
          </w:tcPr>
          <w:p>
            <w:pPr>
              <w:pStyle w:val="yTableNAm"/>
            </w:pPr>
            <w:r>
              <w:rPr>
                <w:sz w:val="16"/>
                <w:szCs w:val="16"/>
              </w:rPr>
              <w:t>83.8322</w:t>
            </w:r>
          </w:p>
        </w:tc>
        <w:tc>
          <w:tcPr>
            <w:tcW w:w="1370" w:type="dxa"/>
          </w:tcPr>
          <w:p>
            <w:pPr>
              <w:pStyle w:val="yTableNAm"/>
            </w:pPr>
            <w:r>
              <w:rPr>
                <w:sz w:val="16"/>
                <w:szCs w:val="16"/>
              </w:rPr>
              <w:t>95.6669</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39.1321</w:t>
            </w:r>
          </w:p>
        </w:tc>
        <w:tc>
          <w:tcPr>
            <w:tcW w:w="1512" w:type="dxa"/>
          </w:tcPr>
          <w:p>
            <w:pPr>
              <w:pStyle w:val="yTableNAm"/>
            </w:pPr>
            <w:r>
              <w:rPr>
                <w:sz w:val="16"/>
                <w:szCs w:val="16"/>
              </w:rPr>
              <w:t>39.8326</w:t>
            </w:r>
          </w:p>
        </w:tc>
        <w:tc>
          <w:tcPr>
            <w:tcW w:w="1370" w:type="dxa"/>
          </w:tcPr>
          <w:p>
            <w:pPr>
              <w:pStyle w:val="yTableNAm"/>
            </w:pPr>
            <w:r>
              <w:rPr>
                <w:sz w:val="16"/>
                <w:szCs w:val="16"/>
              </w:rPr>
              <w:t>42.4119</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40.5665</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Z.58</w:t>
            </w:r>
          </w:p>
        </w:tc>
        <w:tc>
          <w:tcPr>
            <w:tcW w:w="851" w:type="dxa"/>
          </w:tcPr>
          <w:p>
            <w:pPr>
              <w:pStyle w:val="yTableNAm"/>
            </w:pPr>
            <w:r>
              <w:rPr>
                <w:sz w:val="16"/>
                <w:szCs w:val="16"/>
              </w:rPr>
              <w:t>160</w:t>
            </w:r>
          </w:p>
        </w:tc>
        <w:tc>
          <w:tcPr>
            <w:tcW w:w="1134" w:type="dxa"/>
            <w:gridSpan w:val="2"/>
          </w:tcPr>
          <w:p>
            <w:pPr>
              <w:pStyle w:val="yTableNAm"/>
            </w:pPr>
            <w:r>
              <w:rPr>
                <w:sz w:val="16"/>
                <w:szCs w:val="16"/>
              </w:rPr>
              <w:t>Fluorescent</w:t>
            </w:r>
          </w:p>
        </w:tc>
        <w:tc>
          <w:tcPr>
            <w:tcW w:w="1370" w:type="dxa"/>
          </w:tcPr>
          <w:p>
            <w:pPr>
              <w:pStyle w:val="yTableNAm"/>
            </w:pPr>
            <w:r>
              <w:rPr>
                <w:sz w:val="16"/>
                <w:szCs w:val="16"/>
              </w:rPr>
              <w:t>56.7433</w:t>
            </w:r>
          </w:p>
        </w:tc>
        <w:tc>
          <w:tcPr>
            <w:tcW w:w="1512" w:type="dxa"/>
          </w:tcPr>
          <w:p>
            <w:pPr>
              <w:pStyle w:val="yTableNAm"/>
            </w:pPr>
            <w:r>
              <w:rPr>
                <w:sz w:val="16"/>
                <w:szCs w:val="16"/>
              </w:rPr>
              <w:t>57.5309</w:t>
            </w:r>
          </w:p>
        </w:tc>
        <w:tc>
          <w:tcPr>
            <w:tcW w:w="1370" w:type="dxa"/>
          </w:tcPr>
          <w:p>
            <w:pPr>
              <w:pStyle w:val="yTableNAm"/>
            </w:pPr>
            <w:r>
              <w:rPr>
                <w:sz w:val="16"/>
                <w:szCs w:val="16"/>
              </w:rPr>
              <w:t>66.7505</w:t>
            </w:r>
          </w:p>
        </w:tc>
      </w:tr>
    </w:tbl>
    <w:p>
      <w:pPr>
        <w:pStyle w:val="yFootnotesection"/>
      </w:pPr>
      <w:r>
        <w:tab/>
        <w:t>[Division 1 inserted: Gazette 21 Jun 2019 p. 2133</w:t>
      </w:r>
      <w:r>
        <w:noBreakHyphen/>
        <w:t>5.]</w:t>
      </w:r>
    </w:p>
    <w:p>
      <w:pPr>
        <w:pStyle w:val="yHeading3"/>
      </w:pPr>
      <w:bookmarkStart w:id="34" w:name="_Toc42508043"/>
      <w:bookmarkStart w:id="35" w:name="_Toc42522514"/>
      <w:r>
        <w:t>Division 2 — Miscellaneous</w:t>
      </w:r>
      <w:bookmarkEnd w:id="34"/>
      <w:bookmarkEnd w:id="35"/>
    </w:p>
    <w:p>
      <w:pPr>
        <w:pStyle w:val="yFootnoteheading"/>
      </w:pPr>
      <w:r>
        <w:tab/>
        <w:t>[Heading inserted: Gazette 21 Jun 2019 p. 2135.]</w:t>
      </w:r>
    </w:p>
    <w:p>
      <w:pPr>
        <w:pStyle w:val="yHeading5"/>
      </w:pPr>
      <w:bookmarkStart w:id="36" w:name="_Toc42522515"/>
      <w:r>
        <w:rPr>
          <w:rStyle w:val="CharSClsNo"/>
        </w:rPr>
        <w:t>1</w:t>
      </w:r>
      <w:r>
        <w:t>.</w:t>
      </w:r>
      <w:r>
        <w:tab/>
        <w:t>Traffic light installation</w:t>
      </w:r>
      <w:bookmarkEnd w:id="36"/>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2135.]</w:t>
      </w:r>
    </w:p>
    <w:p>
      <w:pPr>
        <w:pStyle w:val="yHeading5"/>
      </w:pPr>
      <w:bookmarkStart w:id="37" w:name="_Toc42522516"/>
      <w:r>
        <w:rPr>
          <w:rStyle w:val="CharSClsNo"/>
        </w:rPr>
        <w:t>2</w:t>
      </w:r>
      <w:r>
        <w:t>.</w:t>
      </w:r>
      <w:r>
        <w:tab/>
        <w:t>Public telephone facility</w:t>
      </w:r>
      <w:bookmarkEnd w:id="37"/>
    </w:p>
    <w:p>
      <w:pPr>
        <w:pStyle w:val="ySubsection"/>
      </w:pPr>
      <w:r>
        <w:tab/>
      </w:r>
      <w:r>
        <w:tab/>
        <w:t>Supply of electricity to a standard public telephone facility where supply is not independently metered comprises a charge of 64.7219 cents per day.</w:t>
      </w:r>
    </w:p>
    <w:p>
      <w:pPr>
        <w:pStyle w:val="yFootnotesection"/>
      </w:pPr>
      <w:r>
        <w:tab/>
        <w:t>[Clause 2 inserted: Gazette 21 Jun 2019 p. 2135.]</w:t>
      </w:r>
    </w:p>
    <w:p>
      <w:pPr>
        <w:pStyle w:val="yHeading5"/>
      </w:pPr>
      <w:bookmarkStart w:id="38" w:name="_Toc42522517"/>
      <w:r>
        <w:rPr>
          <w:rStyle w:val="CharSClsNo"/>
        </w:rPr>
        <w:t>3</w:t>
      </w:r>
      <w:r>
        <w:t>.</w:t>
      </w:r>
      <w:r>
        <w:tab/>
        <w:t>Railway crossing</w:t>
      </w:r>
      <w:bookmarkEnd w:id="38"/>
    </w:p>
    <w:p>
      <w:pPr>
        <w:pStyle w:val="ySubsection"/>
      </w:pPr>
      <w:r>
        <w:tab/>
      </w:r>
      <w:r>
        <w:tab/>
        <w:t>Supply of electricity to standard railway crossing lights comprises a charge of 82.7103</w:t>
      </w:r>
      <w:r>
        <w:rPr>
          <w:szCs w:val="22"/>
        </w:rPr>
        <w:t xml:space="preserve"> </w:t>
      </w:r>
      <w:r>
        <w:t>cents per day.</w:t>
      </w:r>
    </w:p>
    <w:p>
      <w:pPr>
        <w:pStyle w:val="yFootnotesection"/>
      </w:pPr>
      <w:r>
        <w:tab/>
        <w:t>[Clause 3 inserted: Gazette 21 Jun 2019 p. 2135.]</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rPr>
          <w:rStyle w:val="CharSchText"/>
        </w:rPr>
      </w:pPr>
      <w:bookmarkStart w:id="39" w:name="_Toc42508047"/>
      <w:bookmarkStart w:id="40" w:name="_Toc42522518"/>
      <w:r>
        <w:rPr>
          <w:rStyle w:val="CharSchNo"/>
        </w:rPr>
        <w:t>Schedule 3</w:t>
      </w:r>
      <w:r>
        <w:rPr>
          <w:rStyle w:val="CharSDivNo"/>
        </w:rPr>
        <w:t> </w:t>
      </w:r>
      <w:r>
        <w:t>—</w:t>
      </w:r>
      <w:r>
        <w:rPr>
          <w:rStyle w:val="CharSDivText"/>
        </w:rPr>
        <w:t> </w:t>
      </w:r>
      <w:r>
        <w:rPr>
          <w:rStyle w:val="CharSchText"/>
        </w:rPr>
        <w:t>Meter rentals</w:t>
      </w:r>
      <w:bookmarkEnd w:id="39"/>
      <w:bookmarkEnd w:id="40"/>
    </w:p>
    <w:p>
      <w:pPr>
        <w:pStyle w:val="yShoulderClause"/>
      </w:pPr>
      <w:r>
        <w:t>[bl. 6(1)]</w:t>
      </w:r>
    </w:p>
    <w:p>
      <w:pPr>
        <w:pStyle w:val="yFootnoteheading"/>
      </w:pPr>
      <w:r>
        <w:tab/>
        <w:t>[Heading inserted: Gazette 26 Jun 2018 p. 2370.]</w:t>
      </w:r>
    </w:p>
    <w:p>
      <w:pPr>
        <w:pStyle w:val="ySubsection"/>
        <w:rPr>
          <w:b/>
        </w:rPr>
      </w:pPr>
    </w:p>
    <w:p>
      <w:pPr>
        <w:pStyle w:val="ySubsection"/>
      </w:pPr>
      <w:r>
        <w:tab/>
      </w:r>
      <w:r>
        <w:tab/>
        <w:t>The rental payable in respect of a subsidiary meter is 16.49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Ednotesection"/>
      </w:pPr>
      <w:r>
        <w:tab/>
        <w:t>[Schedule 3 inserted: Gazette 26 Jun 2018 p. 2370.]</w:t>
      </w:r>
    </w:p>
    <w:p>
      <w:pPr>
        <w:pStyle w:val="yScheduleHeading"/>
      </w:pPr>
      <w:bookmarkStart w:id="41" w:name="_Toc42508048"/>
      <w:bookmarkStart w:id="42" w:name="_Toc42522519"/>
      <w:r>
        <w:rPr>
          <w:rStyle w:val="CharSchNo"/>
        </w:rPr>
        <w:t>Schedule 4</w:t>
      </w:r>
      <w:r>
        <w:t> — </w:t>
      </w:r>
      <w:r>
        <w:rPr>
          <w:rStyle w:val="CharSchText"/>
        </w:rPr>
        <w:t>Fees</w:t>
      </w:r>
      <w:bookmarkEnd w:id="41"/>
      <w:bookmarkEnd w:id="42"/>
    </w:p>
    <w:p>
      <w:pPr>
        <w:pStyle w:val="yShoulderClause"/>
      </w:pPr>
      <w:r>
        <w:t>[bl. 7]</w:t>
      </w:r>
    </w:p>
    <w:p>
      <w:pPr>
        <w:pStyle w:val="yFootnoteheading"/>
        <w:spacing w:after="60"/>
      </w:pPr>
      <w:r>
        <w:tab/>
        <w:t>[Heading inserted: Gazette 21 Jun 2019 p. 2135.]</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18"/>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$23.60</w:t>
            </w:r>
          </w:p>
        </w:tc>
      </w:tr>
      <w:tr>
        <w:trPr>
          <w:cantSplit/>
        </w:trPr>
        <w:tc>
          <w:tcPr>
            <w:tcW w:w="567" w:type="dxa"/>
          </w:tcPr>
          <w:p>
            <w:pPr>
              <w:pStyle w:val="yTableNAm"/>
            </w:pPr>
            <w:r>
              <w:t>2.</w:t>
            </w:r>
          </w:p>
        </w:tc>
        <w:tc>
          <w:tcPr>
            <w:tcW w:w="5245" w:type="dxa"/>
          </w:tcPr>
          <w:p>
            <w:pPr>
              <w:pStyle w:val="yTableNAm"/>
              <w:tabs>
                <w:tab w:val="right" w:leader="dot" w:pos="5018"/>
              </w:tabs>
            </w:pPr>
            <w:r>
              <w:t xml:space="preserve">Three phase residential installation — new installation of three phase meter or replacement of single phase meter with three phase meter </w:t>
            </w:r>
            <w:r>
              <w:tab/>
            </w:r>
          </w:p>
        </w:tc>
        <w:tc>
          <w:tcPr>
            <w:tcW w:w="1276" w:type="dxa"/>
          </w:tcPr>
          <w:p>
            <w:pPr>
              <w:pStyle w:val="yTableNAm"/>
            </w:pPr>
            <w:r>
              <w:br/>
            </w:r>
            <w:r>
              <w:br/>
              <w:t>$901.00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300"/>
                <w:tab w:val="left" w:pos="807"/>
                <w:tab w:val="right" w:leader="dot" w:pos="5018"/>
              </w:tabs>
              <w:ind w:left="833" w:hanging="833"/>
            </w:pPr>
            <w:r>
              <w:tab/>
              <w:t>(a)</w:t>
            </w:r>
            <w:r>
              <w:tab/>
              <w:t xml:space="preserve">single phase (overhead) </w:t>
            </w:r>
            <w:r>
              <w:tab/>
            </w:r>
          </w:p>
          <w:p>
            <w:pPr>
              <w:pStyle w:val="yTableNAm"/>
              <w:tabs>
                <w:tab w:val="clear" w:pos="567"/>
                <w:tab w:val="left" w:pos="300"/>
                <w:tab w:val="left" w:pos="807"/>
                <w:tab w:val="right" w:leader="dot" w:pos="5018"/>
              </w:tabs>
              <w:ind w:left="833" w:hanging="833"/>
              <w:rPr>
                <w:b/>
                <w:iCs/>
              </w:rPr>
            </w:pPr>
            <w:r>
              <w:tab/>
              <w:t>(b)</w:t>
            </w:r>
            <w:r>
              <w:tab/>
              <w:t xml:space="preserve">three phase (overhead) </w:t>
            </w:r>
            <w:r>
              <w:tab/>
            </w:r>
          </w:p>
        </w:tc>
        <w:tc>
          <w:tcPr>
            <w:tcW w:w="1276" w:type="dxa"/>
          </w:tcPr>
          <w:p>
            <w:pPr>
              <w:pStyle w:val="yTableNAm"/>
            </w:pPr>
          </w:p>
          <w:p>
            <w:pPr>
              <w:pStyle w:val="yTableNAm"/>
            </w:pPr>
            <w:r>
              <w:t>$901.00</w:t>
            </w:r>
          </w:p>
          <w:p>
            <w:pPr>
              <w:pStyle w:val="yTableNAm"/>
            </w:pPr>
            <w:r>
              <w:t>$901.00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300"/>
                <w:tab w:val="left" w:pos="807"/>
                <w:tab w:val="right" w:leader="dot" w:pos="5018"/>
              </w:tabs>
              <w:ind w:left="833" w:hanging="833"/>
            </w:pPr>
            <w:r>
              <w:tab/>
              <w:t>(a)</w:t>
            </w:r>
            <w:r>
              <w:tab/>
              <w:t xml:space="preserve">standard meter testing fee </w:t>
            </w:r>
            <w:r>
              <w:tab/>
            </w:r>
          </w:p>
          <w:p>
            <w:pPr>
              <w:pStyle w:val="yTableNAm"/>
              <w:tabs>
                <w:tab w:val="clear" w:pos="567"/>
                <w:tab w:val="left" w:pos="300"/>
                <w:tab w:val="left" w:pos="807"/>
                <w:tab w:val="right" w:leader="dot" w:pos="5018"/>
              </w:tabs>
              <w:ind w:left="833" w:hanging="833"/>
            </w:pPr>
            <w:r>
              <w:tab/>
              <w:t>(b)</w:t>
            </w:r>
            <w:r>
              <w:tab/>
              <w:t xml:space="preserve">reduced meter testing fee </w:t>
            </w:r>
            <w:r>
              <w:tab/>
            </w:r>
          </w:p>
        </w:tc>
        <w:tc>
          <w:tcPr>
            <w:tcW w:w="1276" w:type="dxa"/>
          </w:tcPr>
          <w:p>
            <w:pPr>
              <w:pStyle w:val="yTableNAm"/>
            </w:pPr>
          </w:p>
          <w:p>
            <w:pPr>
              <w:pStyle w:val="yTableNAm"/>
            </w:pPr>
            <w:r>
              <w:t>$243.60</w:t>
            </w:r>
          </w:p>
          <w:p>
            <w:pPr>
              <w:pStyle w:val="yTableNAm"/>
            </w:pPr>
            <w:r>
              <w:t>$152.20</w:t>
            </w:r>
          </w:p>
        </w:tc>
      </w:tr>
      <w:tr>
        <w:trPr>
          <w:cantSplit/>
        </w:trPr>
        <w:tc>
          <w:tcPr>
            <w:tcW w:w="567" w:type="dxa"/>
          </w:tcPr>
          <w:p>
            <w:pPr>
              <w:pStyle w:val="yTableNAm"/>
            </w:pPr>
            <w:r>
              <w:t>5.</w:t>
            </w:r>
          </w:p>
        </w:tc>
        <w:tc>
          <w:tcPr>
            <w:tcW w:w="5245" w:type="dxa"/>
          </w:tcPr>
          <w:p>
            <w:pPr>
              <w:pStyle w:val="yTableNAm"/>
              <w:tabs>
                <w:tab w:val="right" w:leader="dot" w:pos="5018"/>
              </w:tabs>
            </w:pPr>
            <w:r>
              <w:t xml:space="preserve">Disconnection of overhead service leads following unauthorised reconnection </w:t>
            </w:r>
            <w:r>
              <w:tab/>
            </w:r>
          </w:p>
        </w:tc>
        <w:tc>
          <w:tcPr>
            <w:tcW w:w="1276" w:type="dxa"/>
          </w:tcPr>
          <w:p>
            <w:pPr>
              <w:pStyle w:val="yTableNAm"/>
            </w:pPr>
            <w:r>
              <w:rPr>
                <w:bCs/>
                <w:iCs/>
              </w:rPr>
              <w:br/>
            </w:r>
            <w:r>
              <w:t>$762.10</w:t>
            </w:r>
          </w:p>
        </w:tc>
      </w:tr>
      <w:tr>
        <w:trPr>
          <w:cantSplit/>
        </w:trPr>
        <w:tc>
          <w:tcPr>
            <w:tcW w:w="567" w:type="dxa"/>
          </w:tcPr>
          <w:p>
            <w:pPr>
              <w:pStyle w:val="yTableNAm"/>
            </w:pPr>
            <w:r>
              <w:t>6.</w:t>
            </w:r>
          </w:p>
        </w:tc>
        <w:tc>
          <w:tcPr>
            <w:tcW w:w="5245" w:type="dxa"/>
          </w:tcPr>
          <w:p>
            <w:pPr>
              <w:pStyle w:val="yTableNAm"/>
              <w:tabs>
                <w:tab w:val="right" w:leader="dot" w:pos="5018"/>
              </w:tabs>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right" w:leader="dot" w:pos="5018"/>
              </w:tabs>
            </w:pPr>
            <w:r>
              <w:t xml:space="preserve">Rejected account payment (where payment made through Australia Post) </w:t>
            </w:r>
            <w:r>
              <w:tab/>
            </w:r>
          </w:p>
        </w:tc>
        <w:tc>
          <w:tcPr>
            <w:tcW w:w="1276" w:type="dxa"/>
          </w:tcPr>
          <w:p>
            <w:pPr>
              <w:pStyle w:val="yTableNAm"/>
            </w:pPr>
            <w:r>
              <w:rPr>
                <w:bCs/>
                <w:iCs/>
              </w:rPr>
              <w:br/>
            </w:r>
            <w:r>
              <w:t>$27.50</w:t>
            </w:r>
          </w:p>
        </w:tc>
      </w:tr>
      <w:tr>
        <w:trPr>
          <w:cantSplit/>
        </w:trPr>
        <w:tc>
          <w:tcPr>
            <w:tcW w:w="567" w:type="dxa"/>
          </w:tcPr>
          <w:p>
            <w:pPr>
              <w:pStyle w:val="yTableNAm"/>
            </w:pPr>
            <w:r>
              <w:t>8.</w:t>
            </w:r>
          </w:p>
        </w:tc>
        <w:tc>
          <w:tcPr>
            <w:tcW w:w="5245" w:type="dxa"/>
          </w:tcPr>
          <w:p>
            <w:pPr>
              <w:pStyle w:val="yTableNAm"/>
              <w:tabs>
                <w:tab w:val="right" w:leader="dot" w:pos="5018"/>
              </w:tabs>
            </w:pPr>
            <w:r>
              <w:t>A transaction fee where a consumer makes a payment to the corporation by means of a credit card or debit card</w:t>
            </w:r>
          </w:p>
        </w:tc>
        <w:tc>
          <w:tcPr>
            <w:tcW w:w="1276" w:type="dxa"/>
          </w:tcPr>
          <w:p>
            <w:pPr>
              <w:pStyle w:val="yTableNAm"/>
            </w:pPr>
            <w:r>
              <w:t>The permitted surcharge for the payment</w:t>
            </w:r>
          </w:p>
        </w:tc>
      </w:tr>
      <w:tr>
        <w:trPr>
          <w:cantSplit/>
        </w:trPr>
        <w:tc>
          <w:tcPr>
            <w:tcW w:w="567" w:type="dxa"/>
          </w:tcPr>
          <w:p>
            <w:pPr>
              <w:pStyle w:val="yTableNAm"/>
            </w:pPr>
            <w:r>
              <w:t>9.</w:t>
            </w:r>
          </w:p>
        </w:tc>
        <w:tc>
          <w:tcPr>
            <w:tcW w:w="5245" w:type="dxa"/>
          </w:tcPr>
          <w:p>
            <w:pPr>
              <w:pStyle w:val="yTableNAm"/>
              <w:tabs>
                <w:tab w:val="right" w:leader="dot" w:pos="5018"/>
              </w:tabs>
            </w:pPr>
            <w:r>
              <w:t xml:space="preserve">Remote configurations </w:t>
            </w:r>
            <w:r>
              <w:tab/>
            </w:r>
          </w:p>
        </w:tc>
        <w:tc>
          <w:tcPr>
            <w:tcW w:w="1276" w:type="dxa"/>
          </w:tcPr>
          <w:p>
            <w:pPr>
              <w:pStyle w:val="yTableNAm"/>
            </w:pPr>
            <w:r>
              <w:t>$26.00</w:t>
            </w:r>
          </w:p>
        </w:tc>
      </w:tr>
      <w:tr>
        <w:trPr>
          <w:cantSplit/>
        </w:trPr>
        <w:tc>
          <w:tcPr>
            <w:tcW w:w="567" w:type="dxa"/>
          </w:tcPr>
          <w:p>
            <w:pPr>
              <w:pStyle w:val="yTableNAm"/>
            </w:pPr>
            <w:r>
              <w:t>10.</w:t>
            </w:r>
          </w:p>
        </w:tc>
        <w:tc>
          <w:tcPr>
            <w:tcW w:w="5245" w:type="dxa"/>
          </w:tcPr>
          <w:p>
            <w:pPr>
              <w:pStyle w:val="yTableNAm"/>
              <w:tabs>
                <w:tab w:val="right" w:leader="dot" w:pos="5018"/>
              </w:tabs>
            </w:pPr>
            <w:r>
              <w:t xml:space="preserve">Meter damage fee </w:t>
            </w:r>
            <w:r>
              <w:tab/>
            </w:r>
          </w:p>
        </w:tc>
        <w:tc>
          <w:tcPr>
            <w:tcW w:w="1276" w:type="dxa"/>
          </w:tcPr>
          <w:p>
            <w:pPr>
              <w:pStyle w:val="yTableNAm"/>
            </w:pPr>
            <w:r>
              <w:t>$844.10</w:t>
            </w:r>
          </w:p>
        </w:tc>
      </w:tr>
      <w:tr>
        <w:trPr>
          <w:cantSplit/>
        </w:trPr>
        <w:tc>
          <w:tcPr>
            <w:tcW w:w="567" w:type="dxa"/>
          </w:tcPr>
          <w:p>
            <w:pPr>
              <w:pStyle w:val="yTableNAm"/>
            </w:pPr>
            <w:r>
              <w:t>11.</w:t>
            </w:r>
          </w:p>
        </w:tc>
        <w:tc>
          <w:tcPr>
            <w:tcW w:w="5245" w:type="dxa"/>
          </w:tcPr>
          <w:p>
            <w:pPr>
              <w:pStyle w:val="yTableNAm"/>
              <w:tabs>
                <w:tab w:val="right" w:leader="dot" w:pos="5018"/>
              </w:tabs>
            </w:pPr>
            <w:r>
              <w:t xml:space="preserve">Remote connection or disconnection </w:t>
            </w:r>
            <w:r>
              <w:tab/>
            </w:r>
          </w:p>
        </w:tc>
        <w:tc>
          <w:tcPr>
            <w:tcW w:w="1276" w:type="dxa"/>
          </w:tcPr>
          <w:p>
            <w:pPr>
              <w:pStyle w:val="yTableNAm"/>
            </w:pPr>
            <w:r>
              <w:t>$6.19</w:t>
            </w:r>
          </w:p>
        </w:tc>
      </w:tr>
      <w:tr>
        <w:trPr>
          <w:cantSplit/>
        </w:trPr>
        <w:tc>
          <w:tcPr>
            <w:tcW w:w="567" w:type="dxa"/>
          </w:tcPr>
          <w:p>
            <w:pPr>
              <w:pStyle w:val="yTableNAm"/>
              <w:keepNext/>
            </w:pPr>
            <w:r>
              <w:t>12.</w:t>
            </w:r>
          </w:p>
        </w:tc>
        <w:tc>
          <w:tcPr>
            <w:tcW w:w="5245" w:type="dxa"/>
          </w:tcPr>
          <w:p>
            <w:pPr>
              <w:pStyle w:val="yTableNAm"/>
              <w:keepNext/>
              <w:tabs>
                <w:tab w:val="right" w:leader="dot" w:pos="5018"/>
              </w:tabs>
            </w:pPr>
            <w:r>
              <w:t xml:space="preserve">Paper bill fee </w:t>
            </w:r>
            <w:r>
              <w:tab/>
            </w:r>
          </w:p>
        </w:tc>
        <w:tc>
          <w:tcPr>
            <w:tcW w:w="1276" w:type="dxa"/>
          </w:tcPr>
          <w:p>
            <w:pPr>
              <w:pStyle w:val="yTableNAm"/>
              <w:keepNext/>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right" w:leader="dot" w:pos="5018"/>
              </w:tabs>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$2.52</w:t>
            </w:r>
          </w:p>
        </w:tc>
      </w:tr>
    </w:tbl>
    <w:p>
      <w:pPr>
        <w:pStyle w:val="yEdnotesection"/>
        <w:keepNext/>
      </w:pPr>
      <w:r>
        <w:tab/>
        <w:t>[Schedule 4 inserted: Gazette 21 Jun 2019 p. 2135</w:t>
      </w:r>
      <w:r>
        <w:noBreakHyphen/>
        <w:t>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3" w:name="_Toc42508049"/>
      <w:bookmarkStart w:id="44" w:name="_Toc42522520"/>
      <w:r>
        <w:t>Notes</w:t>
      </w:r>
      <w:bookmarkEnd w:id="43"/>
      <w:bookmarkEnd w:id="44"/>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 w:name="_Toc42522521"/>
      <w:r>
        <w:t>Compilation table</w:t>
      </w:r>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30"/>
      </w:tblGrid>
      <w:tr>
        <w:trPr>
          <w:gridAfter w:val="1"/>
          <w:wAfter w:w="30"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gridSpan w:val="2"/>
          </w:tcPr>
          <w:p>
            <w:pPr>
              <w:pStyle w:val="nTable"/>
              <w:keepNext/>
              <w:keepLines/>
              <w:spacing w:after="40"/>
            </w:pPr>
            <w:r>
              <w:t>31 Mar 2006 p. 1279</w:t>
            </w:r>
            <w:r>
              <w:noBreakHyphen/>
              <w:t>97</w:t>
            </w:r>
          </w:p>
        </w:tc>
        <w:tc>
          <w:tcPr>
            <w:tcW w:w="2694" w:type="dxa"/>
            <w:gridSpan w:val="2"/>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gridSpan w:val="2"/>
          </w:tcPr>
          <w:p>
            <w:pPr>
              <w:pStyle w:val="nTable"/>
              <w:keepLines/>
              <w:spacing w:after="40"/>
            </w:pPr>
            <w:r>
              <w:t>29 Jun 2007 p. 3192</w:t>
            </w:r>
            <w:r>
              <w:noBreakHyphen/>
              <w:t>3</w:t>
            </w:r>
          </w:p>
        </w:tc>
        <w:tc>
          <w:tcPr>
            <w:tcW w:w="2694" w:type="dxa"/>
            <w:gridSpan w:val="2"/>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gridSpan w:val="2"/>
          </w:tcPr>
          <w:p>
            <w:pPr>
              <w:pStyle w:val="nTable"/>
              <w:keepLines/>
              <w:spacing w:after="40"/>
            </w:pPr>
            <w:r>
              <w:t>30 </w:t>
            </w:r>
            <w:r>
              <w:rPr>
                <w:noProof/>
                <w:snapToGrid w:val="0"/>
              </w:rPr>
              <w:t>Mar</w:t>
            </w:r>
            <w:r>
              <w:t> 2009 p. 997</w:t>
            </w:r>
            <w:r>
              <w:noBreakHyphen/>
              <w:t>1017</w:t>
            </w:r>
          </w:p>
        </w:tc>
        <w:tc>
          <w:tcPr>
            <w:tcW w:w="2694" w:type="dxa"/>
            <w:gridSpan w:val="2"/>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gridSpan w:val="2"/>
          </w:tcPr>
          <w:p>
            <w:pPr>
              <w:pStyle w:val="nTable"/>
              <w:keepLines/>
              <w:spacing w:after="40"/>
            </w:pPr>
            <w:r>
              <w:t>26 Mar 2010 p. 1171-89</w:t>
            </w:r>
          </w:p>
        </w:tc>
        <w:tc>
          <w:tcPr>
            <w:tcW w:w="2694" w:type="dxa"/>
            <w:gridSpan w:val="2"/>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gridSpan w:val="2"/>
          </w:tcPr>
          <w:p>
            <w:pPr>
              <w:pStyle w:val="nTable"/>
              <w:keepLines/>
              <w:spacing w:after="40"/>
            </w:pPr>
            <w:r>
              <w:t>24 Jun 2011 p. 2495</w:t>
            </w:r>
            <w:r>
              <w:noBreakHyphen/>
              <w:t>8</w:t>
            </w:r>
          </w:p>
        </w:tc>
        <w:tc>
          <w:tcPr>
            <w:tcW w:w="2694" w:type="dxa"/>
            <w:gridSpan w:val="2"/>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2012</w:t>
            </w:r>
          </w:p>
        </w:tc>
        <w:tc>
          <w:tcPr>
            <w:tcW w:w="1276" w:type="dxa"/>
            <w:gridSpan w:val="2"/>
          </w:tcPr>
          <w:p>
            <w:pPr>
              <w:pStyle w:val="nTable"/>
              <w:keepLines/>
              <w:spacing w:after="40"/>
            </w:pPr>
            <w:r>
              <w:t>29 Jun 2012 p. 2899-911</w:t>
            </w:r>
          </w:p>
        </w:tc>
        <w:tc>
          <w:tcPr>
            <w:tcW w:w="2694" w:type="dxa"/>
            <w:gridSpan w:val="2"/>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(No. 2) 2012</w:t>
            </w:r>
          </w:p>
        </w:tc>
        <w:tc>
          <w:tcPr>
            <w:tcW w:w="1276" w:type="dxa"/>
            <w:gridSpan w:val="2"/>
          </w:tcPr>
          <w:p>
            <w:pPr>
              <w:pStyle w:val="nTable"/>
              <w:keepLines/>
              <w:spacing w:after="40"/>
            </w:pPr>
            <w:r>
              <w:t>21 Sep 2012 p. 4423</w:t>
            </w:r>
          </w:p>
        </w:tc>
        <w:tc>
          <w:tcPr>
            <w:tcW w:w="2694" w:type="dxa"/>
            <w:gridSpan w:val="2"/>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By-laws 2013</w:t>
            </w:r>
          </w:p>
        </w:tc>
        <w:tc>
          <w:tcPr>
            <w:tcW w:w="1276" w:type="dxa"/>
            <w:gridSpan w:val="2"/>
          </w:tcPr>
          <w:p>
            <w:pPr>
              <w:pStyle w:val="nTable"/>
              <w:keepLines/>
              <w:spacing w:after="40"/>
            </w:pPr>
            <w:r>
              <w:t>14 Jun 2013 p. 2223-7</w:t>
            </w:r>
          </w:p>
        </w:tc>
        <w:tc>
          <w:tcPr>
            <w:tcW w:w="2694" w:type="dxa"/>
            <w:gridSpan w:val="2"/>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gridSpan w:val="2"/>
            <w:shd w:val="clear" w:color="auto" w:fill="auto"/>
          </w:tcPr>
          <w:p>
            <w:pPr>
              <w:pStyle w:val="nTable"/>
              <w:keepLines/>
              <w:spacing w:after="40"/>
            </w:pPr>
            <w:r>
              <w:t>30 Aug 2013 p. 4093-6</w:t>
            </w:r>
          </w:p>
        </w:tc>
        <w:tc>
          <w:tcPr>
            <w:tcW w:w="2694" w:type="dxa"/>
            <w:gridSpan w:val="2"/>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gridSpan w:val="2"/>
            <w:shd w:val="clear" w:color="auto" w:fill="auto"/>
          </w:tcPr>
          <w:p>
            <w:pPr>
              <w:pStyle w:val="nTable"/>
              <w:keepLines/>
              <w:spacing w:after="40"/>
            </w:pPr>
            <w:r>
              <w:t>27 Jun 2014 p. 2319-26</w:t>
            </w:r>
          </w:p>
        </w:tc>
        <w:tc>
          <w:tcPr>
            <w:tcW w:w="2694" w:type="dxa"/>
            <w:gridSpan w:val="2"/>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gridSpan w:val="2"/>
            <w:shd w:val="clear" w:color="auto" w:fill="auto"/>
          </w:tcPr>
          <w:p>
            <w:pPr>
              <w:pStyle w:val="nTable"/>
              <w:keepLines/>
              <w:spacing w:after="40"/>
            </w:pPr>
            <w:r>
              <w:t>22 Aug 2014 p. 3017</w:t>
            </w:r>
            <w:r>
              <w:noBreakHyphen/>
              <w:t>23</w:t>
            </w:r>
          </w:p>
        </w:tc>
        <w:tc>
          <w:tcPr>
            <w:tcW w:w="2694" w:type="dxa"/>
            <w:gridSpan w:val="2"/>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gridSpan w:val="2"/>
            <w:shd w:val="clear" w:color="auto" w:fill="auto"/>
          </w:tcPr>
          <w:p>
            <w:pPr>
              <w:pStyle w:val="nTable"/>
              <w:keepLines/>
              <w:spacing w:after="40"/>
              <w:rPr>
                <w:b/>
                <w:bCs/>
                <w:iCs/>
                <w:noProof/>
                <w:snapToGrid w:val="0"/>
              </w:rPr>
            </w:pPr>
            <w:r>
              <w:t>26 Jun 2015 p. 2247</w:t>
            </w:r>
            <w:r>
              <w:noBreakHyphen/>
              <w:t>52</w:t>
            </w:r>
          </w:p>
        </w:tc>
        <w:tc>
          <w:tcPr>
            <w:tcW w:w="2694" w:type="dxa"/>
            <w:gridSpan w:val="2"/>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gridSpan w:val="2"/>
            <w:shd w:val="clear" w:color="auto" w:fill="auto"/>
          </w:tcPr>
          <w:p>
            <w:pPr>
              <w:pStyle w:val="nTable"/>
              <w:keepLines/>
              <w:spacing w:after="40"/>
            </w:pPr>
            <w:r>
              <w:t>28 Jun 2016 p. 2626</w:t>
            </w:r>
            <w:r>
              <w:noBreakHyphen/>
              <w:t>8</w:t>
            </w:r>
          </w:p>
        </w:tc>
        <w:tc>
          <w:tcPr>
            <w:tcW w:w="2694" w:type="dxa"/>
            <w:gridSpan w:val="2"/>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gridSpan w:val="2"/>
            <w:shd w:val="clear" w:color="auto" w:fill="auto"/>
          </w:tcPr>
          <w:p>
            <w:pPr>
              <w:pStyle w:val="nTable"/>
              <w:keepLines/>
              <w:spacing w:after="40"/>
            </w:pPr>
            <w:r>
              <w:t>31 Aug 2016 p. 3707</w:t>
            </w:r>
            <w:r>
              <w:noBreakHyphen/>
              <w:t>10</w:t>
            </w:r>
          </w:p>
        </w:tc>
        <w:tc>
          <w:tcPr>
            <w:tcW w:w="2694" w:type="dxa"/>
            <w:gridSpan w:val="2"/>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gridSpan w:val="2"/>
            <w:shd w:val="clear" w:color="auto" w:fill="auto"/>
          </w:tcPr>
          <w:p>
            <w:pPr>
              <w:pStyle w:val="nTable"/>
              <w:keepLines/>
              <w:spacing w:after="40"/>
            </w:pPr>
            <w:r>
              <w:t>27 Jun 2017 p. 3419</w:t>
            </w:r>
            <w:r>
              <w:noBreakHyphen/>
              <w:t>24</w:t>
            </w:r>
          </w:p>
        </w:tc>
        <w:tc>
          <w:tcPr>
            <w:tcW w:w="2694" w:type="dxa"/>
            <w:gridSpan w:val="2"/>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gridSpan w:val="2"/>
            <w:shd w:val="clear" w:color="auto" w:fill="auto"/>
          </w:tcPr>
          <w:p>
            <w:pPr>
              <w:pStyle w:val="nTable"/>
              <w:keepLines/>
              <w:spacing w:after="40"/>
            </w:pPr>
            <w:r>
              <w:t>30 Jun 2017 p. 3562</w:t>
            </w:r>
            <w:r>
              <w:noBreakHyphen/>
              <w:t>4</w:t>
            </w:r>
          </w:p>
        </w:tc>
        <w:tc>
          <w:tcPr>
            <w:tcW w:w="2694" w:type="dxa"/>
            <w:gridSpan w:val="2"/>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gridSpan w:val="2"/>
            <w:shd w:val="clear" w:color="auto" w:fill="auto"/>
          </w:tcPr>
          <w:p>
            <w:pPr>
              <w:pStyle w:val="nTable"/>
              <w:keepLines/>
              <w:spacing w:after="40"/>
            </w:pPr>
            <w:r>
              <w:t>22 Dec 2017 p. 5978</w:t>
            </w:r>
            <w:r>
              <w:noBreakHyphen/>
              <w:t>83</w:t>
            </w:r>
          </w:p>
        </w:tc>
        <w:tc>
          <w:tcPr>
            <w:tcW w:w="2694" w:type="dxa"/>
            <w:gridSpan w:val="2"/>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gridSpan w:val="2"/>
            <w:shd w:val="clear" w:color="auto" w:fill="auto"/>
          </w:tcPr>
          <w:p>
            <w:pPr>
              <w:pStyle w:val="nTable"/>
              <w:keepLines/>
              <w:spacing w:after="40"/>
            </w:pPr>
            <w:r>
              <w:t>26 Jun 2018 p. 2361</w:t>
            </w:r>
            <w:r>
              <w:noBreakHyphen/>
              <w:t>71</w:t>
            </w:r>
          </w:p>
        </w:tc>
        <w:tc>
          <w:tcPr>
            <w:tcW w:w="2694" w:type="dxa"/>
            <w:gridSpan w:val="2"/>
            <w:shd w:val="clear" w:color="auto" w:fill="auto"/>
          </w:tcPr>
          <w:p>
            <w:pPr>
              <w:pStyle w:val="nTable"/>
              <w:keepLines/>
              <w:spacing w:after="40"/>
            </w:pPr>
            <w:r>
              <w:t>bl. 1 and 2: 26 Jun 2018 (see bl. 2(a));</w:t>
            </w:r>
            <w:r>
              <w:br/>
              <w:t>By-laws other than bl. 1 and 2: 1 Jul 2018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Borders>
              <w:bottom w:val="single" w:sz="8" w:space="0" w:color="auto"/>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gridSpan w:val="2"/>
            <w:tcBorders>
              <w:bottom w:val="single" w:sz="8" w:space="0" w:color="auto"/>
            </w:tcBorders>
            <w:shd w:val="clear" w:color="auto" w:fill="auto"/>
          </w:tcPr>
          <w:p>
            <w:pPr>
              <w:pStyle w:val="nTable"/>
              <w:keepLines/>
              <w:spacing w:after="40"/>
            </w:pPr>
            <w:r>
              <w:t>21 Jun 2019 p. 2127</w:t>
            </w:r>
            <w:r>
              <w:noBreakHyphen/>
              <w:t>36</w:t>
            </w:r>
          </w:p>
        </w:tc>
        <w:tc>
          <w:tcPr>
            <w:tcW w:w="2694" w:type="dxa"/>
            <w:gridSpan w:val="2"/>
            <w:tcBorders>
              <w:bottom w:val="single" w:sz="8" w:space="0" w:color="auto"/>
            </w:tcBorders>
            <w:shd w:val="clear" w:color="auto" w:fill="auto"/>
          </w:tcPr>
          <w:p>
            <w:pPr>
              <w:pStyle w:val="nTable"/>
              <w:keepLines/>
              <w:spacing w:after="40"/>
            </w:pPr>
            <w:r>
              <w:t>bl. 1 and 2: 21 Jun 2019 (see bl. 2(a));</w:t>
            </w:r>
            <w:r>
              <w:br/>
              <w:t>By-laws other than bl. 1 and 2: 1 Jul 2019 (see bl. 2(b))</w:t>
            </w:r>
          </w:p>
        </w:tc>
      </w:tr>
    </w:tbl>
    <w:p>
      <w:pPr>
        <w:pStyle w:val="nHeading3"/>
      </w:pPr>
      <w:bookmarkStart w:id="46" w:name="_Toc42507203"/>
      <w:bookmarkStart w:id="47" w:name="_Toc42522522"/>
      <w:r>
        <w:t>Uncommenced provisions table</w:t>
      </w:r>
      <w:bookmarkEnd w:id="46"/>
      <w:bookmarkEnd w:id="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Operators (Regional Power Corporation) (Charges) Amendment By</w:t>
            </w:r>
            <w:r>
              <w:rPr>
                <w:i/>
              </w:rPr>
              <w:noBreakHyphen/>
              <w:t xml:space="preserve">laws 2020 </w:t>
            </w:r>
            <w:r>
              <w:t>bl. 3-4</w:t>
            </w:r>
          </w:p>
        </w:tc>
        <w:tc>
          <w:tcPr>
            <w:tcW w:w="1276" w:type="dxa"/>
          </w:tcPr>
          <w:p>
            <w:pPr>
              <w:pStyle w:val="nTable"/>
              <w:spacing w:after="40"/>
            </w:pPr>
            <w:r>
              <w:t>SL 2020/78</w:t>
            </w:r>
            <w:r>
              <w:br/>
              <w:t>9 Jun 2020</w:t>
            </w:r>
          </w:p>
        </w:tc>
        <w:tc>
          <w:tcPr>
            <w:tcW w:w="2693" w:type="dxa"/>
          </w:tcPr>
          <w:p>
            <w:pPr>
              <w:pStyle w:val="nTable"/>
              <w:spacing w:after="40"/>
            </w:pPr>
            <w:r>
              <w:t>1 Jul 2020 (see bl. 2(b))</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49" w:name="_Toc42508052"/>
      <w:bookmarkStart w:id="50" w:name="_Toc42522523"/>
      <w:r>
        <w:rPr>
          <w:sz w:val="28"/>
        </w:rPr>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interest period</w:t>
      </w:r>
      <w:r>
        <w:tab/>
        <w:t>12(1)</w:t>
      </w:r>
    </w:p>
    <w:p>
      <w:pPr>
        <w:pStyle w:val="DefinedTerms"/>
      </w:pPr>
      <w:r>
        <w:t>MyPower non</w:t>
      </w:r>
      <w:r>
        <w:noBreakHyphen/>
        <w:t>residential tariff</w:t>
      </w:r>
      <w:r>
        <w:tab/>
        <w:t>Sch. 1 cl. 9(1)</w:t>
      </w:r>
    </w:p>
    <w:p>
      <w:pPr>
        <w:pStyle w:val="DefinedTerms"/>
      </w:pPr>
      <w:r>
        <w:t>MyPower residential tariff</w:t>
      </w:r>
      <w:r>
        <w:tab/>
        <w:t>Sch. 1 cl. 8(1)</w:t>
      </w:r>
    </w:p>
    <w:p>
      <w:pPr>
        <w:pStyle w:val="DefinedTerms"/>
      </w:pPr>
      <w:r>
        <w:t>North West interconnected system</w:t>
      </w:r>
      <w:r>
        <w:tab/>
        <w:t>4(1A), 4(2A)</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Street lighting</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11913"/>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D519-195B-4765-855F-5CDBBBFF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4989</Words>
  <Characters>24649</Characters>
  <Application>Microsoft Office Word</Application>
  <DocSecurity>0</DocSecurity>
  <Lines>1232</Lines>
  <Paragraphs>846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2006 - 02-k0-00</dc:title>
  <dc:subject/>
  <dc:creator/>
  <cp:keywords/>
  <dc:description/>
  <cp:lastModifiedBy>svcMRProcess</cp:lastModifiedBy>
  <cp:revision>4</cp:revision>
  <cp:lastPrinted>2019-06-24T07:21:00Z</cp:lastPrinted>
  <dcterms:created xsi:type="dcterms:W3CDTF">2020-06-09T06:41:00Z</dcterms:created>
  <dcterms:modified xsi:type="dcterms:W3CDTF">2020-06-09T06:41:00Z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09 Jun 2020</vt:lpwstr>
  </property>
  <property fmtid="{D5CDD505-2E9C-101B-9397-08002B2CF9AE}" pid="8" name="Suffix">
    <vt:lpwstr>02-k0-00</vt:lpwstr>
  </property>
  <property fmtid="{D5CDD505-2E9C-101B-9397-08002B2CF9AE}" pid="9" name="CommencementDate">
    <vt:lpwstr>20200609</vt:lpwstr>
  </property>
</Properties>
</file>