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Registration of Deeds Act 1856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Registration of Deeds Regulations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Registration of Deeds Regulations 2004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_Toc42591979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_Toc42591980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_Toc42591981 \h </w:instrText>
      </w:r>
      <w:r>
        <w:fldChar w:fldCharType="separate"/>
      </w:r>
      <w:r>
        <w:t>1</w:t>
      </w:r>
      <w:r>
        <w:fldChar w:fldCharType="end"/>
      </w:r>
    </w:p>
    <w:p>
      <w:pPr>
        <w:pStyle w:val="TOC8"/>
        <w:rPr>
          <w:rFonts w:asciiTheme="minorHAnsi" w:eastAsiaTheme="minorEastAsia" w:hAnsiTheme="minorHAnsi" w:cstheme="minorBidi"/>
          <w:szCs w:val="22"/>
        </w:rPr>
      </w:pPr>
      <w:r>
        <w:t>4.</w:t>
      </w:r>
      <w:r>
        <w:tab/>
        <w:t>Memorials for registration, requirements for etc.</w:t>
      </w:r>
      <w:r>
        <w:tab/>
      </w:r>
      <w:r>
        <w:fldChar w:fldCharType="begin"/>
      </w:r>
      <w:r>
        <w:instrText xml:space="preserve"> PAGEREF _Toc42591982 \h </w:instrText>
      </w:r>
      <w:r>
        <w:fldChar w:fldCharType="separate"/>
      </w:r>
      <w:r>
        <w:t>1</w:t>
      </w:r>
      <w:r>
        <w:fldChar w:fldCharType="end"/>
      </w:r>
    </w:p>
    <w:p>
      <w:pPr>
        <w:pStyle w:val="TOC8"/>
        <w:rPr>
          <w:rFonts w:asciiTheme="minorHAnsi" w:eastAsiaTheme="minorEastAsia" w:hAnsiTheme="minorHAnsi" w:cstheme="minorBidi"/>
          <w:szCs w:val="22"/>
        </w:rPr>
      </w:pPr>
      <w:r>
        <w:t>5.</w:t>
      </w:r>
      <w:r>
        <w:tab/>
      </w:r>
      <w:r>
        <w:rPr>
          <w:snapToGrid w:val="0"/>
        </w:rPr>
        <w:t>Fees (Sch. 1)</w:t>
      </w:r>
      <w:r>
        <w:tab/>
      </w:r>
      <w:r>
        <w:fldChar w:fldCharType="begin"/>
      </w:r>
      <w:r>
        <w:instrText xml:space="preserve"> PAGEREF _Toc42591983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Fees to be charged by the Registrar</w:t>
      </w:r>
    </w:p>
    <w:p>
      <w:pPr>
        <w:pStyle w:val="TOC4"/>
        <w:tabs>
          <w:tab w:val="right" w:leader="dot" w:pos="7077"/>
        </w:tabs>
        <w:rPr>
          <w:rFonts w:asciiTheme="minorHAnsi" w:eastAsiaTheme="minorEastAsia" w:hAnsiTheme="minorHAnsi" w:cstheme="minorBidi"/>
          <w:b w:val="0"/>
          <w:szCs w:val="22"/>
        </w:rPr>
      </w:pPr>
      <w:r>
        <w:t>Division 1 — Registrations</w:t>
      </w:r>
    </w:p>
    <w:p>
      <w:pPr>
        <w:pStyle w:val="TOC4"/>
        <w:tabs>
          <w:tab w:val="right" w:leader="dot" w:pos="7077"/>
        </w:tabs>
        <w:rPr>
          <w:rFonts w:asciiTheme="minorHAnsi" w:eastAsiaTheme="minorEastAsia" w:hAnsiTheme="minorHAnsi" w:cstheme="minorBidi"/>
          <w:b w:val="0"/>
          <w:szCs w:val="22"/>
        </w:rPr>
      </w:pPr>
      <w:r>
        <w:t>Division 2 — Reproduction of documents</w:t>
      </w:r>
    </w:p>
    <w:p>
      <w:pPr>
        <w:pStyle w:val="TOC4"/>
        <w:tabs>
          <w:tab w:val="right" w:leader="dot" w:pos="7077"/>
        </w:tabs>
        <w:rPr>
          <w:rFonts w:asciiTheme="minorHAnsi" w:eastAsiaTheme="minorEastAsia" w:hAnsiTheme="minorHAnsi" w:cstheme="minorBidi"/>
          <w:b w:val="0"/>
          <w:szCs w:val="22"/>
        </w:rPr>
      </w:pPr>
      <w:r>
        <w:t>Division 3 — Miscellaneous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_Toc42591989 \h </w:instrText>
      </w:r>
      <w:r>
        <w:fldChar w:fldCharType="separate"/>
      </w:r>
      <w:r>
        <w:t>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_Toc42591990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Registration of Deeds Act 1856</w:t>
      </w:r>
    </w:p>
    <w:p>
      <w:pPr>
        <w:pStyle w:val="NameofActReg"/>
      </w:pPr>
      <w:r>
        <w:t>Registration of Deeds Regulations 2004</w:t>
      </w:r>
    </w:p>
    <w:p>
      <w:pPr>
        <w:pStyle w:val="Heading5"/>
      </w:pPr>
      <w:bookmarkStart w:id="3" w:name="_Toc42591979"/>
      <w:r>
        <w:rPr>
          <w:rStyle w:val="CharSectno"/>
        </w:rPr>
        <w:t>1</w:t>
      </w:r>
      <w:r>
        <w:t>.</w:t>
      </w:r>
      <w:r>
        <w:tab/>
        <w:t>Citation</w:t>
      </w:r>
      <w:bookmarkEnd w:id="3"/>
    </w:p>
    <w:p>
      <w:pPr>
        <w:pStyle w:val="Subsection"/>
        <w:rPr>
          <w:i/>
        </w:rPr>
      </w:pPr>
      <w:r>
        <w:tab/>
      </w:r>
      <w:r>
        <w:tab/>
      </w:r>
      <w:r>
        <w:rPr>
          <w:spacing w:val="-2"/>
        </w:rPr>
        <w:t>These</w:t>
      </w:r>
      <w:r>
        <w:t xml:space="preserve"> </w:t>
      </w:r>
      <w:r>
        <w:rPr>
          <w:spacing w:val="-2"/>
        </w:rPr>
        <w:t>regulations</w:t>
      </w:r>
      <w:r>
        <w:t xml:space="preserve"> may be cited as the </w:t>
      </w:r>
      <w:r>
        <w:rPr>
          <w:i/>
        </w:rPr>
        <w:t>Registration of Deeds Regulations 2004</w:t>
      </w:r>
      <w:r>
        <w:t>.</w:t>
      </w:r>
    </w:p>
    <w:p>
      <w:pPr>
        <w:pStyle w:val="Heading5"/>
        <w:rPr>
          <w:spacing w:val="-2"/>
        </w:rPr>
      </w:pPr>
      <w:bookmarkStart w:id="4" w:name="_Toc42591980"/>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These regulations come into operation on 6 September 2004.</w:t>
      </w:r>
    </w:p>
    <w:p>
      <w:pPr>
        <w:pStyle w:val="Heading5"/>
        <w:rPr>
          <w:snapToGrid w:val="0"/>
        </w:rPr>
      </w:pPr>
      <w:bookmarkStart w:id="5" w:name="_Toc42591981"/>
      <w:r>
        <w:rPr>
          <w:rStyle w:val="CharSectno"/>
        </w:rPr>
        <w:t>3</w:t>
      </w:r>
      <w:r>
        <w:t>.</w:t>
      </w:r>
      <w:r>
        <w:tab/>
      </w:r>
      <w:r>
        <w:rPr>
          <w:snapToGrid w:val="0"/>
        </w:rPr>
        <w:t>Terms used</w:t>
      </w:r>
      <w:bookmarkEnd w:id="5"/>
    </w:p>
    <w:p>
      <w:pPr>
        <w:pStyle w:val="Subsection"/>
        <w:rPr>
          <w:snapToGrid w:val="0"/>
        </w:rPr>
      </w:pPr>
      <w:r>
        <w:rPr>
          <w:snapToGrid w:val="0"/>
        </w:rPr>
        <w:tab/>
      </w:r>
      <w:r>
        <w:rPr>
          <w:snapToGrid w:val="0"/>
        </w:rPr>
        <w:tab/>
        <w:t>In these regulations, unless the context requires otherwise — </w:t>
      </w:r>
    </w:p>
    <w:p>
      <w:pPr>
        <w:pStyle w:val="Defstart"/>
      </w:pPr>
      <w:r>
        <w:rPr>
          <w:b/>
        </w:rPr>
        <w:tab/>
      </w:r>
      <w:r>
        <w:rPr>
          <w:rStyle w:val="CharDefText"/>
        </w:rPr>
        <w:t>memorial</w:t>
      </w:r>
      <w:r>
        <w:t xml:space="preserve"> means any judgment, deed, will, conveyance or instrument presented for registration;</w:t>
      </w:r>
    </w:p>
    <w:p>
      <w:pPr>
        <w:pStyle w:val="Defstart"/>
      </w:pPr>
      <w:r>
        <w:rPr>
          <w:b/>
        </w:rPr>
        <w:tab/>
      </w:r>
      <w:r>
        <w:rPr>
          <w:rStyle w:val="CharDefText"/>
        </w:rPr>
        <w:t>Registrar</w:t>
      </w:r>
      <w:r>
        <w:t xml:space="preserve"> means the Registrar of Deeds and Transfers.</w:t>
      </w:r>
    </w:p>
    <w:p>
      <w:pPr>
        <w:pStyle w:val="Heading5"/>
        <w:rPr>
          <w:snapToGrid w:val="0"/>
        </w:rPr>
      </w:pPr>
      <w:bookmarkStart w:id="6" w:name="_Toc42591982"/>
      <w:r>
        <w:rPr>
          <w:rStyle w:val="CharSectno"/>
        </w:rPr>
        <w:t>4</w:t>
      </w:r>
      <w:r>
        <w:t>.</w:t>
      </w:r>
      <w:r>
        <w:tab/>
        <w:t>Memorials for registration, requirements for etc.</w:t>
      </w:r>
      <w:bookmarkEnd w:id="6"/>
    </w:p>
    <w:p>
      <w:pPr>
        <w:pStyle w:val="Subsection"/>
        <w:rPr>
          <w:snapToGrid w:val="0"/>
        </w:rPr>
      </w:pPr>
      <w:r>
        <w:rPr>
          <w:snapToGrid w:val="0"/>
        </w:rPr>
        <w:tab/>
        <w:t>(1)</w:t>
      </w:r>
      <w:r>
        <w:rPr>
          <w:snapToGrid w:val="0"/>
        </w:rPr>
        <w:tab/>
        <w:t>Every memorial presented for registration is to — </w:t>
      </w:r>
    </w:p>
    <w:p>
      <w:pPr>
        <w:pStyle w:val="Indenta"/>
        <w:rPr>
          <w:snapToGrid w:val="0"/>
        </w:rPr>
      </w:pPr>
      <w:r>
        <w:rPr>
          <w:snapToGrid w:val="0"/>
        </w:rPr>
        <w:tab/>
        <w:t>(a)</w:t>
      </w:r>
      <w:r>
        <w:rPr>
          <w:snapToGrid w:val="0"/>
        </w:rPr>
        <w:tab/>
        <w:t xml:space="preserve">be prepared on good quality paper approved by the Registrar and having the dimensions of </w:t>
      </w:r>
      <w:r>
        <w:t>210 mm by 297 mm;</w:t>
      </w:r>
    </w:p>
    <w:p>
      <w:pPr>
        <w:pStyle w:val="Indenta"/>
        <w:rPr>
          <w:snapToGrid w:val="0"/>
        </w:rPr>
      </w:pPr>
      <w:r>
        <w:rPr>
          <w:snapToGrid w:val="0"/>
        </w:rPr>
        <w:tab/>
        <w:t>(b)</w:t>
      </w:r>
      <w:r>
        <w:rPr>
          <w:snapToGrid w:val="0"/>
        </w:rPr>
        <w:tab/>
        <w:t>be clearly and legibly handwritten in ink, printed or typewritten;</w:t>
      </w:r>
    </w:p>
    <w:p>
      <w:pPr>
        <w:pStyle w:val="Indenta"/>
        <w:rPr>
          <w:snapToGrid w:val="0"/>
        </w:rPr>
      </w:pPr>
      <w:r>
        <w:rPr>
          <w:snapToGrid w:val="0"/>
        </w:rPr>
        <w:tab/>
        <w:t>(c)</w:t>
      </w:r>
      <w:r>
        <w:rPr>
          <w:snapToGrid w:val="0"/>
        </w:rPr>
        <w:tab/>
        <w:t>have a binding margin on each page of 51 mm free of written, printed or typewritten matter with the binding margin on the left hand side of the face sheet and on a corresponding side for all subsequent sheets;</w:t>
      </w:r>
    </w:p>
    <w:p>
      <w:pPr>
        <w:pStyle w:val="Indenta"/>
        <w:rPr>
          <w:snapToGrid w:val="0"/>
        </w:rPr>
      </w:pPr>
      <w:r>
        <w:rPr>
          <w:snapToGrid w:val="0"/>
        </w:rPr>
        <w:tab/>
        <w:t>(d)</w:t>
      </w:r>
      <w:r>
        <w:rPr>
          <w:snapToGrid w:val="0"/>
        </w:rPr>
        <w:tab/>
        <w:t>have all writing, printing, type or other matter appearing on the memorial of sufficient strength to bear photographic reproduction.</w:t>
      </w:r>
    </w:p>
    <w:p>
      <w:pPr>
        <w:pStyle w:val="Subsection"/>
        <w:rPr>
          <w:snapToGrid w:val="0"/>
        </w:rPr>
      </w:pPr>
      <w:r>
        <w:rPr>
          <w:snapToGrid w:val="0"/>
        </w:rPr>
        <w:tab/>
        <w:t>(2)</w:t>
      </w:r>
      <w:r>
        <w:rPr>
          <w:snapToGrid w:val="0"/>
        </w:rPr>
        <w:tab/>
        <w:t>The Registrar may reject for registration a memorial which does not comply with this regulation.</w:t>
      </w:r>
    </w:p>
    <w:p>
      <w:pPr>
        <w:pStyle w:val="Footnotesection"/>
      </w:pPr>
      <w:r>
        <w:tab/>
        <w:t>[Regulation 4 amended: Gazette 7 Jul 2006 p. 2512.]</w:t>
      </w:r>
    </w:p>
    <w:p>
      <w:pPr>
        <w:pStyle w:val="Heading5"/>
        <w:rPr>
          <w:snapToGrid w:val="0"/>
        </w:rPr>
      </w:pPr>
      <w:bookmarkStart w:id="7" w:name="_Toc42591983"/>
      <w:r>
        <w:rPr>
          <w:rStyle w:val="CharSectno"/>
        </w:rPr>
        <w:t>5</w:t>
      </w:r>
      <w:r>
        <w:t>.</w:t>
      </w:r>
      <w:r>
        <w:tab/>
      </w:r>
      <w:r>
        <w:rPr>
          <w:snapToGrid w:val="0"/>
        </w:rPr>
        <w:t>Fees (Sch. 1)</w:t>
      </w:r>
      <w:bookmarkEnd w:id="7"/>
    </w:p>
    <w:p>
      <w:pPr>
        <w:pStyle w:val="Subsection"/>
        <w:rPr>
          <w:snapToGrid w:val="0"/>
        </w:rPr>
      </w:pPr>
      <w:r>
        <w:rPr>
          <w:snapToGrid w:val="0"/>
        </w:rPr>
        <w:tab/>
      </w:r>
      <w:r>
        <w:rPr>
          <w:snapToGrid w:val="0"/>
        </w:rPr>
        <w:tab/>
        <w:t>The fees to be charged by the Registrar are set out in Schedule 1.</w:t>
      </w:r>
    </w:p>
    <w:p>
      <w:pPr>
        <w:pStyle w:val="Ednotesection"/>
      </w:pPr>
      <w:r>
        <w:rPr>
          <w:rStyle w:val="CharSectno"/>
        </w:rPr>
        <w:t>[</w:t>
      </w:r>
      <w:r>
        <w:rPr>
          <w:rStyle w:val="CharSectno"/>
          <w:b/>
          <w:bCs/>
        </w:rPr>
        <w:t>6</w:t>
      </w:r>
      <w:r>
        <w:rPr>
          <w:b/>
          <w:bCs/>
        </w:rPr>
        <w:t>.</w:t>
      </w:r>
      <w:r>
        <w:tab/>
        <w:t>Omitted under the Reprints Act 1984 s. 7(4)(f).]</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78"/>
        </w:sectPr>
      </w:pPr>
    </w:p>
    <w:p>
      <w:pPr>
        <w:pStyle w:val="yScheduleHeading"/>
      </w:pPr>
      <w:bookmarkStart w:id="8" w:name="_Toc42508527"/>
      <w:bookmarkStart w:id="9" w:name="_Toc42591984"/>
      <w:r>
        <w:rPr>
          <w:rStyle w:val="CharSchNo"/>
        </w:rPr>
        <w:t>Schedule 1</w:t>
      </w:r>
      <w:r>
        <w:t xml:space="preserve"> — </w:t>
      </w:r>
      <w:r>
        <w:rPr>
          <w:rStyle w:val="CharSchText"/>
        </w:rPr>
        <w:t>Fees to be charged by the Registrar</w:t>
      </w:r>
      <w:bookmarkEnd w:id="8"/>
      <w:bookmarkEnd w:id="9"/>
    </w:p>
    <w:p>
      <w:pPr>
        <w:pStyle w:val="yShoulderClause"/>
        <w:spacing w:after="120"/>
        <w:rPr>
          <w:b/>
          <w:i/>
        </w:rPr>
      </w:pPr>
      <w:r>
        <w:t>[r. 5]</w:t>
      </w:r>
      <w:r>
        <w:rPr>
          <w:b/>
          <w:i/>
        </w:rPr>
        <w:t xml:space="preserve"> </w:t>
      </w:r>
    </w:p>
    <w:p>
      <w:pPr>
        <w:pStyle w:val="yHeading3"/>
        <w:spacing w:before="260" w:after="120"/>
      </w:pPr>
      <w:bookmarkStart w:id="10" w:name="_Toc42508528"/>
      <w:bookmarkStart w:id="11" w:name="_Toc42591985"/>
      <w:r>
        <w:rPr>
          <w:rStyle w:val="CharSDivNo"/>
        </w:rPr>
        <w:t>Division 1</w:t>
      </w:r>
      <w:r>
        <w:t> — </w:t>
      </w:r>
      <w:r>
        <w:rPr>
          <w:rStyle w:val="CharSDivText"/>
        </w:rPr>
        <w:t>Registrations</w:t>
      </w:r>
      <w:bookmarkEnd w:id="10"/>
      <w:bookmarkEnd w:id="11"/>
    </w:p>
    <w:tbl>
      <w:tblPr>
        <w:tblW w:w="0" w:type="auto"/>
        <w:tblInd w:w="284" w:type="dxa"/>
        <w:tblLayout w:type="fixed"/>
        <w:tblCellMar>
          <w:left w:w="142" w:type="dxa"/>
          <w:right w:w="142" w:type="dxa"/>
        </w:tblCellMar>
        <w:tblLook w:val="0000" w:firstRow="0" w:lastRow="0" w:firstColumn="0" w:lastColumn="0" w:noHBand="0" w:noVBand="0"/>
      </w:tblPr>
      <w:tblGrid>
        <w:gridCol w:w="458"/>
        <w:gridCol w:w="4986"/>
        <w:gridCol w:w="1502"/>
      </w:tblGrid>
      <w:tr>
        <w:tc>
          <w:tcPr>
            <w:tcW w:w="458" w:type="dxa"/>
          </w:tcPr>
          <w:p>
            <w:pPr>
              <w:pStyle w:val="yTableNAm"/>
              <w:spacing w:after="40"/>
            </w:pPr>
            <w:r>
              <w:t>1.</w:t>
            </w:r>
          </w:p>
        </w:tc>
        <w:tc>
          <w:tcPr>
            <w:tcW w:w="4986" w:type="dxa"/>
          </w:tcPr>
          <w:p>
            <w:pPr>
              <w:pStyle w:val="yTableNAm"/>
              <w:tabs>
                <w:tab w:val="right" w:leader="dot" w:pos="5018"/>
              </w:tabs>
              <w:spacing w:after="40"/>
            </w:pPr>
            <w:r>
              <w:t xml:space="preserve">For registering, recording, enrolling or receiving on deposit, any memorial, enrolment or instrument </w:t>
            </w:r>
            <w:r>
              <w:tab/>
            </w:r>
          </w:p>
        </w:tc>
        <w:tc>
          <w:tcPr>
            <w:tcW w:w="1502" w:type="dxa"/>
          </w:tcPr>
          <w:p>
            <w:pPr>
              <w:pStyle w:val="yTableNAm"/>
              <w:spacing w:after="40"/>
            </w:pPr>
            <w:r>
              <w:br/>
              <w:t>$152.00</w:t>
            </w:r>
          </w:p>
        </w:tc>
      </w:tr>
      <w:tr>
        <w:tc>
          <w:tcPr>
            <w:tcW w:w="458" w:type="dxa"/>
          </w:tcPr>
          <w:p>
            <w:pPr>
              <w:pStyle w:val="yTableNAm"/>
              <w:spacing w:after="40"/>
            </w:pPr>
            <w:r>
              <w:t>2.</w:t>
            </w:r>
          </w:p>
        </w:tc>
        <w:tc>
          <w:tcPr>
            <w:tcW w:w="4986" w:type="dxa"/>
          </w:tcPr>
          <w:p>
            <w:pPr>
              <w:pStyle w:val="yTableNAm"/>
              <w:tabs>
                <w:tab w:val="right" w:leader="dot" w:pos="5018"/>
              </w:tabs>
              <w:spacing w:after="40"/>
            </w:pPr>
            <w:r>
              <w:t xml:space="preserve">For cancelling or amending a registration by order of the Court </w:t>
            </w:r>
            <w:r>
              <w:tab/>
            </w:r>
          </w:p>
        </w:tc>
        <w:tc>
          <w:tcPr>
            <w:tcW w:w="1502" w:type="dxa"/>
          </w:tcPr>
          <w:p>
            <w:pPr>
              <w:pStyle w:val="yTableNAm"/>
              <w:spacing w:after="40"/>
            </w:pPr>
            <w:r>
              <w:br/>
              <w:t>$152.00</w:t>
            </w:r>
          </w:p>
        </w:tc>
      </w:tr>
    </w:tbl>
    <w:p>
      <w:pPr>
        <w:pStyle w:val="yFootnotesection"/>
      </w:pPr>
      <w:r>
        <w:tab/>
        <w:t>[Division 1 amended: Gazette 24 Jun 2005 p. 2761; 7 Jul 2006 p. 2512; 25 Jun 2007 p. 2966</w:t>
      </w:r>
      <w:r>
        <w:noBreakHyphen/>
        <w:t>7; 20 Jun 2008 p. 2708; 9 Jan 2009 p. 28; 19 Jun 2009 p. 2242; 18 Jun 2010 p. 2677; 14 Jun 2011 p. 2137; 19 Jun 2015 p. 2135; 24 Jun 2016 p. 2321; 23 Jun 2017 p. 3181; 15 Jun 2018 p. 1923; 21 May 2019 p. 1474.]</w:t>
      </w:r>
    </w:p>
    <w:p>
      <w:pPr>
        <w:pStyle w:val="yHeading3"/>
        <w:spacing w:before="260" w:after="120"/>
      </w:pPr>
      <w:bookmarkStart w:id="12" w:name="_Toc42508529"/>
      <w:bookmarkStart w:id="13" w:name="_Toc42591986"/>
      <w:r>
        <w:rPr>
          <w:rStyle w:val="CharSDivNo"/>
        </w:rPr>
        <w:t>Division 2</w:t>
      </w:r>
      <w:r>
        <w:t xml:space="preserve"> — </w:t>
      </w:r>
      <w:r>
        <w:rPr>
          <w:rStyle w:val="CharSDivText"/>
        </w:rPr>
        <w:t>Reproduction of documents</w:t>
      </w:r>
      <w:bookmarkEnd w:id="12"/>
      <w:bookmarkEnd w:id="13"/>
    </w:p>
    <w:tbl>
      <w:tblPr>
        <w:tblW w:w="0" w:type="auto"/>
        <w:tblInd w:w="284" w:type="dxa"/>
        <w:tblLayout w:type="fixed"/>
        <w:tblCellMar>
          <w:left w:w="142" w:type="dxa"/>
          <w:right w:w="142" w:type="dxa"/>
        </w:tblCellMar>
        <w:tblLook w:val="0000" w:firstRow="0" w:lastRow="0" w:firstColumn="0" w:lastColumn="0" w:noHBand="0" w:noVBand="0"/>
      </w:tblPr>
      <w:tblGrid>
        <w:gridCol w:w="458"/>
        <w:gridCol w:w="4986"/>
        <w:gridCol w:w="1502"/>
      </w:tblGrid>
      <w:tr>
        <w:tc>
          <w:tcPr>
            <w:tcW w:w="458" w:type="dxa"/>
          </w:tcPr>
          <w:p>
            <w:pPr>
              <w:pStyle w:val="yTableNAm"/>
              <w:spacing w:after="40"/>
            </w:pPr>
            <w:r>
              <w:t>1.</w:t>
            </w:r>
          </w:p>
        </w:tc>
        <w:tc>
          <w:tcPr>
            <w:tcW w:w="4986" w:type="dxa"/>
          </w:tcPr>
          <w:p>
            <w:pPr>
              <w:pStyle w:val="yTableNAm"/>
              <w:tabs>
                <w:tab w:val="right" w:leader="dot" w:pos="5018"/>
              </w:tabs>
              <w:spacing w:after="40"/>
              <w:rPr>
                <w:b/>
                <w:i/>
              </w:rPr>
            </w:pPr>
            <w:r>
              <w:t xml:space="preserve">For a photocopy supplied of a memorial or other document not specifically provided for </w:t>
            </w:r>
            <w:r>
              <w:tab/>
            </w:r>
          </w:p>
        </w:tc>
        <w:tc>
          <w:tcPr>
            <w:tcW w:w="1502" w:type="dxa"/>
          </w:tcPr>
          <w:p>
            <w:pPr>
              <w:pStyle w:val="yTableNAm"/>
              <w:spacing w:after="40"/>
            </w:pPr>
            <w:r>
              <w:br/>
              <w:t>$26.20</w:t>
            </w:r>
          </w:p>
        </w:tc>
      </w:tr>
    </w:tbl>
    <w:p>
      <w:pPr>
        <w:pStyle w:val="yFootnotesection"/>
      </w:pPr>
      <w:r>
        <w:tab/>
        <w:t>[Division 2 amended: Gazette 7 Jul 2006 p. 2512; 25 Jun 2007 p. 2967; 20 Jun 2008 p. 2708; 9 Jan 2009 p. 29; 19 Jun 2009 p. 2242; 18 Jun 2010 p. 2677; 14 Jun 2011 p. 2137; 19 Jun 2015 p. 2135; 24 Jun 2016 p. 2321; 23 Jun 2017 p. 3181; 15 Jun 2018 p. 1923; 21 May 2019 p. 1474.]</w:t>
      </w:r>
    </w:p>
    <w:p>
      <w:pPr>
        <w:pStyle w:val="yHeading3"/>
        <w:spacing w:before="260" w:after="120"/>
      </w:pPr>
      <w:bookmarkStart w:id="14" w:name="_Toc42508530"/>
      <w:bookmarkStart w:id="15" w:name="_Toc42591987"/>
      <w:r>
        <w:rPr>
          <w:rStyle w:val="CharSDivNo"/>
        </w:rPr>
        <w:t>Division 3</w:t>
      </w:r>
      <w:r>
        <w:t> — </w:t>
      </w:r>
      <w:r>
        <w:rPr>
          <w:rStyle w:val="CharSDivText"/>
        </w:rPr>
        <w:t>Miscellaneous</w:t>
      </w:r>
      <w:bookmarkEnd w:id="14"/>
      <w:bookmarkEnd w:id="15"/>
    </w:p>
    <w:tbl>
      <w:tblPr>
        <w:tblW w:w="0" w:type="auto"/>
        <w:tblInd w:w="284" w:type="dxa"/>
        <w:tblLayout w:type="fixed"/>
        <w:tblCellMar>
          <w:left w:w="142" w:type="dxa"/>
          <w:right w:w="142" w:type="dxa"/>
        </w:tblCellMar>
        <w:tblLook w:val="0000" w:firstRow="0" w:lastRow="0" w:firstColumn="0" w:lastColumn="0" w:noHBand="0" w:noVBand="0"/>
      </w:tblPr>
      <w:tblGrid>
        <w:gridCol w:w="458"/>
        <w:gridCol w:w="4929"/>
        <w:gridCol w:w="1559"/>
      </w:tblGrid>
      <w:tr>
        <w:tc>
          <w:tcPr>
            <w:tcW w:w="458" w:type="dxa"/>
          </w:tcPr>
          <w:p>
            <w:pPr>
              <w:pStyle w:val="yTableNAm"/>
              <w:spacing w:after="40"/>
            </w:pPr>
            <w:r>
              <w:t>1.</w:t>
            </w:r>
          </w:p>
        </w:tc>
        <w:tc>
          <w:tcPr>
            <w:tcW w:w="4929" w:type="dxa"/>
          </w:tcPr>
          <w:p>
            <w:pPr>
              <w:pStyle w:val="yTableNAm"/>
              <w:tabs>
                <w:tab w:val="right" w:leader="dot" w:pos="5018"/>
              </w:tabs>
              <w:spacing w:after="40"/>
            </w:pPr>
            <w:r>
              <w:t xml:space="preserve">For a certification by the Registrar </w:t>
            </w:r>
            <w:r>
              <w:tab/>
            </w:r>
          </w:p>
        </w:tc>
        <w:tc>
          <w:tcPr>
            <w:tcW w:w="1559" w:type="dxa"/>
          </w:tcPr>
          <w:p>
            <w:pPr>
              <w:pStyle w:val="yTableNAm"/>
              <w:spacing w:after="40"/>
            </w:pPr>
            <w:r>
              <w:t>$63.00</w:t>
            </w:r>
          </w:p>
        </w:tc>
      </w:tr>
      <w:tr>
        <w:tc>
          <w:tcPr>
            <w:tcW w:w="458" w:type="dxa"/>
          </w:tcPr>
          <w:p>
            <w:pPr>
              <w:pStyle w:val="yTableNAm"/>
              <w:spacing w:after="40"/>
            </w:pPr>
            <w:r>
              <w:t>2.</w:t>
            </w:r>
          </w:p>
        </w:tc>
        <w:tc>
          <w:tcPr>
            <w:tcW w:w="4929" w:type="dxa"/>
          </w:tcPr>
          <w:p>
            <w:pPr>
              <w:pStyle w:val="yTableNAm"/>
              <w:tabs>
                <w:tab w:val="right" w:leader="dot" w:pos="5018"/>
              </w:tabs>
              <w:spacing w:after="40"/>
            </w:pPr>
            <w:r>
              <w:t xml:space="preserve">Withdrawal of a memorial registered under section 46 of the </w:t>
            </w:r>
            <w:r>
              <w:rPr>
                <w:i/>
                <w:iCs/>
              </w:rPr>
              <w:t>Land Tax Assessment Act 1976</w:t>
            </w:r>
            <w:r>
              <w:t xml:space="preserve"> before that Act was repealed or the </w:t>
            </w:r>
            <w:r>
              <w:rPr>
                <w:i/>
                <w:iCs/>
              </w:rPr>
              <w:t>Taxation Administration Act 2003</w:t>
            </w:r>
            <w:r>
              <w:t xml:space="preserve"> Part 6 Division 2 </w:t>
            </w:r>
            <w:r>
              <w:tab/>
            </w:r>
          </w:p>
        </w:tc>
        <w:tc>
          <w:tcPr>
            <w:tcW w:w="1559" w:type="dxa"/>
          </w:tcPr>
          <w:p>
            <w:pPr>
              <w:pStyle w:val="yTableNAm"/>
              <w:spacing w:after="40"/>
            </w:pPr>
            <w:r>
              <w:br/>
            </w:r>
            <w:r>
              <w:br/>
            </w:r>
            <w:r>
              <w:br/>
              <w:t>$152.00</w:t>
            </w:r>
          </w:p>
        </w:tc>
      </w:tr>
      <w:tr>
        <w:tc>
          <w:tcPr>
            <w:tcW w:w="458" w:type="dxa"/>
          </w:tcPr>
          <w:p>
            <w:pPr>
              <w:pStyle w:val="yTableNAm"/>
              <w:keepNext/>
              <w:keepLines/>
              <w:spacing w:after="40"/>
            </w:pPr>
            <w:r>
              <w:t>3.</w:t>
            </w:r>
          </w:p>
        </w:tc>
        <w:tc>
          <w:tcPr>
            <w:tcW w:w="4929" w:type="dxa"/>
          </w:tcPr>
          <w:p>
            <w:pPr>
              <w:pStyle w:val="yTableNAm"/>
              <w:keepNext/>
              <w:keepLines/>
              <w:tabs>
                <w:tab w:val="right" w:leader="dot" w:pos="5018"/>
              </w:tabs>
              <w:spacing w:after="40"/>
            </w:pPr>
            <w:r>
              <w:t xml:space="preserve">For any service not mentioned in this Schedule </w:t>
            </w:r>
            <w:r>
              <w:tab/>
            </w:r>
          </w:p>
        </w:tc>
        <w:tc>
          <w:tcPr>
            <w:tcW w:w="1559" w:type="dxa"/>
          </w:tcPr>
          <w:p>
            <w:pPr>
              <w:pStyle w:val="yTableNAm"/>
              <w:keepNext/>
              <w:keepLines/>
              <w:spacing w:after="40"/>
              <w:rPr>
                <w:rFonts w:ascii="Times" w:hAnsi="Times"/>
                <w:szCs w:val="22"/>
              </w:rPr>
            </w:pPr>
            <w:r>
              <w:rPr>
                <w:rFonts w:ascii="Times" w:hAnsi="Times"/>
                <w:szCs w:val="22"/>
              </w:rPr>
              <w:t>fee, if any, as assessed by the Registrar, not exceeding actual cost</w:t>
            </w:r>
          </w:p>
        </w:tc>
      </w:tr>
    </w:tbl>
    <w:p>
      <w:pPr>
        <w:pStyle w:val="yFootnotesection"/>
      </w:pPr>
      <w:r>
        <w:tab/>
        <w:t>[Division 3 amended: Gazette 24 Jun 2005 p. 2761; 7 Jul 2006 p. 2512; 25 Jun 2007 p. 2967; 20 Jun 2008 p. 2709; 9 Jan 2009 p. 29; 19 Jun 2009 p. 2242; 18 Jun 2010 p. 2677; 14 Jun 2011 p. 2137; 19 Jun 2015 p. 2135; 24 Jun 2016 p. 2321; 23 Jun 2017 p. 3181; 15 Jun 2018 p. 1923; 21 May 2019 p. 1474.]</w:t>
      </w:r>
    </w:p>
    <w:p>
      <w:pPr>
        <w:pStyle w:val="yEdnotedivision"/>
        <w:spacing w:before="240"/>
      </w:pPr>
      <w:r>
        <w:t>[Division 4 deleted: Gazette 22 Jun 2012 p. 2784.]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81" w:right="2409" w:bottom="3543" w:left="2409" w:header="720" w:footer="3380" w:gutter="0"/>
          <w:cols w:space="720"/>
          <w:noEndnote/>
          <w:docGrid w:linePitch="326"/>
        </w:sectPr>
      </w:pPr>
    </w:p>
    <w:p>
      <w:pPr>
        <w:pStyle w:val="nHeading2"/>
      </w:pPr>
      <w:bookmarkStart w:id="17" w:name="_Toc42508531"/>
      <w:bookmarkStart w:id="18" w:name="_Toc42591988"/>
      <w:r>
        <w:t>Notes</w:t>
      </w:r>
      <w:bookmarkEnd w:id="17"/>
      <w:bookmarkEnd w:id="18"/>
    </w:p>
    <w:p>
      <w:pPr>
        <w:pStyle w:val="nStatement"/>
      </w:pPr>
      <w:r>
        <w:t xml:space="preserve">This is a compilation of the </w:t>
      </w:r>
      <w:r>
        <w:rPr>
          <w:i/>
          <w:noProof/>
        </w:rPr>
        <w:t>Registration of Deeds Regulations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9" w:name="_Toc42591989"/>
      <w:r>
        <w:t>Compilation table</w:t>
      </w:r>
      <w:bookmarkEnd w:id="1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Registration of Deeds Regulations 2004</w:t>
            </w:r>
          </w:p>
        </w:tc>
        <w:tc>
          <w:tcPr>
            <w:tcW w:w="1276" w:type="dxa"/>
            <w:gridSpan w:val="2"/>
            <w:tcBorders>
              <w:top w:val="single" w:sz="8" w:space="0" w:color="auto"/>
            </w:tcBorders>
          </w:tcPr>
          <w:p>
            <w:pPr>
              <w:pStyle w:val="nTable"/>
              <w:spacing w:after="40"/>
            </w:pPr>
            <w:r>
              <w:t>2 Sep 2004 p. 3822</w:t>
            </w:r>
            <w:r>
              <w:noBreakHyphen/>
              <w:t>3</w:t>
            </w:r>
          </w:p>
        </w:tc>
        <w:tc>
          <w:tcPr>
            <w:tcW w:w="2693" w:type="dxa"/>
            <w:gridSpan w:val="2"/>
            <w:tcBorders>
              <w:top w:val="single" w:sz="8" w:space="0" w:color="auto"/>
            </w:tcBorders>
          </w:tcPr>
          <w:p>
            <w:pPr>
              <w:pStyle w:val="nTable"/>
              <w:spacing w:after="40"/>
            </w:pPr>
            <w:r>
              <w:t>6 Sep 2004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Registration of Deeds Amendment Regulations 2005</w:t>
            </w:r>
          </w:p>
        </w:tc>
        <w:tc>
          <w:tcPr>
            <w:tcW w:w="1276" w:type="dxa"/>
            <w:gridSpan w:val="2"/>
          </w:tcPr>
          <w:p>
            <w:pPr>
              <w:pStyle w:val="nTable"/>
              <w:spacing w:after="40"/>
            </w:pPr>
            <w:r>
              <w:t>24 Jun 2005 p. 2760</w:t>
            </w:r>
            <w:r>
              <w:noBreakHyphen/>
              <w:t>1</w:t>
            </w:r>
          </w:p>
        </w:tc>
        <w:tc>
          <w:tcPr>
            <w:tcW w:w="2693" w:type="dxa"/>
            <w:gridSpan w:val="2"/>
          </w:tcPr>
          <w:p>
            <w:pPr>
              <w:pStyle w:val="nTable"/>
              <w:spacing w:after="40"/>
            </w:pPr>
            <w:r>
              <w:t>4 Jul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Registration of Deeds Amendment Regulations 2006</w:t>
            </w:r>
          </w:p>
        </w:tc>
        <w:tc>
          <w:tcPr>
            <w:tcW w:w="1276" w:type="dxa"/>
            <w:gridSpan w:val="2"/>
          </w:tcPr>
          <w:p>
            <w:pPr>
              <w:pStyle w:val="nTable"/>
              <w:spacing w:after="40"/>
            </w:pPr>
            <w:r>
              <w:t>7 Jul 2006 p. 2511</w:t>
            </w:r>
            <w:r>
              <w:noBreakHyphen/>
              <w:t>12</w:t>
            </w:r>
          </w:p>
        </w:tc>
        <w:tc>
          <w:tcPr>
            <w:tcW w:w="2693" w:type="dxa"/>
            <w:gridSpan w:val="2"/>
          </w:tcPr>
          <w:p>
            <w:pPr>
              <w:pStyle w:val="nTable"/>
              <w:spacing w:after="40"/>
            </w:pPr>
            <w:r>
              <w:t>10 Jul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Registration of Deeds Amendment Regulations 2007</w:t>
            </w:r>
          </w:p>
        </w:tc>
        <w:tc>
          <w:tcPr>
            <w:tcW w:w="1276" w:type="dxa"/>
            <w:gridSpan w:val="2"/>
          </w:tcPr>
          <w:p>
            <w:pPr>
              <w:pStyle w:val="nTable"/>
              <w:spacing w:after="40"/>
            </w:pPr>
            <w:r>
              <w:t>25 Jun 2007 p. 2966</w:t>
            </w:r>
            <w:r>
              <w:noBreakHyphen/>
              <w:t>7</w:t>
            </w:r>
          </w:p>
        </w:tc>
        <w:tc>
          <w:tcPr>
            <w:tcW w:w="2693" w:type="dxa"/>
            <w:gridSpan w:val="2"/>
          </w:tcPr>
          <w:p>
            <w:pPr>
              <w:pStyle w:val="nTable"/>
              <w:spacing w:after="40"/>
            </w:pPr>
            <w:r>
              <w:rPr>
                <w:snapToGrid w:val="0"/>
              </w:rPr>
              <w:t>r. 1 and 2: 25 Jun 2007 (see r. 2(a));</w:t>
            </w:r>
            <w:r>
              <w:rPr>
                <w:snapToGrid w:val="0"/>
              </w:rPr>
              <w:br/>
              <w:t>Regulations other than r. 1 and 2: 2 Jul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Registration of Deeds Amendment Regulations 2008</w:t>
            </w:r>
          </w:p>
        </w:tc>
        <w:tc>
          <w:tcPr>
            <w:tcW w:w="1276" w:type="dxa"/>
            <w:gridSpan w:val="2"/>
          </w:tcPr>
          <w:p>
            <w:pPr>
              <w:pStyle w:val="nTable"/>
              <w:spacing w:after="40"/>
            </w:pPr>
            <w:r>
              <w:t>20 Jun 2008 p. 2708</w:t>
            </w:r>
            <w:r>
              <w:noBreakHyphen/>
              <w:t>9</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7" w:type="dxa"/>
            <w:gridSpan w:val="5"/>
          </w:tcPr>
          <w:p>
            <w:pPr>
              <w:pStyle w:val="nTable"/>
              <w:spacing w:after="40"/>
              <w:rPr>
                <w:snapToGrid w:val="0"/>
              </w:rPr>
            </w:pPr>
            <w:r>
              <w:rPr>
                <w:b/>
                <w:bCs/>
                <w:snapToGrid w:val="0"/>
              </w:rPr>
              <w:t xml:space="preserve">Reprint 1: The </w:t>
            </w:r>
            <w:r>
              <w:rPr>
                <w:b/>
                <w:bCs/>
                <w:i/>
              </w:rPr>
              <w:t>Registration of Deeds Regulations 2004</w:t>
            </w:r>
            <w:r>
              <w:rPr>
                <w:b/>
                <w:bCs/>
                <w:snapToGrid w:val="0"/>
              </w:rPr>
              <w:t xml:space="preserve"> as at 5 Dec 2008</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Registration of Deeds Amendment Regulations (No. 2) 2008</w:t>
            </w:r>
          </w:p>
        </w:tc>
        <w:tc>
          <w:tcPr>
            <w:tcW w:w="1276" w:type="dxa"/>
            <w:gridSpan w:val="2"/>
          </w:tcPr>
          <w:p>
            <w:pPr>
              <w:pStyle w:val="nTable"/>
              <w:spacing w:after="40"/>
            </w:pPr>
            <w:r>
              <w:t>9 Jan 2009 p. 28-9</w:t>
            </w:r>
          </w:p>
        </w:tc>
        <w:tc>
          <w:tcPr>
            <w:tcW w:w="2693" w:type="dxa"/>
            <w:gridSpan w:val="2"/>
          </w:tcPr>
          <w:p>
            <w:pPr>
              <w:pStyle w:val="nTable"/>
              <w:spacing w:after="40"/>
              <w:rPr>
                <w:snapToGrid w:val="0"/>
              </w:rPr>
            </w:pPr>
            <w:r>
              <w:rPr>
                <w:snapToGrid w:val="0"/>
              </w:rPr>
              <w:t>r. 1 and 2: 9 Jan 2009 (see r. 2(a));</w:t>
            </w:r>
            <w:r>
              <w:rPr>
                <w:snapToGrid w:val="0"/>
              </w:rPr>
              <w:br/>
              <w:t>Regulations other than r. 1 and 2: 19 Jan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Registration of Deeds Amendment Regulations 2009</w:t>
            </w:r>
          </w:p>
        </w:tc>
        <w:tc>
          <w:tcPr>
            <w:tcW w:w="1276" w:type="dxa"/>
            <w:gridSpan w:val="2"/>
          </w:tcPr>
          <w:p>
            <w:pPr>
              <w:pStyle w:val="nTable"/>
              <w:spacing w:after="40"/>
            </w:pPr>
            <w:r>
              <w:t>19 Jun 2009 p. 2241-2</w:t>
            </w:r>
          </w:p>
        </w:tc>
        <w:tc>
          <w:tcPr>
            <w:tcW w:w="2693" w:type="dxa"/>
            <w:gridSpan w:val="2"/>
          </w:tcPr>
          <w:p>
            <w:pPr>
              <w:pStyle w:val="nTable"/>
              <w:spacing w:after="40"/>
              <w:rPr>
                <w:snapToGrid w:val="0"/>
              </w:rPr>
            </w:pPr>
            <w:r>
              <w:rPr>
                <w:snapToGrid w:val="0"/>
              </w:rPr>
              <w:t>r. 1 and 2: 19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Registration of Deeds Amendment Regulations 2010</w:t>
            </w:r>
          </w:p>
        </w:tc>
        <w:tc>
          <w:tcPr>
            <w:tcW w:w="1276" w:type="dxa"/>
            <w:gridSpan w:val="2"/>
          </w:tcPr>
          <w:p>
            <w:pPr>
              <w:pStyle w:val="nTable"/>
              <w:spacing w:after="40"/>
            </w:pPr>
            <w:r>
              <w:t>18 Jun 2010 p. 2677</w:t>
            </w:r>
          </w:p>
        </w:tc>
        <w:tc>
          <w:tcPr>
            <w:tcW w:w="2693" w:type="dxa"/>
            <w:gridSpan w:val="2"/>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Registration of Deeds Amendment Regulations 2011</w:t>
            </w:r>
          </w:p>
        </w:tc>
        <w:tc>
          <w:tcPr>
            <w:tcW w:w="1276" w:type="dxa"/>
            <w:gridSpan w:val="2"/>
          </w:tcPr>
          <w:p>
            <w:pPr>
              <w:pStyle w:val="nTable"/>
              <w:spacing w:after="40"/>
            </w:pPr>
            <w:r>
              <w:t>14 Jun 2011 p. 2136</w:t>
            </w:r>
            <w:r>
              <w:noBreakHyphen/>
              <w:t>7</w:t>
            </w:r>
          </w:p>
        </w:tc>
        <w:tc>
          <w:tcPr>
            <w:tcW w:w="2693" w:type="dxa"/>
            <w:gridSpan w:val="2"/>
          </w:tcPr>
          <w:p>
            <w:pPr>
              <w:pStyle w:val="nTable"/>
              <w:spacing w:after="40"/>
              <w:rPr>
                <w:snapToGrid w:val="0"/>
              </w:rPr>
            </w:pPr>
            <w:r>
              <w:rPr>
                <w:snapToGrid w:val="0"/>
              </w:rPr>
              <w:t>r. 1 and 2: 14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Registration of Deeds Amendment Regulations 2012</w:t>
            </w:r>
          </w:p>
        </w:tc>
        <w:tc>
          <w:tcPr>
            <w:tcW w:w="1276" w:type="dxa"/>
            <w:gridSpan w:val="2"/>
            <w:shd w:val="clear" w:color="auto" w:fill="auto"/>
          </w:tcPr>
          <w:p>
            <w:pPr>
              <w:pStyle w:val="nTable"/>
              <w:spacing w:after="40"/>
            </w:pPr>
            <w:r>
              <w:t>22 Jun 2012 p. 2783-4</w:t>
            </w:r>
          </w:p>
        </w:tc>
        <w:tc>
          <w:tcPr>
            <w:tcW w:w="2693" w:type="dxa"/>
            <w:gridSpan w:val="2"/>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c>
          <w:tcPr>
            <w:tcW w:w="7087" w:type="dxa"/>
            <w:gridSpan w:val="5"/>
            <w:shd w:val="clear" w:color="auto" w:fill="auto"/>
          </w:tcPr>
          <w:p>
            <w:pPr>
              <w:pStyle w:val="nTable"/>
              <w:spacing w:after="40"/>
              <w:rPr>
                <w:snapToGrid w:val="0"/>
              </w:rPr>
            </w:pPr>
            <w:r>
              <w:rPr>
                <w:b/>
                <w:bCs/>
                <w:snapToGrid w:val="0"/>
              </w:rPr>
              <w:t xml:space="preserve">Reprint 2: The </w:t>
            </w:r>
            <w:r>
              <w:rPr>
                <w:b/>
                <w:bCs/>
                <w:i/>
              </w:rPr>
              <w:t>Registration of Deeds Regulations 2004</w:t>
            </w:r>
            <w:r>
              <w:rPr>
                <w:b/>
                <w:bCs/>
                <w:snapToGrid w:val="0"/>
              </w:rPr>
              <w:t xml:space="preserve"> as at 12 Oct 2012</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47" w:type="dxa"/>
            <w:gridSpan w:val="2"/>
            <w:shd w:val="clear" w:color="auto" w:fill="auto"/>
          </w:tcPr>
          <w:p>
            <w:pPr>
              <w:pStyle w:val="nTable"/>
              <w:spacing w:after="40"/>
              <w:rPr>
                <w:b/>
                <w:bCs/>
                <w:snapToGrid w:val="0"/>
              </w:rPr>
            </w:pPr>
            <w:r>
              <w:rPr>
                <w:i/>
              </w:rPr>
              <w:t>Registration of Deeds Amendment Regulations 2015</w:t>
            </w:r>
          </w:p>
        </w:tc>
        <w:tc>
          <w:tcPr>
            <w:tcW w:w="1276" w:type="dxa"/>
            <w:gridSpan w:val="2"/>
            <w:shd w:val="clear" w:color="auto" w:fill="auto"/>
          </w:tcPr>
          <w:p>
            <w:pPr>
              <w:pStyle w:val="nTable"/>
              <w:spacing w:after="40"/>
              <w:rPr>
                <w:b/>
                <w:bCs/>
                <w:snapToGrid w:val="0"/>
              </w:rPr>
            </w:pPr>
            <w:r>
              <w:t>19 Jun 2015 p. 2134</w:t>
            </w:r>
            <w:r>
              <w:noBreakHyphen/>
              <w:t>5</w:t>
            </w:r>
          </w:p>
        </w:tc>
        <w:tc>
          <w:tcPr>
            <w:tcW w:w="2664" w:type="dxa"/>
            <w:shd w:val="clear" w:color="auto" w:fill="auto"/>
          </w:tcPr>
          <w:p>
            <w:pPr>
              <w:pStyle w:val="nTable"/>
              <w:spacing w:after="40"/>
              <w:rPr>
                <w:b/>
                <w:bCs/>
                <w:snapToGrid w:val="0"/>
              </w:rPr>
            </w:pPr>
            <w:r>
              <w:rPr>
                <w:snapToGrid w:val="0"/>
              </w:rPr>
              <w:t xml:space="preserve">r. 1 and 2: </w:t>
            </w:r>
            <w:r>
              <w:t>19 Jun 2015</w:t>
            </w:r>
            <w:r>
              <w:rPr>
                <w:snapToGrid w:val="0"/>
              </w:rPr>
              <w:t xml:space="preserve"> (see r. 2(a));</w:t>
            </w:r>
            <w:r>
              <w:rPr>
                <w:snapToGrid w:val="0"/>
              </w:rPr>
              <w:br/>
              <w:t>Regulations other than r. 1 and 2: 1 Jul 2015 (see r. 2(b))</w:t>
            </w:r>
          </w:p>
        </w:tc>
      </w:tr>
      <w:tr>
        <w:tblPrEx>
          <w:tblBorders>
            <w:top w:val="none" w:sz="0" w:space="0" w:color="auto"/>
            <w:bottom w:val="none" w:sz="0" w:space="0" w:color="auto"/>
            <w:insideH w:val="none" w:sz="0" w:space="0" w:color="auto"/>
          </w:tblBorders>
        </w:tblPrEx>
        <w:tc>
          <w:tcPr>
            <w:tcW w:w="3147" w:type="dxa"/>
            <w:gridSpan w:val="2"/>
            <w:shd w:val="clear" w:color="auto" w:fill="auto"/>
          </w:tcPr>
          <w:p>
            <w:pPr>
              <w:pStyle w:val="nTable"/>
              <w:spacing w:after="40"/>
            </w:pPr>
            <w:r>
              <w:rPr>
                <w:i/>
              </w:rPr>
              <w:t>Lands Regulations Amendment (Fees and Charges) Regulations 2016</w:t>
            </w:r>
            <w:r>
              <w:t xml:space="preserve"> Pt. 2</w:t>
            </w:r>
          </w:p>
        </w:tc>
        <w:tc>
          <w:tcPr>
            <w:tcW w:w="1276" w:type="dxa"/>
            <w:gridSpan w:val="2"/>
            <w:shd w:val="clear" w:color="auto" w:fill="auto"/>
          </w:tcPr>
          <w:p>
            <w:pPr>
              <w:pStyle w:val="nTable"/>
              <w:spacing w:after="40"/>
            </w:pPr>
            <w:r>
              <w:t>24 Jun 2016 p. 2320-5</w:t>
            </w:r>
          </w:p>
        </w:tc>
        <w:tc>
          <w:tcPr>
            <w:tcW w:w="2664" w:type="dxa"/>
            <w:shd w:val="clear" w:color="auto" w:fill="auto"/>
          </w:tcPr>
          <w:p>
            <w:pPr>
              <w:pStyle w:val="nTable"/>
              <w:spacing w:after="40"/>
              <w:rPr>
                <w:snapToGrid w:val="0"/>
              </w:rPr>
            </w:pPr>
            <w:r>
              <w:rPr>
                <w:snapToGrid w:val="0"/>
              </w:rPr>
              <w:t xml:space="preserve">r. 1 and 2: </w:t>
            </w:r>
            <w:r>
              <w:t>24 Jun 2016</w:t>
            </w:r>
            <w:r>
              <w:rPr>
                <w:snapToGrid w:val="0"/>
              </w:rPr>
              <w:t xml:space="preserve"> (see r. 2(a));</w:t>
            </w:r>
            <w:r>
              <w:rPr>
                <w:snapToGrid w:val="0"/>
              </w:rPr>
              <w:br/>
              <w:t>Regulations other than r. 1 and 2: 1 Jul 2016 (see r. 2(b))</w:t>
            </w:r>
          </w:p>
        </w:tc>
      </w:tr>
      <w:tr>
        <w:tblPrEx>
          <w:tblBorders>
            <w:top w:val="none" w:sz="0" w:space="0" w:color="auto"/>
            <w:bottom w:val="none" w:sz="0" w:space="0" w:color="auto"/>
            <w:insideH w:val="none" w:sz="0" w:space="0" w:color="auto"/>
          </w:tblBorders>
        </w:tblPrEx>
        <w:tc>
          <w:tcPr>
            <w:tcW w:w="3147" w:type="dxa"/>
            <w:gridSpan w:val="2"/>
            <w:shd w:val="clear" w:color="auto" w:fill="auto"/>
          </w:tcPr>
          <w:p>
            <w:pPr>
              <w:pStyle w:val="nTable"/>
              <w:spacing w:after="40"/>
            </w:pPr>
            <w:r>
              <w:rPr>
                <w:i/>
              </w:rPr>
              <w:t xml:space="preserve">Lands Regulations Amendment (Fees and Charges) Regulations 2017 </w:t>
            </w:r>
            <w:r>
              <w:t>Pt. 2</w:t>
            </w:r>
          </w:p>
        </w:tc>
        <w:tc>
          <w:tcPr>
            <w:tcW w:w="1276" w:type="dxa"/>
            <w:gridSpan w:val="2"/>
            <w:shd w:val="clear" w:color="auto" w:fill="auto"/>
          </w:tcPr>
          <w:p>
            <w:pPr>
              <w:pStyle w:val="nTable"/>
              <w:spacing w:after="40"/>
            </w:pPr>
            <w:r>
              <w:t>23 Jun 2017 p. 3181</w:t>
            </w:r>
            <w:r>
              <w:noBreakHyphen/>
              <w:t>6</w:t>
            </w:r>
          </w:p>
        </w:tc>
        <w:tc>
          <w:tcPr>
            <w:tcW w:w="2664" w:type="dxa"/>
            <w:shd w:val="clear" w:color="auto" w:fill="auto"/>
          </w:tcPr>
          <w:p>
            <w:pPr>
              <w:pStyle w:val="nTable"/>
              <w:spacing w:after="40"/>
              <w:rPr>
                <w:snapToGrid w:val="0"/>
              </w:rPr>
            </w:pPr>
            <w:r>
              <w:rPr>
                <w:snapToGrid w:val="0"/>
              </w:rPr>
              <w:t>3 Jul 2017 (see r. 2(b))</w:t>
            </w:r>
          </w:p>
        </w:tc>
      </w:tr>
      <w:tr>
        <w:tblPrEx>
          <w:tblBorders>
            <w:top w:val="none" w:sz="0" w:space="0" w:color="auto"/>
            <w:bottom w:val="none" w:sz="0" w:space="0" w:color="auto"/>
            <w:insideH w:val="none" w:sz="0" w:space="0" w:color="auto"/>
          </w:tblBorders>
        </w:tblPrEx>
        <w:tc>
          <w:tcPr>
            <w:tcW w:w="3147" w:type="dxa"/>
            <w:gridSpan w:val="2"/>
            <w:shd w:val="clear" w:color="auto" w:fill="auto"/>
          </w:tcPr>
          <w:p>
            <w:pPr>
              <w:pStyle w:val="nTable"/>
              <w:spacing w:after="40"/>
            </w:pPr>
            <w:r>
              <w:rPr>
                <w:i/>
              </w:rPr>
              <w:t>Lands Regulations Amendment (Fees and Charges) Regulations 2018</w:t>
            </w:r>
            <w:r>
              <w:t xml:space="preserve"> Pt. 2</w:t>
            </w:r>
          </w:p>
        </w:tc>
        <w:tc>
          <w:tcPr>
            <w:tcW w:w="1276" w:type="dxa"/>
            <w:gridSpan w:val="2"/>
            <w:shd w:val="clear" w:color="auto" w:fill="auto"/>
          </w:tcPr>
          <w:p>
            <w:pPr>
              <w:pStyle w:val="nTable"/>
              <w:spacing w:after="40"/>
            </w:pPr>
            <w:r>
              <w:t>15 Jun 2018 p. 1923</w:t>
            </w:r>
            <w:r>
              <w:noBreakHyphen/>
              <w:t>8</w:t>
            </w:r>
          </w:p>
        </w:tc>
        <w:tc>
          <w:tcPr>
            <w:tcW w:w="2664" w:type="dxa"/>
            <w:shd w:val="clear" w:color="auto" w:fill="auto"/>
          </w:tcPr>
          <w:p>
            <w:pPr>
              <w:pStyle w:val="nTable"/>
              <w:spacing w:after="40"/>
              <w:rPr>
                <w:snapToGrid w:val="0"/>
              </w:rPr>
            </w:pPr>
            <w:r>
              <w:rPr>
                <w:snapToGrid w:val="0"/>
              </w:rPr>
              <w:t>1 Jul 2018 (see r. 2(b))</w:t>
            </w:r>
          </w:p>
        </w:tc>
      </w:tr>
      <w:tr>
        <w:tblPrEx>
          <w:tblBorders>
            <w:top w:val="none" w:sz="0" w:space="0" w:color="auto"/>
            <w:bottom w:val="none" w:sz="0" w:space="0" w:color="auto"/>
            <w:insideH w:val="none" w:sz="0" w:space="0" w:color="auto"/>
          </w:tblBorders>
        </w:tblPrEx>
        <w:tc>
          <w:tcPr>
            <w:tcW w:w="3147" w:type="dxa"/>
            <w:gridSpan w:val="2"/>
            <w:tcBorders>
              <w:bottom w:val="single" w:sz="8" w:space="0" w:color="auto"/>
            </w:tcBorders>
            <w:shd w:val="clear" w:color="auto" w:fill="auto"/>
          </w:tcPr>
          <w:p>
            <w:pPr>
              <w:pStyle w:val="nTable"/>
              <w:spacing w:after="40"/>
              <w:rPr>
                <w:i/>
              </w:rPr>
            </w:pPr>
            <w:r>
              <w:rPr>
                <w:i/>
              </w:rPr>
              <w:t>Lands Regulations Amendment (Fees and Charges) Regulations 2019</w:t>
            </w:r>
            <w:r>
              <w:t xml:space="preserve"> Pt. 2</w:t>
            </w:r>
          </w:p>
        </w:tc>
        <w:tc>
          <w:tcPr>
            <w:tcW w:w="1276" w:type="dxa"/>
            <w:gridSpan w:val="2"/>
            <w:tcBorders>
              <w:bottom w:val="single" w:sz="8" w:space="0" w:color="auto"/>
            </w:tcBorders>
            <w:shd w:val="clear" w:color="auto" w:fill="auto"/>
          </w:tcPr>
          <w:p>
            <w:pPr>
              <w:pStyle w:val="nTable"/>
              <w:spacing w:after="40"/>
            </w:pPr>
            <w:r>
              <w:t>21 May 2019 p. 1474</w:t>
            </w:r>
            <w:r>
              <w:noBreakHyphen/>
              <w:t>81</w:t>
            </w:r>
          </w:p>
        </w:tc>
        <w:tc>
          <w:tcPr>
            <w:tcW w:w="2664" w:type="dxa"/>
            <w:tcBorders>
              <w:bottom w:val="single" w:sz="8" w:space="0" w:color="auto"/>
            </w:tcBorders>
            <w:shd w:val="clear" w:color="auto" w:fill="auto"/>
          </w:tcPr>
          <w:p>
            <w:pPr>
              <w:pStyle w:val="nTable"/>
              <w:spacing w:after="40"/>
              <w:rPr>
                <w:snapToGrid w:val="0"/>
              </w:rPr>
            </w:pPr>
            <w:r>
              <w:t>1 Jul 2019 (see r. 2(b))</w:t>
            </w:r>
          </w:p>
        </w:tc>
      </w:tr>
    </w:tbl>
    <w:p>
      <w:pPr>
        <w:pStyle w:val="nHeading3"/>
      </w:pPr>
      <w:bookmarkStart w:id="20" w:name="_Toc42507203"/>
      <w:bookmarkStart w:id="21" w:name="_Toc42508051"/>
      <w:bookmarkStart w:id="22" w:name="_Toc42591990"/>
      <w:r>
        <w:t>Uncommenced provisions table</w:t>
      </w:r>
      <w:bookmarkEnd w:id="20"/>
      <w:bookmarkEnd w:id="21"/>
      <w:bookmarkEnd w:id="22"/>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Lands Regulations Amendment (Fees and Charges) Regulations 2020 </w:t>
            </w:r>
            <w:r>
              <w:t>Pt. 2</w:t>
            </w:r>
          </w:p>
        </w:tc>
        <w:tc>
          <w:tcPr>
            <w:tcW w:w="1276" w:type="dxa"/>
          </w:tcPr>
          <w:p>
            <w:pPr>
              <w:pStyle w:val="nTable"/>
              <w:spacing w:after="40"/>
            </w:pPr>
            <w:r>
              <w:t>SL 2020/76</w:t>
            </w:r>
            <w:r>
              <w:br/>
              <w:t>9 Jun 2020</w:t>
            </w:r>
          </w:p>
        </w:tc>
        <w:tc>
          <w:tcPr>
            <w:tcW w:w="2693" w:type="dxa"/>
          </w:tcPr>
          <w:p>
            <w:pPr>
              <w:pStyle w:val="nTable"/>
              <w:spacing w:after="40"/>
            </w:pPr>
            <w:r>
              <w:t>1 Jul 2020 (see r. 2(b))</w:t>
            </w:r>
          </w:p>
        </w:tc>
      </w:tr>
    </w:tbl>
    <w:p/>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24" w:name="_Toc42508534"/>
      <w:bookmarkStart w:id="25" w:name="_Toc42591991"/>
      <w:r>
        <w:rPr>
          <w:sz w:val="28"/>
        </w:rPr>
        <w:t>Defined terms</w:t>
      </w:r>
      <w:bookmarkEnd w:id="24"/>
      <w:bookmarkEnd w:id="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memorial</w:t>
      </w:r>
      <w:r>
        <w:tab/>
        <w:t>3</w:t>
      </w:r>
    </w:p>
    <w:p>
      <w:pPr>
        <w:pStyle w:val="DefinedTerms"/>
      </w:pPr>
      <w:r>
        <w:t>Registrar</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Registration of Deeds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 w:name="Schedule"/>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 w:name="Compilation"/>
    <w:bookmarkEnd w:id="2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 w:name="DefinedTerms"/>
    <w:bookmarkEnd w:id="2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 w:name="Coversheet"/>
    <w:bookmarkEnd w:id="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54320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C18898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0EA7A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7AC21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AA077E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56222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FA8C2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2FC31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9EEA23A"/>
    <w:lvl w:ilvl="0">
      <w:start w:val="1"/>
      <w:numFmt w:val="decimal"/>
      <w:pStyle w:val="ListNumber"/>
      <w:lvlText w:val="%1."/>
      <w:lvlJc w:val="left"/>
      <w:pPr>
        <w:tabs>
          <w:tab w:val="num" w:pos="360"/>
        </w:tabs>
        <w:ind w:left="360" w:hanging="360"/>
      </w:pPr>
    </w:lvl>
  </w:abstractNum>
  <w:abstractNum w:abstractNumId="9">
    <w:nsid w:val="FFFFFF89"/>
    <w:multiLevelType w:val="singleLevel"/>
    <w:tmpl w:val="3788DF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177C4EF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 w:numId="27">
    <w:abstractNumId w:val="15"/>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08113027"/>
    <w:docVar w:name="WAFER_20140128103838" w:val="RemoveTocBookmarks,RemoveUnusedBookmarks,RemoveLanguageTags,UsedStyles,ResetPageSize,UpdateArrangement"/>
    <w:docVar w:name="WAFER_20140128103838_GUID" w:val="1f192afb-ec81-44d4-9097-9eee1264a8a0"/>
    <w:docVar w:name="WAFER_20140128112537" w:val="RemoveTocBookmarks,RunningHeaders"/>
    <w:docVar w:name="WAFER_20140128112537_GUID" w:val="c641e775-7fc8-42c2-aa25-22db27c15813"/>
    <w:docVar w:name="WAFER_20150630095733" w:val="ResetPageSize,UpdateArrangement,UpdateNTable"/>
    <w:docVar w:name="WAFER_20150630095733_GUID" w:val="501dcbca-c1f6-4f2c-8d83-23dbd4aee096"/>
    <w:docVar w:name="WAFER_20151112114002" w:val="UpdateStyles,UsedStyles"/>
    <w:docVar w:name="WAFER_20151112114002_GUID" w:val="52ac0c77-ef4e-41f6-afbc-0cf3f08cfeac"/>
    <w:docVar w:name="WAFER_20180614115126" w:val="RemoveTocBookmarks,RemoveUnusedBookmarks,RemoveLanguageTags,UsedStyles,ResetPageSize"/>
    <w:docVar w:name="WAFER_20180614115126_GUID" w:val="a2766285-a092-4144-a2ac-1fc66c0cacb7"/>
    <w:docVar w:name="WAFER_20180628102407" w:val="RemoveTocBookmarks,RemoveUnusedBookmarks,RemoveLanguageTags,UsedStyles,ResetPageSize"/>
    <w:docVar w:name="WAFER_20180628102407_GUID" w:val="87e81bbd-13f4-4d85-87d7-a59c7bfd7c0d"/>
    <w:docVar w:name="WAFER_20190618150539" w:val="RemoveTocBookmarks,RemoveUnusedBookmarks,RemoveLanguageTags,ResetPageSize,RunningHeaders,UpdateStyles,UsedStyles"/>
    <w:docVar w:name="WAFER_20190618150539_GUID" w:val="9c530b63-4566-4992-99fc-05e0cc76a2bd"/>
    <w:docVar w:name="WAFER_20200608113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13027_GUID" w:val="52da9750-9524-4c06-903d-d69c63f73c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tabs>
        <w:tab w:val="clear" w:pos="643"/>
        <w:tab w:val="num" w:pos="720"/>
      </w:tabs>
      <w:ind w:left="720"/>
    </w:pPr>
  </w:style>
  <w:style w:type="paragraph" w:styleId="ListBullet3">
    <w:name w:val="List Bullet 3"/>
    <w:basedOn w:val="Normal"/>
    <w:autoRedefine/>
    <w:pPr>
      <w:numPr>
        <w:numId w:val="30"/>
      </w:numPr>
      <w:tabs>
        <w:tab w:val="clear" w:pos="926"/>
        <w:tab w:val="num" w:pos="1080"/>
      </w:tabs>
      <w:ind w:left="1080"/>
    </w:pPr>
  </w:style>
  <w:style w:type="paragraph" w:styleId="ListBullet4">
    <w:name w:val="List Bullet 4"/>
    <w:basedOn w:val="Normal"/>
    <w:autoRedefine/>
    <w:pPr>
      <w:numPr>
        <w:numId w:val="31"/>
      </w:numPr>
      <w:tabs>
        <w:tab w:val="clear" w:pos="1209"/>
        <w:tab w:val="num" w:pos="1440"/>
      </w:tabs>
      <w:ind w:left="1440"/>
    </w:pPr>
  </w:style>
  <w:style w:type="paragraph" w:styleId="ListBullet5">
    <w:name w:val="List Bullet 5"/>
    <w:basedOn w:val="Normal"/>
    <w:autoRedefine/>
    <w:pPr>
      <w:numPr>
        <w:numId w:val="32"/>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3"/>
      </w:numPr>
    </w:pPr>
  </w:style>
  <w:style w:type="paragraph" w:styleId="ListNumber2">
    <w:name w:val="List Number 2"/>
    <w:basedOn w:val="Normal"/>
    <w:pPr>
      <w:numPr>
        <w:numId w:val="34"/>
      </w:numPr>
      <w:tabs>
        <w:tab w:val="clear" w:pos="643"/>
        <w:tab w:val="num" w:pos="720"/>
      </w:tabs>
      <w:ind w:left="720"/>
    </w:pPr>
  </w:style>
  <w:style w:type="paragraph" w:styleId="ListNumber3">
    <w:name w:val="List Number 3"/>
    <w:basedOn w:val="Normal"/>
    <w:pPr>
      <w:numPr>
        <w:numId w:val="35"/>
      </w:numPr>
      <w:tabs>
        <w:tab w:val="clear" w:pos="926"/>
        <w:tab w:val="num" w:pos="1080"/>
      </w:tabs>
      <w:ind w:left="1080"/>
    </w:pPr>
  </w:style>
  <w:style w:type="paragraph" w:styleId="ListNumber4">
    <w:name w:val="List Number 4"/>
    <w:basedOn w:val="Normal"/>
    <w:pPr>
      <w:numPr>
        <w:numId w:val="36"/>
      </w:numPr>
      <w:tabs>
        <w:tab w:val="clear" w:pos="1209"/>
        <w:tab w:val="num" w:pos="1440"/>
      </w:tabs>
      <w:ind w:left="1440"/>
    </w:pPr>
  </w:style>
  <w:style w:type="paragraph" w:styleId="ListNumber5">
    <w:name w:val="List Number 5"/>
    <w:basedOn w:val="Normal"/>
    <w:pPr>
      <w:numPr>
        <w:numId w:val="37"/>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tabs>
        <w:tab w:val="clear" w:pos="643"/>
        <w:tab w:val="num" w:pos="720"/>
      </w:tabs>
      <w:ind w:left="720"/>
    </w:pPr>
  </w:style>
  <w:style w:type="paragraph" w:styleId="ListBullet3">
    <w:name w:val="List Bullet 3"/>
    <w:basedOn w:val="Normal"/>
    <w:autoRedefine/>
    <w:pPr>
      <w:numPr>
        <w:numId w:val="30"/>
      </w:numPr>
      <w:tabs>
        <w:tab w:val="clear" w:pos="926"/>
        <w:tab w:val="num" w:pos="1080"/>
      </w:tabs>
      <w:ind w:left="1080"/>
    </w:pPr>
  </w:style>
  <w:style w:type="paragraph" w:styleId="ListBullet4">
    <w:name w:val="List Bullet 4"/>
    <w:basedOn w:val="Normal"/>
    <w:autoRedefine/>
    <w:pPr>
      <w:numPr>
        <w:numId w:val="31"/>
      </w:numPr>
      <w:tabs>
        <w:tab w:val="clear" w:pos="1209"/>
        <w:tab w:val="num" w:pos="1440"/>
      </w:tabs>
      <w:ind w:left="1440"/>
    </w:pPr>
  </w:style>
  <w:style w:type="paragraph" w:styleId="ListBullet5">
    <w:name w:val="List Bullet 5"/>
    <w:basedOn w:val="Normal"/>
    <w:autoRedefine/>
    <w:pPr>
      <w:numPr>
        <w:numId w:val="32"/>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3"/>
      </w:numPr>
    </w:pPr>
  </w:style>
  <w:style w:type="paragraph" w:styleId="ListNumber2">
    <w:name w:val="List Number 2"/>
    <w:basedOn w:val="Normal"/>
    <w:pPr>
      <w:numPr>
        <w:numId w:val="34"/>
      </w:numPr>
      <w:tabs>
        <w:tab w:val="clear" w:pos="643"/>
        <w:tab w:val="num" w:pos="720"/>
      </w:tabs>
      <w:ind w:left="720"/>
    </w:pPr>
  </w:style>
  <w:style w:type="paragraph" w:styleId="ListNumber3">
    <w:name w:val="List Number 3"/>
    <w:basedOn w:val="Normal"/>
    <w:pPr>
      <w:numPr>
        <w:numId w:val="35"/>
      </w:numPr>
      <w:tabs>
        <w:tab w:val="clear" w:pos="926"/>
        <w:tab w:val="num" w:pos="1080"/>
      </w:tabs>
      <w:ind w:left="1080"/>
    </w:pPr>
  </w:style>
  <w:style w:type="paragraph" w:styleId="ListNumber4">
    <w:name w:val="List Number 4"/>
    <w:basedOn w:val="Normal"/>
    <w:pPr>
      <w:numPr>
        <w:numId w:val="36"/>
      </w:numPr>
      <w:tabs>
        <w:tab w:val="clear" w:pos="1209"/>
        <w:tab w:val="num" w:pos="1440"/>
      </w:tabs>
      <w:ind w:left="1440"/>
    </w:pPr>
  </w:style>
  <w:style w:type="paragraph" w:styleId="ListNumber5">
    <w:name w:val="List Number 5"/>
    <w:basedOn w:val="Normal"/>
    <w:pPr>
      <w:numPr>
        <w:numId w:val="37"/>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1357</Words>
  <Characters>6175</Characters>
  <Application>Microsoft Office Word</Application>
  <DocSecurity>0</DocSecurity>
  <Lines>280</Lines>
  <Paragraphs>175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Deeds Regulations 2004 - 02-j0-00</dc:title>
  <dc:subject/>
  <dc:creator/>
  <cp:keywords/>
  <dc:description/>
  <cp:lastModifiedBy>svcMRProcess</cp:lastModifiedBy>
  <cp:revision>4</cp:revision>
  <cp:lastPrinted>2012-10-30T00:56:00Z</cp:lastPrinted>
  <dcterms:created xsi:type="dcterms:W3CDTF">2020-06-09T06:47:00Z</dcterms:created>
  <dcterms:modified xsi:type="dcterms:W3CDTF">2020-06-09T06:47:00Z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3822-3</vt:lpwstr>
  </property>
  <property fmtid="{D5CDD505-2E9C-101B-9397-08002B2CF9AE}" pid="3" name="OwlsUID">
    <vt:i4>35188</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2012-10-11T16:00:00Z</vt:filetime>
  </property>
  <property fmtid="{D5CDD505-2E9C-101B-9397-08002B2CF9AE}" pid="7" name="AsAtDate">
    <vt:lpwstr>09 Jun 2020</vt:lpwstr>
  </property>
  <property fmtid="{D5CDD505-2E9C-101B-9397-08002B2CF9AE}" pid="8" name="Suffix">
    <vt:lpwstr>02-j0-00</vt:lpwstr>
  </property>
  <property fmtid="{D5CDD505-2E9C-101B-9397-08002B2CF9AE}" pid="9" name="CommencementDate">
    <vt:lpwstr>20200609</vt:lpwstr>
  </property>
</Properties>
</file>