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_Toc42595078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_Toc42595079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_Toc42595080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Smooth and partially smooth waters</w:t>
      </w:r>
      <w:r>
        <w:tab/>
      </w:r>
      <w:r>
        <w:fldChar w:fldCharType="begin"/>
      </w:r>
      <w:r>
        <w:instrText xml:space="preserve"> PAGEREF _Toc42595081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Classification of vessels</w:t>
      </w:r>
      <w:r>
        <w:tab/>
      </w:r>
      <w:r>
        <w:fldChar w:fldCharType="begin"/>
      </w:r>
      <w:r>
        <w:instrText xml:space="preserve"> PAGEREF _Toc42595082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Certificates of competency</w:t>
      </w:r>
    </w:p>
    <w:p>
      <w:pPr>
        <w:pStyle w:val="TOC8"/>
        <w:rPr>
          <w:rFonts w:asciiTheme="minorHAnsi" w:eastAsiaTheme="minorEastAsia" w:hAnsiTheme="minorHAnsi" w:cstheme="minorBidi"/>
          <w:szCs w:val="22"/>
        </w:rPr>
      </w:pPr>
      <w:r>
        <w:t>6</w:t>
      </w:r>
      <w:r>
        <w:rPr>
          <w:snapToGrid w:val="0"/>
        </w:rPr>
        <w:t>.</w:t>
      </w:r>
      <w:r>
        <w:rPr>
          <w:snapToGrid w:val="0"/>
        </w:rPr>
        <w:tab/>
        <w:t>Classification of certificates of competency</w:t>
      </w:r>
      <w:r>
        <w:tab/>
      </w:r>
      <w:r>
        <w:fldChar w:fldCharType="begin"/>
      </w:r>
      <w:r>
        <w:instrText xml:space="preserve"> PAGEREF _Toc42595084 \h </w:instrText>
      </w:r>
      <w:r>
        <w:fldChar w:fldCharType="separate"/>
      </w:r>
      <w:r>
        <w:t>5</w:t>
      </w:r>
      <w:r>
        <w:fldChar w:fldCharType="end"/>
      </w:r>
    </w:p>
    <w:p>
      <w:pPr>
        <w:pStyle w:val="TOC8"/>
        <w:rPr>
          <w:rFonts w:asciiTheme="minorHAnsi" w:eastAsiaTheme="minorEastAsia" w:hAnsiTheme="minorHAnsi" w:cstheme="minorBidi"/>
          <w:szCs w:val="22"/>
        </w:rPr>
      </w:pPr>
      <w:r>
        <w:t>7.</w:t>
      </w:r>
      <w:r>
        <w:tab/>
        <w:t>Functions of certificates of competency</w:t>
      </w:r>
      <w:r>
        <w:tab/>
      </w:r>
      <w:r>
        <w:fldChar w:fldCharType="begin"/>
      </w:r>
      <w:r>
        <w:instrText xml:space="preserve"> PAGEREF _Toc42595085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Grant of certificate of competency</w:t>
      </w:r>
      <w:r>
        <w:tab/>
      </w:r>
      <w:r>
        <w:fldChar w:fldCharType="begin"/>
      </w:r>
      <w:r>
        <w:instrText xml:space="preserve"> PAGEREF _Toc42595086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or endorsement of certificate of competency</w:t>
      </w:r>
      <w:r>
        <w:tab/>
      </w:r>
      <w:r>
        <w:fldChar w:fldCharType="begin"/>
      </w:r>
      <w:r>
        <w:instrText xml:space="preserve"> PAGEREF _Toc42595087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Revalidation of certificates of competency</w:t>
      </w:r>
      <w:r>
        <w:tab/>
      </w:r>
      <w:r>
        <w:fldChar w:fldCharType="begin"/>
      </w:r>
      <w:r>
        <w:instrText xml:space="preserve"> PAGEREF _Toc42595088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Refusal to grant, endorse or revalidate certificates of competency</w:t>
      </w:r>
      <w:r>
        <w:tab/>
      </w:r>
      <w:r>
        <w:fldChar w:fldCharType="begin"/>
      </w:r>
      <w:r>
        <w:instrText xml:space="preserve"> PAGEREF _Toc42595089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certificates of satisfactory service</w:t>
      </w:r>
      <w:r>
        <w:tab/>
      </w:r>
      <w:r>
        <w:fldChar w:fldCharType="begin"/>
      </w:r>
      <w:r>
        <w:instrText xml:space="preserve"> PAGEREF _Toc42595090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Recognition of other certificates of competency</w:t>
      </w:r>
      <w:r>
        <w:tab/>
      </w:r>
      <w:r>
        <w:fldChar w:fldCharType="begin"/>
      </w:r>
      <w:r>
        <w:instrText xml:space="preserve"> PAGEREF _Toc42595091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Replacement of lost certificates</w:t>
      </w:r>
      <w:r>
        <w:tab/>
      </w:r>
      <w:r>
        <w:fldChar w:fldCharType="begin"/>
      </w:r>
      <w:r>
        <w:instrText xml:space="preserve"> PAGEREF _Toc42595092 \h </w:instrText>
      </w:r>
      <w:r>
        <w:fldChar w:fldCharType="separate"/>
      </w:r>
      <w:r>
        <w:t>12</w:t>
      </w:r>
      <w:r>
        <w:fldChar w:fldCharType="end"/>
      </w:r>
    </w:p>
    <w:p>
      <w:pPr>
        <w:pStyle w:val="TOC8"/>
        <w:rPr>
          <w:rFonts w:asciiTheme="minorHAnsi" w:eastAsiaTheme="minorEastAsia" w:hAnsiTheme="minorHAnsi" w:cstheme="minorBidi"/>
          <w:szCs w:val="22"/>
        </w:rPr>
      </w:pPr>
      <w:r>
        <w:t>15A.</w:t>
      </w:r>
      <w:r>
        <w:tab/>
        <w:t>Requirement to maintain medical fitness</w:t>
      </w:r>
      <w:r>
        <w:tab/>
      </w:r>
      <w:r>
        <w:fldChar w:fldCharType="begin"/>
      </w:r>
      <w:r>
        <w:instrText xml:space="preserve"> PAGEREF _Toc42595093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Cancellation and suspension of certificates</w:t>
      </w:r>
      <w:r>
        <w:tab/>
      </w:r>
      <w:r>
        <w:fldChar w:fldCharType="begin"/>
      </w:r>
      <w:r>
        <w:instrText xml:space="preserve"> PAGEREF _Toc42595094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Examinations</w:t>
      </w:r>
    </w:p>
    <w:p>
      <w:pPr>
        <w:pStyle w:val="TOC8"/>
        <w:rPr>
          <w:rFonts w:asciiTheme="minorHAnsi" w:eastAsiaTheme="minorEastAsia" w:hAnsiTheme="minorHAnsi" w:cstheme="minorBidi"/>
          <w:szCs w:val="22"/>
        </w:rPr>
      </w:pPr>
      <w:r>
        <w:t>17</w:t>
      </w:r>
      <w:r>
        <w:rPr>
          <w:snapToGrid w:val="0"/>
        </w:rPr>
        <w:t>.</w:t>
      </w:r>
      <w:r>
        <w:rPr>
          <w:snapToGrid w:val="0"/>
        </w:rPr>
        <w:tab/>
        <w:t>Application for examination</w:t>
      </w:r>
      <w:r>
        <w:tab/>
      </w:r>
      <w:r>
        <w:fldChar w:fldCharType="begin"/>
      </w:r>
      <w:r>
        <w:instrText xml:space="preserve"> PAGEREF _Toc42595096 \h </w:instrText>
      </w:r>
      <w:r>
        <w:fldChar w:fldCharType="separate"/>
      </w:r>
      <w:r>
        <w:t>15</w:t>
      </w:r>
      <w:r>
        <w:fldChar w:fldCharType="end"/>
      </w:r>
    </w:p>
    <w:p>
      <w:pPr>
        <w:pStyle w:val="TOC8"/>
        <w:rPr>
          <w:rFonts w:asciiTheme="minorHAnsi" w:eastAsiaTheme="minorEastAsia" w:hAnsiTheme="minorHAnsi" w:cstheme="minorBidi"/>
          <w:szCs w:val="22"/>
        </w:rPr>
      </w:pPr>
      <w:r>
        <w:t>18A.</w:t>
      </w:r>
      <w:r>
        <w:tab/>
        <w:t>Evidence of medical fitness</w:t>
      </w:r>
      <w:r>
        <w:tab/>
      </w:r>
      <w:r>
        <w:fldChar w:fldCharType="begin"/>
      </w:r>
      <w:r>
        <w:instrText xml:space="preserve"> PAGEREF _Toc42595097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Proof of qualifying service etc.</w:t>
      </w:r>
      <w:r>
        <w:tab/>
      </w:r>
      <w:r>
        <w:fldChar w:fldCharType="begin"/>
      </w:r>
      <w:r>
        <w:instrText xml:space="preserve"> PAGEREF _Toc42595098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Equivalent service and qualifications</w:t>
      </w:r>
      <w:r>
        <w:tab/>
      </w:r>
      <w:r>
        <w:fldChar w:fldCharType="begin"/>
      </w:r>
      <w:r>
        <w:instrText xml:space="preserve"> PAGEREF _Toc42595099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Inadequate proof of satisfactory service</w:t>
      </w:r>
      <w:r>
        <w:tab/>
      </w:r>
      <w:r>
        <w:fldChar w:fldCharType="begin"/>
      </w:r>
      <w:r>
        <w:instrText xml:space="preserve"> PAGEREF _Toc42595100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Discovery after examination of insufficient service</w:t>
      </w:r>
      <w:r>
        <w:tab/>
      </w:r>
      <w:r>
        <w:fldChar w:fldCharType="begin"/>
      </w:r>
      <w:r>
        <w:instrText xml:space="preserve"> PAGEREF _Toc42595101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Conduct of examinations</w:t>
      </w:r>
      <w:r>
        <w:tab/>
      </w:r>
      <w:r>
        <w:fldChar w:fldCharType="begin"/>
      </w:r>
      <w:r>
        <w:instrText xml:space="preserve"> PAGEREF _Toc42595102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Times and places of examinations</w:t>
      </w:r>
      <w:r>
        <w:tab/>
      </w:r>
      <w:r>
        <w:fldChar w:fldCharType="begin"/>
      </w:r>
      <w:r>
        <w:instrText xml:space="preserve"> PAGEREF _Toc42595103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Examination results</w:t>
      </w:r>
      <w:r>
        <w:tab/>
      </w:r>
      <w:r>
        <w:fldChar w:fldCharType="begin"/>
      </w:r>
      <w:r>
        <w:instrText xml:space="preserve"> PAGEREF _Toc42595104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Partial passes granted elsewhere</w:t>
      </w:r>
      <w:r>
        <w:tab/>
      </w:r>
      <w:r>
        <w:fldChar w:fldCharType="begin"/>
      </w:r>
      <w:r>
        <w:instrText xml:space="preserve"> PAGEREF _Toc42595105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Right of appeal</w:t>
      </w:r>
      <w:r>
        <w:tab/>
      </w:r>
      <w:r>
        <w:fldChar w:fldCharType="begin"/>
      </w:r>
      <w:r>
        <w:instrText xml:space="preserve"> PAGEREF _Toc42595106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Exemptions from examinations</w:t>
      </w:r>
      <w:r>
        <w:tab/>
      </w:r>
      <w:r>
        <w:fldChar w:fldCharType="begin"/>
      </w:r>
      <w:r>
        <w:instrText xml:space="preserve"> PAGEREF _Toc42595107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IIIA — Certificate of proficiency</w:t>
      </w:r>
    </w:p>
    <w:p>
      <w:pPr>
        <w:pStyle w:val="TOC8"/>
        <w:rPr>
          <w:rFonts w:asciiTheme="minorHAnsi" w:eastAsiaTheme="minorEastAsia" w:hAnsiTheme="minorHAnsi" w:cstheme="minorBidi"/>
          <w:szCs w:val="22"/>
        </w:rPr>
      </w:pPr>
      <w:r>
        <w:t>27A</w:t>
      </w:r>
      <w:r>
        <w:rPr>
          <w:snapToGrid w:val="0"/>
        </w:rPr>
        <w:t>.</w:t>
      </w:r>
      <w:r>
        <w:rPr>
          <w:snapToGrid w:val="0"/>
        </w:rPr>
        <w:tab/>
        <w:t>Certificate of proficiency — pleasure vessels</w:t>
      </w:r>
      <w:r>
        <w:tab/>
      </w:r>
      <w:r>
        <w:fldChar w:fldCharType="begin"/>
      </w:r>
      <w:r>
        <w:instrText xml:space="preserve"> PAGEREF _Toc42595109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Safety manning</w:t>
      </w:r>
    </w:p>
    <w:p>
      <w:pPr>
        <w:pStyle w:val="TOC8"/>
        <w:rPr>
          <w:rFonts w:asciiTheme="minorHAnsi" w:eastAsiaTheme="minorEastAsia" w:hAnsiTheme="minorHAnsi" w:cstheme="minorBidi"/>
          <w:szCs w:val="22"/>
        </w:rPr>
      </w:pPr>
      <w:r>
        <w:t>28</w:t>
      </w:r>
      <w:r>
        <w:rPr>
          <w:snapToGrid w:val="0"/>
        </w:rPr>
        <w:t>.</w:t>
      </w:r>
      <w:r>
        <w:rPr>
          <w:snapToGrid w:val="0"/>
        </w:rPr>
        <w:tab/>
        <w:t>Manning of vessels</w:t>
      </w:r>
      <w:r>
        <w:tab/>
      </w:r>
      <w:r>
        <w:fldChar w:fldCharType="begin"/>
      </w:r>
      <w:r>
        <w:instrText xml:space="preserve"> PAGEREF _Toc42595111 \h </w:instrText>
      </w:r>
      <w:r>
        <w:fldChar w:fldCharType="separate"/>
      </w:r>
      <w:r>
        <w:t>22</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Exemption from manning requirements</w:t>
      </w:r>
      <w:r>
        <w:tab/>
      </w:r>
      <w:r>
        <w:fldChar w:fldCharType="begin"/>
      </w:r>
      <w:r>
        <w:instrText xml:space="preserve"> PAGEREF _Toc42595112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Temporary dispensations</w:t>
      </w:r>
      <w:r>
        <w:tab/>
      </w:r>
      <w:r>
        <w:fldChar w:fldCharType="begin"/>
      </w:r>
      <w:r>
        <w:instrText xml:space="preserve"> PAGEREF _Toc42595113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31A</w:t>
      </w:r>
      <w:r>
        <w:rPr>
          <w:snapToGrid w:val="0"/>
        </w:rPr>
        <w:t>.</w:t>
      </w:r>
      <w:r>
        <w:rPr>
          <w:snapToGrid w:val="0"/>
        </w:rPr>
        <w:tab/>
        <w:t>Fees</w:t>
      </w:r>
      <w:r>
        <w:tab/>
      </w:r>
      <w:r>
        <w:fldChar w:fldCharType="begin"/>
      </w:r>
      <w:r>
        <w:instrText xml:space="preserve"> PAGEREF _Toc42595115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Geographical limits of smooth waters and partially smooth waters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Functions of certificates of competency</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Prerequisites for applicants for certificates of competency</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Safety manning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_Toc42595126 \h </w:instrText>
      </w:r>
      <w:r>
        <w:fldChar w:fldCharType="separate"/>
      </w:r>
      <w:r>
        <w:t>62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_Toc42595127 \h </w:instrText>
      </w:r>
      <w:r>
        <w:fldChar w:fldCharType="separate"/>
      </w:r>
      <w:r>
        <w:t>66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_Toc42595128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Western Australian Marine Act 1982</w:t>
      </w:r>
    </w:p>
    <w:p>
      <w:pPr>
        <w:pStyle w:val="NameofActReg"/>
        <w:spacing w:before="720"/>
      </w:pPr>
      <w:r>
        <w:t>W.A. Marine (Certificates of Competency and Safety Manning) Regulations 1983</w:t>
      </w:r>
    </w:p>
    <w:p>
      <w:pPr>
        <w:pStyle w:val="Heading2"/>
        <w:pageBreakBefore w:val="0"/>
      </w:pPr>
      <w:bookmarkStart w:id="3" w:name="_Toc42517305"/>
      <w:bookmarkStart w:id="4" w:name="_Toc42595077"/>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2595078"/>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snapToGrid w:val="0"/>
        </w:rPr>
        <w:t>.</w:t>
      </w:r>
    </w:p>
    <w:p>
      <w:pPr>
        <w:pStyle w:val="Heading5"/>
        <w:rPr>
          <w:snapToGrid w:val="0"/>
        </w:rPr>
      </w:pPr>
      <w:bookmarkStart w:id="6" w:name="_Toc42595079"/>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7" w:name="_Toc42595080"/>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r>
        <w:rPr>
          <w:i/>
          <w:iCs/>
        </w:rPr>
        <w:t>Commonwealth of Australia</w:t>
      </w:r>
      <w:r>
        <w:t xml:space="preserve"> </w:t>
      </w:r>
      <w:r>
        <w:rPr>
          <w:i/>
          <w:iCs/>
        </w:rPr>
        <w:t xml:space="preserve">Gazette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Gazette 2 Aug 1985 p. 2697; 11 Aug 1992 p. 3977; 8 Dec 2006 p. 5387; 11 Dec 2009 p. 5090; 30 Jun 2010 p. 3159-60; </w:t>
      </w:r>
      <w:r>
        <w:rPr>
          <w:szCs w:val="24"/>
        </w:rPr>
        <w:t>11 Feb 2011 p. 484</w:t>
      </w:r>
      <w:r>
        <w:t>.]</w:t>
      </w:r>
    </w:p>
    <w:p>
      <w:pPr>
        <w:pStyle w:val="Heading5"/>
        <w:rPr>
          <w:snapToGrid w:val="0"/>
        </w:rPr>
      </w:pPr>
      <w:bookmarkStart w:id="8" w:name="_Toc42595081"/>
      <w:r>
        <w:rPr>
          <w:rStyle w:val="CharSectno"/>
        </w:rPr>
        <w:t>4</w:t>
      </w:r>
      <w:r>
        <w:rPr>
          <w:snapToGrid w:val="0"/>
        </w:rPr>
        <w:t>.</w:t>
      </w:r>
      <w:r>
        <w:rPr>
          <w:snapToGrid w:val="0"/>
        </w:rPr>
        <w:tab/>
        <w:t>Smooth and partially smooth waters</w:t>
      </w:r>
      <w:bookmarkEnd w:id="8"/>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9" w:name="_Toc42595082"/>
      <w:r>
        <w:rPr>
          <w:rStyle w:val="CharSectno"/>
        </w:rPr>
        <w:t>5</w:t>
      </w:r>
      <w:r>
        <w:rPr>
          <w:snapToGrid w:val="0"/>
        </w:rPr>
        <w:t>.</w:t>
      </w:r>
      <w:r>
        <w:rPr>
          <w:snapToGrid w:val="0"/>
        </w:rPr>
        <w:tab/>
        <w:t>Classification of vessels</w:t>
      </w:r>
      <w:bookmarkEnd w:id="9"/>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10" w:name="_Toc42517311"/>
      <w:bookmarkStart w:id="11" w:name="_Toc42595083"/>
      <w:r>
        <w:rPr>
          <w:rStyle w:val="CharPartNo"/>
        </w:rPr>
        <w:t>Part II</w:t>
      </w:r>
      <w:r>
        <w:rPr>
          <w:rStyle w:val="CharDivNo"/>
        </w:rPr>
        <w:t> </w:t>
      </w:r>
      <w:r>
        <w:t>—</w:t>
      </w:r>
      <w:r>
        <w:rPr>
          <w:rStyle w:val="CharDivText"/>
        </w:rPr>
        <w:t> </w:t>
      </w:r>
      <w:r>
        <w:rPr>
          <w:rStyle w:val="CharPartText"/>
        </w:rPr>
        <w:t>Certificates of competency</w:t>
      </w:r>
      <w:bookmarkEnd w:id="10"/>
      <w:bookmarkEnd w:id="11"/>
    </w:p>
    <w:p>
      <w:pPr>
        <w:pStyle w:val="Heading5"/>
        <w:rPr>
          <w:snapToGrid w:val="0"/>
        </w:rPr>
      </w:pPr>
      <w:bookmarkStart w:id="12" w:name="_Toc42595084"/>
      <w:r>
        <w:rPr>
          <w:rStyle w:val="CharSectno"/>
        </w:rPr>
        <w:t>6</w:t>
      </w:r>
      <w:r>
        <w:rPr>
          <w:snapToGrid w:val="0"/>
        </w:rPr>
        <w:t>.</w:t>
      </w:r>
      <w:r>
        <w:rPr>
          <w:snapToGrid w:val="0"/>
        </w:rPr>
        <w:tab/>
        <w:t>Classification of certificates of competency</w:t>
      </w:r>
      <w:bookmarkEnd w:id="12"/>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Gazette 11 Aug 1992 p. 3977; </w:t>
      </w:r>
      <w:r>
        <w:rPr>
          <w:szCs w:val="24"/>
        </w:rPr>
        <w:t>11 Feb 2011 p. 484</w:t>
      </w:r>
      <w:r>
        <w:t>.]</w:t>
      </w:r>
    </w:p>
    <w:p>
      <w:pPr>
        <w:pStyle w:val="Heading5"/>
      </w:pPr>
      <w:bookmarkStart w:id="13" w:name="_Toc42595085"/>
      <w:r>
        <w:t>7.</w:t>
      </w:r>
      <w:r>
        <w:tab/>
        <w:t>Functions of certificates of competency</w:t>
      </w:r>
      <w:bookmarkEnd w:id="13"/>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Gazette </w:t>
      </w:r>
      <w:r>
        <w:rPr>
          <w:szCs w:val="24"/>
        </w:rPr>
        <w:t>11 Feb 2011 p. 484</w:t>
      </w:r>
      <w:r>
        <w:rPr>
          <w:szCs w:val="24"/>
        </w:rPr>
        <w:noBreakHyphen/>
        <w:t>5.]</w:t>
      </w:r>
    </w:p>
    <w:p>
      <w:pPr>
        <w:pStyle w:val="Heading5"/>
        <w:rPr>
          <w:snapToGrid w:val="0"/>
        </w:rPr>
      </w:pPr>
      <w:bookmarkStart w:id="14" w:name="_Toc42595086"/>
      <w:r>
        <w:rPr>
          <w:rStyle w:val="CharSectno"/>
        </w:rPr>
        <w:t>8</w:t>
      </w:r>
      <w:r>
        <w:rPr>
          <w:snapToGrid w:val="0"/>
        </w:rPr>
        <w:t>.</w:t>
      </w:r>
      <w:r>
        <w:rPr>
          <w:snapToGrid w:val="0"/>
        </w:rPr>
        <w:tab/>
        <w:t>Grant of certificate of competency</w:t>
      </w:r>
      <w:bookmarkEnd w:id="14"/>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Gazette 11 Aug 1992 p. 3977.]</w:t>
      </w:r>
    </w:p>
    <w:p>
      <w:pPr>
        <w:pStyle w:val="Heading5"/>
        <w:rPr>
          <w:snapToGrid w:val="0"/>
        </w:rPr>
      </w:pPr>
      <w:bookmarkStart w:id="15" w:name="_Toc42595087"/>
      <w:r>
        <w:rPr>
          <w:rStyle w:val="CharSectno"/>
        </w:rPr>
        <w:t>9</w:t>
      </w:r>
      <w:r>
        <w:rPr>
          <w:snapToGrid w:val="0"/>
        </w:rPr>
        <w:t>.</w:t>
      </w:r>
      <w:r>
        <w:rPr>
          <w:snapToGrid w:val="0"/>
        </w:rPr>
        <w:tab/>
        <w:t>Restriction or endorsement of certificate of competency</w:t>
      </w:r>
      <w:bookmarkEnd w:id="15"/>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Gazette 11 Aug 1992 p. 3977; </w:t>
      </w:r>
      <w:r>
        <w:rPr>
          <w:szCs w:val="24"/>
        </w:rPr>
        <w:t>11 Feb 2011 p. 485</w:t>
      </w:r>
      <w:r>
        <w:t>.]</w:t>
      </w:r>
    </w:p>
    <w:p>
      <w:pPr>
        <w:pStyle w:val="Heading5"/>
        <w:rPr>
          <w:snapToGrid w:val="0"/>
        </w:rPr>
      </w:pPr>
      <w:bookmarkStart w:id="16" w:name="_Toc42595088"/>
      <w:r>
        <w:rPr>
          <w:rStyle w:val="CharSectno"/>
        </w:rPr>
        <w:t>10</w:t>
      </w:r>
      <w:r>
        <w:rPr>
          <w:snapToGrid w:val="0"/>
        </w:rPr>
        <w:t>.</w:t>
      </w:r>
      <w:r>
        <w:rPr>
          <w:snapToGrid w:val="0"/>
        </w:rPr>
        <w:tab/>
        <w:t>Revalidation of certificates of competency</w:t>
      </w:r>
      <w:bookmarkEnd w:id="16"/>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keepNext/>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17" w:name="_Toc42595089"/>
      <w:r>
        <w:rPr>
          <w:rStyle w:val="CharSectno"/>
        </w:rPr>
        <w:t>11</w:t>
      </w:r>
      <w:r>
        <w:rPr>
          <w:snapToGrid w:val="0"/>
        </w:rPr>
        <w:t>.</w:t>
      </w:r>
      <w:r>
        <w:rPr>
          <w:snapToGrid w:val="0"/>
        </w:rPr>
        <w:tab/>
        <w:t>Refusal to grant, endorse or revalidate certificates of competency</w:t>
      </w:r>
      <w:bookmarkEnd w:id="17"/>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Gazette 11 Aug 1992 p. 3977; 30 Jun 2010 p. 3160; </w:t>
      </w:r>
      <w:r>
        <w:rPr>
          <w:szCs w:val="24"/>
        </w:rPr>
        <w:t>11 Feb 2011 p. 487</w:t>
      </w:r>
      <w:r>
        <w:t>.]</w:t>
      </w:r>
    </w:p>
    <w:p>
      <w:pPr>
        <w:pStyle w:val="Heading5"/>
        <w:rPr>
          <w:snapToGrid w:val="0"/>
        </w:rPr>
      </w:pPr>
      <w:bookmarkStart w:id="18" w:name="_Toc42595090"/>
      <w:r>
        <w:rPr>
          <w:rStyle w:val="CharSectno"/>
        </w:rPr>
        <w:t>12</w:t>
      </w:r>
      <w:r>
        <w:rPr>
          <w:snapToGrid w:val="0"/>
        </w:rPr>
        <w:t>.</w:t>
      </w:r>
      <w:r>
        <w:rPr>
          <w:snapToGrid w:val="0"/>
        </w:rPr>
        <w:tab/>
        <w:t>Grant of certificates of satisfactory service</w:t>
      </w:r>
      <w:bookmarkEnd w:id="18"/>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 </w:t>
      </w:r>
      <w:r>
        <w:rPr>
          <w:iCs/>
          <w:snapToGrid w:val="0"/>
          <w:vertAlign w:val="superscript"/>
        </w:rPr>
        <w:t>1</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Gazette 11 Aug 1992 p. 3977.]</w:t>
      </w:r>
    </w:p>
    <w:p>
      <w:pPr>
        <w:pStyle w:val="Heading5"/>
        <w:rPr>
          <w:snapToGrid w:val="0"/>
        </w:rPr>
      </w:pPr>
      <w:bookmarkStart w:id="19" w:name="_Toc42595091"/>
      <w:r>
        <w:rPr>
          <w:rStyle w:val="CharSectno"/>
        </w:rPr>
        <w:t>13</w:t>
      </w:r>
      <w:r>
        <w:rPr>
          <w:snapToGrid w:val="0"/>
        </w:rPr>
        <w:t>.</w:t>
      </w:r>
      <w:r>
        <w:rPr>
          <w:snapToGrid w:val="0"/>
        </w:rPr>
        <w:tab/>
        <w:t>Recognition of other certificates of competency</w:t>
      </w:r>
      <w:bookmarkEnd w:id="19"/>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Gazette 11 Aug 1992 p. 3977.]</w:t>
      </w:r>
    </w:p>
    <w:p>
      <w:pPr>
        <w:pStyle w:val="Heading5"/>
        <w:rPr>
          <w:snapToGrid w:val="0"/>
        </w:rPr>
      </w:pPr>
      <w:bookmarkStart w:id="20" w:name="_Toc42595092"/>
      <w:r>
        <w:rPr>
          <w:rStyle w:val="CharSectno"/>
        </w:rPr>
        <w:t>14</w:t>
      </w:r>
      <w:r>
        <w:rPr>
          <w:snapToGrid w:val="0"/>
        </w:rPr>
        <w:t>.</w:t>
      </w:r>
      <w:r>
        <w:rPr>
          <w:snapToGrid w:val="0"/>
        </w:rPr>
        <w:tab/>
        <w:t>Replacement of lost certificates</w:t>
      </w:r>
      <w:bookmarkEnd w:id="20"/>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Gazette 25 Jun 1996 p. 2998; 30 Jun 2010 p. 3160.]</w:t>
      </w:r>
    </w:p>
    <w:p>
      <w:pPr>
        <w:pStyle w:val="Heading5"/>
      </w:pPr>
      <w:bookmarkStart w:id="21" w:name="_Toc42595093"/>
      <w:r>
        <w:rPr>
          <w:rStyle w:val="CharSectno"/>
        </w:rPr>
        <w:t>15A</w:t>
      </w:r>
      <w:r>
        <w:t>.</w:t>
      </w:r>
      <w:r>
        <w:tab/>
        <w:t>Requirement to maintain medical fitness</w:t>
      </w:r>
      <w:bookmarkEnd w:id="21"/>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Gazette </w:t>
      </w:r>
      <w:r>
        <w:rPr>
          <w:szCs w:val="24"/>
        </w:rPr>
        <w:t>11 Feb 2011 p. 487</w:t>
      </w:r>
      <w:r>
        <w:rPr>
          <w:szCs w:val="24"/>
        </w:rPr>
        <w:noBreakHyphen/>
        <w:t>8</w:t>
      </w:r>
      <w:r>
        <w:rPr>
          <w:sz w:val="19"/>
        </w:rPr>
        <w:t>.]</w:t>
      </w:r>
    </w:p>
    <w:p>
      <w:pPr>
        <w:pStyle w:val="Heading5"/>
        <w:rPr>
          <w:snapToGrid w:val="0"/>
        </w:rPr>
      </w:pPr>
      <w:bookmarkStart w:id="22" w:name="_Toc42595094"/>
      <w:r>
        <w:rPr>
          <w:rStyle w:val="CharSectno"/>
        </w:rPr>
        <w:t>15</w:t>
      </w:r>
      <w:r>
        <w:rPr>
          <w:snapToGrid w:val="0"/>
        </w:rPr>
        <w:t>.</w:t>
      </w:r>
      <w:r>
        <w:rPr>
          <w:snapToGrid w:val="0"/>
        </w:rPr>
        <w:tab/>
        <w:t>Cancellation and suspension of certificates</w:t>
      </w:r>
      <w:bookmarkEnd w:id="22"/>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Gazette 11 Aug 1992 p. 3977; 30 Dec 2004 p. 6972; 16 Jun 2006 p. 2124-6; 30 Jun 2010 p. 3160.]</w:t>
      </w:r>
    </w:p>
    <w:p>
      <w:pPr>
        <w:pStyle w:val="Ednotesection"/>
        <w:ind w:left="0" w:firstLine="0"/>
      </w:pPr>
      <w:r>
        <w:t>[</w:t>
      </w:r>
      <w:r>
        <w:rPr>
          <w:b/>
        </w:rPr>
        <w:t>16.</w:t>
      </w:r>
      <w:r>
        <w:tab/>
        <w:t>Deleted: Gazette 30 Dec 2004 p. 6972.]</w:t>
      </w:r>
    </w:p>
    <w:p>
      <w:pPr>
        <w:pStyle w:val="Heading2"/>
      </w:pPr>
      <w:bookmarkStart w:id="23" w:name="_Toc42517323"/>
      <w:bookmarkStart w:id="24" w:name="_Toc42595095"/>
      <w:r>
        <w:rPr>
          <w:rStyle w:val="CharPartNo"/>
        </w:rPr>
        <w:t>Part III</w:t>
      </w:r>
      <w:r>
        <w:rPr>
          <w:rStyle w:val="CharDivNo"/>
        </w:rPr>
        <w:t> </w:t>
      </w:r>
      <w:r>
        <w:t>—</w:t>
      </w:r>
      <w:r>
        <w:rPr>
          <w:rStyle w:val="CharDivText"/>
        </w:rPr>
        <w:t> </w:t>
      </w:r>
      <w:r>
        <w:rPr>
          <w:rStyle w:val="CharPartText"/>
        </w:rPr>
        <w:t>Examinations</w:t>
      </w:r>
      <w:bookmarkEnd w:id="23"/>
      <w:bookmarkEnd w:id="24"/>
    </w:p>
    <w:p>
      <w:pPr>
        <w:pStyle w:val="Heading5"/>
        <w:rPr>
          <w:snapToGrid w:val="0"/>
        </w:rPr>
      </w:pPr>
      <w:bookmarkStart w:id="25" w:name="_Toc42595096"/>
      <w:r>
        <w:rPr>
          <w:rStyle w:val="CharSectno"/>
        </w:rPr>
        <w:t>17</w:t>
      </w:r>
      <w:r>
        <w:rPr>
          <w:snapToGrid w:val="0"/>
        </w:rPr>
        <w:t>.</w:t>
      </w:r>
      <w:r>
        <w:rPr>
          <w:snapToGrid w:val="0"/>
        </w:rPr>
        <w:tab/>
        <w:t>Application for examination</w:t>
      </w:r>
      <w:bookmarkEnd w:id="25"/>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Gazette 11 Aug 1992 p. 3977; 25 Jun 1996 p. 2999; 8 Dec 2006 p. 5390; 30 Jun 2010 p. 3161; </w:t>
      </w:r>
      <w:r>
        <w:rPr>
          <w:szCs w:val="24"/>
        </w:rPr>
        <w:t>11 Feb 2011 p. 488; 14 Feb 2012 p. 672</w:t>
      </w:r>
      <w:r>
        <w:t>.]</w:t>
      </w:r>
    </w:p>
    <w:p>
      <w:pPr>
        <w:pStyle w:val="Heading5"/>
      </w:pPr>
      <w:bookmarkStart w:id="26" w:name="_Toc42595097"/>
      <w:r>
        <w:rPr>
          <w:rStyle w:val="CharSectno"/>
        </w:rPr>
        <w:t>18A</w:t>
      </w:r>
      <w:r>
        <w:t>.</w:t>
      </w:r>
      <w:r>
        <w:tab/>
        <w:t>Evidence of medical fitness</w:t>
      </w:r>
      <w:bookmarkEnd w:id="26"/>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Gazette </w:t>
      </w:r>
      <w:r>
        <w:rPr>
          <w:szCs w:val="24"/>
        </w:rPr>
        <w:t>11 Feb 2011 p. 488</w:t>
      </w:r>
      <w:r>
        <w:rPr>
          <w:szCs w:val="24"/>
        </w:rPr>
        <w:noBreakHyphen/>
        <w:t>9.]</w:t>
      </w:r>
    </w:p>
    <w:p>
      <w:pPr>
        <w:pStyle w:val="Heading5"/>
        <w:rPr>
          <w:snapToGrid w:val="0"/>
        </w:rPr>
      </w:pPr>
      <w:bookmarkStart w:id="27" w:name="_Toc42595098"/>
      <w:r>
        <w:rPr>
          <w:rStyle w:val="CharSectno"/>
        </w:rPr>
        <w:t>18</w:t>
      </w:r>
      <w:r>
        <w:rPr>
          <w:snapToGrid w:val="0"/>
        </w:rPr>
        <w:t>.</w:t>
      </w:r>
      <w:r>
        <w:rPr>
          <w:snapToGrid w:val="0"/>
        </w:rPr>
        <w:tab/>
        <w:t>Proof of qualifying service etc.</w:t>
      </w:r>
      <w:bookmarkEnd w:id="27"/>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Gazette 11 Aug 1992 p. 3977; 30 Jun 2010 p. 3161; </w:t>
      </w:r>
      <w:r>
        <w:rPr>
          <w:szCs w:val="24"/>
        </w:rPr>
        <w:t>11 Feb 2011 p. 489</w:t>
      </w:r>
      <w:r>
        <w:t>.]</w:t>
      </w:r>
    </w:p>
    <w:p>
      <w:pPr>
        <w:pStyle w:val="Heading5"/>
        <w:rPr>
          <w:snapToGrid w:val="0"/>
        </w:rPr>
      </w:pPr>
      <w:bookmarkStart w:id="28" w:name="_Toc42595099"/>
      <w:r>
        <w:rPr>
          <w:rStyle w:val="CharSectno"/>
        </w:rPr>
        <w:t>19</w:t>
      </w:r>
      <w:r>
        <w:rPr>
          <w:snapToGrid w:val="0"/>
        </w:rPr>
        <w:t>.</w:t>
      </w:r>
      <w:r>
        <w:rPr>
          <w:snapToGrid w:val="0"/>
        </w:rPr>
        <w:tab/>
        <w:t>Equivalent service and qualifications</w:t>
      </w:r>
      <w:bookmarkEnd w:id="28"/>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Gazette 11 Aug 1992 p. 3977.]</w:t>
      </w:r>
    </w:p>
    <w:p>
      <w:pPr>
        <w:pStyle w:val="Heading5"/>
        <w:rPr>
          <w:snapToGrid w:val="0"/>
        </w:rPr>
      </w:pPr>
      <w:bookmarkStart w:id="29" w:name="_Toc42595100"/>
      <w:r>
        <w:rPr>
          <w:rStyle w:val="CharSectno"/>
        </w:rPr>
        <w:t>20</w:t>
      </w:r>
      <w:r>
        <w:rPr>
          <w:snapToGrid w:val="0"/>
        </w:rPr>
        <w:t>.</w:t>
      </w:r>
      <w:r>
        <w:rPr>
          <w:snapToGrid w:val="0"/>
        </w:rPr>
        <w:tab/>
        <w:t>Inadequate proof of satisfactory service</w:t>
      </w:r>
      <w:bookmarkEnd w:id="29"/>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Gazette 11 Aug 1992 p. 3977.]</w:t>
      </w:r>
    </w:p>
    <w:p>
      <w:pPr>
        <w:pStyle w:val="Heading5"/>
        <w:rPr>
          <w:snapToGrid w:val="0"/>
        </w:rPr>
      </w:pPr>
      <w:bookmarkStart w:id="30" w:name="_Toc42595101"/>
      <w:r>
        <w:rPr>
          <w:rStyle w:val="CharSectno"/>
        </w:rPr>
        <w:t>21</w:t>
      </w:r>
      <w:r>
        <w:rPr>
          <w:snapToGrid w:val="0"/>
        </w:rPr>
        <w:t>.</w:t>
      </w:r>
      <w:r>
        <w:rPr>
          <w:snapToGrid w:val="0"/>
        </w:rPr>
        <w:tab/>
        <w:t>Discovery after examination of insufficient service</w:t>
      </w:r>
      <w:bookmarkEnd w:id="30"/>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Gazette 11 Aug 1992 p. 3977.]</w:t>
      </w:r>
    </w:p>
    <w:p>
      <w:pPr>
        <w:pStyle w:val="Heading5"/>
        <w:spacing w:before="200"/>
        <w:rPr>
          <w:snapToGrid w:val="0"/>
        </w:rPr>
      </w:pPr>
      <w:bookmarkStart w:id="31" w:name="_Toc42595102"/>
      <w:r>
        <w:rPr>
          <w:rStyle w:val="CharSectno"/>
        </w:rPr>
        <w:t>22</w:t>
      </w:r>
      <w:r>
        <w:rPr>
          <w:snapToGrid w:val="0"/>
        </w:rPr>
        <w:t>.</w:t>
      </w:r>
      <w:r>
        <w:rPr>
          <w:snapToGrid w:val="0"/>
        </w:rPr>
        <w:tab/>
        <w:t>Conduct of examinations</w:t>
      </w:r>
      <w:bookmarkEnd w:id="31"/>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Gazette 11 Aug 1992 p. 3977; 11 Dec 2009 p. 5091.]</w:t>
      </w:r>
    </w:p>
    <w:p>
      <w:pPr>
        <w:pStyle w:val="Heading5"/>
        <w:spacing w:before="200"/>
        <w:rPr>
          <w:snapToGrid w:val="0"/>
        </w:rPr>
      </w:pPr>
      <w:bookmarkStart w:id="32" w:name="_Toc42595103"/>
      <w:r>
        <w:rPr>
          <w:rStyle w:val="CharSectno"/>
        </w:rPr>
        <w:t>23</w:t>
      </w:r>
      <w:r>
        <w:rPr>
          <w:snapToGrid w:val="0"/>
        </w:rPr>
        <w:t>.</w:t>
      </w:r>
      <w:r>
        <w:rPr>
          <w:snapToGrid w:val="0"/>
        </w:rPr>
        <w:tab/>
        <w:t>Times and places of examinations</w:t>
      </w:r>
      <w:bookmarkEnd w:id="32"/>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Gazette 11 Aug 1992 p. 3977.]</w:t>
      </w:r>
    </w:p>
    <w:p>
      <w:pPr>
        <w:pStyle w:val="Heading5"/>
        <w:rPr>
          <w:snapToGrid w:val="0"/>
        </w:rPr>
      </w:pPr>
      <w:bookmarkStart w:id="33" w:name="_Toc42595104"/>
      <w:r>
        <w:rPr>
          <w:rStyle w:val="CharSectno"/>
        </w:rPr>
        <w:t>24</w:t>
      </w:r>
      <w:r>
        <w:rPr>
          <w:snapToGrid w:val="0"/>
        </w:rPr>
        <w:t>.</w:t>
      </w:r>
      <w:r>
        <w:rPr>
          <w:snapToGrid w:val="0"/>
        </w:rPr>
        <w:tab/>
        <w:t>Examination results</w:t>
      </w:r>
      <w:bookmarkEnd w:id="33"/>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Gazette 11 Aug 1992 p. 3977.]</w:t>
      </w:r>
    </w:p>
    <w:p>
      <w:pPr>
        <w:pStyle w:val="Heading5"/>
        <w:rPr>
          <w:snapToGrid w:val="0"/>
        </w:rPr>
      </w:pPr>
      <w:bookmarkStart w:id="34" w:name="_Toc42595105"/>
      <w:r>
        <w:rPr>
          <w:rStyle w:val="CharSectno"/>
        </w:rPr>
        <w:t>25</w:t>
      </w:r>
      <w:r>
        <w:rPr>
          <w:snapToGrid w:val="0"/>
        </w:rPr>
        <w:t>.</w:t>
      </w:r>
      <w:r>
        <w:rPr>
          <w:snapToGrid w:val="0"/>
        </w:rPr>
        <w:tab/>
        <w:t>Partial passes granted elsewhere</w:t>
      </w:r>
      <w:bookmarkEnd w:id="34"/>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35" w:name="_Toc42595106"/>
      <w:r>
        <w:rPr>
          <w:rStyle w:val="CharSectno"/>
        </w:rPr>
        <w:t>26</w:t>
      </w:r>
      <w:r>
        <w:rPr>
          <w:snapToGrid w:val="0"/>
        </w:rPr>
        <w:t>.</w:t>
      </w:r>
      <w:r>
        <w:rPr>
          <w:snapToGrid w:val="0"/>
        </w:rPr>
        <w:tab/>
        <w:t>Right of appeal</w:t>
      </w:r>
      <w:bookmarkEnd w:id="35"/>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Gazette 11 Aug 1992 p. 3977.]</w:t>
      </w:r>
    </w:p>
    <w:p>
      <w:pPr>
        <w:pStyle w:val="Heading5"/>
        <w:rPr>
          <w:snapToGrid w:val="0"/>
        </w:rPr>
      </w:pPr>
      <w:bookmarkStart w:id="36" w:name="_Toc42595107"/>
      <w:r>
        <w:rPr>
          <w:rStyle w:val="CharSectno"/>
        </w:rPr>
        <w:t>27</w:t>
      </w:r>
      <w:r>
        <w:rPr>
          <w:snapToGrid w:val="0"/>
        </w:rPr>
        <w:t>.</w:t>
      </w:r>
      <w:r>
        <w:rPr>
          <w:snapToGrid w:val="0"/>
        </w:rPr>
        <w:tab/>
        <w:t>Exemptions from examinations</w:t>
      </w:r>
      <w:bookmarkEnd w:id="36"/>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Gazette 11 Aug 1992 p. 3977; 11 Dec 2009 p. 5091.]</w:t>
      </w:r>
    </w:p>
    <w:p>
      <w:pPr>
        <w:pStyle w:val="Heading2"/>
      </w:pPr>
      <w:bookmarkStart w:id="37" w:name="_Toc42517336"/>
      <w:bookmarkStart w:id="38" w:name="_Toc42595108"/>
      <w:r>
        <w:rPr>
          <w:rStyle w:val="CharPartNo"/>
        </w:rPr>
        <w:t>Part IIIA</w:t>
      </w:r>
      <w:r>
        <w:rPr>
          <w:rStyle w:val="CharDivNo"/>
        </w:rPr>
        <w:t> </w:t>
      </w:r>
      <w:r>
        <w:t>—</w:t>
      </w:r>
      <w:r>
        <w:rPr>
          <w:rStyle w:val="CharDivText"/>
        </w:rPr>
        <w:t> </w:t>
      </w:r>
      <w:r>
        <w:rPr>
          <w:rStyle w:val="CharPartText"/>
        </w:rPr>
        <w:t>Certificate of proficiency</w:t>
      </w:r>
      <w:bookmarkEnd w:id="37"/>
      <w:bookmarkEnd w:id="38"/>
    </w:p>
    <w:p>
      <w:pPr>
        <w:pStyle w:val="Footnoteheading"/>
        <w:ind w:left="890"/>
        <w:rPr>
          <w:snapToGrid w:val="0"/>
        </w:rPr>
      </w:pPr>
      <w:r>
        <w:rPr>
          <w:snapToGrid w:val="0"/>
        </w:rPr>
        <w:tab/>
        <w:t>[Heading inserted: Gazette 12 Jun 1987 p. 2323.]</w:t>
      </w:r>
    </w:p>
    <w:p>
      <w:pPr>
        <w:pStyle w:val="Heading5"/>
        <w:rPr>
          <w:snapToGrid w:val="0"/>
        </w:rPr>
      </w:pPr>
      <w:bookmarkStart w:id="39" w:name="_Toc42595109"/>
      <w:r>
        <w:rPr>
          <w:rStyle w:val="CharSectno"/>
        </w:rPr>
        <w:t>27A</w:t>
      </w:r>
      <w:r>
        <w:rPr>
          <w:snapToGrid w:val="0"/>
        </w:rPr>
        <w:t>.</w:t>
      </w:r>
      <w:r>
        <w:rPr>
          <w:snapToGrid w:val="0"/>
        </w:rPr>
        <w:tab/>
        <w:t>Certificate of proficiency — pleasure vessels</w:t>
      </w:r>
      <w:bookmarkEnd w:id="39"/>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Gazette 12 Jun 1987 p. 2323; amended: Gazette 11 Aug 1992 p. 3977; 25 Jun 1996 p. 2999; 27 Jun 1997 p. 3141.]</w:t>
      </w:r>
    </w:p>
    <w:p>
      <w:pPr>
        <w:pStyle w:val="Heading2"/>
      </w:pPr>
      <w:bookmarkStart w:id="40" w:name="_Toc42517338"/>
      <w:bookmarkStart w:id="41" w:name="_Toc42595110"/>
      <w:r>
        <w:rPr>
          <w:rStyle w:val="CharPartNo"/>
        </w:rPr>
        <w:t>Part IV</w:t>
      </w:r>
      <w:r>
        <w:rPr>
          <w:rStyle w:val="CharDivNo"/>
        </w:rPr>
        <w:t> </w:t>
      </w:r>
      <w:r>
        <w:t>—</w:t>
      </w:r>
      <w:r>
        <w:rPr>
          <w:rStyle w:val="CharDivText"/>
        </w:rPr>
        <w:t> </w:t>
      </w:r>
      <w:r>
        <w:rPr>
          <w:rStyle w:val="CharPartText"/>
        </w:rPr>
        <w:t>Safety manning</w:t>
      </w:r>
      <w:bookmarkEnd w:id="40"/>
      <w:bookmarkEnd w:id="41"/>
    </w:p>
    <w:p>
      <w:pPr>
        <w:pStyle w:val="Heading5"/>
        <w:rPr>
          <w:snapToGrid w:val="0"/>
        </w:rPr>
      </w:pPr>
      <w:bookmarkStart w:id="42" w:name="_Toc42595111"/>
      <w:r>
        <w:rPr>
          <w:rStyle w:val="CharSectno"/>
        </w:rPr>
        <w:t>28</w:t>
      </w:r>
      <w:r>
        <w:rPr>
          <w:snapToGrid w:val="0"/>
        </w:rPr>
        <w:t>.</w:t>
      </w:r>
      <w:r>
        <w:rPr>
          <w:snapToGrid w:val="0"/>
        </w:rPr>
        <w:tab/>
        <w:t>Manning of vessels</w:t>
      </w:r>
      <w:bookmarkEnd w:id="42"/>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Gazette 2 Aug 1985 p. 2697; 30 Aug 1985 p. 3082; 11 Aug 1992 p. 3977; 30 Jun 2010 p. 3162.]</w:t>
      </w:r>
    </w:p>
    <w:p>
      <w:pPr>
        <w:pStyle w:val="Heading5"/>
        <w:rPr>
          <w:snapToGrid w:val="0"/>
        </w:rPr>
      </w:pPr>
      <w:bookmarkStart w:id="43" w:name="_Toc42595112"/>
      <w:r>
        <w:rPr>
          <w:rStyle w:val="CharSectno"/>
        </w:rPr>
        <w:t>28A</w:t>
      </w:r>
      <w:r>
        <w:rPr>
          <w:snapToGrid w:val="0"/>
        </w:rPr>
        <w:t>.</w:t>
      </w:r>
      <w:r>
        <w:rPr>
          <w:snapToGrid w:val="0"/>
        </w:rPr>
        <w:tab/>
        <w:t>Exemption from manning requirements</w:t>
      </w:r>
      <w:bookmarkEnd w:id="43"/>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Gazette 23 Jun 1989 p. 1812.]</w:t>
      </w:r>
    </w:p>
    <w:p>
      <w:pPr>
        <w:pStyle w:val="Heading5"/>
        <w:rPr>
          <w:snapToGrid w:val="0"/>
        </w:rPr>
      </w:pPr>
      <w:bookmarkStart w:id="44" w:name="_Toc42595113"/>
      <w:r>
        <w:rPr>
          <w:rStyle w:val="CharSectno"/>
        </w:rPr>
        <w:t>29</w:t>
      </w:r>
      <w:r>
        <w:rPr>
          <w:snapToGrid w:val="0"/>
        </w:rPr>
        <w:t>.</w:t>
      </w:r>
      <w:r>
        <w:rPr>
          <w:snapToGrid w:val="0"/>
        </w:rPr>
        <w:tab/>
        <w:t>Temporary dispensations</w:t>
      </w:r>
      <w:bookmarkEnd w:id="44"/>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Gazette 11 Aug 1992 p. 3977.]</w:t>
      </w:r>
    </w:p>
    <w:p>
      <w:pPr>
        <w:pStyle w:val="Ednotepart"/>
      </w:pPr>
      <w:r>
        <w:t>[Part V (r. 30, 31) deleted: Gazette 11 Dec 2009 p. 5091.]</w:t>
      </w:r>
    </w:p>
    <w:p>
      <w:pPr>
        <w:pStyle w:val="Heading2"/>
      </w:pPr>
      <w:bookmarkStart w:id="45" w:name="_Toc42517342"/>
      <w:bookmarkStart w:id="46" w:name="_Toc42595114"/>
      <w:r>
        <w:rPr>
          <w:rStyle w:val="CharPartNo"/>
        </w:rPr>
        <w:t>Part VI</w:t>
      </w:r>
      <w:r>
        <w:rPr>
          <w:rStyle w:val="CharDivNo"/>
        </w:rPr>
        <w:t> </w:t>
      </w:r>
      <w:r>
        <w:t>—</w:t>
      </w:r>
      <w:r>
        <w:rPr>
          <w:rStyle w:val="CharDivText"/>
        </w:rPr>
        <w:t> </w:t>
      </w:r>
      <w:r>
        <w:rPr>
          <w:rStyle w:val="CharPartText"/>
        </w:rPr>
        <w:t>Miscellaneous</w:t>
      </w:r>
      <w:bookmarkEnd w:id="45"/>
      <w:bookmarkEnd w:id="46"/>
    </w:p>
    <w:p>
      <w:pPr>
        <w:pStyle w:val="Heading5"/>
        <w:rPr>
          <w:snapToGrid w:val="0"/>
        </w:rPr>
      </w:pPr>
      <w:bookmarkStart w:id="47" w:name="_Toc42595115"/>
      <w:r>
        <w:rPr>
          <w:rStyle w:val="CharSectno"/>
        </w:rPr>
        <w:t>31A</w:t>
      </w:r>
      <w:r>
        <w:rPr>
          <w:snapToGrid w:val="0"/>
        </w:rPr>
        <w:t>.</w:t>
      </w:r>
      <w:r>
        <w:rPr>
          <w:snapToGrid w:val="0"/>
        </w:rPr>
        <w:tab/>
        <w:t>Fees</w:t>
      </w:r>
      <w:bookmarkEnd w:id="47"/>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Gazette 25 Jun 1996 p. 2999; amended: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8" w:name="_Toc42517344"/>
      <w:bookmarkStart w:id="49" w:name="_Toc42595116"/>
      <w:r>
        <w:rPr>
          <w:rStyle w:val="CharSchNo"/>
        </w:rPr>
        <w:t>Schedule 1</w:t>
      </w:r>
      <w:bookmarkEnd w:id="48"/>
      <w:bookmarkEnd w:id="49"/>
    </w:p>
    <w:p>
      <w:pPr>
        <w:pStyle w:val="zyShoulderClause"/>
        <w:keepNext/>
        <w:rPr>
          <w:snapToGrid w:val="0"/>
        </w:rPr>
      </w:pPr>
      <w:r>
        <w:rPr>
          <w:snapToGrid w:val="0"/>
        </w:rPr>
        <w:t>[r. 4]</w:t>
      </w:r>
    </w:p>
    <w:p>
      <w:pPr>
        <w:pStyle w:val="yScheduleHeading"/>
        <w:pageBreakBefore w:val="0"/>
      </w:pPr>
      <w:bookmarkStart w:id="50" w:name="_Toc42517345"/>
      <w:bookmarkStart w:id="51" w:name="_Toc42595117"/>
      <w:r>
        <w:rPr>
          <w:rStyle w:val="CharSchText"/>
        </w:rPr>
        <w:t>Geographical limits of smooth waters and partially smooth waters</w:t>
      </w:r>
      <w:bookmarkEnd w:id="50"/>
      <w:bookmarkEnd w:id="51"/>
    </w:p>
    <w:p>
      <w:pPr>
        <w:pStyle w:val="yFootnoteheading"/>
      </w:pPr>
      <w:r>
        <w:rPr>
          <w:snapToGrid w:val="0"/>
        </w:rPr>
        <w:tab/>
        <w:t>[Heading inserted: Gazette 6 Apr 2018 p. 1213.]</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keepNext/>
              <w:rPr>
                <w:b/>
              </w:rPr>
            </w:pPr>
            <w:r>
              <w:rPr>
                <w:b/>
              </w:rPr>
              <w:t>Area</w:t>
            </w:r>
          </w:p>
        </w:tc>
        <w:tc>
          <w:tcPr>
            <w:tcW w:w="5045" w:type="dxa"/>
          </w:tcPr>
          <w:p>
            <w:pPr>
              <w:pStyle w:val="yTableNAm"/>
              <w:keepNext/>
              <w:rPr>
                <w:b/>
              </w:rPr>
            </w:pPr>
            <w:r>
              <w:rPr>
                <w:b/>
              </w:rPr>
              <w:t>Smooth water limits</w:t>
            </w:r>
          </w:p>
        </w:tc>
      </w:tr>
      <w:tr>
        <w:tc>
          <w:tcPr>
            <w:tcW w:w="2040" w:type="dxa"/>
          </w:tcPr>
          <w:p>
            <w:pPr>
              <w:pStyle w:val="yTableNAm"/>
            </w:pPr>
            <w:r>
              <w:t>Western Australian Inland Waters</w:t>
            </w:r>
          </w:p>
        </w:tc>
        <w:tc>
          <w:tcPr>
            <w:tcW w:w="5045" w:type="dxa"/>
          </w:tcPr>
          <w:p>
            <w:pPr>
              <w:pStyle w:val="yTableNAm"/>
            </w:pPr>
            <w:r>
              <w:t>All rivers and inland waterways with the exception of Lake Argyle.</w:t>
            </w:r>
          </w:p>
        </w:tc>
      </w:tr>
      <w:tr>
        <w:tc>
          <w:tcPr>
            <w:tcW w:w="2040" w:type="dxa"/>
          </w:tcPr>
          <w:p>
            <w:pPr>
              <w:pStyle w:val="yTableNAm"/>
            </w:pPr>
            <w:r>
              <w:t>Albany</w:t>
            </w:r>
          </w:p>
        </w:tc>
        <w:tc>
          <w:tcPr>
            <w:tcW w:w="5045" w:type="dxa"/>
          </w:tcPr>
          <w:p>
            <w:pPr>
              <w:pStyle w:val="yTableNAm"/>
            </w:pPr>
            <w:r>
              <w:t>Princess Royal Harbour west of a line through Possession Point (35°2.523′S, 117°55.319′E) and King Point (35°2.093′S, 117°55.174′E). Oyster Harbour north of the latitude of Emu Point (34°59.886′S).</w:t>
            </w:r>
          </w:p>
        </w:tc>
      </w:tr>
      <w:tr>
        <w:tc>
          <w:tcPr>
            <w:tcW w:w="2040" w:type="dxa"/>
          </w:tcPr>
          <w:p>
            <w:pPr>
              <w:pStyle w:val="yTableNAm"/>
            </w:pPr>
            <w:r>
              <w:t>Bunbury</w:t>
            </w:r>
          </w:p>
        </w:tc>
        <w:tc>
          <w:tcPr>
            <w:tcW w:w="5045" w:type="dxa"/>
          </w:tcPr>
          <w:p>
            <w:pPr>
              <w:pStyle w:val="yTableNAm"/>
            </w:pPr>
            <w:r>
              <w:t>Bunbury Inner Harbour, Leschenault Inlet, Casuarina Boat Harbour and waters of Koombana Bay enclosed by a line joining the end of the Bunbury breakwater (33°18.028′S, 115°38.753′E) and No. 1 Groyne (33°18.804′S, 115°39.559′E).</w:t>
            </w:r>
          </w:p>
        </w:tc>
      </w:tr>
      <w:tr>
        <w:tc>
          <w:tcPr>
            <w:tcW w:w="2040" w:type="dxa"/>
          </w:tcPr>
          <w:p>
            <w:pPr>
              <w:pStyle w:val="yTableNAm"/>
            </w:pPr>
            <w:r>
              <w:t>Carnarvon</w:t>
            </w:r>
          </w:p>
        </w:tc>
        <w:tc>
          <w:tcPr>
            <w:tcW w:w="5045" w:type="dxa"/>
          </w:tcPr>
          <w:p>
            <w:pPr>
              <w:pStyle w:val="yTableNAm"/>
            </w:pPr>
            <w:r>
              <w:t>Carnarvon Fishing Boat Harbour, Fascine and waters of Shark Bay and Teggs Channel enclosed by a line from Babbage Island lighthouse (24°52.547′S, 113°37.874′E) to 24°54.389′S, 113°37.713′E; thence to 24°54.736′S, 113°38.845′E; thence to 24°54.465′S, 113°39.104′E; thence to 24°54.315′S, 113°39.141′E.</w:t>
            </w:r>
          </w:p>
        </w:tc>
      </w:tr>
      <w:tr>
        <w:tc>
          <w:tcPr>
            <w:tcW w:w="2040" w:type="dxa"/>
          </w:tcPr>
          <w:p>
            <w:pPr>
              <w:pStyle w:val="yTableNAm"/>
            </w:pPr>
            <w:r>
              <w:t>Esperance</w:t>
            </w:r>
          </w:p>
        </w:tc>
        <w:tc>
          <w:tcPr>
            <w:tcW w:w="5045" w:type="dxa"/>
          </w:tcPr>
          <w:p>
            <w:pPr>
              <w:pStyle w:val="yTableNAm"/>
            </w:pPr>
            <w:r>
              <w:t>The waters south</w:t>
            </w:r>
            <w:r>
              <w:noBreakHyphen/>
              <w:t>west of a line joining the end of the port breakwater (33°52.040′S, 121°54.465′E) and the James Street groyne (33°51.658′S, 121°53.804′E).</w:t>
            </w:r>
          </w:p>
        </w:tc>
      </w:tr>
      <w:tr>
        <w:tc>
          <w:tcPr>
            <w:tcW w:w="2040" w:type="dxa"/>
          </w:tcPr>
          <w:p>
            <w:pPr>
              <w:pStyle w:val="yTableNAm"/>
            </w:pPr>
            <w:r>
              <w:t>Fremantle</w:t>
            </w:r>
          </w:p>
        </w:tc>
        <w:tc>
          <w:tcPr>
            <w:tcW w:w="5045" w:type="dxa"/>
          </w:tcPr>
          <w:p>
            <w:pPr>
              <w:pStyle w:val="yTableNAm"/>
            </w:pPr>
            <w:r>
              <w:t xml:space="preserve">Fremantle Inner Harbour and Rous Head Harbour bounded by a line between 32°3.238′S, 115°43.515′E and 32°3.352′S, 115°43.951′E. Fremantle Fishing Boat Harbour, Success Boat Harbour and Challenger Harbour bounded by a line between 32°3.812′S, 115°44.380′E and 32°3.886′S, 115°44.562′E. Jervoise Bay Boat Harbour bounded by a line between 32°8.743′S, 115°45.541′E and 32°8.706′S, 115°45.647′E. </w:t>
            </w:r>
          </w:p>
        </w:tc>
      </w:tr>
      <w:tr>
        <w:tc>
          <w:tcPr>
            <w:tcW w:w="2040" w:type="dxa"/>
          </w:tcPr>
          <w:p>
            <w:pPr>
              <w:pStyle w:val="yTableNAm"/>
              <w:keepNext/>
              <w:keepLines/>
              <w:widowControl w:val="0"/>
            </w:pPr>
            <w:r>
              <w:t>Perth</w:t>
            </w:r>
            <w:r>
              <w:noBreakHyphen/>
              <w:t>Northern</w:t>
            </w:r>
          </w:p>
        </w:tc>
        <w:tc>
          <w:tcPr>
            <w:tcW w:w="5045" w:type="dxa"/>
          </w:tcPr>
          <w:p>
            <w:pPr>
              <w:pStyle w:val="yTableNAm"/>
              <w:keepNext/>
              <w:keepLines/>
              <w:widowControl w:val="0"/>
            </w:pPr>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p>
        </w:tc>
      </w:tr>
      <w:tr>
        <w:tc>
          <w:tcPr>
            <w:tcW w:w="2040" w:type="dxa"/>
          </w:tcPr>
          <w:p>
            <w:pPr>
              <w:pStyle w:val="yTableNAm"/>
            </w:pPr>
            <w:r>
              <w:t>Geraldton</w:t>
            </w:r>
          </w:p>
        </w:tc>
        <w:tc>
          <w:tcPr>
            <w:tcW w:w="5045" w:type="dxa"/>
          </w:tcPr>
          <w:p>
            <w:pPr>
              <w:pStyle w:val="yTableNAm"/>
            </w:pPr>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p>
        </w:tc>
      </w:tr>
      <w:tr>
        <w:tc>
          <w:tcPr>
            <w:tcW w:w="2040" w:type="dxa"/>
          </w:tcPr>
          <w:p>
            <w:pPr>
              <w:pStyle w:val="yTableNAm"/>
            </w:pPr>
            <w:r>
              <w:t>Port Hedland</w:t>
            </w:r>
          </w:p>
        </w:tc>
        <w:tc>
          <w:tcPr>
            <w:tcW w:w="5045" w:type="dxa"/>
          </w:tcPr>
          <w:p>
            <w:pPr>
              <w:pStyle w:val="yTableNAm"/>
            </w:pPr>
            <w:r>
              <w:t>Port Hedland Harbour and entrance south of a line along latitude 20°17.750′S between North Point and the spoil bank.</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rPr>
            </w:pPr>
            <w:r>
              <w:rPr>
                <w:b/>
              </w:rPr>
              <w:t>Area</w:t>
            </w:r>
          </w:p>
        </w:tc>
        <w:tc>
          <w:tcPr>
            <w:tcW w:w="5045" w:type="dxa"/>
          </w:tcPr>
          <w:p>
            <w:pPr>
              <w:pStyle w:val="yTableNAm"/>
              <w:rPr>
                <w:b/>
              </w:rPr>
            </w:pPr>
            <w:r>
              <w:rPr>
                <w:b/>
              </w:rPr>
              <w:t>Partially smooth water limits</w:t>
            </w:r>
          </w:p>
        </w:tc>
      </w:tr>
      <w:tr>
        <w:tc>
          <w:tcPr>
            <w:tcW w:w="2040" w:type="dxa"/>
          </w:tcPr>
          <w:p>
            <w:pPr>
              <w:pStyle w:val="yTableNAm"/>
            </w:pPr>
            <w:r>
              <w:t>Albany</w:t>
            </w:r>
          </w:p>
        </w:tc>
        <w:tc>
          <w:tcPr>
            <w:tcW w:w="5045" w:type="dxa"/>
          </w:tcPr>
          <w:p>
            <w:pPr>
              <w:pStyle w:val="yTableNAm"/>
            </w:pPr>
            <w:r>
              <w:t>King George Sound north and west of a line joining Limestone Head (35°5.327′S, 117°59.790′E) and Herald Point (35°1.144′S, 118°2.208′E).</w:t>
            </w:r>
          </w:p>
        </w:tc>
      </w:tr>
      <w:tr>
        <w:tc>
          <w:tcPr>
            <w:tcW w:w="2040" w:type="dxa"/>
          </w:tcPr>
          <w:p>
            <w:pPr>
              <w:pStyle w:val="yTableNAm"/>
            </w:pPr>
            <w:r>
              <w:t>Broome</w:t>
            </w:r>
            <w:r>
              <w:noBreakHyphen/>
              <w:t>Roebuck Bay</w:t>
            </w:r>
          </w:p>
        </w:tc>
        <w:tc>
          <w:tcPr>
            <w:tcW w:w="5045" w:type="dxa"/>
          </w:tcPr>
          <w:p>
            <w:pPr>
              <w:pStyle w:val="yTableNAm"/>
            </w:pPr>
            <w:r>
              <w:t>Roebuck Bay north of the latitude of Entrance Point (18°0.540′S).</w:t>
            </w:r>
          </w:p>
        </w:tc>
      </w:tr>
      <w:tr>
        <w:tc>
          <w:tcPr>
            <w:tcW w:w="2040" w:type="dxa"/>
          </w:tcPr>
          <w:p>
            <w:pPr>
              <w:pStyle w:val="yTableNAm"/>
            </w:pPr>
            <w:r>
              <w:t>Dampier</w:t>
            </w:r>
          </w:p>
        </w:tc>
        <w:tc>
          <w:tcPr>
            <w:tcW w:w="5045" w:type="dxa"/>
          </w:tcPr>
          <w:p>
            <w:pPr>
              <w:pStyle w:val="yTableNAm"/>
            </w:pPr>
            <w:r>
              <w:t>The waters enclosed by a line running due west from Phillip Point (20°37.555′S, 116°44.824′E); thence south and west along the shore of East Lewis Island; thence due south from King Point (20°37.873′S, 116°38.081′E) to where it meets the causeway south of West Intercourse Island.</w:t>
            </w:r>
          </w:p>
        </w:tc>
      </w:tr>
      <w:tr>
        <w:tc>
          <w:tcPr>
            <w:tcW w:w="2040" w:type="dxa"/>
          </w:tcPr>
          <w:p>
            <w:pPr>
              <w:pStyle w:val="yTableNAm"/>
            </w:pPr>
            <w:r>
              <w:t>Derby</w:t>
            </w:r>
          </w:p>
        </w:tc>
        <w:tc>
          <w:tcPr>
            <w:tcW w:w="5045" w:type="dxa"/>
          </w:tcPr>
          <w:p>
            <w:pPr>
              <w:pStyle w:val="yTableNAm"/>
            </w:pPr>
            <w:r>
              <w:t>King Sound south of the latitude of Point Torment (17°1.883′S).</w:t>
            </w:r>
          </w:p>
        </w:tc>
      </w:tr>
      <w:tr>
        <w:tc>
          <w:tcPr>
            <w:tcW w:w="2040" w:type="dxa"/>
          </w:tcPr>
          <w:p>
            <w:pPr>
              <w:pStyle w:val="yTableNAm"/>
              <w:keepNext/>
              <w:keepLines/>
              <w:widowControl w:val="0"/>
            </w:pPr>
            <w:r>
              <w:t>Fremantle Area</w:t>
            </w:r>
            <w:r>
              <w:noBreakHyphen/>
              <w:t>Central</w:t>
            </w:r>
          </w:p>
        </w:tc>
        <w:tc>
          <w:tcPr>
            <w:tcW w:w="5045" w:type="dxa"/>
          </w:tcPr>
          <w:p>
            <w:pPr>
              <w:pStyle w:val="yTableNAm"/>
              <w:keepNext/>
              <w:keepLines/>
              <w:widowControl w:val="0"/>
            </w:pPr>
            <w:r>
              <w:t>Cockburn Sound, Gage Roads and waters of the Indian Ocean enclosed by the coast and a line from John Point on Point Peron (32°15.860′S, 115°41.167′E) to Collie Head on Garden Island (32°14.769′S, 115°41.493′E), the eastern shore of Garden Island, a line from Entrance Point on Garden Island (32°9.427′S, 115°39.686′E) to Parker Point on Rottnest Island (32°1.602′S, 115°31.746′E), the eastern and northern shores of Rottnest Island, the longitude of 115°30.090′E northwards to latitude 31°45.927′S, and a line due east to the mainland.</w:t>
            </w:r>
          </w:p>
        </w:tc>
      </w:tr>
      <w:tr>
        <w:tc>
          <w:tcPr>
            <w:tcW w:w="2040" w:type="dxa"/>
          </w:tcPr>
          <w:p>
            <w:pPr>
              <w:pStyle w:val="yTableNAm"/>
            </w:pPr>
            <w:r>
              <w:t>Fremantle Area</w:t>
            </w:r>
            <w:r>
              <w:noBreakHyphen/>
              <w:t>Northern</w:t>
            </w:r>
          </w:p>
        </w:tc>
        <w:tc>
          <w:tcPr>
            <w:tcW w:w="5045" w:type="dxa"/>
          </w:tcPr>
          <w:p>
            <w:pPr>
              <w:pStyle w:val="yTableNAm"/>
            </w:pPr>
            <w:r>
              <w:t>The waters enclosed by a line from the coast west along latitude 31°45.927′S to 31°45.927′S, 115°40.089′E; thence to 31°43.677′S, 115°39.139′E; thence to the Eglinton Rocks (31°37.236′S, 115°39.373’E); thence to Pipidinny Reef (31°35.549′S, 115°38.028′E) inshore of Alkimos Reef; thence east to the coast along latitude 31°35.549′S.</w:t>
            </w:r>
          </w:p>
        </w:tc>
      </w:tr>
      <w:tr>
        <w:tc>
          <w:tcPr>
            <w:tcW w:w="2040" w:type="dxa"/>
          </w:tcPr>
          <w:p>
            <w:pPr>
              <w:pStyle w:val="yTableNAm"/>
              <w:keepNext/>
            </w:pPr>
            <w:r>
              <w:t>Fremantle Area</w:t>
            </w:r>
            <w:r>
              <w:noBreakHyphen/>
              <w:t>Southern</w:t>
            </w:r>
          </w:p>
        </w:tc>
        <w:tc>
          <w:tcPr>
            <w:tcW w:w="5045" w:type="dxa"/>
          </w:tcPr>
          <w:p>
            <w:pPr>
              <w:pStyle w:val="yTableNAm"/>
              <w:keepNext/>
            </w:pPr>
            <w:r>
              <w:t>Warnbro Sound and Shoalwater Bay east of a line joining Becher Point (32°22.253′S, 115°42.941′E) to the Sisters (32°21.235′S, 115°41.419′E); thence to the southern end of Penguin Island (32°18.535′S, 115°41.405′E); thence along the eastern shore of Penguin Island; thence from the northern end of Penguin Island (32°18.103′S, 115°41.395′E) to Mushroom Rock at Cape Peron (32°16.041′S, 115°41.044′E).</w:t>
            </w:r>
          </w:p>
        </w:tc>
      </w:tr>
      <w:tr>
        <w:tc>
          <w:tcPr>
            <w:tcW w:w="2040" w:type="dxa"/>
          </w:tcPr>
          <w:p>
            <w:pPr>
              <w:pStyle w:val="yTableNAm"/>
            </w:pPr>
            <w:r>
              <w:t>Koolan Island</w:t>
            </w:r>
            <w:r>
              <w:noBreakHyphen/>
            </w:r>
            <w:r>
              <w:br/>
              <w:t>Yampi Sound</w:t>
            </w:r>
          </w:p>
        </w:tc>
        <w:tc>
          <w:tcPr>
            <w:tcW w:w="5045" w:type="dxa"/>
          </w:tcPr>
          <w:p>
            <w:pPr>
              <w:pStyle w:val="yTableNAm"/>
            </w:pPr>
            <w:r>
              <w:t>The waters enclosed by a line due north from the mainland at 16°11.201′S, 123°47.871′E to the eastern end of Koolan Island (16°8.790′S, 123°47.871′E); thence west along the southern shore of Koolan Island to the western end of Koolan Island (16°6.728′S, 123°40.971′E); thence westerly to the east end of Cockatoo Island (16°6.009′S, 123°38.434′E); thence along the southern shore of Cockatoo Island to the west end of Cockatoo Island (16°5.122′S, 123°35.051′E); thence due south to the mainland at 16°9.893′S, 123°35.051′E.</w:t>
            </w:r>
          </w:p>
        </w:tc>
      </w:tr>
      <w:tr>
        <w:tc>
          <w:tcPr>
            <w:tcW w:w="2040" w:type="dxa"/>
          </w:tcPr>
          <w:p>
            <w:pPr>
              <w:pStyle w:val="yTableNAm"/>
            </w:pPr>
            <w:r>
              <w:t>Kuri Bay</w:t>
            </w:r>
          </w:p>
        </w:tc>
        <w:tc>
          <w:tcPr>
            <w:tcW w:w="5045" w:type="dxa"/>
          </w:tcPr>
          <w:p>
            <w:pPr>
              <w:pStyle w:val="yTableNAm"/>
            </w:pPr>
            <w:r>
              <w:t>The waters of Brecknock Harbour enclosed by a line starting on the mainland west of Kuri Bay at 15°28.620′S, 124°30.072′E; thence to the eastern end of Kannamatju Island at 15°27.439′S, 124°30.063′E, thence to 15°26.538′S, 124°30.253′E; thence across the North Entrance to Augustus Island at 15°25.992′S, 124°30.612′E; thence along the southern shore of Augustus Island to the northern side of Rogers Strait at 15°24.667′S, 124°38.126′E; thence across Rogers Strait to Camden Peninsula at 15°25.985′S, 124°38.126′E.</w:t>
            </w:r>
          </w:p>
        </w:tc>
      </w:tr>
      <w:tr>
        <w:tc>
          <w:tcPr>
            <w:tcW w:w="2040" w:type="dxa"/>
          </w:tcPr>
          <w:p>
            <w:pPr>
              <w:pStyle w:val="yTableNAm"/>
            </w:pPr>
            <w:r>
              <w:t>Lake Argyle</w:t>
            </w:r>
          </w:p>
        </w:tc>
        <w:tc>
          <w:tcPr>
            <w:tcW w:w="5045" w:type="dxa"/>
          </w:tcPr>
          <w:p>
            <w:pPr>
              <w:pStyle w:val="yTableNAm"/>
            </w:pPr>
            <w:r>
              <w:t>All the waters of Lake Argyle that are in Western Australia.</w:t>
            </w:r>
          </w:p>
        </w:tc>
      </w:tr>
      <w:tr>
        <w:tc>
          <w:tcPr>
            <w:tcW w:w="2040" w:type="dxa"/>
          </w:tcPr>
          <w:p>
            <w:pPr>
              <w:pStyle w:val="yTableNAm"/>
              <w:keepNext/>
            </w:pPr>
            <w:r>
              <w:t>Port Walcott</w:t>
            </w:r>
          </w:p>
        </w:tc>
        <w:tc>
          <w:tcPr>
            <w:tcW w:w="5045" w:type="dxa"/>
          </w:tcPr>
          <w:p>
            <w:pPr>
              <w:pStyle w:val="yTableNAm"/>
              <w:keepNext/>
            </w:pPr>
            <w:r>
              <w:t>The waters of Port Walcott west of 117°13.198′E (the eastern end of Jarman Island), south of 20°32.811′S (the northern end of Bezout Island) and east of 117°10.078′E.</w:t>
            </w:r>
          </w:p>
        </w:tc>
      </w:tr>
      <w:tr>
        <w:tc>
          <w:tcPr>
            <w:tcW w:w="2040" w:type="dxa"/>
          </w:tcPr>
          <w:p>
            <w:pPr>
              <w:pStyle w:val="yTableNAm"/>
            </w:pPr>
            <w:r>
              <w:t>Wyndham</w:t>
            </w:r>
            <w:r>
              <w:noBreakHyphen/>
            </w:r>
            <w:r>
              <w:br/>
              <w:t>Cambridge Gulf</w:t>
            </w:r>
          </w:p>
        </w:tc>
        <w:tc>
          <w:tcPr>
            <w:tcW w:w="5045" w:type="dxa"/>
          </w:tcPr>
          <w:p>
            <w:pPr>
              <w:pStyle w:val="yTableNAm"/>
            </w:pPr>
            <w:r>
              <w:t>The waters of the west arm of Cambridge Gulf south of the latitude of Pender Point (15°16.917′S) and north of a line through 15°29.456′S, 128°1.901′E and 15°29.980′S, 128°2.219′E including the Forrest River downstream from a line through 15°16.297′S, 127°56.910′E and 15°16.116′S, 127°57.629′E.</w:t>
            </w:r>
          </w:p>
        </w:tc>
      </w:tr>
    </w:tbl>
    <w:p>
      <w:pPr>
        <w:pStyle w:val="yFootnotesection"/>
      </w:pPr>
      <w:r>
        <w:tab/>
        <w:t>[Schedule 1 inserted: Gazette 6 Apr 2018 p. 1213</w:t>
      </w:r>
      <w:r>
        <w:noBreakHyphen/>
        <w:t>15.]</w:t>
      </w:r>
    </w:p>
    <w:p>
      <w:pPr>
        <w:pStyle w:val="yScheduleHeading"/>
      </w:pPr>
      <w:bookmarkStart w:id="52" w:name="_Toc42517346"/>
      <w:bookmarkStart w:id="53" w:name="_Toc42595118"/>
      <w:r>
        <w:rPr>
          <w:rStyle w:val="CharSchNo"/>
        </w:rPr>
        <w:t>Schedule 2</w:t>
      </w:r>
      <w:bookmarkEnd w:id="52"/>
      <w:bookmarkEnd w:id="53"/>
    </w:p>
    <w:p>
      <w:pPr>
        <w:pStyle w:val="yShoulderClause"/>
        <w:rPr>
          <w:snapToGrid w:val="0"/>
        </w:rPr>
      </w:pPr>
      <w:r>
        <w:rPr>
          <w:snapToGrid w:val="0"/>
        </w:rPr>
        <w:t>[r. 7]</w:t>
      </w:r>
    </w:p>
    <w:p>
      <w:pPr>
        <w:pStyle w:val="yHeading2"/>
      </w:pPr>
      <w:bookmarkStart w:id="54" w:name="_Toc42517347"/>
      <w:bookmarkStart w:id="55" w:name="_Toc42595119"/>
      <w:r>
        <w:rPr>
          <w:rStyle w:val="CharSchText"/>
        </w:rPr>
        <w:t>Functions of certificates of competency</w:t>
      </w:r>
      <w:bookmarkEnd w:id="54"/>
      <w:bookmarkEnd w:id="55"/>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Gazette 11 Aug 1992 p. 3977; 24 Aug 2004 p. 3661; </w:t>
      </w:r>
      <w:r>
        <w:rPr>
          <w:szCs w:val="22"/>
        </w:rPr>
        <w:t>11 Feb 2011 p. 489</w:t>
      </w:r>
      <w:r>
        <w:rPr>
          <w:szCs w:val="22"/>
        </w:rPr>
        <w:noBreakHyphen/>
        <w:t>90</w:t>
      </w:r>
      <w:r>
        <w:t>.]</w:t>
      </w:r>
    </w:p>
    <w:p>
      <w:pPr>
        <w:pStyle w:val="yScheduleHeading"/>
      </w:pPr>
      <w:bookmarkStart w:id="56" w:name="_Toc42517348"/>
      <w:bookmarkStart w:id="57" w:name="_Toc42595120"/>
      <w:r>
        <w:rPr>
          <w:rStyle w:val="CharSchNo"/>
        </w:rPr>
        <w:t>Schedule 3</w:t>
      </w:r>
      <w:r>
        <w:t> — </w:t>
      </w:r>
      <w:r>
        <w:rPr>
          <w:rStyle w:val="CharSchText"/>
        </w:rPr>
        <w:t>Fees</w:t>
      </w:r>
      <w:bookmarkEnd w:id="56"/>
      <w:bookmarkEnd w:id="57"/>
    </w:p>
    <w:p>
      <w:pPr>
        <w:pStyle w:val="yShoulderClause"/>
      </w:pPr>
      <w:r>
        <w:t>[r. 31A]</w:t>
      </w:r>
    </w:p>
    <w:p>
      <w:pPr>
        <w:pStyle w:val="yFootnoteheading"/>
        <w:spacing w:after="120"/>
      </w:pPr>
      <w:r>
        <w:tab/>
        <w:t>[Heading inserted: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t>$262.00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t>$194.00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$28.60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rPr>
                <w:szCs w:val="22"/>
              </w:rPr>
              <w:t>$257.00</w:t>
            </w:r>
          </w:p>
        </w:tc>
      </w:tr>
    </w:tbl>
    <w:p>
      <w:pPr>
        <w:pStyle w:val="yFootnotesection"/>
      </w:pPr>
      <w:r>
        <w:tab/>
        <w:t xml:space="preserve">[Schedule 3 inserted: Gazette 30 Jun 2010 p. 3163-5; amended: Gazette </w:t>
      </w:r>
      <w:r>
        <w:rPr>
          <w:szCs w:val="22"/>
        </w:rPr>
        <w:t>11 Feb 2011 p. 490; 21 Jun 2011 p. 2228; 15 Jun 2012 p. 2528-9; 28 Jun 2013 p. 2770-1; 30 May 2014 p. 1689; 22 Jun 2018 p. 2192; 31 May 2019 p. 1727</w:t>
      </w:r>
      <w:r>
        <w:t>.]</w:t>
      </w:r>
    </w:p>
    <w:p>
      <w:pPr>
        <w:pStyle w:val="yScheduleHeading"/>
      </w:pPr>
      <w:bookmarkStart w:id="58" w:name="_Toc42517349"/>
      <w:bookmarkStart w:id="59" w:name="_Toc42595121"/>
      <w:r>
        <w:rPr>
          <w:rStyle w:val="CharSchNo"/>
        </w:rPr>
        <w:t>Schedule 4</w:t>
      </w:r>
      <w:bookmarkEnd w:id="58"/>
      <w:bookmarkEnd w:id="59"/>
    </w:p>
    <w:p>
      <w:pPr>
        <w:pStyle w:val="yShoulderClause"/>
        <w:rPr>
          <w:snapToGrid w:val="0"/>
        </w:rPr>
      </w:pPr>
      <w:r>
        <w:rPr>
          <w:snapToGrid w:val="0"/>
        </w:rPr>
        <w:t>[r. 18]</w:t>
      </w:r>
    </w:p>
    <w:p>
      <w:pPr>
        <w:pStyle w:val="yHeading2"/>
      </w:pPr>
      <w:bookmarkStart w:id="60" w:name="_Toc42517350"/>
      <w:bookmarkStart w:id="61" w:name="_Toc42595122"/>
      <w:r>
        <w:rPr>
          <w:rStyle w:val="CharSchText"/>
        </w:rPr>
        <w:t>Prerequisites for applicants for certificates of competency</w:t>
      </w:r>
      <w:bookmarkEnd w:id="60"/>
      <w:bookmarkEnd w:id="61"/>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62" w:name="_Toc42517351"/>
            <w:bookmarkStart w:id="63" w:name="_Toc42595123"/>
            <w:r>
              <w:rPr>
                <w:rStyle w:val="CharSchNo"/>
              </w:rPr>
              <w:t>Schedule 5</w:t>
            </w:r>
            <w:bookmarkEnd w:id="62"/>
            <w:bookmarkEnd w:id="63"/>
          </w:p>
          <w:p>
            <w:pPr>
              <w:pStyle w:val="yShoulderClause"/>
              <w:spacing w:before="0"/>
            </w:pPr>
            <w:r>
              <w:t>[r. 28]</w:t>
            </w:r>
          </w:p>
          <w:p>
            <w:pPr>
              <w:pStyle w:val="yHeading2"/>
              <w:spacing w:before="0" w:after="120"/>
            </w:pPr>
            <w:bookmarkStart w:id="64" w:name="_Toc42517352"/>
            <w:bookmarkStart w:id="65" w:name="_Toc42595124"/>
            <w:r>
              <w:rPr>
                <w:rStyle w:val="CharSchText"/>
              </w:rPr>
              <w:t>Safety manning</w:t>
            </w:r>
            <w:bookmarkEnd w:id="64"/>
            <w:bookmarkEnd w:id="65"/>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4" w:bottom="3544" w:left="2404" w:header="709" w:footer="3380" w:gutter="0"/>
          <w:cols w:space="720"/>
          <w:noEndnote/>
          <w:docGrid w:linePitch="326"/>
        </w:sectPr>
      </w:pPr>
    </w:p>
    <w:p>
      <w:pPr>
        <w:pStyle w:val="nHeading2"/>
      </w:pPr>
      <w:bookmarkStart w:id="67" w:name="_Toc42517353"/>
      <w:bookmarkStart w:id="68" w:name="_Toc42595125"/>
      <w:r>
        <w:t>Notes</w:t>
      </w:r>
      <w:bookmarkEnd w:id="67"/>
      <w:bookmarkEnd w:id="68"/>
    </w:p>
    <w:p>
      <w:pPr>
        <w:pStyle w:val="nStatement"/>
      </w:pPr>
      <w:r>
        <w:t xml:space="preserve">This is a compilation of the </w:t>
      </w:r>
      <w:r>
        <w:rPr>
          <w:i/>
          <w:noProof/>
        </w:rPr>
        <w:t>W.A. Marine (Certificates of Competency and Safety Manning) Regulations 1983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9" w:name="_Toc42595126"/>
      <w:r>
        <w:t>Compilation table</w:t>
      </w:r>
      <w:bookmarkEnd w:id="69"/>
    </w:p>
    <w:tbl>
      <w:tblPr>
        <w:tblW w:w="0" w:type="auto"/>
        <w:tblInd w:w="14"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3104"/>
        <w:gridCol w:w="19"/>
        <w:gridCol w:w="1257"/>
        <w:gridCol w:w="19"/>
        <w:gridCol w:w="2693"/>
        <w:gridCol w:w="24"/>
      </w:tblGrid>
      <w:tr>
        <w:trPr>
          <w:gridBefore w:val="1"/>
          <w:gridAfter w:val="1"/>
          <w:wBefore w:w="14" w:type="dxa"/>
          <w:wAfter w:w="24" w:type="dxa"/>
          <w:tblHeader/>
        </w:trPr>
        <w:tc>
          <w:tcPr>
            <w:tcW w:w="3123"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Borders>
              <w:top w:val="single" w:sz="8" w:space="0" w:color="auto"/>
            </w:tcBorders>
          </w:tcPr>
          <w:p>
            <w:pPr>
              <w:pStyle w:val="nTable"/>
              <w:spacing w:after="40"/>
              <w:ind w:right="113"/>
            </w:pPr>
            <w:r>
              <w:rPr>
                <w:i/>
              </w:rPr>
              <w:t>W.A. Marine (Certificates of Competency and Safety Manning) Regulations 1983</w:t>
            </w:r>
          </w:p>
        </w:tc>
        <w:tc>
          <w:tcPr>
            <w:tcW w:w="1276" w:type="dxa"/>
            <w:gridSpan w:val="2"/>
            <w:tcBorders>
              <w:top w:val="single" w:sz="8" w:space="0" w:color="auto"/>
            </w:tcBorders>
          </w:tcPr>
          <w:p>
            <w:pPr>
              <w:pStyle w:val="nTable"/>
              <w:spacing w:after="40"/>
            </w:pPr>
            <w:r>
              <w:t>1 Jul 1983 p. 2209</w:t>
            </w:r>
            <w:r>
              <w:noBreakHyphen/>
              <w:t>40</w:t>
            </w:r>
          </w:p>
        </w:tc>
        <w:tc>
          <w:tcPr>
            <w:tcW w:w="2693" w:type="dxa"/>
            <w:tcBorders>
              <w:top w:val="single" w:sz="8" w:space="0" w:color="auto"/>
            </w:tcBorders>
          </w:tcPr>
          <w:p>
            <w:pPr>
              <w:pStyle w:val="nTable"/>
              <w:spacing w:after="40"/>
            </w:pPr>
            <w:r>
              <w:t>1 Jul 1983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1984</w:t>
            </w:r>
          </w:p>
        </w:tc>
        <w:tc>
          <w:tcPr>
            <w:tcW w:w="1276" w:type="dxa"/>
            <w:gridSpan w:val="2"/>
          </w:tcPr>
          <w:p>
            <w:pPr>
              <w:pStyle w:val="nTable"/>
              <w:spacing w:after="40"/>
            </w:pPr>
            <w:r>
              <w:t>29 Jun 1984 p. 1760</w:t>
            </w:r>
          </w:p>
        </w:tc>
        <w:tc>
          <w:tcPr>
            <w:tcW w:w="2693" w:type="dxa"/>
          </w:tcPr>
          <w:p>
            <w:pPr>
              <w:pStyle w:val="nTable"/>
              <w:spacing w:after="40"/>
            </w:pPr>
            <w:r>
              <w:t>29 Jun 1984</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(No. 2) 1984</w:t>
            </w:r>
          </w:p>
        </w:tc>
        <w:tc>
          <w:tcPr>
            <w:tcW w:w="1276" w:type="dxa"/>
            <w:gridSpan w:val="2"/>
          </w:tcPr>
          <w:p>
            <w:pPr>
              <w:pStyle w:val="nTable"/>
              <w:spacing w:after="40"/>
            </w:pPr>
            <w:r>
              <w:t>17 Aug 1984 p. 2455</w:t>
            </w:r>
            <w:r>
              <w:noBreakHyphen/>
              <w:t>6</w:t>
            </w:r>
          </w:p>
        </w:tc>
        <w:tc>
          <w:tcPr>
            <w:tcW w:w="2693" w:type="dxa"/>
          </w:tcPr>
          <w:p>
            <w:pPr>
              <w:pStyle w:val="nTable"/>
              <w:spacing w:after="40"/>
            </w:pPr>
            <w:r>
              <w:t>17 Aug 1984</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1985</w:t>
            </w:r>
          </w:p>
        </w:tc>
        <w:tc>
          <w:tcPr>
            <w:tcW w:w="1276" w:type="dxa"/>
            <w:gridSpan w:val="2"/>
          </w:tcPr>
          <w:p>
            <w:pPr>
              <w:pStyle w:val="nTable"/>
              <w:spacing w:after="40"/>
            </w:pPr>
            <w:r>
              <w:t>2 Aug 1985 p. 2697</w:t>
            </w:r>
          </w:p>
        </w:tc>
        <w:tc>
          <w:tcPr>
            <w:tcW w:w="2693" w:type="dxa"/>
          </w:tcPr>
          <w:p>
            <w:pPr>
              <w:pStyle w:val="nTable"/>
              <w:spacing w:after="40"/>
            </w:pPr>
            <w:r>
              <w:t>2 Aug 1985</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(No. 2) 1985</w:t>
            </w:r>
          </w:p>
        </w:tc>
        <w:tc>
          <w:tcPr>
            <w:tcW w:w="1276" w:type="dxa"/>
            <w:gridSpan w:val="2"/>
          </w:tcPr>
          <w:p>
            <w:pPr>
              <w:pStyle w:val="nTable"/>
              <w:spacing w:after="40"/>
            </w:pPr>
            <w:r>
              <w:t>30 Aug 1985 p. 3082</w:t>
            </w:r>
            <w:r>
              <w:noBreakHyphen/>
              <w:t>3</w:t>
            </w:r>
          </w:p>
        </w:tc>
        <w:tc>
          <w:tcPr>
            <w:tcW w:w="2693" w:type="dxa"/>
          </w:tcPr>
          <w:p>
            <w:pPr>
              <w:pStyle w:val="nTable"/>
              <w:spacing w:after="40"/>
            </w:pPr>
            <w:r>
              <w:t>2 Sep 1985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1986</w:t>
            </w:r>
          </w:p>
        </w:tc>
        <w:tc>
          <w:tcPr>
            <w:tcW w:w="1276" w:type="dxa"/>
            <w:gridSpan w:val="2"/>
          </w:tcPr>
          <w:p>
            <w:pPr>
              <w:pStyle w:val="nTable"/>
              <w:spacing w:after="40"/>
            </w:pPr>
            <w:r>
              <w:t>8 Aug 1986 p. 2833</w:t>
            </w:r>
            <w:r>
              <w:noBreakHyphen/>
              <w:t>4</w:t>
            </w:r>
          </w:p>
        </w:tc>
        <w:tc>
          <w:tcPr>
            <w:tcW w:w="2693" w:type="dxa"/>
          </w:tcPr>
          <w:p>
            <w:pPr>
              <w:pStyle w:val="nTable"/>
              <w:spacing w:after="40"/>
            </w:pPr>
            <w:r>
              <w:t>8 Aug 1986</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1987</w:t>
            </w:r>
          </w:p>
        </w:tc>
        <w:tc>
          <w:tcPr>
            <w:tcW w:w="1276" w:type="dxa"/>
            <w:gridSpan w:val="2"/>
          </w:tcPr>
          <w:p>
            <w:pPr>
              <w:pStyle w:val="nTable"/>
              <w:spacing w:after="40"/>
            </w:pPr>
            <w:r>
              <w:t>12 Jun 1987 p. 2323</w:t>
            </w:r>
          </w:p>
        </w:tc>
        <w:tc>
          <w:tcPr>
            <w:tcW w:w="2693" w:type="dxa"/>
          </w:tcPr>
          <w:p>
            <w:pPr>
              <w:pStyle w:val="nTable"/>
              <w:spacing w:after="40"/>
            </w:pPr>
            <w:r>
              <w:t>12 Jun 1987</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keepNext/>
              <w:spacing w:after="40"/>
              <w:ind w:right="113"/>
            </w:pPr>
            <w:r>
              <w:rPr>
                <w:i/>
              </w:rPr>
              <w:t>W.A. Marine (Certificates of Competency and Safety Manning) Amendment Regulations 1988</w:t>
            </w:r>
          </w:p>
        </w:tc>
        <w:tc>
          <w:tcPr>
            <w:tcW w:w="1276" w:type="dxa"/>
            <w:gridSpan w:val="2"/>
          </w:tcPr>
          <w:p>
            <w:pPr>
              <w:pStyle w:val="nTable"/>
              <w:keepNext/>
              <w:spacing w:after="40"/>
            </w:pPr>
            <w:r>
              <w:t>12 Aug 1988 p. 2713</w:t>
            </w:r>
          </w:p>
        </w:tc>
        <w:tc>
          <w:tcPr>
            <w:tcW w:w="2693" w:type="dxa"/>
          </w:tcPr>
          <w:p>
            <w:pPr>
              <w:pStyle w:val="nTable"/>
              <w:keepNext/>
              <w:spacing w:after="40"/>
            </w:pPr>
            <w:r>
              <w:t>12 Aug 1988</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1989</w:t>
            </w:r>
          </w:p>
        </w:tc>
        <w:tc>
          <w:tcPr>
            <w:tcW w:w="1276" w:type="dxa"/>
            <w:gridSpan w:val="2"/>
          </w:tcPr>
          <w:p>
            <w:pPr>
              <w:pStyle w:val="nTable"/>
              <w:spacing w:after="40"/>
            </w:pPr>
            <w:r>
              <w:t>23 Jun 1989 p. 1811</w:t>
            </w:r>
            <w:r>
              <w:noBreakHyphen/>
              <w:t>12</w:t>
            </w:r>
          </w:p>
        </w:tc>
        <w:tc>
          <w:tcPr>
            <w:tcW w:w="2693" w:type="dxa"/>
          </w:tcPr>
          <w:p>
            <w:pPr>
              <w:pStyle w:val="nTable"/>
              <w:spacing w:after="40"/>
            </w:pPr>
            <w:r>
              <w:t>23 Jun 1989</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(No. 2) 1989</w:t>
            </w:r>
          </w:p>
        </w:tc>
        <w:tc>
          <w:tcPr>
            <w:tcW w:w="1276" w:type="dxa"/>
            <w:gridSpan w:val="2"/>
          </w:tcPr>
          <w:p>
            <w:pPr>
              <w:pStyle w:val="nTable"/>
              <w:spacing w:after="40"/>
            </w:pPr>
            <w:r>
              <w:t>30 Jun 1989 p. 1928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keepLines/>
              <w:spacing w:after="40"/>
              <w:ind w:right="113"/>
            </w:pPr>
            <w:r>
              <w:rPr>
                <w:i/>
              </w:rPr>
              <w:t>W.A. Marine (Certificates of Competency and Safety Manning) Amendment Regulations 1990</w:t>
            </w:r>
          </w:p>
        </w:tc>
        <w:tc>
          <w:tcPr>
            <w:tcW w:w="1276" w:type="dxa"/>
            <w:gridSpan w:val="2"/>
          </w:tcPr>
          <w:p>
            <w:pPr>
              <w:pStyle w:val="nTable"/>
              <w:keepLines/>
              <w:spacing w:after="40"/>
            </w:pPr>
            <w:r>
              <w:t>1 Aug 1990 p. 3647</w:t>
            </w:r>
          </w:p>
        </w:tc>
        <w:tc>
          <w:tcPr>
            <w:tcW w:w="2693" w:type="dxa"/>
          </w:tcPr>
          <w:p>
            <w:pPr>
              <w:pStyle w:val="nTable"/>
              <w:keepLines/>
              <w:spacing w:after="40"/>
            </w:pPr>
            <w:r>
              <w:t>1 Aug 1990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(Certificates of Competency and Safety Manning) Amendment Regulations 1991</w:t>
            </w:r>
          </w:p>
        </w:tc>
        <w:tc>
          <w:tcPr>
            <w:tcW w:w="1276" w:type="dxa"/>
            <w:gridSpan w:val="2"/>
          </w:tcPr>
          <w:p>
            <w:pPr>
              <w:pStyle w:val="nTable"/>
              <w:spacing w:after="40"/>
            </w:pPr>
            <w:r>
              <w:t>26 Jul 1991 p. 3930</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Amendment Regulations (No. 2) 1992</w:t>
            </w:r>
            <w:r>
              <w:t xml:space="preserve"> Pt. 3</w:t>
            </w:r>
          </w:p>
        </w:tc>
        <w:tc>
          <w:tcPr>
            <w:tcW w:w="1276" w:type="dxa"/>
            <w:gridSpan w:val="2"/>
          </w:tcPr>
          <w:p>
            <w:pPr>
              <w:pStyle w:val="nTable"/>
              <w:spacing w:after="40"/>
            </w:pPr>
            <w:r>
              <w:t>30 Jun 1992 p. 2905</w:t>
            </w:r>
            <w:r>
              <w:noBreakHyphen/>
              <w:t>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 xml:space="preserve">W.A. Marine Amendment Regulations 1992 </w:t>
            </w:r>
            <w:r>
              <w:t>Pt. 3</w:t>
            </w:r>
          </w:p>
        </w:tc>
        <w:tc>
          <w:tcPr>
            <w:tcW w:w="1276" w:type="dxa"/>
            <w:gridSpan w:val="2"/>
          </w:tcPr>
          <w:p>
            <w:pPr>
              <w:pStyle w:val="nTable"/>
              <w:spacing w:after="40"/>
            </w:pPr>
            <w:r>
              <w:t>11 Aug 1992 p. 3976</w:t>
            </w:r>
            <w:r>
              <w:noBreakHyphen/>
              <w:t>80</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 xml:space="preserve">W.A. Marine Amendment Regulations 1993 </w:t>
            </w:r>
            <w:r>
              <w:t>Pt. 3</w:t>
            </w:r>
          </w:p>
        </w:tc>
        <w:tc>
          <w:tcPr>
            <w:tcW w:w="1276" w:type="dxa"/>
            <w:gridSpan w:val="2"/>
          </w:tcPr>
          <w:p>
            <w:pPr>
              <w:pStyle w:val="nTable"/>
              <w:spacing w:after="40"/>
            </w:pPr>
            <w:r>
              <w:t>29 Jun 1993 p. 3184</w:t>
            </w:r>
            <w:r>
              <w:noBreakHyphen/>
              <w:t>6</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 xml:space="preserve">W.A. Marine Amendment Regulations 1994 </w:t>
            </w:r>
            <w:r>
              <w:t>Pt. 3</w:t>
            </w:r>
          </w:p>
        </w:tc>
        <w:tc>
          <w:tcPr>
            <w:tcW w:w="1276" w:type="dxa"/>
            <w:gridSpan w:val="2"/>
          </w:tcPr>
          <w:p>
            <w:pPr>
              <w:pStyle w:val="nTable"/>
              <w:spacing w:after="40"/>
            </w:pPr>
            <w:r>
              <w:t>14 Jun 1994 p. 2486</w:t>
            </w:r>
            <w:r>
              <w:noBreakHyphen/>
              <w:t>93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 xml:space="preserve">W.A. Marine Amendment Regulations 1995 </w:t>
            </w:r>
            <w:r>
              <w:t>Pt. 3</w:t>
            </w:r>
          </w:p>
        </w:tc>
        <w:tc>
          <w:tcPr>
            <w:tcW w:w="1276" w:type="dxa"/>
            <w:gridSpan w:val="2"/>
          </w:tcPr>
          <w:p>
            <w:pPr>
              <w:pStyle w:val="nTable"/>
              <w:spacing w:after="40"/>
            </w:pPr>
            <w:r>
              <w:t>11 Jul 1995 p. 2946</w:t>
            </w:r>
            <w:r>
              <w:noBreakHyphen/>
              <w:t>53</w:t>
            </w:r>
          </w:p>
        </w:tc>
        <w:tc>
          <w:tcPr>
            <w:tcW w:w="2693" w:type="dxa"/>
          </w:tcPr>
          <w:p>
            <w:pPr>
              <w:pStyle w:val="nTable"/>
              <w:spacing w:after="40"/>
            </w:pPr>
            <w:r>
              <w:t>11 Jul 1995</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 xml:space="preserve">W.A. Marine Amendment Regulations 1996 </w:t>
            </w:r>
            <w:r>
              <w:t>Pt. 3</w:t>
            </w:r>
          </w:p>
        </w:tc>
        <w:tc>
          <w:tcPr>
            <w:tcW w:w="1276" w:type="dxa"/>
            <w:gridSpan w:val="2"/>
          </w:tcPr>
          <w:p>
            <w:pPr>
              <w:pStyle w:val="nTable"/>
              <w:spacing w:after="40"/>
            </w:pPr>
            <w:r>
              <w:t>25 Jun 1996 p. 2998</w:t>
            </w:r>
            <w:r>
              <w:noBreakHyphen/>
              <w:t>3005</w:t>
            </w:r>
          </w:p>
        </w:tc>
        <w:tc>
          <w:tcPr>
            <w:tcW w:w="2693" w:type="dxa"/>
          </w:tcPr>
          <w:p>
            <w:pPr>
              <w:pStyle w:val="nTable"/>
              <w:spacing w:after="40"/>
            </w:pPr>
            <w:r>
              <w:t>25 Jun 1996</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Amendment Regulations 1997</w:t>
            </w:r>
            <w:r>
              <w:t xml:space="preserve"> Div. 2</w:t>
            </w:r>
          </w:p>
        </w:tc>
        <w:tc>
          <w:tcPr>
            <w:tcW w:w="1276" w:type="dxa"/>
            <w:gridSpan w:val="2"/>
          </w:tcPr>
          <w:p>
            <w:pPr>
              <w:pStyle w:val="nTable"/>
              <w:spacing w:after="40"/>
            </w:pPr>
            <w:r>
              <w:t>27 Jun 1997 p. 3141</w:t>
            </w:r>
            <w:r>
              <w:noBreakHyphen/>
              <w:t>6</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7092" w:type="dxa"/>
            <w:gridSpan w:val="5"/>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keepNext/>
              <w:spacing w:after="40"/>
              <w:ind w:right="113"/>
            </w:pPr>
            <w:r>
              <w:rPr>
                <w:i/>
              </w:rPr>
              <w:t>W.A. Marine (Certificates of Competency and Safety Manning) Amendment Regulations 1997</w:t>
            </w:r>
          </w:p>
        </w:tc>
        <w:tc>
          <w:tcPr>
            <w:tcW w:w="1276" w:type="dxa"/>
            <w:gridSpan w:val="2"/>
          </w:tcPr>
          <w:p>
            <w:pPr>
              <w:pStyle w:val="nTable"/>
              <w:keepNext/>
              <w:spacing w:after="40"/>
            </w:pPr>
            <w:r>
              <w:t>3 Apr 1998 p. 1989</w:t>
            </w:r>
            <w:r>
              <w:noBreakHyphen/>
              <w:t>90</w:t>
            </w:r>
          </w:p>
        </w:tc>
        <w:tc>
          <w:tcPr>
            <w:tcW w:w="2693" w:type="dxa"/>
          </w:tcPr>
          <w:p>
            <w:pPr>
              <w:pStyle w:val="nTable"/>
              <w:keepNext/>
              <w:spacing w:after="40"/>
            </w:pPr>
            <w:r>
              <w:t>3 Apr 1998</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Amendment Regulations 1998</w:t>
            </w:r>
            <w:r>
              <w:t xml:space="preserve"> Div. 2</w:t>
            </w:r>
          </w:p>
        </w:tc>
        <w:tc>
          <w:tcPr>
            <w:tcW w:w="1276" w:type="dxa"/>
            <w:gridSpan w:val="2"/>
          </w:tcPr>
          <w:p>
            <w:pPr>
              <w:pStyle w:val="nTable"/>
              <w:spacing w:after="40"/>
            </w:pPr>
            <w:r>
              <w:t>12 May 1998 p. 2790</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1998</w:t>
            </w:r>
          </w:p>
        </w:tc>
        <w:tc>
          <w:tcPr>
            <w:tcW w:w="1276" w:type="dxa"/>
            <w:gridSpan w:val="2"/>
          </w:tcPr>
          <w:p>
            <w:pPr>
              <w:pStyle w:val="nTable"/>
              <w:spacing w:after="40"/>
            </w:pPr>
            <w:r>
              <w:t>28 Aug 1998 p. 4775</w:t>
            </w:r>
          </w:p>
        </w:tc>
        <w:tc>
          <w:tcPr>
            <w:tcW w:w="2693" w:type="dxa"/>
          </w:tcPr>
          <w:p>
            <w:pPr>
              <w:pStyle w:val="nTable"/>
              <w:spacing w:after="40"/>
            </w:pPr>
            <w:r>
              <w:t>28 Aug 1998</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pPr>
            <w:r>
              <w:rPr>
                <w:i/>
              </w:rPr>
              <w:t>W.A. Marine Amendment Regulations 2000</w:t>
            </w:r>
            <w:r>
              <w:t xml:space="preserve"> r. 3</w:t>
            </w:r>
          </w:p>
        </w:tc>
        <w:tc>
          <w:tcPr>
            <w:tcW w:w="1276" w:type="dxa"/>
            <w:gridSpan w:val="2"/>
          </w:tcPr>
          <w:p>
            <w:pPr>
              <w:pStyle w:val="nTable"/>
              <w:spacing w:after="40"/>
            </w:pPr>
            <w:r>
              <w:t>20 Jun 2000 p. 3062</w:t>
            </w:r>
            <w:r>
              <w:noBreakHyphen/>
              <w:t>71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Amendment Regulations 2001</w:t>
            </w:r>
            <w:r>
              <w:t xml:space="preserve"> r. 3</w:t>
            </w:r>
          </w:p>
        </w:tc>
        <w:tc>
          <w:tcPr>
            <w:tcW w:w="1276" w:type="dxa"/>
            <w:gridSpan w:val="2"/>
          </w:tcPr>
          <w:p>
            <w:pPr>
              <w:pStyle w:val="nTable"/>
              <w:spacing w:after="40"/>
            </w:pPr>
            <w:r>
              <w:t>27 Jul 2001</w:t>
            </w:r>
            <w:r>
              <w:br/>
              <w:t>p. 3803</w:t>
            </w:r>
            <w:r>
              <w:noBreakHyphen/>
              <w:t>13</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Amendment Regulations 2002</w:t>
            </w:r>
            <w:r>
              <w:t xml:space="preserve"> r. 3</w:t>
            </w:r>
          </w:p>
        </w:tc>
        <w:tc>
          <w:tcPr>
            <w:tcW w:w="1276" w:type="dxa"/>
            <w:gridSpan w:val="2"/>
          </w:tcPr>
          <w:p>
            <w:pPr>
              <w:pStyle w:val="nTable"/>
              <w:spacing w:after="40"/>
              <w:rPr>
                <w:i/>
              </w:rPr>
            </w:pPr>
            <w:r>
              <w:t>14 Jun 2002 p. 2325</w:t>
            </w:r>
            <w:r>
              <w:noBreakHyphen/>
              <w:t>35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2003</w:t>
            </w:r>
          </w:p>
        </w:tc>
        <w:tc>
          <w:tcPr>
            <w:tcW w:w="1276" w:type="dxa"/>
            <w:gridSpan w:val="2"/>
          </w:tcPr>
          <w:p>
            <w:pPr>
              <w:pStyle w:val="nTable"/>
              <w:spacing w:after="40"/>
            </w:pPr>
            <w:r>
              <w:rPr>
                <w:color w:val="000000"/>
              </w:rPr>
              <w:t>27 Jun 2003 p. </w:t>
            </w:r>
            <w:r>
              <w:t>2532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2004</w:t>
            </w:r>
          </w:p>
        </w:tc>
        <w:tc>
          <w:tcPr>
            <w:tcW w:w="1276" w:type="dxa"/>
            <w:gridSpan w:val="2"/>
          </w:tcPr>
          <w:p>
            <w:pPr>
              <w:pStyle w:val="nTable"/>
              <w:spacing w:after="40"/>
            </w:pPr>
            <w:r>
              <w:rPr>
                <w:color w:val="000000"/>
              </w:rPr>
              <w:t>25 Jun 2004 p. 2260-1</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(No. 2) 2004</w:t>
            </w:r>
          </w:p>
        </w:tc>
        <w:tc>
          <w:tcPr>
            <w:tcW w:w="1276" w:type="dxa"/>
            <w:gridSpan w:val="2"/>
          </w:tcPr>
          <w:p>
            <w:pPr>
              <w:pStyle w:val="nTable"/>
              <w:spacing w:after="40"/>
              <w:rPr>
                <w:color w:val="000000"/>
              </w:rPr>
            </w:pPr>
            <w:r>
              <w:rPr>
                <w:color w:val="000000"/>
              </w:rPr>
              <w:t>24 Aug 2004 p. 3661</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7092" w:type="dxa"/>
            <w:gridSpan w:val="5"/>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(No. 3) 2004</w:t>
            </w:r>
          </w:p>
        </w:tc>
        <w:tc>
          <w:tcPr>
            <w:tcW w:w="1276" w:type="dxa"/>
            <w:gridSpan w:val="2"/>
          </w:tcPr>
          <w:p>
            <w:pPr>
              <w:pStyle w:val="nTable"/>
              <w:spacing w:after="40"/>
              <w:rPr>
                <w:color w:val="000000"/>
              </w:rPr>
            </w:pPr>
            <w:r>
              <w:rPr>
                <w:color w:val="000000"/>
              </w:rPr>
              <w:t>30 Dec 2004 p. 6972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2005</w:t>
            </w:r>
          </w:p>
        </w:tc>
        <w:tc>
          <w:tcPr>
            <w:tcW w:w="1276" w:type="dxa"/>
            <w:gridSpan w:val="2"/>
          </w:tcPr>
          <w:p>
            <w:pPr>
              <w:pStyle w:val="nTable"/>
              <w:spacing w:after="40"/>
              <w:rPr>
                <w:color w:val="000000"/>
              </w:rPr>
            </w:pPr>
            <w:r>
              <w:rPr>
                <w:color w:val="000000"/>
              </w:rPr>
              <w:t>24 Jun 2005 p. 2782-3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2006</w:t>
            </w:r>
          </w:p>
        </w:tc>
        <w:tc>
          <w:tcPr>
            <w:tcW w:w="1276" w:type="dxa"/>
            <w:gridSpan w:val="2"/>
          </w:tcPr>
          <w:p>
            <w:pPr>
              <w:pStyle w:val="nTable"/>
              <w:spacing w:after="40"/>
              <w:rPr>
                <w:color w:val="000000"/>
              </w:rPr>
            </w:pPr>
            <w:r>
              <w:rPr>
                <w:color w:val="000000"/>
              </w:rPr>
              <w:t>16 Jun 2006 p. 2124-6</w:t>
            </w:r>
          </w:p>
        </w:tc>
        <w:tc>
          <w:tcPr>
            <w:tcW w:w="2693" w:type="dxa"/>
          </w:tcPr>
          <w:p>
            <w:pPr>
              <w:pStyle w:val="nTable"/>
              <w:spacing w:after="40"/>
            </w:pPr>
            <w:r>
              <w:t>16 Jun 2006</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(No. 2) 2006</w:t>
            </w:r>
          </w:p>
        </w:tc>
        <w:tc>
          <w:tcPr>
            <w:tcW w:w="1276" w:type="dxa"/>
            <w:gridSpan w:val="2"/>
          </w:tcPr>
          <w:p>
            <w:pPr>
              <w:pStyle w:val="nTable"/>
              <w:spacing w:after="40"/>
              <w:rPr>
                <w:color w:val="000000"/>
              </w:rPr>
            </w:pPr>
            <w:r>
              <w:rPr>
                <w:color w:val="000000"/>
              </w:rPr>
              <w:t>23 Jun 2006 p. 2212</w:t>
            </w:r>
            <w:r>
              <w:rPr>
                <w:color w:val="000000"/>
              </w:rPr>
              <w:noBreakHyphen/>
              <w:t>13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(No. 3) 2006</w:t>
            </w:r>
          </w:p>
        </w:tc>
        <w:tc>
          <w:tcPr>
            <w:tcW w:w="1276" w:type="dxa"/>
            <w:gridSpan w:val="2"/>
          </w:tcPr>
          <w:p>
            <w:pPr>
              <w:pStyle w:val="nTable"/>
              <w:spacing w:after="40"/>
              <w:rPr>
                <w:color w:val="000000"/>
              </w:rPr>
            </w:pPr>
            <w:r>
              <w:rPr>
                <w:color w:val="000000"/>
              </w:rPr>
              <w:t>8 Dec 2006 p. 5387-90</w:t>
            </w:r>
          </w:p>
        </w:tc>
        <w:tc>
          <w:tcPr>
            <w:tcW w:w="2693" w:type="dxa"/>
          </w:tcPr>
          <w:p>
            <w:pPr>
              <w:pStyle w:val="nTable"/>
              <w:spacing w:after="40"/>
            </w:pPr>
            <w:r>
              <w:rPr>
                <w:color w:val="000000"/>
              </w:rPr>
              <w:t>8 Dec 2006</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2007</w:t>
            </w:r>
            <w:r>
              <w:rPr>
                <w:iCs/>
              </w:rPr>
              <w:t xml:space="preserve"> </w:t>
            </w:r>
          </w:p>
        </w:tc>
        <w:tc>
          <w:tcPr>
            <w:tcW w:w="1276" w:type="dxa"/>
            <w:gridSpan w:val="2"/>
          </w:tcPr>
          <w:p>
            <w:pPr>
              <w:pStyle w:val="nTable"/>
              <w:spacing w:after="40"/>
              <w:rPr>
                <w:color w:val="000000"/>
              </w:rPr>
            </w:pPr>
            <w:r>
              <w:t>12 Jun 2007 p. 2728</w:t>
            </w:r>
            <w:r>
              <w:noBreakHyphen/>
              <w:t>9</w:t>
            </w:r>
          </w:p>
        </w:tc>
        <w:tc>
          <w:tcPr>
            <w:tcW w:w="2693" w:type="dxa"/>
          </w:tcPr>
          <w:p>
            <w:pPr>
              <w:pStyle w:val="nTable"/>
              <w:spacing w:after="40"/>
              <w:rPr>
                <w:color w:val="000000"/>
              </w:rPr>
            </w:pPr>
            <w:r>
              <w:t>1 Jul 2007 (see r. 2)</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7092" w:type="dxa"/>
            <w:gridSpan w:val="5"/>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(No. 2) 2008</w:t>
            </w:r>
            <w:r>
              <w:rPr>
                <w:iCs/>
              </w:rPr>
              <w:t xml:space="preserve"> </w:t>
            </w:r>
          </w:p>
        </w:tc>
        <w:tc>
          <w:tcPr>
            <w:tcW w:w="1276" w:type="dxa"/>
            <w:gridSpan w:val="2"/>
          </w:tcPr>
          <w:p>
            <w:pPr>
              <w:pStyle w:val="nTable"/>
              <w:spacing w:after="40"/>
              <w:rPr>
                <w:color w:val="000000"/>
              </w:rPr>
            </w:pPr>
            <w:r>
              <w:rPr>
                <w:color w:val="000000"/>
              </w:rPr>
              <w:t>24 Jun 2008 p. 2895-6</w:t>
            </w:r>
          </w:p>
        </w:tc>
        <w:tc>
          <w:tcPr>
            <w:tcW w:w="2693" w:type="dxa"/>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W.A. Marine (Certificates of Competency and Safety Manning) Amendment Regulations 200</w:t>
            </w:r>
            <w:r>
              <w:rPr>
                <w:iCs/>
              </w:rPr>
              <w:t>9</w:t>
            </w:r>
          </w:p>
        </w:tc>
        <w:tc>
          <w:tcPr>
            <w:tcW w:w="1276" w:type="dxa"/>
            <w:gridSpan w:val="2"/>
          </w:tcPr>
          <w:p>
            <w:pPr>
              <w:pStyle w:val="nTable"/>
              <w:spacing w:after="40"/>
              <w:rPr>
                <w:color w:val="000000"/>
              </w:rPr>
            </w:pPr>
            <w:r>
              <w:rPr>
                <w:color w:val="000000"/>
              </w:rPr>
              <w:t>12 Jun 2009 p. 2120-1</w:t>
            </w:r>
          </w:p>
        </w:tc>
        <w:tc>
          <w:tcPr>
            <w:tcW w:w="2693" w:type="dxa"/>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pPr>
              <w:pStyle w:val="nTable"/>
              <w:spacing w:after="40"/>
              <w:ind w:right="113"/>
              <w:rPr>
                <w:i/>
              </w:rPr>
            </w:pPr>
            <w:r>
              <w:rPr>
                <w:i/>
              </w:rPr>
              <w:t xml:space="preserve">W.A. Marine Amendment Regulations 2009 </w:t>
            </w:r>
            <w:r>
              <w:t>Pt. 3</w:t>
            </w:r>
          </w:p>
        </w:tc>
        <w:tc>
          <w:tcPr>
            <w:tcW w:w="1276" w:type="dxa"/>
            <w:gridSpan w:val="2"/>
          </w:tcPr>
          <w:p>
            <w:pPr>
              <w:pStyle w:val="nTable"/>
              <w:spacing w:after="40"/>
              <w:rPr>
                <w:color w:val="000000"/>
              </w:rPr>
            </w:pPr>
            <w:r>
              <w:t>11 Dec 2009 p. 5087</w:t>
            </w:r>
            <w:r>
              <w:noBreakHyphen/>
              <w:t>109</w:t>
            </w:r>
          </w:p>
        </w:tc>
        <w:tc>
          <w:tcPr>
            <w:tcW w:w="2693" w:type="dxa"/>
          </w:tcPr>
          <w:p>
            <w:pPr>
              <w:pStyle w:val="nTable"/>
              <w:spacing w:after="40"/>
              <w:rPr>
                <w:snapToGrid w:val="0"/>
                <w:color w:val="000000"/>
              </w:rPr>
            </w:pPr>
            <w:r>
              <w:t>12 Dec 2009 (see r. 2(b))</w:t>
            </w:r>
          </w:p>
        </w:tc>
      </w:tr>
      <w:tr>
        <w:tblPrEx>
          <w:tblBorders>
            <w:top w:val="none" w:sz="0" w:space="0" w:color="auto"/>
            <w:bottom w:val="none" w:sz="0" w:space="0" w:color="auto"/>
            <w:insideH w:val="none" w:sz="0" w:space="0" w:color="auto"/>
          </w:tblBorders>
        </w:tblPrEx>
        <w:trPr>
          <w:cantSplit/>
        </w:trPr>
        <w:tc>
          <w:tcPr>
            <w:tcW w:w="3118" w:type="dxa"/>
            <w:gridSpan w:val="2"/>
          </w:tcPr>
          <w:p>
            <w:pPr>
              <w:pStyle w:val="nTable"/>
              <w:spacing w:after="40"/>
              <w:ind w:right="113"/>
              <w:rPr>
                <w:i/>
              </w:rPr>
            </w:pPr>
            <w:r>
              <w:rPr>
                <w:i/>
              </w:rPr>
              <w:t>W.A. Marine (Certificates of Competency and Safety Manning) Amendment Regulations 2010</w:t>
            </w:r>
          </w:p>
        </w:tc>
        <w:tc>
          <w:tcPr>
            <w:tcW w:w="1276" w:type="dxa"/>
            <w:gridSpan w:val="2"/>
          </w:tcPr>
          <w:p>
            <w:pPr>
              <w:pStyle w:val="nTable"/>
              <w:spacing w:after="40"/>
            </w:pPr>
            <w:r>
              <w:t>30 Jun 2010 p. 3159-65</w:t>
            </w:r>
          </w:p>
        </w:tc>
        <w:tc>
          <w:tcPr>
            <w:tcW w:w="2736" w:type="dxa"/>
            <w:gridSpan w:val="3"/>
          </w:tcPr>
          <w:p>
            <w:pPr>
              <w:pStyle w:val="nTable"/>
              <w:spacing w:after="40"/>
            </w:pPr>
            <w:r>
              <w:rPr>
                <w:snapToGrid w:val="0"/>
                <w:color w:val="000000"/>
              </w:rPr>
              <w:t>r. 1 and 2: 30 Jun 2010 (see r. 2(a));</w:t>
            </w:r>
            <w:r>
              <w:rPr>
                <w:snapToGrid w:val="0"/>
                <w:color w:val="00000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130" w:type="dxa"/>
            <w:gridSpan w:val="7"/>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gridSpan w:val="2"/>
          </w:tcPr>
          <w:p>
            <w:pPr>
              <w:pStyle w:val="nTable"/>
              <w:spacing w:after="40"/>
              <w:ind w:right="113"/>
              <w:rPr>
                <w:i/>
              </w:rPr>
            </w:pPr>
            <w:r>
              <w:rPr>
                <w:i/>
              </w:rPr>
              <w:t>W.A. Marine (Certificates of Competency and Safety Manning) Amendment Regulations 2011</w:t>
            </w:r>
          </w:p>
        </w:tc>
        <w:tc>
          <w:tcPr>
            <w:tcW w:w="1276" w:type="dxa"/>
            <w:gridSpan w:val="2"/>
          </w:tcPr>
          <w:p>
            <w:pPr>
              <w:pStyle w:val="nTable"/>
              <w:spacing w:after="40"/>
            </w:pPr>
            <w:r>
              <w:t>11 Feb 2011 p. 483</w:t>
            </w:r>
            <w:r>
              <w:noBreakHyphen/>
              <w:t>93</w:t>
            </w:r>
          </w:p>
        </w:tc>
        <w:tc>
          <w:tcPr>
            <w:tcW w:w="2736" w:type="dxa"/>
            <w:gridSpan w:val="3"/>
          </w:tcPr>
          <w:p>
            <w:pPr>
              <w:pStyle w:val="nTable"/>
              <w:spacing w:after="40"/>
            </w:pPr>
            <w:r>
              <w:rPr>
                <w:snapToGrid w:val="0"/>
                <w:color w:val="000000"/>
              </w:rPr>
              <w:t>r. 1 and 2: 11 Feb 2011 (see r. 2(a));</w:t>
            </w:r>
            <w:r>
              <w:rPr>
                <w:snapToGrid w:val="0"/>
                <w:color w:val="000000"/>
              </w:rPr>
              <w:br/>
              <w:t>Regulations other than r. 1 and 2: 12 Feb 2011 (see r. 2(b))</w:t>
            </w:r>
          </w:p>
        </w:tc>
      </w:tr>
      <w:tr>
        <w:tblPrEx>
          <w:tblBorders>
            <w:top w:val="none" w:sz="0" w:space="0" w:color="auto"/>
            <w:bottom w:val="none" w:sz="0" w:space="0" w:color="auto"/>
            <w:insideH w:val="none" w:sz="0" w:space="0" w:color="auto"/>
          </w:tblBorders>
        </w:tblPrEx>
        <w:trPr>
          <w:cantSplit/>
        </w:trPr>
        <w:tc>
          <w:tcPr>
            <w:tcW w:w="3118" w:type="dxa"/>
            <w:gridSpan w:val="2"/>
          </w:tcPr>
          <w:p>
            <w:pPr>
              <w:pStyle w:val="nTable"/>
              <w:spacing w:after="40"/>
              <w:ind w:right="113"/>
              <w:rPr>
                <w:i/>
              </w:rPr>
            </w:pPr>
            <w:r>
              <w:rPr>
                <w:i/>
              </w:rPr>
              <w:t>W.A. Marine (Certificates of Competency and Safety Manning) Amendment Regulations (No. 2) 2011</w:t>
            </w:r>
          </w:p>
        </w:tc>
        <w:tc>
          <w:tcPr>
            <w:tcW w:w="1276" w:type="dxa"/>
            <w:gridSpan w:val="2"/>
          </w:tcPr>
          <w:p>
            <w:pPr>
              <w:pStyle w:val="nTable"/>
              <w:spacing w:after="40"/>
            </w:pPr>
            <w:r>
              <w:t>21 Jun 2011 p. 2227</w:t>
            </w:r>
            <w:r>
              <w:noBreakHyphen/>
              <w:t>8</w:t>
            </w:r>
          </w:p>
        </w:tc>
        <w:tc>
          <w:tcPr>
            <w:tcW w:w="2736" w:type="dxa"/>
            <w:gridSpan w:val="3"/>
          </w:tcPr>
          <w:p>
            <w:pPr>
              <w:pStyle w:val="nTable"/>
              <w:spacing w:after="40"/>
              <w:rPr>
                <w:snapToGrid w:val="0"/>
                <w:color w:val="000000"/>
              </w:rPr>
            </w:pPr>
            <w:r>
              <w:rPr>
                <w:snapToGrid w:val="0"/>
                <w:color w:val="000000"/>
              </w:rPr>
              <w:t>r. 1 and 2: 21 Jun 2011 (see r. 2(a));</w:t>
            </w:r>
            <w:r>
              <w:rPr>
                <w:snapToGrid w:val="0"/>
                <w:color w:val="00000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gridSpan w:val="2"/>
          </w:tcPr>
          <w:p>
            <w:pPr>
              <w:pStyle w:val="nTable"/>
              <w:spacing w:after="40"/>
              <w:ind w:right="113"/>
              <w:rPr>
                <w:i/>
              </w:rPr>
            </w:pPr>
            <w:r>
              <w:rPr>
                <w:i/>
              </w:rPr>
              <w:t>W.A. Marine (Certificates of Competency and Safety Manning) Amendment Regulations 2012</w:t>
            </w:r>
          </w:p>
        </w:tc>
        <w:tc>
          <w:tcPr>
            <w:tcW w:w="1276" w:type="dxa"/>
            <w:gridSpan w:val="2"/>
          </w:tcPr>
          <w:p>
            <w:pPr>
              <w:pStyle w:val="nTable"/>
              <w:spacing w:after="40"/>
            </w:pPr>
            <w:r>
              <w:t>14 Feb 2012 p. 671</w:t>
            </w:r>
            <w:r>
              <w:noBreakHyphen/>
              <w:t>3</w:t>
            </w:r>
          </w:p>
        </w:tc>
        <w:tc>
          <w:tcPr>
            <w:tcW w:w="2736" w:type="dxa"/>
            <w:gridSpan w:val="3"/>
          </w:tcPr>
          <w:p>
            <w:pPr>
              <w:pStyle w:val="nTable"/>
              <w:spacing w:after="40"/>
              <w:rPr>
                <w:snapToGrid w:val="0"/>
                <w:color w:val="000000"/>
              </w:rPr>
            </w:pPr>
            <w:r>
              <w:rPr>
                <w:snapToGrid w:val="0"/>
                <w:color w:val="000000"/>
              </w:rPr>
              <w:t>r. 1 and 2: 14 Feb 2012 (see r. 2(a));</w:t>
            </w:r>
            <w:r>
              <w:rPr>
                <w:snapToGrid w:val="0"/>
                <w:color w:val="000000"/>
              </w:rPr>
              <w:br/>
              <w:t>Regulations other than r. 1 and 2: 15 Feb 2012 (see r. 2(b))</w:t>
            </w:r>
          </w:p>
        </w:tc>
      </w:tr>
      <w:tr>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(No. 2) 2012</w:t>
            </w:r>
          </w:p>
        </w:tc>
        <w:tc>
          <w:tcPr>
            <w:tcW w:w="1276" w:type="dxa"/>
            <w:gridSpan w:val="2"/>
            <w:shd w:val="clear" w:color="auto" w:fill="auto"/>
          </w:tcPr>
          <w:p>
            <w:pPr>
              <w:pStyle w:val="nTable"/>
              <w:spacing w:after="40"/>
            </w:pPr>
            <w:r>
              <w:t>15 Jun 2012 p. 2528-9</w:t>
            </w:r>
          </w:p>
        </w:tc>
        <w:tc>
          <w:tcPr>
            <w:tcW w:w="2736" w:type="dxa"/>
            <w:gridSpan w:val="3"/>
            <w:shd w:val="clear" w:color="auto" w:fill="auto"/>
          </w:tcPr>
          <w:p>
            <w:pPr>
              <w:pStyle w:val="nTable"/>
              <w:spacing w:after="40"/>
              <w:rPr>
                <w:snapToGrid w:val="0"/>
                <w:color w:val="000000"/>
              </w:rPr>
            </w:pPr>
            <w:r>
              <w:rPr>
                <w:snapToGrid w:val="0"/>
                <w:color w:val="000000"/>
              </w:rPr>
              <w:t>r. 1 and 2: 15 Jun 2012 (see r. 2(a));</w:t>
            </w:r>
            <w:r>
              <w:rPr>
                <w:snapToGrid w:val="0"/>
                <w:color w:val="00000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130" w:type="dxa"/>
            <w:gridSpan w:val="7"/>
            <w:shd w:val="clear" w:color="auto" w:fill="auto"/>
          </w:tcPr>
          <w:p>
            <w:pPr>
              <w:pStyle w:val="nTable"/>
              <w:spacing w:after="40"/>
              <w:rPr>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2013</w:t>
            </w:r>
          </w:p>
        </w:tc>
        <w:tc>
          <w:tcPr>
            <w:tcW w:w="1276" w:type="dxa"/>
            <w:gridSpan w:val="2"/>
            <w:shd w:val="clear" w:color="auto" w:fill="auto"/>
          </w:tcPr>
          <w:p>
            <w:pPr>
              <w:pStyle w:val="nTable"/>
              <w:spacing w:after="40"/>
            </w:pPr>
            <w:r>
              <w:t>28 Jun 2013 p. 2770-1</w:t>
            </w:r>
          </w:p>
        </w:tc>
        <w:tc>
          <w:tcPr>
            <w:tcW w:w="2736" w:type="dxa"/>
            <w:gridSpan w:val="3"/>
            <w:shd w:val="clear" w:color="auto" w:fill="auto"/>
          </w:tcPr>
          <w:p>
            <w:pPr>
              <w:pStyle w:val="nTable"/>
              <w:spacing w:after="40"/>
              <w:rPr>
                <w:i/>
                <w:snapToGrid w:val="0"/>
                <w:color w:val="000000"/>
              </w:rPr>
            </w:pPr>
            <w:r>
              <w:rPr>
                <w:snapToGrid w:val="0"/>
                <w:color w:val="000000"/>
              </w:rPr>
              <w:t>r. 1 and 2: 28 Jun 2013 (see r. 2(a));</w:t>
            </w:r>
            <w:r>
              <w:rPr>
                <w:snapToGrid w:val="0"/>
                <w:color w:val="00000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2014</w:t>
            </w:r>
          </w:p>
        </w:tc>
        <w:tc>
          <w:tcPr>
            <w:tcW w:w="1276" w:type="dxa"/>
            <w:gridSpan w:val="2"/>
            <w:shd w:val="clear" w:color="auto" w:fill="auto"/>
          </w:tcPr>
          <w:p>
            <w:pPr>
              <w:pStyle w:val="nTable"/>
              <w:spacing w:after="40"/>
            </w:pPr>
            <w:r>
              <w:t>30 May 2014 p. 1688-9</w:t>
            </w:r>
          </w:p>
        </w:tc>
        <w:tc>
          <w:tcPr>
            <w:tcW w:w="2736" w:type="dxa"/>
            <w:gridSpan w:val="3"/>
            <w:shd w:val="clear" w:color="auto" w:fill="auto"/>
          </w:tcPr>
          <w:p>
            <w:pPr>
              <w:pStyle w:val="nTable"/>
              <w:spacing w:after="40"/>
              <w:rPr>
                <w:snapToGrid w:val="0"/>
                <w:color w:val="000000"/>
              </w:rPr>
            </w:pPr>
            <w:r>
              <w:rPr>
                <w:snapToGrid w:val="0"/>
                <w:color w:val="000000"/>
              </w:rPr>
              <w:t>r. 1 and 2: 30 May 2014 (see r. 2(a));</w:t>
            </w:r>
            <w:r>
              <w:rPr>
                <w:snapToGrid w:val="0"/>
                <w:color w:val="00000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2018</w:t>
            </w:r>
          </w:p>
        </w:tc>
        <w:tc>
          <w:tcPr>
            <w:tcW w:w="1276" w:type="dxa"/>
            <w:gridSpan w:val="2"/>
            <w:shd w:val="clear" w:color="auto" w:fill="auto"/>
          </w:tcPr>
          <w:p>
            <w:pPr>
              <w:pStyle w:val="nTable"/>
              <w:spacing w:after="40"/>
            </w:pPr>
            <w:r>
              <w:t>6 Apr 2018 p. 1212</w:t>
            </w:r>
            <w:r>
              <w:noBreakHyphen/>
              <w:t>15</w:t>
            </w:r>
          </w:p>
        </w:tc>
        <w:tc>
          <w:tcPr>
            <w:tcW w:w="2736" w:type="dxa"/>
            <w:gridSpan w:val="3"/>
            <w:shd w:val="clear" w:color="auto" w:fill="auto"/>
          </w:tcPr>
          <w:p>
            <w:pPr>
              <w:pStyle w:val="nTable"/>
              <w:spacing w:after="40"/>
              <w:rPr>
                <w:snapToGrid w:val="0"/>
                <w:color w:val="000000"/>
              </w:rPr>
            </w:pPr>
            <w:r>
              <w:rPr>
                <w:bCs/>
                <w:snapToGrid w:val="0"/>
                <w:color w:val="000000"/>
                <w:spacing w:val="-2"/>
              </w:rPr>
              <w:t>r. 1 and 2: 6 Apr 2018 (see r. 2(a));</w:t>
            </w:r>
            <w:r>
              <w:rPr>
                <w:bCs/>
                <w:snapToGrid w:val="0"/>
                <w:color w:val="000000"/>
                <w:spacing w:val="-2"/>
              </w:rPr>
              <w:br/>
              <w:t>Regulations other than r. 1 and 2: 7 Apr 2018 (see r. 2(b))</w:t>
            </w:r>
          </w:p>
        </w:tc>
      </w:tr>
      <w:tr>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pPr>
              <w:pStyle w:val="nTable"/>
              <w:spacing w:after="40"/>
              <w:ind w:right="113"/>
              <w:rPr>
                <w:i/>
              </w:rPr>
            </w:pPr>
            <w:r>
              <w:rPr>
                <w:i/>
              </w:rPr>
              <w:t>Transport Regulations Amendment (Fees and Charges) Regulations (No. 2) 2018</w:t>
            </w:r>
            <w:r>
              <w:t xml:space="preserve"> Pt. 7</w:t>
            </w:r>
          </w:p>
        </w:tc>
        <w:tc>
          <w:tcPr>
            <w:tcW w:w="1276" w:type="dxa"/>
            <w:gridSpan w:val="2"/>
            <w:shd w:val="clear" w:color="auto" w:fill="auto"/>
          </w:tcPr>
          <w:p>
            <w:pPr>
              <w:pStyle w:val="nTable"/>
              <w:spacing w:after="40"/>
            </w:pPr>
            <w:r>
              <w:t>22 Jun 2018 p. 2184</w:t>
            </w:r>
            <w:r>
              <w:noBreakHyphen/>
              <w:t>93</w:t>
            </w:r>
          </w:p>
        </w:tc>
        <w:tc>
          <w:tcPr>
            <w:tcW w:w="2736" w:type="dxa"/>
            <w:gridSpan w:val="3"/>
            <w:shd w:val="clear" w:color="auto" w:fill="auto"/>
          </w:tcPr>
          <w:p>
            <w:pPr>
              <w:pStyle w:val="nTable"/>
              <w:spacing w:after="40"/>
              <w:rPr>
                <w:bCs/>
                <w:snapToGrid w:val="0"/>
                <w:color w:val="000000"/>
                <w:spacing w:val="-2"/>
              </w:rPr>
            </w:pPr>
            <w:r>
              <w:rPr>
                <w:snapToGrid w:val="0"/>
                <w:spacing w:val="-2"/>
              </w:rPr>
              <w:t>1 Jul 2018 (see r. 2(b))</w:t>
            </w:r>
          </w:p>
        </w:tc>
      </w:tr>
      <w:tr>
        <w:tblPrEx>
          <w:tblBorders>
            <w:top w:val="none" w:sz="0" w:space="0" w:color="auto"/>
            <w:bottom w:val="none" w:sz="0" w:space="0" w:color="auto"/>
            <w:insideH w:val="none" w:sz="0" w:space="0" w:color="auto"/>
          </w:tblBorders>
        </w:tblPrEx>
        <w:trPr>
          <w:cantSplit/>
        </w:trPr>
        <w:tc>
          <w:tcPr>
            <w:tcW w:w="3118" w:type="dxa"/>
            <w:gridSpan w:val="2"/>
            <w:tcBorders>
              <w:bottom w:val="single" w:sz="4" w:space="0" w:color="auto"/>
            </w:tcBorders>
            <w:shd w:val="clear" w:color="auto" w:fill="auto"/>
          </w:tcPr>
          <w:p>
            <w:pPr>
              <w:pStyle w:val="nTable"/>
              <w:spacing w:after="40"/>
              <w:ind w:right="113"/>
              <w:rPr>
                <w:i/>
              </w:rPr>
            </w:pPr>
            <w:r>
              <w:rPr>
                <w:i/>
              </w:rPr>
              <w:t>Transport Regulations Amendment (Fees and Charges) Regulations (No. 2) 2019</w:t>
            </w:r>
            <w:r>
              <w:t xml:space="preserve"> Pt. 8</w:t>
            </w:r>
          </w:p>
        </w:tc>
        <w:tc>
          <w:tcPr>
            <w:tcW w:w="1276" w:type="dxa"/>
            <w:gridSpan w:val="2"/>
            <w:tcBorders>
              <w:bottom w:val="single" w:sz="4" w:space="0" w:color="auto"/>
            </w:tcBorders>
            <w:shd w:val="clear" w:color="auto" w:fill="auto"/>
          </w:tcPr>
          <w:p>
            <w:pPr>
              <w:pStyle w:val="nTable"/>
              <w:spacing w:after="40"/>
            </w:pPr>
            <w:r>
              <w:t>31 May 2019 p. 1721</w:t>
            </w:r>
            <w:r>
              <w:noBreakHyphen/>
              <w:t>8</w:t>
            </w:r>
          </w:p>
        </w:tc>
        <w:tc>
          <w:tcPr>
            <w:tcW w:w="2736" w:type="dxa"/>
            <w:gridSpan w:val="3"/>
            <w:tcBorders>
              <w:bottom w:val="single" w:sz="4" w:space="0" w:color="auto"/>
            </w:tcBorders>
            <w:shd w:val="clear" w:color="auto" w:fill="auto"/>
          </w:tcPr>
          <w:p>
            <w:pPr>
              <w:pStyle w:val="nTable"/>
              <w:spacing w:after="40"/>
              <w:rPr>
                <w:snapToGrid w:val="0"/>
                <w:spacing w:val="-2"/>
              </w:rPr>
            </w:pPr>
            <w:r>
              <w:t>1 Jul 2019 (see r. 2(b))</w:t>
            </w:r>
          </w:p>
        </w:tc>
      </w:tr>
    </w:tbl>
    <w:p>
      <w:pPr>
        <w:pStyle w:val="nHeading3"/>
      </w:pPr>
      <w:bookmarkStart w:id="70" w:name="_Toc42507203"/>
      <w:bookmarkStart w:id="71" w:name="_Toc42508051"/>
      <w:bookmarkStart w:id="72" w:name="_Toc42508533"/>
      <w:bookmarkStart w:id="73" w:name="_Toc42509986"/>
      <w:bookmarkStart w:id="74" w:name="_Toc42512682"/>
      <w:bookmarkStart w:id="75" w:name="_Toc42513380"/>
      <w:bookmarkStart w:id="76" w:name="_Toc42513762"/>
      <w:bookmarkStart w:id="77" w:name="_Toc42595127"/>
      <w:r>
        <w:t>Uncommenced provisions table</w:t>
      </w:r>
      <w:bookmarkEnd w:id="70"/>
      <w:bookmarkEnd w:id="71"/>
      <w:bookmarkEnd w:id="72"/>
      <w:bookmarkEnd w:id="73"/>
      <w:bookmarkEnd w:id="74"/>
      <w:bookmarkEnd w:id="75"/>
      <w:bookmarkEnd w:id="76"/>
      <w:bookmarkEnd w:id="7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pPr>
            <w:r>
              <w:rPr>
                <w:i/>
              </w:rPr>
              <w:t>Transport Regulations Amendment (Fees and Charges) Regulations (No. 2) 2020</w:t>
            </w:r>
            <w:r>
              <w:t xml:space="preserve"> Pt. 5</w:t>
            </w:r>
          </w:p>
        </w:tc>
        <w:tc>
          <w:tcPr>
            <w:tcW w:w="1276" w:type="dxa"/>
          </w:tcPr>
          <w:p>
            <w:pPr>
              <w:pStyle w:val="nTable"/>
            </w:pPr>
            <w:r>
              <w:t>SL 2020/74</w:t>
            </w:r>
            <w:r>
              <w:br/>
              <w:t>9 Jun 2020</w:t>
            </w:r>
          </w:p>
        </w:tc>
        <w:tc>
          <w:tcPr>
            <w:tcW w:w="2693" w:type="dxa"/>
          </w:tcPr>
          <w:p>
            <w:pPr>
              <w:pStyle w:val="nTable"/>
            </w:pPr>
            <w:r>
              <w:t>1 Jul 2020 (see r. 2(b))</w:t>
            </w:r>
          </w:p>
        </w:tc>
      </w:tr>
    </w:tbl>
    <w:p>
      <w:pPr>
        <w:pStyle w:val="nHeading3"/>
      </w:pPr>
      <w:bookmarkStart w:id="78" w:name="_Toc42595128"/>
      <w:r>
        <w:t>Other notes</w:t>
      </w:r>
      <w:bookmarkEnd w:id="78"/>
    </w:p>
    <w:p>
      <w:pPr>
        <w:pStyle w:val="nNote"/>
      </w:pPr>
      <w:r>
        <w:rPr>
          <w:vertAlign w:val="superscript"/>
        </w:rPr>
        <w:t>1</w:t>
      </w:r>
      <w:r>
        <w:tab/>
        <w:t xml:space="preserve">Repealed by the </w:t>
      </w:r>
      <w:r>
        <w:rPr>
          <w:i/>
        </w:rPr>
        <w:t>Pearling Act 1990.</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80" w:name="_Toc42517357"/>
      <w:bookmarkStart w:id="81" w:name="_Toc42595129"/>
      <w:r>
        <w:rPr>
          <w:sz w:val="28"/>
        </w:rPr>
        <w:t>Defined terms</w:t>
      </w:r>
      <w:bookmarkEnd w:id="80"/>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Annex C</w:t>
      </w:r>
      <w:r>
        <w:tab/>
        <w:t>3</w:t>
      </w:r>
    </w:p>
    <w:p>
      <w:pPr>
        <w:pStyle w:val="DefinedTerms"/>
      </w:pPr>
      <w:r>
        <w:t>applicant</w:t>
      </w:r>
      <w:r>
        <w:tab/>
        <w:t>3</w:t>
      </w:r>
    </w:p>
    <w:p>
      <w:pPr>
        <w:pStyle w:val="DefinedTerms"/>
      </w:pPr>
      <w:r>
        <w:t>at sea</w:t>
      </w:r>
      <w:r>
        <w:tab/>
        <w:t>3</w:t>
      </w:r>
    </w:p>
    <w:p>
      <w:pPr>
        <w:pStyle w:val="DefinedTerms"/>
      </w:pPr>
      <w:r>
        <w:t>Australian marine authority</w:t>
      </w:r>
      <w:r>
        <w:tab/>
        <w:t>3</w:t>
      </w:r>
    </w:p>
    <w:p>
      <w:pPr>
        <w:pStyle w:val="DefinedTerms"/>
      </w:pPr>
      <w:r>
        <w:t>certificate of competency</w:t>
      </w:r>
      <w:r>
        <w:tab/>
        <w:t>3</w:t>
      </w:r>
    </w:p>
    <w:p>
      <w:pPr>
        <w:pStyle w:val="DefinedTerms"/>
      </w:pPr>
      <w:r>
        <w:t>chief engineer</w:t>
      </w:r>
      <w:r>
        <w:tab/>
        <w:t>3</w:t>
      </w:r>
    </w:p>
    <w:p>
      <w:pPr>
        <w:pStyle w:val="DefinedTerms"/>
      </w:pPr>
      <w:r>
        <w:t>chief mate</w:t>
      </w:r>
      <w:r>
        <w:tab/>
        <w:t>3</w:t>
      </w:r>
    </w:p>
    <w:p>
      <w:pPr>
        <w:pStyle w:val="DefinedTerms"/>
      </w:pPr>
      <w:r>
        <w:t>Code</w:t>
      </w:r>
      <w:r>
        <w:tab/>
        <w:t>3</w:t>
      </w:r>
    </w:p>
    <w:p>
      <w:pPr>
        <w:pStyle w:val="DefinedTerms"/>
      </w:pPr>
      <w:r>
        <w:t>endorsement</w:t>
      </w:r>
      <w:r>
        <w:tab/>
        <w:t>3</w:t>
      </w:r>
    </w:p>
    <w:p>
      <w:pPr>
        <w:pStyle w:val="DefinedTerms"/>
      </w:pPr>
      <w:r>
        <w:t>length</w:t>
      </w:r>
      <w:r>
        <w:tab/>
        <w:t>3</w:t>
      </w:r>
    </w:p>
    <w:p>
      <w:pPr>
        <w:pStyle w:val="DefinedTerms"/>
      </w:pPr>
      <w:r>
        <w:t>marine authority</w:t>
      </w:r>
      <w:r>
        <w:tab/>
        <w:t>3</w:t>
      </w:r>
    </w:p>
    <w:p>
      <w:pPr>
        <w:pStyle w:val="DefinedTerms"/>
      </w:pPr>
      <w:r>
        <w:t>measured length</w:t>
      </w:r>
      <w:r>
        <w:tab/>
        <w:t>3</w:t>
      </w:r>
    </w:p>
    <w:p>
      <w:pPr>
        <w:pStyle w:val="DefinedTerms"/>
      </w:pPr>
      <w:r>
        <w:t>NSCV Part D</w:t>
      </w:r>
      <w:r>
        <w:tab/>
        <w:t>3</w:t>
      </w:r>
    </w:p>
    <w:p>
      <w:pPr>
        <w:pStyle w:val="DefinedTerms"/>
      </w:pPr>
      <w:r>
        <w:t>propulsion power</w:t>
      </w:r>
      <w:r>
        <w:tab/>
        <w:t>3</w:t>
      </w:r>
    </w:p>
    <w:p>
      <w:pPr>
        <w:pStyle w:val="DefinedTerms"/>
      </w:pPr>
      <w:r>
        <w:t>qualifying numeral</w:t>
      </w:r>
      <w:r>
        <w:tab/>
        <w:t>3</w:t>
      </w:r>
    </w:p>
    <w:p>
      <w:pPr>
        <w:pStyle w:val="DefinedTerms"/>
      </w:pPr>
      <w:r>
        <w:t>qualifying service</w:t>
      </w:r>
      <w:r>
        <w:tab/>
        <w:t>3</w:t>
      </w:r>
    </w:p>
    <w:p>
      <w:pPr>
        <w:pStyle w:val="DefinedTerms"/>
      </w:pPr>
      <w:r>
        <w:t>restriction</w:t>
      </w:r>
      <w:r>
        <w:tab/>
        <w:t>3</w:t>
      </w:r>
    </w:p>
    <w:p>
      <w:pPr>
        <w:pStyle w:val="DefinedTerms"/>
      </w:pPr>
      <w:r>
        <w:t>revalidate</w:t>
      </w:r>
      <w:r>
        <w:tab/>
        <w:t>3</w:t>
      </w:r>
    </w:p>
    <w:p>
      <w:pPr>
        <w:pStyle w:val="DefinedTerms"/>
      </w:pPr>
      <w:r>
        <w:t>sea service</w:t>
      </w:r>
      <w:r>
        <w:tab/>
        <w:t>3</w:t>
      </w:r>
    </w:p>
    <w:p>
      <w:pPr>
        <w:pStyle w:val="DefinedTerms"/>
      </w:pPr>
      <w:r>
        <w:t>seagoing vessel</w:t>
      </w:r>
      <w:r>
        <w:tab/>
        <w:t>3</w:t>
      </w:r>
    </w:p>
    <w:p>
      <w:pPr>
        <w:pStyle w:val="DefinedTerms"/>
      </w:pPr>
      <w:r>
        <w:t>seaward</w:t>
      </w:r>
      <w:r>
        <w:tab/>
        <w:t>3</w:t>
      </w:r>
    </w:p>
    <w:p>
      <w:pPr>
        <w:pStyle w:val="DefinedTerms"/>
      </w:pPr>
      <w:r>
        <w:t>second engineer</w:t>
      </w:r>
      <w:r>
        <w:tab/>
        <w:t>3</w:t>
      </w:r>
    </w:p>
    <w:p>
      <w:pPr>
        <w:pStyle w:val="DefinedTerms"/>
      </w:pPr>
      <w:r>
        <w:t>watchkeeping service</w:t>
      </w:r>
      <w:r>
        <w:tab/>
        <w:t>3</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 w:name="Schedule"/>
    <w:bookmarkEnd w:id="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 w:name="DefinedTerms"/>
    <w:bookmarkEnd w:id="8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
            <w:ind w:right="307"/>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08131630"/>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 w:name="WAFER_20180627115837" w:val="RemoveTocBookmarks,RemoveUnusedBookmarks,RemoveLanguageTags,UsedStyles,ResetPageSize"/>
    <w:docVar w:name="WAFER_20180627115837_GUID" w:val="fd98ac66-5b53-4e9d-a813-28303cc4a5e5"/>
    <w:docVar w:name="WAFER_20190530153958" w:val="RemoveTocBookmarks,RemoveUnusedBookmarks,RemoveLanguageTags,ResetPageSize,RunningHeaders,UpdateStyles,UsedStyles"/>
    <w:docVar w:name="WAFER_20190530153958_GUID" w:val="ae4f35c2-862d-4cbb-af54-0f60778830bf"/>
    <w:docVar w:name="WAFER_20200608131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31630_GUID" w:val="f7cc5783-0158-4240-b545-7967f0405e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eg"/><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0AF32-3A70-4301-9366-506B3174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15870</Words>
  <Characters>81893</Characters>
  <Application>Microsoft Office Word</Application>
  <DocSecurity>0</DocSecurity>
  <Lines>3412</Lines>
  <Paragraphs>1685</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1983 - 05-i0-00</dc:title>
  <dc:subject/>
  <dc:creator/>
  <cp:keywords/>
  <dc:description/>
  <cp:lastModifiedBy>svcMRProcess</cp:lastModifiedBy>
  <cp:revision>4</cp:revision>
  <cp:lastPrinted>2013-03-28T00:04:00Z</cp:lastPrinted>
  <dcterms:created xsi:type="dcterms:W3CDTF">2020-06-09T07:11:00Z</dcterms:created>
  <dcterms:modified xsi:type="dcterms:W3CDTF">2020-06-09T07:11:00Z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AsAtDate">
    <vt:lpwstr>09 Jun 2020</vt:lpwstr>
  </property>
  <property fmtid="{D5CDD505-2E9C-101B-9397-08002B2CF9AE}" pid="8" name="Suffix">
    <vt:lpwstr>05-i0-00</vt:lpwstr>
  </property>
  <property fmtid="{D5CDD505-2E9C-101B-9397-08002B2CF9AE}" pid="9" name="CommencementDate">
    <vt:lpwstr>20200609</vt:lpwstr>
  </property>
</Properties>
</file>