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_Toc43453082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_Toc43453083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_Toc43453084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_Toc43453085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_Toc43453086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_Toc43453087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_Toc43453088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_Toc43453089 \h </w:instrText>
      </w:r>
      <w:r>
        <w:fldChar w:fldCharType="separate"/>
      </w:r>
      <w:r>
        <w:t>3</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_Toc43453090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_Toc43453094 \h </w:instrText>
      </w:r>
      <w:r>
        <w:fldChar w:fldCharType="separate"/>
      </w:r>
      <w:r>
        <w:t>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_Toc43453095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Police Act 1892</w:t>
      </w:r>
    </w:p>
    <w:p>
      <w:pPr>
        <w:pStyle w:val="NameofActReg"/>
      </w:pPr>
      <w:r>
        <w:t>Police (Fees and Charges) Regulations 2018</w:t>
      </w:r>
    </w:p>
    <w:p>
      <w:pPr>
        <w:pStyle w:val="Heading5"/>
      </w:pPr>
      <w:bookmarkStart w:id="3" w:name="_Toc43453082"/>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4345308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6" w:name="_Toc4345308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7" w:name="_Toc43453085"/>
      <w:r>
        <w:rPr>
          <w:rStyle w:val="CharSectno"/>
        </w:rPr>
        <w:t>4</w:t>
      </w:r>
      <w:r>
        <w:t>.</w:t>
      </w:r>
      <w:r>
        <w:tab/>
        <w:t>Fees</w:t>
      </w:r>
      <w:bookmarkEnd w:id="7"/>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8" w:name="_Toc43453086"/>
      <w:r>
        <w:rPr>
          <w:rStyle w:val="CharSectno"/>
        </w:rPr>
        <w:t>5</w:t>
      </w:r>
      <w:r>
        <w:t>.</w:t>
      </w:r>
      <w:r>
        <w:tab/>
        <w:t>Exempt events</w:t>
      </w:r>
      <w:bookmarkEnd w:id="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9" w:name="_Toc43453087"/>
      <w:r>
        <w:rPr>
          <w:rStyle w:val="CharSectno"/>
        </w:rPr>
        <w:t>6</w:t>
      </w:r>
      <w:r>
        <w:t>.</w:t>
      </w:r>
      <w:r>
        <w:tab/>
        <w:t>Charges for police services at major event</w:t>
      </w:r>
      <w:bookmarkEnd w:id="9"/>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0" w:name="_Toc43453088"/>
      <w:r>
        <w:rPr>
          <w:rStyle w:val="CharSectno"/>
        </w:rPr>
        <w:t>7</w:t>
      </w:r>
      <w:r>
        <w:t>.</w:t>
      </w:r>
      <w:r>
        <w:tab/>
        <w:t>Charges for police services if major event cancelled</w:t>
      </w:r>
      <w:bookmarkEnd w:id="1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1" w:name="_Toc43453089"/>
      <w:r>
        <w:rPr>
          <w:rStyle w:val="CharSectno"/>
        </w:rPr>
        <w:t>8</w:t>
      </w:r>
      <w:r>
        <w:t>.</w:t>
      </w:r>
      <w:r>
        <w:tab/>
        <w:t>Amounts inclusive of GST</w:t>
      </w:r>
      <w:bookmarkEnd w:id="11"/>
    </w:p>
    <w:p>
      <w:pPr>
        <w:pStyle w:val="Subsection"/>
      </w:pPr>
      <w:r>
        <w:tab/>
      </w:r>
      <w:r>
        <w:tab/>
        <w:t>The amounts specified in Schedule 2 are inclusive of GST.</w:t>
      </w:r>
    </w:p>
    <w:p>
      <w:pPr>
        <w:pStyle w:val="Heading5"/>
      </w:pPr>
      <w:bookmarkStart w:id="12" w:name="_Toc43453090"/>
      <w:r>
        <w:rPr>
          <w:rStyle w:val="CharSectno"/>
        </w:rPr>
        <w:t>9</w:t>
      </w:r>
      <w:r>
        <w:t>.</w:t>
      </w:r>
      <w:r>
        <w:tab/>
      </w:r>
      <w:r>
        <w:rPr>
          <w:i/>
        </w:rPr>
        <w:t xml:space="preserve">Police (Fees) Regulations 1981 </w:t>
      </w:r>
      <w:r>
        <w:t>repealed</w:t>
      </w:r>
      <w:bookmarkEnd w:id="12"/>
    </w:p>
    <w:p>
      <w:pPr>
        <w:pStyle w:val="Subsection"/>
      </w:pPr>
      <w:r>
        <w:tab/>
      </w:r>
      <w:r>
        <w:tab/>
        <w:t xml:space="preserve">The </w:t>
      </w:r>
      <w:r>
        <w:rPr>
          <w:i/>
        </w:rPr>
        <w:t xml:space="preserve">Police (Fees) Regulations 1981 </w:t>
      </w:r>
      <w:r>
        <w:t>are repealed.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43385011"/>
      <w:bookmarkStart w:id="14" w:name="_Toc43385410"/>
      <w:bookmarkStart w:id="15" w:name="_Toc43453091"/>
      <w:r>
        <w:rPr>
          <w:rStyle w:val="CharSchNo"/>
        </w:rPr>
        <w:t>Schedule 1</w:t>
      </w:r>
      <w:r>
        <w:rPr>
          <w:rStyle w:val="CharSDivNo"/>
        </w:rPr>
        <w:t> </w:t>
      </w:r>
      <w:r>
        <w:t>—</w:t>
      </w:r>
      <w:r>
        <w:rPr>
          <w:rStyle w:val="CharSDivText"/>
        </w:rPr>
        <w:t> </w:t>
      </w:r>
      <w:r>
        <w:rPr>
          <w:rStyle w:val="CharSchText"/>
        </w:rPr>
        <w:t>Fees</w:t>
      </w:r>
      <w:bookmarkEnd w:id="13"/>
      <w:bookmarkEnd w:id="14"/>
      <w:bookmarkEnd w:id="15"/>
    </w:p>
    <w:p>
      <w:pPr>
        <w:pStyle w:val="yShoulderClause"/>
      </w:pPr>
      <w:r>
        <w:t>[r. 4(1)]</w:t>
      </w:r>
    </w:p>
    <w:p>
      <w:pPr>
        <w:pStyle w:val="yFootnoteheading"/>
        <w:spacing w:after="120"/>
      </w:pPr>
      <w:r>
        <w:tab/>
        <w:t>[Heading inserted: Gazette 21 Jun 2019 p. 2147.]</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zyTableNAm"/>
            </w:pPr>
          </w:p>
        </w:tc>
        <w:tc>
          <w:tcPr>
            <w:tcW w:w="3969" w:type="dxa"/>
          </w:tcPr>
          <w:p>
            <w:pPr>
              <w:pStyle w:val="yTableNAm"/>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$30.90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vAlign w:val="bottom"/>
          </w:tcPr>
          <w:p>
            <w:pPr>
              <w:pStyle w:val="yTableNAm"/>
            </w:pPr>
            <w:r>
              <w:t>$124.70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issued to a volunteer organisation</w:t>
            </w:r>
          </w:p>
        </w:tc>
        <w:tc>
          <w:tcPr>
            <w:tcW w:w="1097" w:type="dxa"/>
            <w:tcBorders>
              <w:top w:val="nil"/>
              <w:bottom w:val="nil"/>
            </w:tcBorders>
          </w:tcPr>
          <w:p>
            <w:pPr>
              <w:pStyle w:val="yTableNAm"/>
            </w:pPr>
            <w:r>
              <w:t>$16.40</w:t>
            </w:r>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$55.10</w:t>
            </w:r>
          </w:p>
        </w:tc>
      </w:tr>
      <w:tr>
        <w:trPr>
          <w:cantSplit/>
        </w:trPr>
        <w:tc>
          <w:tcPr>
            <w:tcW w:w="851" w:type="dxa"/>
            <w:tcBorders>
              <w:bottom w:val="nil"/>
            </w:tcBorders>
          </w:tcPr>
          <w:p>
            <w:pPr>
              <w:pStyle w:val="yTableNAm"/>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to those involved or their representatives (outlining certain accident details)</w:t>
            </w:r>
          </w:p>
        </w:tc>
        <w:tc>
          <w:tcPr>
            <w:tcW w:w="1097" w:type="dxa"/>
            <w:tcBorders>
              <w:top w:val="nil"/>
              <w:bottom w:val="nil"/>
            </w:tcBorders>
            <w:vAlign w:val="bottom"/>
          </w:tcPr>
          <w:p>
            <w:pPr>
              <w:pStyle w:val="yTableNAm"/>
            </w:pPr>
            <w:r>
              <w:t>$45.90</w:t>
            </w:r>
          </w:p>
        </w:tc>
      </w:tr>
      <w:tr>
        <w:trPr>
          <w:cantSplit/>
        </w:trPr>
        <w:tc>
          <w:tcPr>
            <w:tcW w:w="851" w:type="dxa"/>
            <w:tcBorders>
              <w:top w:val="nil"/>
              <w:bottom w:val="single" w:sz="4" w:space="0" w:color="auto"/>
            </w:tcBorders>
          </w:tcPr>
          <w:p>
            <w:pPr>
              <w:pStyle w:val="zyTableNAm"/>
            </w:pPr>
          </w:p>
        </w:tc>
        <w:tc>
          <w:tcPr>
            <w:tcW w:w="3969" w:type="dxa"/>
            <w:tcBorders>
              <w:top w:val="nil"/>
              <w:bottom w:val="single" w:sz="4" w:space="0" w:color="auto"/>
            </w:tcBorders>
          </w:tcPr>
          <w:p>
            <w:pPr>
              <w:pStyle w:val="yTableNAm"/>
              <w:ind w:left="572" w:hanging="572"/>
            </w:pPr>
            <w:r>
              <w:t>(b)</w:t>
            </w:r>
            <w:r>
              <w:tab/>
              <w:t>to the Insurance Commission of Western Australia for third party insurance purposes</w:t>
            </w:r>
          </w:p>
        </w:tc>
        <w:tc>
          <w:tcPr>
            <w:tcW w:w="1097" w:type="dxa"/>
            <w:tcBorders>
              <w:top w:val="nil"/>
              <w:bottom w:val="single" w:sz="4" w:space="0" w:color="auto"/>
            </w:tcBorders>
            <w:vAlign w:val="bottom"/>
          </w:tcPr>
          <w:p>
            <w:pPr>
              <w:pStyle w:val="yTableNAm"/>
            </w:pPr>
            <w:r>
              <w:t>$45.90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vAlign w:val="bottom"/>
          </w:tcPr>
          <w:p>
            <w:pPr>
              <w:pStyle w:val="yTableNAm"/>
            </w:pPr>
            <w:r>
              <w:t>$46.40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a statement of the material facts of a charge, which has already been served (per hour or part of an hour)</w:t>
            </w:r>
          </w:p>
        </w:tc>
        <w:tc>
          <w:tcPr>
            <w:tcW w:w="1097" w:type="dxa"/>
            <w:tcBorders>
              <w:top w:val="nil"/>
              <w:bottom w:val="nil"/>
            </w:tcBorders>
            <w:vAlign w:val="bottom"/>
          </w:tcPr>
          <w:p>
            <w:pPr>
              <w:pStyle w:val="yTableNAm"/>
            </w:pPr>
            <w:r>
              <w:t>$98.00</w:t>
            </w:r>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additional copy of documents already disclosed (per hour or part of an hour)</w:t>
            </w:r>
          </w:p>
        </w:tc>
        <w:tc>
          <w:tcPr>
            <w:tcW w:w="1097" w:type="dxa"/>
            <w:tcBorders>
              <w:top w:val="nil"/>
            </w:tcBorders>
            <w:vAlign w:val="bottom"/>
          </w:tcPr>
          <w:p>
            <w:pPr>
              <w:pStyle w:val="yTableNAm"/>
            </w:pPr>
            <w:r>
              <w:t>$98.00</w:t>
            </w:r>
          </w:p>
        </w:tc>
      </w:tr>
    </w:tbl>
    <w:p>
      <w:pPr>
        <w:pStyle w:val="yFootnotesection"/>
      </w:pPr>
      <w:r>
        <w:tab/>
        <w:t>[Schedule 1 inserted: Gazette 21 Jun 2019 p. 2147</w:t>
      </w:r>
      <w:r>
        <w:noBreakHyphen/>
        <w:t>8.]</w:t>
      </w:r>
    </w:p>
    <w:p>
      <w:pPr>
        <w:pStyle w:val="yScheduleHeading"/>
      </w:pPr>
      <w:bookmarkStart w:id="16" w:name="_Toc43385012"/>
      <w:bookmarkStart w:id="17" w:name="_Toc43385411"/>
      <w:bookmarkStart w:id="18" w:name="_Toc43453092"/>
      <w:r>
        <w:rPr>
          <w:rStyle w:val="CharSchNo"/>
        </w:rPr>
        <w:t>Schedule 2</w:t>
      </w:r>
      <w:r>
        <w:rPr>
          <w:rStyle w:val="CharSDivNo"/>
        </w:rPr>
        <w:t> </w:t>
      </w:r>
      <w:r>
        <w:t>—</w:t>
      </w:r>
      <w:r>
        <w:rPr>
          <w:rStyle w:val="CharSDivText"/>
        </w:rPr>
        <w:t> </w:t>
      </w:r>
      <w:r>
        <w:rPr>
          <w:rStyle w:val="CharSchText"/>
        </w:rPr>
        <w:t>Charges for major events</w:t>
      </w:r>
      <w:bookmarkEnd w:id="16"/>
      <w:bookmarkEnd w:id="17"/>
      <w:bookmarkEnd w:id="18"/>
    </w:p>
    <w:p>
      <w:pPr>
        <w:pStyle w:val="yShoulderClause"/>
      </w:pPr>
      <w:r>
        <w:t>[r. 6 and 8]</w:t>
      </w:r>
    </w:p>
    <w:p>
      <w:pPr>
        <w:pStyle w:val="yFootnoteheading"/>
        <w:spacing w:after="120"/>
      </w:pPr>
      <w:r>
        <w:tab/>
        <w:t>[Heading inserted: Gazette 21 Jun 2019 p. 2148.]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zyTableNAm"/>
            </w:pPr>
          </w:p>
        </w:tc>
        <w:tc>
          <w:tcPr>
            <w:tcW w:w="3827" w:type="dxa"/>
          </w:tcPr>
          <w:p>
            <w:pPr>
              <w:pStyle w:val="yTableNAm"/>
            </w:pPr>
            <w:r>
              <w:rPr>
                <w:b/>
              </w:rPr>
              <w:t>Rate/hour</w:t>
            </w:r>
          </w:p>
        </w:tc>
        <w:tc>
          <w:tcPr>
            <w:tcW w:w="1239" w:type="dxa"/>
          </w:tcPr>
          <w:p>
            <w:pPr>
              <w:pStyle w:val="yTableNAm"/>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$60.00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$107.00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vAlign w:val="bottom"/>
          </w:tcPr>
          <w:p>
            <w:pPr>
              <w:pStyle w:val="yTableNAm"/>
            </w:pPr>
            <w:r>
              <w:t>$2 795.00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vAlign w:val="bottom"/>
          </w:tcPr>
          <w:p>
            <w:pPr>
              <w:pStyle w:val="yTableNAm"/>
            </w:pPr>
            <w:r>
              <w:t>$1 684.00</w:t>
            </w:r>
          </w:p>
        </w:tc>
      </w:tr>
    </w:tbl>
    <w:p>
      <w:pPr>
        <w:pStyle w:val="yFootnotesection"/>
        <w:sectPr>
          <w:headerReference w:type="even" r:id="rId25"/>
          <w:headerReference w:type="default" r:id="rId26"/>
          <w:pgSz w:w="11907" w:h="16840" w:code="9"/>
          <w:pgMar w:top="2381" w:right="2410" w:bottom="3544" w:left="2410" w:header="720" w:footer="3544" w:gutter="0"/>
          <w:cols w:space="720"/>
        </w:sectPr>
      </w:pPr>
      <w:r>
        <w:tab/>
        <w:t>[Schedule 2 inserted: Gazette 21 Jun 2019 p. 2148</w:t>
      </w:r>
      <w:r>
        <w:noBreakHyphen/>
        <w:t>9.]</w:t>
      </w:r>
    </w:p>
    <w:p>
      <w:pPr>
        <w:pStyle w:val="nHeading2"/>
      </w:pPr>
      <w:bookmarkStart w:id="20" w:name="_Toc43385412"/>
      <w:bookmarkStart w:id="21" w:name="_Toc43453093"/>
      <w:bookmarkStart w:id="22" w:name="_Toc43385015"/>
      <w:r>
        <w:t>Notes</w:t>
      </w:r>
      <w:bookmarkEnd w:id="20"/>
      <w:bookmarkEnd w:id="21"/>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3" w:name="_Toc43453094"/>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2019</w:t>
            </w:r>
            <w:r>
              <w:t xml:space="preserve"> Pt. 4</w:t>
            </w:r>
          </w:p>
        </w:tc>
        <w:tc>
          <w:tcPr>
            <w:tcW w:w="1276" w:type="dxa"/>
            <w:tcBorders>
              <w:top w:val="nil"/>
              <w:bottom w:val="single" w:sz="4" w:space="0" w:color="auto"/>
            </w:tcBorders>
          </w:tcPr>
          <w:p>
            <w:pPr>
              <w:pStyle w:val="nTable"/>
              <w:spacing w:after="40"/>
            </w:pPr>
            <w:r>
              <w:t>21 Jun 2019 p. 2141</w:t>
            </w:r>
            <w:r>
              <w:noBreakHyphen/>
              <w:t>50</w:t>
            </w:r>
          </w:p>
        </w:tc>
        <w:tc>
          <w:tcPr>
            <w:tcW w:w="2693" w:type="dxa"/>
            <w:tcBorders>
              <w:top w:val="nil"/>
              <w:bottom w:val="single" w:sz="4" w:space="0" w:color="auto"/>
            </w:tcBorders>
          </w:tcPr>
          <w:p>
            <w:pPr>
              <w:pStyle w:val="nTable"/>
              <w:spacing w:after="40"/>
            </w:pPr>
            <w:r>
              <w:t>1 Jul 2019 (see r. 2(b))</w:t>
            </w:r>
          </w:p>
        </w:tc>
      </w:tr>
    </w:tbl>
    <w:p>
      <w:pPr>
        <w:pStyle w:val="nHeading3"/>
      </w:pPr>
      <w:bookmarkStart w:id="24" w:name="_Toc43453095"/>
      <w:r>
        <w:t>Uncommenced provisions table</w:t>
      </w:r>
      <w:bookmarkEnd w:id="2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2020</w:t>
            </w:r>
            <w:r>
              <w:t xml:space="preserve"> Pt. 4</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6" w:name="_Toc43385415"/>
      <w:bookmarkStart w:id="27" w:name="_Toc43453096"/>
      <w:r>
        <w:rPr>
          <w:sz w:val="28"/>
        </w:rPr>
        <w:t>Defined terms</w:t>
      </w:r>
      <w:bookmarkEnd w:id="22"/>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459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1098-C40F-43A7-8E4E-CB1358EC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1432</Words>
  <Characters>7189</Characters>
  <Application>Microsoft Office Word</Application>
  <DocSecurity>0</DocSecurity>
  <Lines>299</Lines>
  <Paragraphs>210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2018 - 00-f0-00</dc:title>
  <dc:subject/>
  <dc:creator/>
  <cp:keywords/>
  <dc:description/>
  <cp:lastModifiedBy>svcMRProcess</cp:lastModifiedBy>
  <cp:revision>4</cp:revision>
  <cp:lastPrinted>2019-06-25T00:38:00Z</cp:lastPrinted>
  <dcterms:created xsi:type="dcterms:W3CDTF">2020-06-19T06:15:00Z</dcterms:created>
  <dcterms:modified xsi:type="dcterms:W3CDTF">2020-06-19T06:15:00Z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19 Jun 2020</vt:lpwstr>
  </property>
  <property fmtid="{D5CDD505-2E9C-101B-9397-08002B2CF9AE}" pid="4" name="Suffix">
    <vt:lpwstr>00-f0-00</vt:lpwstr>
  </property>
  <property fmtid="{D5CDD505-2E9C-101B-9397-08002B2CF9AE}" pid="5" name="CommencementDate">
    <vt:lpwstr>20200619</vt:lpwstr>
  </property>
</Properties>
</file>