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_Toc43903852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_Toc43903853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_Toc43903854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_Toc43903855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_Toc43903856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_Toc43903857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_Toc43903858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_Toc43903859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_Toc43903860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_Toc43903862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_Toc43903863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_Toc43903864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_Toc43903865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_Toc43903867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_Toc43903868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_Toc43903869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_Toc43903870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_Toc43903873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_Toc43903874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_Toc43903876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_Toc43903878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_Toc43903879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_Toc43903881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_Toc43903882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_Toc43903883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_Toc43903885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_Toc43903886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_Toc43903888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_Toc43903890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_Toc43903891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_Toc43903892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_Toc43903893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_Toc43903895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_Toc43903896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_Toc43903897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_Toc43903899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_Toc43903902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_Toc43903903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_Toc43903904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_Toc43903905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_Toc43903906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_Toc43903907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_Toc43903909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_Toc43903910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_Toc43903911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_Toc43903912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_Toc43903913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_Toc43903915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_Toc43903916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_Toc43903917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_Toc43903918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_Toc43903919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_Toc43903920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_Toc43903922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_Toc43903923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_Toc43903924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_Toc43903925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_Toc43903927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_Toc43903928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_Toc43903929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_Toc43903931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_Toc43903932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_Toc43903933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_Toc43903934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_Toc43903935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_Toc43903936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_Toc43903937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_Toc43903938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_Toc43903939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_Toc43903940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_Toc43903941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_Toc43903942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_Toc43903943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_Toc43903944 \h </w:instrText>
      </w:r>
      <w:r>
        <w:fldChar w:fldCharType="separate"/>
      </w:r>
      <w:r>
        <w:t>57</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_Toc43903945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_Toc43903946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_Toc43903947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_Toc43903948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_Toc43903949 \h </w:instrText>
      </w:r>
      <w:r>
        <w:fldChar w:fldCharType="separate"/>
      </w:r>
      <w:r>
        <w:t>60</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_Toc43903950 \h </w:instrText>
      </w:r>
      <w:r>
        <w:fldChar w:fldCharType="separate"/>
      </w:r>
      <w:r>
        <w:t>60</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_Toc43903951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_Toc43903952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_Toc43903953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_Toc43903954 \h </w:instrText>
      </w:r>
      <w:r>
        <w:fldChar w:fldCharType="separate"/>
      </w:r>
      <w:r>
        <w:t>61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_Toc43903955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_Toc43903956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_Toc43903957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_Toc43903958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_Toc43903959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_Toc43903960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_Toc43903964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_Toc43903966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300635"/>
      <w:bookmarkStart w:id="4" w:name="_Toc43301131"/>
      <w:bookmarkStart w:id="5" w:name="_Toc43903851"/>
      <w:r>
        <w:rPr>
          <w:rStyle w:val="CharPartNo"/>
        </w:rPr>
        <w:t>Part 1</w:t>
      </w:r>
      <w:r>
        <w:t> —</w:t>
      </w:r>
      <w:r>
        <w:rPr>
          <w:rStyle w:val="CharDivText"/>
        </w:rPr>
        <w:t> </w:t>
      </w:r>
      <w:r>
        <w:rPr>
          <w:rStyle w:val="CharPartText"/>
        </w:rPr>
        <w:t>Preliminary</w:t>
      </w:r>
      <w:bookmarkEnd w:id="3"/>
      <w:bookmarkEnd w:id="4"/>
      <w:bookmarkEnd w:id="5"/>
    </w:p>
    <w:p>
      <w:pPr>
        <w:pStyle w:val="Heading5"/>
      </w:pPr>
      <w:bookmarkStart w:id="6" w:name="_Toc43903852"/>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8" w:name="_Toc4390385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9" w:name="_Toc43903854"/>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0" w:name="_Toc43903855"/>
      <w:r>
        <w:rPr>
          <w:rStyle w:val="CharSectno"/>
        </w:rPr>
        <w:t>4</w:t>
      </w:r>
      <w:r>
        <w:t>.</w:t>
      </w:r>
      <w:r>
        <w:tab/>
        <w:t>Definition of occupational health and safety legislation</w:t>
      </w:r>
      <w:bookmarkEnd w:id="10"/>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11" w:name="_Toc43903856"/>
      <w:r>
        <w:rPr>
          <w:rStyle w:val="CharSectno"/>
        </w:rPr>
        <w:t>5</w:t>
      </w:r>
      <w:r>
        <w:t>.</w:t>
      </w:r>
      <w:r>
        <w:tab/>
        <w:t>Declaration of drug</w:t>
      </w:r>
      <w:bookmarkEnd w:id="11"/>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2" w:name="_Toc43903857"/>
      <w:r>
        <w:rPr>
          <w:rStyle w:val="CharSectno"/>
        </w:rPr>
        <w:t>6</w:t>
      </w:r>
      <w:r>
        <w:t>.</w:t>
      </w:r>
      <w:r>
        <w:tab/>
        <w:t>Meaning of prescribed notifiable occurrence</w:t>
      </w:r>
      <w:bookmarkEnd w:id="12"/>
    </w:p>
    <w:p>
      <w:pPr>
        <w:pStyle w:val="Subsection"/>
      </w:pPr>
      <w:r>
        <w:tab/>
      </w:r>
      <w:r>
        <w:tab/>
        <w:t>A prescribed notifiable occurrence is a Category A notifiable occurrence (other than a Category A notifiable occurrence referred to in regulation 57(1)(a)(v)).</w:t>
      </w:r>
    </w:p>
    <w:p>
      <w:pPr>
        <w:pStyle w:val="Heading5"/>
      </w:pPr>
      <w:bookmarkStart w:id="13" w:name="_Toc43903858"/>
      <w:r>
        <w:rPr>
          <w:rStyle w:val="CharSectno"/>
        </w:rPr>
        <w:t>7A</w:t>
      </w:r>
      <w:r>
        <w:t>.</w:t>
      </w:r>
      <w:r>
        <w:tab/>
        <w:t>Numbering</w:t>
      </w:r>
      <w:bookmarkEnd w:id="13"/>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14" w:name="_Toc43903859"/>
      <w:r>
        <w:rPr>
          <w:rStyle w:val="CharSectno"/>
        </w:rPr>
        <w:t>7B</w:t>
      </w:r>
      <w:r>
        <w:t>.</w:t>
      </w:r>
      <w:r>
        <w:tab/>
        <w:t>Notes</w:t>
      </w:r>
      <w:bookmarkEnd w:id="14"/>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15" w:name="_Toc43903860"/>
      <w:r>
        <w:rPr>
          <w:rStyle w:val="CharSectno"/>
        </w:rPr>
        <w:t>7</w:t>
      </w:r>
      <w:r>
        <w:t>.</w:t>
      </w:r>
      <w:r>
        <w:tab/>
        <w:t>Railways to which Law does or does not apply</w:t>
      </w:r>
      <w:bookmarkEnd w:id="15"/>
    </w:p>
    <w:p>
      <w:pPr>
        <w:pStyle w:val="PermNoteHeading"/>
      </w:pPr>
      <w:r>
        <w:tab/>
        <w:t>Note for this regulation:</w:t>
      </w:r>
    </w:p>
    <w:p>
      <w:pPr>
        <w:pStyle w:val="PermNoteText"/>
      </w:pPr>
      <w:r>
        <w:tab/>
      </w:r>
      <w:r>
        <w:tab/>
        <w:t>The SA regulations provide for railways to which the Law does not apply.</w:t>
      </w:r>
    </w:p>
    <w:p>
      <w:pPr>
        <w:pStyle w:val="Heading2"/>
      </w:pPr>
      <w:bookmarkStart w:id="16" w:name="_Toc43300645"/>
      <w:bookmarkStart w:id="17" w:name="_Toc43301141"/>
      <w:bookmarkStart w:id="18" w:name="_Toc43903861"/>
      <w:r>
        <w:rPr>
          <w:rStyle w:val="CharPartNo"/>
        </w:rPr>
        <w:t>Part 2</w:t>
      </w:r>
      <w:r>
        <w:rPr>
          <w:rStyle w:val="CharDivNo"/>
        </w:rPr>
        <w:t> </w:t>
      </w:r>
      <w:r>
        <w:t>—</w:t>
      </w:r>
      <w:r>
        <w:rPr>
          <w:rStyle w:val="CharDivText"/>
        </w:rPr>
        <w:t> </w:t>
      </w:r>
      <w:r>
        <w:rPr>
          <w:rStyle w:val="CharPartText"/>
        </w:rPr>
        <w:t>Accreditation</w:t>
      </w:r>
      <w:bookmarkEnd w:id="16"/>
      <w:bookmarkEnd w:id="17"/>
      <w:bookmarkEnd w:id="18"/>
    </w:p>
    <w:p>
      <w:pPr>
        <w:pStyle w:val="Heading5"/>
      </w:pPr>
      <w:bookmarkStart w:id="19" w:name="_Toc43903862"/>
      <w:r>
        <w:rPr>
          <w:rStyle w:val="CharSectno"/>
        </w:rPr>
        <w:t>8</w:t>
      </w:r>
      <w:r>
        <w:t>.</w:t>
      </w:r>
      <w:r>
        <w:tab/>
        <w:t>Application for accreditation</w:t>
      </w:r>
      <w:bookmarkEnd w:id="19"/>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20" w:name="_Toc43903863"/>
      <w:r>
        <w:rPr>
          <w:rStyle w:val="CharSectno"/>
        </w:rPr>
        <w:t>9</w:t>
      </w:r>
      <w:r>
        <w:t>.</w:t>
      </w:r>
      <w:r>
        <w:tab/>
        <w:t>Prescribed conditions and restrictions</w:t>
      </w:r>
      <w:bookmarkEnd w:id="20"/>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21" w:name="_Toc43903864"/>
      <w:r>
        <w:rPr>
          <w:rStyle w:val="CharSectno"/>
        </w:rPr>
        <w:t>10</w:t>
      </w:r>
      <w:r>
        <w:t>.</w:t>
      </w:r>
      <w:r>
        <w:tab/>
        <w:t>Prescribed details for required notification</w:t>
      </w:r>
      <w:bookmarkEnd w:id="21"/>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22" w:name="_Toc43903865"/>
      <w:r>
        <w:rPr>
          <w:rStyle w:val="CharSectno"/>
        </w:rPr>
        <w:t>11</w:t>
      </w:r>
      <w:r>
        <w:t>.</w:t>
      </w:r>
      <w:r>
        <w:tab/>
        <w:t>Application for variation of accreditation</w:t>
      </w:r>
      <w:bookmarkEnd w:id="22"/>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23" w:name="_Toc43300650"/>
      <w:bookmarkStart w:id="24" w:name="_Toc43301146"/>
      <w:bookmarkStart w:id="25" w:name="_Toc43903866"/>
      <w:r>
        <w:rPr>
          <w:rStyle w:val="CharPartNo"/>
        </w:rPr>
        <w:t>Part 3</w:t>
      </w:r>
      <w:r>
        <w:rPr>
          <w:rStyle w:val="CharDivNo"/>
        </w:rPr>
        <w:t> </w:t>
      </w:r>
      <w:r>
        <w:t>—</w:t>
      </w:r>
      <w:r>
        <w:rPr>
          <w:rStyle w:val="CharDivText"/>
        </w:rPr>
        <w:t> </w:t>
      </w:r>
      <w:r>
        <w:rPr>
          <w:rStyle w:val="CharPartText"/>
        </w:rPr>
        <w:t>Registration of rail infrastructure managers of private sidings</w:t>
      </w:r>
      <w:bookmarkEnd w:id="23"/>
      <w:bookmarkEnd w:id="24"/>
      <w:bookmarkEnd w:id="25"/>
    </w:p>
    <w:p>
      <w:pPr>
        <w:pStyle w:val="Heading5"/>
      </w:pPr>
      <w:bookmarkStart w:id="26" w:name="_Toc43903867"/>
      <w:r>
        <w:rPr>
          <w:rStyle w:val="CharSectno"/>
        </w:rPr>
        <w:t>12</w:t>
      </w:r>
      <w:r>
        <w:t>.</w:t>
      </w:r>
      <w:r>
        <w:tab/>
        <w:t>Application for registration</w:t>
      </w:r>
      <w:bookmarkEnd w:id="26"/>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27" w:name="_Toc43903868"/>
      <w:r>
        <w:rPr>
          <w:rStyle w:val="CharSectno"/>
        </w:rPr>
        <w:t>13</w:t>
      </w:r>
      <w:r>
        <w:t>.</w:t>
      </w:r>
      <w:r>
        <w:tab/>
        <w:t>Prescribed conditions and restrictions</w:t>
      </w:r>
      <w:bookmarkEnd w:id="27"/>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28" w:name="_Toc43903869"/>
      <w:r>
        <w:rPr>
          <w:rStyle w:val="CharSectno"/>
        </w:rPr>
        <w:t>14</w:t>
      </w:r>
      <w:r>
        <w:t>.</w:t>
      </w:r>
      <w:r>
        <w:tab/>
        <w:t>Prescribed details for required notification</w:t>
      </w:r>
      <w:bookmarkEnd w:id="28"/>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29" w:name="_Toc43903870"/>
      <w:r>
        <w:rPr>
          <w:rStyle w:val="CharSectno"/>
        </w:rPr>
        <w:t>15</w:t>
      </w:r>
      <w:r>
        <w:t>.</w:t>
      </w:r>
      <w:r>
        <w:tab/>
        <w:t>Application for variation of registration</w:t>
      </w:r>
      <w:bookmarkEnd w:id="29"/>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0" w:name="_Toc43300655"/>
      <w:bookmarkStart w:id="31" w:name="_Toc43301151"/>
      <w:bookmarkStart w:id="32" w:name="_Toc43903871"/>
      <w:r>
        <w:rPr>
          <w:rStyle w:val="CharPartNo"/>
        </w:rPr>
        <w:t>Part 4</w:t>
      </w:r>
      <w:r>
        <w:t> — </w:t>
      </w:r>
      <w:r>
        <w:rPr>
          <w:rStyle w:val="CharPartText"/>
        </w:rPr>
        <w:t>Safety management</w:t>
      </w:r>
      <w:bookmarkEnd w:id="30"/>
      <w:bookmarkEnd w:id="31"/>
      <w:bookmarkEnd w:id="32"/>
    </w:p>
    <w:p>
      <w:pPr>
        <w:pStyle w:val="Heading3"/>
      </w:pPr>
      <w:bookmarkStart w:id="33" w:name="_Toc43300656"/>
      <w:bookmarkStart w:id="34" w:name="_Toc43301152"/>
      <w:bookmarkStart w:id="35" w:name="_Toc43903872"/>
      <w:r>
        <w:rPr>
          <w:rStyle w:val="CharDivNo"/>
        </w:rPr>
        <w:t>Division 1</w:t>
      </w:r>
      <w:r>
        <w:t> — </w:t>
      </w:r>
      <w:r>
        <w:rPr>
          <w:rStyle w:val="CharDivText"/>
        </w:rPr>
        <w:t>Safety management systems</w:t>
      </w:r>
      <w:bookmarkEnd w:id="33"/>
      <w:bookmarkEnd w:id="34"/>
      <w:bookmarkEnd w:id="35"/>
    </w:p>
    <w:p>
      <w:pPr>
        <w:pStyle w:val="Heading5"/>
      </w:pPr>
      <w:bookmarkStart w:id="36" w:name="_Toc43903873"/>
      <w:r>
        <w:rPr>
          <w:rStyle w:val="CharSectno"/>
        </w:rPr>
        <w:t>16</w:t>
      </w:r>
      <w:r>
        <w:t>.</w:t>
      </w:r>
      <w:r>
        <w:tab/>
        <w:t>Prescribed requirements for safety management system</w:t>
      </w:r>
      <w:bookmarkEnd w:id="36"/>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37" w:name="_Toc43903874"/>
      <w:r>
        <w:rPr>
          <w:rStyle w:val="CharSectno"/>
        </w:rPr>
        <w:t>17</w:t>
      </w:r>
      <w:r>
        <w:t>.</w:t>
      </w:r>
      <w:r>
        <w:tab/>
        <w:t>Review of safety management system</w:t>
      </w:r>
      <w:bookmarkEnd w:id="3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38" w:name="_Toc43300659"/>
      <w:bookmarkStart w:id="39" w:name="_Toc43301155"/>
      <w:bookmarkStart w:id="40" w:name="_Toc43903875"/>
      <w:r>
        <w:rPr>
          <w:rStyle w:val="CharDivNo"/>
        </w:rPr>
        <w:t>Division 2</w:t>
      </w:r>
      <w:r>
        <w:t> — </w:t>
      </w:r>
      <w:r>
        <w:rPr>
          <w:rStyle w:val="CharDivText"/>
        </w:rPr>
        <w:t>Security management plans</w:t>
      </w:r>
      <w:bookmarkEnd w:id="38"/>
      <w:bookmarkEnd w:id="39"/>
      <w:bookmarkEnd w:id="40"/>
    </w:p>
    <w:p>
      <w:pPr>
        <w:pStyle w:val="Heading5"/>
      </w:pPr>
      <w:bookmarkStart w:id="41" w:name="_Toc43903876"/>
      <w:r>
        <w:rPr>
          <w:rStyle w:val="CharSectno"/>
        </w:rPr>
        <w:t>18</w:t>
      </w:r>
      <w:r>
        <w:t>.</w:t>
      </w:r>
      <w:r>
        <w:tab/>
        <w:t>Security management plan</w:t>
      </w:r>
      <w:bookmarkEnd w:id="41"/>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42" w:name="_Toc43300661"/>
      <w:bookmarkStart w:id="43" w:name="_Toc43301157"/>
      <w:bookmarkStart w:id="44" w:name="_Toc43903877"/>
      <w:r>
        <w:rPr>
          <w:rStyle w:val="CharDivNo"/>
        </w:rPr>
        <w:t>Division 3</w:t>
      </w:r>
      <w:r>
        <w:t> — </w:t>
      </w:r>
      <w:r>
        <w:rPr>
          <w:rStyle w:val="CharDivText"/>
        </w:rPr>
        <w:t>Emergency management plans</w:t>
      </w:r>
      <w:bookmarkEnd w:id="42"/>
      <w:bookmarkEnd w:id="43"/>
      <w:bookmarkEnd w:id="44"/>
    </w:p>
    <w:p>
      <w:pPr>
        <w:pStyle w:val="Heading5"/>
      </w:pPr>
      <w:bookmarkStart w:id="45" w:name="_Toc43903878"/>
      <w:r>
        <w:rPr>
          <w:rStyle w:val="CharSectno"/>
        </w:rPr>
        <w:t>19</w:t>
      </w:r>
      <w:r>
        <w:t>.</w:t>
      </w:r>
      <w:r>
        <w:tab/>
        <w:t>Emergency management plan</w:t>
      </w:r>
      <w:bookmarkEnd w:id="45"/>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46" w:name="_Toc43903879"/>
      <w:r>
        <w:rPr>
          <w:rStyle w:val="CharSectno"/>
        </w:rPr>
        <w:t>20</w:t>
      </w:r>
      <w:r>
        <w:t>.</w:t>
      </w:r>
      <w:r>
        <w:tab/>
        <w:t>Keeping, maintaining and testing emergency management plan</w:t>
      </w:r>
      <w:bookmarkEnd w:id="46"/>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47" w:name="_Toc43300664"/>
      <w:bookmarkStart w:id="48" w:name="_Toc43301160"/>
      <w:bookmarkStart w:id="49" w:name="_Toc43903880"/>
      <w:r>
        <w:rPr>
          <w:rStyle w:val="CharDivNo"/>
        </w:rPr>
        <w:t>Division 4</w:t>
      </w:r>
      <w:r>
        <w:t> — </w:t>
      </w:r>
      <w:r>
        <w:rPr>
          <w:rStyle w:val="CharDivText"/>
        </w:rPr>
        <w:t>Network rules</w:t>
      </w:r>
      <w:bookmarkEnd w:id="47"/>
      <w:bookmarkEnd w:id="48"/>
      <w:bookmarkEnd w:id="49"/>
    </w:p>
    <w:p>
      <w:pPr>
        <w:pStyle w:val="Heading5"/>
      </w:pPr>
      <w:bookmarkStart w:id="50" w:name="_Toc43903881"/>
      <w:r>
        <w:rPr>
          <w:rStyle w:val="CharSectno"/>
        </w:rPr>
        <w:t>21</w:t>
      </w:r>
      <w:r>
        <w:t>.</w:t>
      </w:r>
      <w:r>
        <w:tab/>
        <w:t>Interpretation</w:t>
      </w:r>
      <w:bookmarkEnd w:id="50"/>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51" w:name="_Toc43903882"/>
      <w:r>
        <w:rPr>
          <w:rStyle w:val="CharSectno"/>
        </w:rPr>
        <w:t>22</w:t>
      </w:r>
      <w:r>
        <w:t>.</w:t>
      </w:r>
      <w:r>
        <w:tab/>
        <w:t>Establishing and amending network rules</w:t>
      </w:r>
      <w:bookmarkEnd w:id="51"/>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52" w:name="_Toc43903883"/>
      <w:r>
        <w:rPr>
          <w:rStyle w:val="CharSectno"/>
        </w:rPr>
        <w:t>23</w:t>
      </w:r>
      <w:r>
        <w:t>.</w:t>
      </w:r>
      <w:r>
        <w:tab/>
        <w:t>Emergency amendments to network rules</w:t>
      </w:r>
      <w:bookmarkEnd w:id="52"/>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53" w:name="_Toc43300668"/>
      <w:bookmarkStart w:id="54" w:name="_Toc43301164"/>
      <w:bookmarkStart w:id="55" w:name="_Toc43903884"/>
      <w:r>
        <w:rPr>
          <w:rStyle w:val="CharDivNo"/>
        </w:rPr>
        <w:t>Division 5</w:t>
      </w:r>
      <w:r>
        <w:t> — </w:t>
      </w:r>
      <w:r>
        <w:rPr>
          <w:rStyle w:val="CharDivText"/>
        </w:rPr>
        <w:t>Interface agreements</w:t>
      </w:r>
      <w:bookmarkEnd w:id="53"/>
      <w:bookmarkEnd w:id="54"/>
      <w:bookmarkEnd w:id="55"/>
    </w:p>
    <w:p>
      <w:pPr>
        <w:pStyle w:val="Heading5"/>
      </w:pPr>
      <w:bookmarkStart w:id="56" w:name="_Toc43903885"/>
      <w:r>
        <w:rPr>
          <w:rStyle w:val="CharSectno"/>
        </w:rPr>
        <w:t>24</w:t>
      </w:r>
      <w:r>
        <w:t>.</w:t>
      </w:r>
      <w:r>
        <w:tab/>
        <w:t>Interface coordination — rail infrastructure and public roads</w:t>
      </w:r>
      <w:bookmarkEnd w:id="56"/>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57" w:name="_Toc43903886"/>
      <w:r>
        <w:rPr>
          <w:rStyle w:val="CharSectno"/>
        </w:rPr>
        <w:t>25</w:t>
      </w:r>
      <w:r>
        <w:t>.</w:t>
      </w:r>
      <w:r>
        <w:tab/>
        <w:t>Interface coordination — rail infrastructure and private roads</w:t>
      </w:r>
      <w:bookmarkEnd w:id="57"/>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pPr>
        <w:pStyle w:val="Footnotesection"/>
      </w:pPr>
      <w:r>
        <w:tab/>
        <w:t>[Regulation 25 amended: SL 2020/75 r. 4.]</w:t>
      </w:r>
    </w:p>
    <w:p>
      <w:pPr>
        <w:pStyle w:val="Heading3"/>
      </w:pPr>
      <w:bookmarkStart w:id="58" w:name="_Toc43300671"/>
      <w:bookmarkStart w:id="59" w:name="_Toc43301167"/>
      <w:bookmarkStart w:id="60" w:name="_Toc43903887"/>
      <w:r>
        <w:rPr>
          <w:rStyle w:val="CharDivNo"/>
        </w:rPr>
        <w:t>Division 6</w:t>
      </w:r>
      <w:r>
        <w:t> — </w:t>
      </w:r>
      <w:r>
        <w:rPr>
          <w:rStyle w:val="CharDivText"/>
        </w:rPr>
        <w:t>Disclosure of train safety recordings</w:t>
      </w:r>
      <w:bookmarkEnd w:id="58"/>
      <w:bookmarkEnd w:id="59"/>
      <w:bookmarkEnd w:id="60"/>
    </w:p>
    <w:p>
      <w:pPr>
        <w:pStyle w:val="Heading5"/>
      </w:pPr>
      <w:bookmarkStart w:id="61" w:name="_Toc43903888"/>
      <w:r>
        <w:rPr>
          <w:rStyle w:val="CharSectno"/>
        </w:rPr>
        <w:t>26</w:t>
      </w:r>
      <w:r>
        <w:t>.</w:t>
      </w:r>
      <w:r>
        <w:tab/>
        <w:t>Disclosure of train safety recordings</w:t>
      </w:r>
      <w:bookmarkEnd w:id="6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62" w:name="_Toc43300673"/>
      <w:bookmarkStart w:id="63" w:name="_Toc43301169"/>
      <w:bookmarkStart w:id="64" w:name="_Toc43903889"/>
      <w:r>
        <w:rPr>
          <w:rStyle w:val="CharPartNo"/>
        </w:rPr>
        <w:t>Part 5</w:t>
      </w:r>
      <w:r>
        <w:rPr>
          <w:rStyle w:val="CharDivNo"/>
        </w:rPr>
        <w:t> </w:t>
      </w:r>
      <w:r>
        <w:t>—</w:t>
      </w:r>
      <w:r>
        <w:rPr>
          <w:rStyle w:val="CharDivText"/>
        </w:rPr>
        <w:t> </w:t>
      </w:r>
      <w:r>
        <w:rPr>
          <w:rStyle w:val="CharPartText"/>
        </w:rPr>
        <w:t>Rail safety workers</w:t>
      </w:r>
      <w:bookmarkEnd w:id="62"/>
      <w:bookmarkEnd w:id="63"/>
      <w:bookmarkEnd w:id="64"/>
    </w:p>
    <w:p>
      <w:pPr>
        <w:pStyle w:val="Heading5"/>
      </w:pPr>
      <w:bookmarkStart w:id="65" w:name="_Toc43903890"/>
      <w:r>
        <w:rPr>
          <w:rStyle w:val="CharSectno"/>
        </w:rPr>
        <w:t>27</w:t>
      </w:r>
      <w:r>
        <w:t>.</w:t>
      </w:r>
      <w:r>
        <w:tab/>
        <w:t>Health and fitness management program</w:t>
      </w:r>
      <w:bookmarkEnd w:id="65"/>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66" w:name="_Toc43903891"/>
      <w:r>
        <w:rPr>
          <w:rStyle w:val="CharSectno"/>
        </w:rPr>
        <w:t>28</w:t>
      </w:r>
      <w:r>
        <w:t>.</w:t>
      </w:r>
      <w:r>
        <w:tab/>
        <w:t>Drug and alcohol management program</w:t>
      </w:r>
      <w:bookmarkEnd w:id="66"/>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67" w:name="_Toc43903892"/>
      <w:r>
        <w:rPr>
          <w:rStyle w:val="CharSectno"/>
        </w:rPr>
        <w:t>29</w:t>
      </w:r>
      <w:r>
        <w:t>.</w:t>
      </w:r>
      <w:r>
        <w:tab/>
        <w:t>Fatigue risk management program</w:t>
      </w:r>
      <w:bookmarkEnd w:id="67"/>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68" w:name="_Toc43903893"/>
      <w:r>
        <w:rPr>
          <w:rStyle w:val="CharSectno"/>
        </w:rPr>
        <w:t>30</w:t>
      </w:r>
      <w:r>
        <w:t>.</w:t>
      </w:r>
      <w:r>
        <w:tab/>
        <w:t>Records of competence</w:t>
      </w:r>
      <w:bookmarkEnd w:id="68"/>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69" w:name="_Toc43300678"/>
      <w:bookmarkStart w:id="70" w:name="_Toc43301174"/>
      <w:bookmarkStart w:id="71" w:name="_Toc43903894"/>
      <w:r>
        <w:rPr>
          <w:rStyle w:val="CharPartNo"/>
        </w:rPr>
        <w:t>Part 6</w:t>
      </w:r>
      <w:r>
        <w:rPr>
          <w:rStyle w:val="CharDivNo"/>
        </w:rPr>
        <w:t> </w:t>
      </w:r>
      <w:r>
        <w:t>—</w:t>
      </w:r>
      <w:r>
        <w:rPr>
          <w:rStyle w:val="CharDivText"/>
        </w:rPr>
        <w:t> </w:t>
      </w:r>
      <w:r>
        <w:rPr>
          <w:rStyle w:val="CharPartText"/>
        </w:rPr>
        <w:t>Exemptions granted by Regulator</w:t>
      </w:r>
      <w:bookmarkEnd w:id="69"/>
      <w:bookmarkEnd w:id="70"/>
      <w:bookmarkEnd w:id="71"/>
    </w:p>
    <w:p>
      <w:pPr>
        <w:pStyle w:val="Heading5"/>
      </w:pPr>
      <w:bookmarkStart w:id="72" w:name="_Toc43903895"/>
      <w:r>
        <w:rPr>
          <w:rStyle w:val="CharSectno"/>
        </w:rPr>
        <w:t>31</w:t>
      </w:r>
      <w:r>
        <w:t>.</w:t>
      </w:r>
      <w:r>
        <w:tab/>
        <w:t>Application for exemption</w:t>
      </w:r>
      <w:bookmarkEnd w:id="72"/>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73" w:name="_Toc43903896"/>
      <w:r>
        <w:rPr>
          <w:rStyle w:val="CharSectno"/>
        </w:rPr>
        <w:t>32</w:t>
      </w:r>
      <w:r>
        <w:t>.</w:t>
      </w:r>
      <w:r>
        <w:tab/>
        <w:t>Prescribed details for required notification</w:t>
      </w:r>
      <w:bookmarkEnd w:id="73"/>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74" w:name="_Toc43903897"/>
      <w:r>
        <w:rPr>
          <w:rStyle w:val="CharSectno"/>
        </w:rPr>
        <w:t>33</w:t>
      </w:r>
      <w:r>
        <w:t>.</w:t>
      </w:r>
      <w:r>
        <w:tab/>
        <w:t>Application for variation of an exemption</w:t>
      </w:r>
      <w:bookmarkEnd w:id="74"/>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75" w:name="_Toc43300682"/>
      <w:bookmarkStart w:id="76" w:name="_Toc43301178"/>
      <w:bookmarkStart w:id="77" w:name="_Toc43903898"/>
      <w:r>
        <w:rPr>
          <w:rStyle w:val="CharPartNo"/>
        </w:rPr>
        <w:t>Part 7</w:t>
      </w:r>
      <w:r>
        <w:rPr>
          <w:rStyle w:val="CharDivNo"/>
        </w:rPr>
        <w:t> </w:t>
      </w:r>
      <w:r>
        <w:t>—</w:t>
      </w:r>
      <w:r>
        <w:rPr>
          <w:rStyle w:val="CharDivText"/>
        </w:rPr>
        <w:t> </w:t>
      </w:r>
      <w:r>
        <w:rPr>
          <w:rStyle w:val="CharPartText"/>
        </w:rPr>
        <w:t>Infringement penalty provisions</w:t>
      </w:r>
      <w:bookmarkEnd w:id="75"/>
      <w:bookmarkEnd w:id="76"/>
      <w:bookmarkEnd w:id="77"/>
    </w:p>
    <w:p>
      <w:pPr>
        <w:pStyle w:val="Heading5"/>
      </w:pPr>
      <w:bookmarkStart w:id="78" w:name="_Toc43903899"/>
      <w:r>
        <w:rPr>
          <w:rStyle w:val="CharSectno"/>
        </w:rPr>
        <w:t>34</w:t>
      </w:r>
      <w:r>
        <w:t>.</w:t>
      </w:r>
      <w:r>
        <w:tab/>
        <w:t>Infringement penalty provisions</w:t>
      </w:r>
      <w:bookmarkEnd w:id="78"/>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79" w:name="_Toc43300684"/>
      <w:bookmarkStart w:id="80" w:name="_Toc43301180"/>
      <w:bookmarkStart w:id="81" w:name="_Toc43903900"/>
      <w:r>
        <w:rPr>
          <w:rStyle w:val="CharPartNo"/>
        </w:rPr>
        <w:t>Part 8</w:t>
      </w:r>
      <w:r>
        <w:t> — </w:t>
      </w:r>
      <w:r>
        <w:rPr>
          <w:rStyle w:val="CharPartText"/>
        </w:rPr>
        <w:t>Application of certain South Australian Acts to the Law</w:t>
      </w:r>
      <w:bookmarkEnd w:id="79"/>
      <w:bookmarkEnd w:id="80"/>
      <w:bookmarkEnd w:id="81"/>
    </w:p>
    <w:p>
      <w:pPr>
        <w:pStyle w:val="Heading3"/>
      </w:pPr>
      <w:bookmarkStart w:id="82" w:name="_Toc43300685"/>
      <w:bookmarkStart w:id="83" w:name="_Toc43301181"/>
      <w:bookmarkStart w:id="84" w:name="_Toc43903901"/>
      <w:r>
        <w:rPr>
          <w:rStyle w:val="CharDivNo"/>
        </w:rPr>
        <w:t>Division 1</w:t>
      </w:r>
      <w:r>
        <w:t> — </w:t>
      </w:r>
      <w:r>
        <w:rPr>
          <w:rStyle w:val="CharDivText"/>
        </w:rPr>
        <w:t>Application of South Australian FOI Act</w:t>
      </w:r>
      <w:bookmarkEnd w:id="82"/>
      <w:bookmarkEnd w:id="83"/>
      <w:bookmarkEnd w:id="84"/>
    </w:p>
    <w:p>
      <w:pPr>
        <w:pStyle w:val="Heading5"/>
      </w:pPr>
      <w:bookmarkStart w:id="85" w:name="_Toc43903902"/>
      <w:r>
        <w:rPr>
          <w:rStyle w:val="CharSectno"/>
        </w:rPr>
        <w:t>35</w:t>
      </w:r>
      <w:r>
        <w:t>.</w:t>
      </w:r>
      <w:r>
        <w:tab/>
        <w:t>Interpretation</w:t>
      </w:r>
      <w:bookmarkEnd w:id="85"/>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86" w:name="_Toc43903903"/>
      <w:r>
        <w:rPr>
          <w:rStyle w:val="CharSectno"/>
        </w:rPr>
        <w:t>36</w:t>
      </w:r>
      <w:r>
        <w:t>.</w:t>
      </w:r>
      <w:r>
        <w:tab/>
        <w:t>Application of FOI Act</w:t>
      </w:r>
      <w:bookmarkEnd w:id="86"/>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87" w:name="_Toc43903904"/>
      <w:r>
        <w:rPr>
          <w:rStyle w:val="CharSectno"/>
        </w:rPr>
        <w:t>37</w:t>
      </w:r>
      <w:r>
        <w:t>.</w:t>
      </w:r>
      <w:r>
        <w:tab/>
        <w:t>Modifications of FOI Act for purposes of national rail safety scheme</w:t>
      </w:r>
      <w:bookmarkEnd w:id="87"/>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88" w:name="_Toc43903905"/>
      <w:r>
        <w:rPr>
          <w:rStyle w:val="CharSectno"/>
        </w:rPr>
        <w:t>38</w:t>
      </w:r>
      <w:r>
        <w:t>.</w:t>
      </w:r>
      <w:r>
        <w:tab/>
        <w:t>Conferral of jurisdiction on District Court of South Australia</w:t>
      </w:r>
      <w:bookmarkEnd w:id="88"/>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89" w:name="_Toc43903906"/>
      <w:r>
        <w:rPr>
          <w:rStyle w:val="CharSectno"/>
        </w:rPr>
        <w:t>39</w:t>
      </w:r>
      <w:r>
        <w:t>.</w:t>
      </w:r>
      <w:r>
        <w:tab/>
        <w:t>Modification of Freedom of Information (Fees and Charges) Regulations</w:t>
      </w:r>
      <w:bookmarkEnd w:id="89"/>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90" w:name="_Toc43903907"/>
      <w:r>
        <w:rPr>
          <w:rStyle w:val="CharSectno"/>
        </w:rPr>
        <w:t>40</w:t>
      </w:r>
      <w:r>
        <w:t>.</w:t>
      </w:r>
      <w:r>
        <w:tab/>
        <w:t>Disapplication of other regulations</w:t>
      </w:r>
      <w:bookmarkEnd w:id="90"/>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91" w:name="_Toc43300692"/>
      <w:bookmarkStart w:id="92" w:name="_Toc43301188"/>
      <w:bookmarkStart w:id="93" w:name="_Toc43903908"/>
      <w:r>
        <w:rPr>
          <w:rStyle w:val="CharDivNo"/>
        </w:rPr>
        <w:t>Division 2</w:t>
      </w:r>
      <w:r>
        <w:t> — </w:t>
      </w:r>
      <w:r>
        <w:rPr>
          <w:rStyle w:val="CharDivText"/>
        </w:rPr>
        <w:t>Application of South Australian Ombudsman Act</w:t>
      </w:r>
      <w:bookmarkEnd w:id="91"/>
      <w:bookmarkEnd w:id="92"/>
      <w:bookmarkEnd w:id="93"/>
    </w:p>
    <w:p>
      <w:pPr>
        <w:pStyle w:val="Heading5"/>
      </w:pPr>
      <w:bookmarkStart w:id="94" w:name="_Toc43903909"/>
      <w:r>
        <w:rPr>
          <w:rStyle w:val="CharSectno"/>
        </w:rPr>
        <w:t>41</w:t>
      </w:r>
      <w:r>
        <w:t>.</w:t>
      </w:r>
      <w:r>
        <w:tab/>
        <w:t>Interpretation</w:t>
      </w:r>
      <w:bookmarkEnd w:id="94"/>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95" w:name="_Toc43903910"/>
      <w:r>
        <w:rPr>
          <w:rStyle w:val="CharSectno"/>
        </w:rPr>
        <w:t>42</w:t>
      </w:r>
      <w:r>
        <w:t>.</w:t>
      </w:r>
      <w:r>
        <w:tab/>
        <w:t>Application of Ombudsman Act</w:t>
      </w:r>
      <w:bookmarkEnd w:id="95"/>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96" w:name="_Toc43903911"/>
      <w:r>
        <w:rPr>
          <w:rStyle w:val="CharSectno"/>
        </w:rPr>
        <w:t>43</w:t>
      </w:r>
      <w:r>
        <w:t>.</w:t>
      </w:r>
      <w:r>
        <w:tab/>
        <w:t>Modifications of Ombudsman Act for purposes of national rail safety scheme</w:t>
      </w:r>
      <w:bookmarkEnd w:id="96"/>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97" w:name="_Toc43903912"/>
      <w:r>
        <w:rPr>
          <w:rStyle w:val="CharSectno"/>
        </w:rPr>
        <w:t>44</w:t>
      </w:r>
      <w:r>
        <w:t>.</w:t>
      </w:r>
      <w:r>
        <w:tab/>
        <w:t>Conferral of function on Ombudsman of South Australia</w:t>
      </w:r>
      <w:bookmarkEnd w:id="97"/>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98" w:name="_Toc43903913"/>
      <w:r>
        <w:rPr>
          <w:rStyle w:val="CharSectno"/>
        </w:rPr>
        <w:t>45</w:t>
      </w:r>
      <w:r>
        <w:t>.</w:t>
      </w:r>
      <w:r>
        <w:tab/>
        <w:t>Conferral of jurisdiction on Supreme Court of South Australia</w:t>
      </w:r>
      <w:bookmarkEnd w:id="98"/>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99" w:name="_Toc43300698"/>
      <w:bookmarkStart w:id="100" w:name="_Toc43301194"/>
      <w:bookmarkStart w:id="101" w:name="_Toc43903914"/>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99"/>
      <w:bookmarkEnd w:id="100"/>
      <w:bookmarkEnd w:id="101"/>
    </w:p>
    <w:p>
      <w:pPr>
        <w:pStyle w:val="Heading5"/>
      </w:pPr>
      <w:bookmarkStart w:id="102" w:name="_Toc43903915"/>
      <w:r>
        <w:rPr>
          <w:rStyle w:val="CharSectno"/>
        </w:rPr>
        <w:t>46</w:t>
      </w:r>
      <w:r>
        <w:t>.</w:t>
      </w:r>
      <w:r>
        <w:tab/>
        <w:t>Interpretation</w:t>
      </w:r>
      <w:bookmarkEnd w:id="102"/>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103" w:name="_Toc43903916"/>
      <w:r>
        <w:rPr>
          <w:rStyle w:val="CharSectno"/>
        </w:rPr>
        <w:t>47</w:t>
      </w:r>
      <w:r>
        <w:t>.</w:t>
      </w:r>
      <w:r>
        <w:tab/>
        <w:t>Application of Public Finance and Audit Act</w:t>
      </w:r>
      <w:bookmarkEnd w:id="103"/>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104" w:name="_Toc43903917"/>
      <w:r>
        <w:rPr>
          <w:rStyle w:val="CharSectno"/>
        </w:rPr>
        <w:t>48</w:t>
      </w:r>
      <w:r>
        <w:t>.</w:t>
      </w:r>
      <w:r>
        <w:tab/>
        <w:t>Modifications of PFA Act for purposes of national rail safety scheme</w:t>
      </w:r>
      <w:bookmarkEnd w:id="104"/>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105" w:name="_Toc43903918"/>
      <w:r>
        <w:rPr>
          <w:rStyle w:val="CharSectno"/>
        </w:rPr>
        <w:t>49</w:t>
      </w:r>
      <w:r>
        <w:t>.</w:t>
      </w:r>
      <w:r>
        <w:tab/>
        <w:t>Conferral of function on Auditor General of South Australia</w:t>
      </w:r>
      <w:bookmarkEnd w:id="105"/>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106" w:name="_Toc43903919"/>
      <w:r>
        <w:rPr>
          <w:rStyle w:val="CharSectno"/>
        </w:rPr>
        <w:t>50</w:t>
      </w:r>
      <w:r>
        <w:t>.</w:t>
      </w:r>
      <w:r>
        <w:tab/>
        <w:t>Conferral of jurisdiction on Supreme Court of South Australia</w:t>
      </w:r>
      <w:bookmarkEnd w:id="106"/>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107" w:name="_Toc43903920"/>
      <w:r>
        <w:rPr>
          <w:rStyle w:val="CharSectno"/>
        </w:rPr>
        <w:t>51</w:t>
      </w:r>
      <w:r>
        <w:t>.</w:t>
      </w:r>
      <w:r>
        <w:tab/>
        <w:t>Disapplication of regulations</w:t>
      </w:r>
      <w:bookmarkEnd w:id="107"/>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108" w:name="_Toc43300705"/>
      <w:bookmarkStart w:id="109" w:name="_Toc43301201"/>
      <w:bookmarkStart w:id="110" w:name="_Toc43903921"/>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108"/>
      <w:bookmarkEnd w:id="109"/>
      <w:bookmarkEnd w:id="110"/>
    </w:p>
    <w:p>
      <w:pPr>
        <w:pStyle w:val="Heading5"/>
      </w:pPr>
      <w:bookmarkStart w:id="111" w:name="_Toc43903922"/>
      <w:r>
        <w:rPr>
          <w:rStyle w:val="CharSectno"/>
        </w:rPr>
        <w:t>52</w:t>
      </w:r>
      <w:r>
        <w:t>.</w:t>
      </w:r>
      <w:r>
        <w:tab/>
        <w:t>Interpretation</w:t>
      </w:r>
      <w:bookmarkEnd w:id="111"/>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112" w:name="_Toc43903923"/>
      <w:r>
        <w:rPr>
          <w:rStyle w:val="CharSectno"/>
        </w:rPr>
        <w:t>53</w:t>
      </w:r>
      <w:r>
        <w:t>.</w:t>
      </w:r>
      <w:r>
        <w:tab/>
        <w:t>Application of State Records Act</w:t>
      </w:r>
      <w:bookmarkEnd w:id="112"/>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113" w:name="_Toc43903924"/>
      <w:r>
        <w:rPr>
          <w:rStyle w:val="CharSectno"/>
        </w:rPr>
        <w:t>54</w:t>
      </w:r>
      <w:r>
        <w:t>.</w:t>
      </w:r>
      <w:r>
        <w:tab/>
        <w:t>Modifications of State Records Act for purposes of national rail safety scheme</w:t>
      </w:r>
      <w:bookmarkEnd w:id="113"/>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114" w:name="_Toc43903925"/>
      <w:r>
        <w:rPr>
          <w:rStyle w:val="CharSectno"/>
        </w:rPr>
        <w:t>55</w:t>
      </w:r>
      <w:r>
        <w:t>.</w:t>
      </w:r>
      <w:r>
        <w:tab/>
        <w:t>Conferral of functions on South Australian Manager and Council</w:t>
      </w:r>
      <w:bookmarkEnd w:id="114"/>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115" w:name="_Toc43300710"/>
      <w:bookmarkStart w:id="116" w:name="_Toc43301206"/>
      <w:bookmarkStart w:id="117" w:name="_Toc43903926"/>
      <w:r>
        <w:rPr>
          <w:rStyle w:val="CharPartNo"/>
        </w:rPr>
        <w:t>Part 9</w:t>
      </w:r>
      <w:r>
        <w:rPr>
          <w:rStyle w:val="CharDivNo"/>
        </w:rPr>
        <w:t> </w:t>
      </w:r>
      <w:r>
        <w:t>—</w:t>
      </w:r>
      <w:r>
        <w:rPr>
          <w:rStyle w:val="CharDivText"/>
        </w:rPr>
        <w:t> </w:t>
      </w:r>
      <w:r>
        <w:rPr>
          <w:rStyle w:val="CharPartText"/>
        </w:rPr>
        <w:t>Miscellaneous</w:t>
      </w:r>
      <w:bookmarkEnd w:id="115"/>
      <w:bookmarkEnd w:id="116"/>
      <w:bookmarkEnd w:id="117"/>
    </w:p>
    <w:p>
      <w:pPr>
        <w:pStyle w:val="Heading5"/>
      </w:pPr>
      <w:bookmarkStart w:id="118" w:name="_Toc43903927"/>
      <w:r>
        <w:rPr>
          <w:rStyle w:val="CharSectno"/>
        </w:rPr>
        <w:t>56</w:t>
      </w:r>
      <w:r>
        <w:t>.</w:t>
      </w:r>
      <w:r>
        <w:tab/>
        <w:t>Periodic information to be supplied</w:t>
      </w:r>
      <w:bookmarkEnd w:id="118"/>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119" w:name="_Toc43903928"/>
      <w:r>
        <w:rPr>
          <w:rStyle w:val="CharSectno"/>
        </w:rPr>
        <w:t>57</w:t>
      </w:r>
      <w:r>
        <w:t>.</w:t>
      </w:r>
      <w:r>
        <w:tab/>
        <w:t>Reporting of notifiable occurrences</w:t>
      </w:r>
      <w:bookmarkEnd w:id="119"/>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120" w:name="_Toc43903929"/>
      <w:r>
        <w:rPr>
          <w:rStyle w:val="CharSectno"/>
        </w:rPr>
        <w:t>58</w:t>
      </w:r>
      <w:r>
        <w:t>.</w:t>
      </w:r>
      <w:r>
        <w:tab/>
        <w:t>Fees</w:t>
      </w:r>
      <w:bookmarkEnd w:id="120"/>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1" w:name="_Toc43300714"/>
      <w:bookmarkStart w:id="122" w:name="_Toc43301210"/>
      <w:bookmarkStart w:id="123" w:name="_Toc43903930"/>
      <w:r>
        <w:rPr>
          <w:rStyle w:val="CharSchNo"/>
        </w:rPr>
        <w:t>Schedule 1</w:t>
      </w:r>
      <w:r>
        <w:rPr>
          <w:rStyle w:val="CharSDivNo"/>
          <w:sz w:val="28"/>
        </w:rPr>
        <w:t> </w:t>
      </w:r>
      <w:r>
        <w:t>—</w:t>
      </w:r>
      <w:r>
        <w:rPr>
          <w:rStyle w:val="CharSDivText"/>
          <w:sz w:val="28"/>
        </w:rPr>
        <w:t> </w:t>
      </w:r>
      <w:r>
        <w:rPr>
          <w:rStyle w:val="CharSchText"/>
        </w:rPr>
        <w:t>Content of safety management system</w:t>
      </w:r>
      <w:bookmarkEnd w:id="121"/>
      <w:bookmarkEnd w:id="122"/>
      <w:bookmarkEnd w:id="123"/>
    </w:p>
    <w:p>
      <w:pPr>
        <w:pStyle w:val="yShoulderClause"/>
      </w:pPr>
      <w:r>
        <w:t>[r. 16]</w:t>
      </w:r>
    </w:p>
    <w:p>
      <w:pPr>
        <w:pStyle w:val="yHeading5"/>
      </w:pPr>
      <w:bookmarkStart w:id="124" w:name="_Toc43903931"/>
      <w:r>
        <w:rPr>
          <w:rStyle w:val="CharSClsNo"/>
        </w:rPr>
        <w:t>1</w:t>
      </w:r>
      <w:r>
        <w:t>.</w:t>
      </w:r>
      <w:r>
        <w:tab/>
        <w:t>Interpretation</w:t>
      </w:r>
      <w:bookmarkEnd w:id="12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125" w:name="_Toc43903932"/>
      <w:r>
        <w:rPr>
          <w:rStyle w:val="CharSClsNo"/>
        </w:rPr>
        <w:t>2</w:t>
      </w:r>
      <w:r>
        <w:t>.</w:t>
      </w:r>
      <w:r>
        <w:tab/>
        <w:t>Safety policy</w:t>
      </w:r>
      <w:bookmarkEnd w:id="125"/>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126" w:name="_Toc43903933"/>
      <w:r>
        <w:rPr>
          <w:rStyle w:val="CharSClsNo"/>
        </w:rPr>
        <w:t>3</w:t>
      </w:r>
      <w:r>
        <w:t>.</w:t>
      </w:r>
      <w:r>
        <w:tab/>
        <w:t>Safety culture</w:t>
      </w:r>
      <w:bookmarkEnd w:id="126"/>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127" w:name="_Toc43903934"/>
      <w:r>
        <w:rPr>
          <w:rStyle w:val="CharSClsNo"/>
        </w:rPr>
        <w:t>4</w:t>
      </w:r>
      <w:r>
        <w:t>.</w:t>
      </w:r>
      <w:r>
        <w:tab/>
        <w:t>Governance and internal control arrangements</w:t>
      </w:r>
      <w:bookmarkEnd w:id="12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128" w:name="_Toc43903935"/>
      <w:r>
        <w:rPr>
          <w:rStyle w:val="CharSClsNo"/>
        </w:rPr>
        <w:t>5</w:t>
      </w:r>
      <w:r>
        <w:t>.</w:t>
      </w:r>
      <w:r>
        <w:tab/>
        <w:t>Management, responsibilities, accountabilities and authorities</w:t>
      </w:r>
      <w:bookmarkEnd w:id="128"/>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129" w:name="_Toc43903936"/>
      <w:r>
        <w:rPr>
          <w:rStyle w:val="CharSClsNo"/>
        </w:rPr>
        <w:t>6</w:t>
      </w:r>
      <w:r>
        <w:t>.</w:t>
      </w:r>
      <w:r>
        <w:tab/>
        <w:t>Regulatory compliance</w:t>
      </w:r>
      <w:bookmarkEnd w:id="129"/>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130" w:name="_Toc43903937"/>
      <w:r>
        <w:rPr>
          <w:rStyle w:val="CharSClsNo"/>
        </w:rPr>
        <w:t>7</w:t>
      </w:r>
      <w:r>
        <w:t>.</w:t>
      </w:r>
      <w:r>
        <w:tab/>
        <w:t>Document control arrangements and information management</w:t>
      </w:r>
      <w:bookmarkEnd w:id="130"/>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131" w:name="_Toc43903938"/>
      <w:r>
        <w:rPr>
          <w:rStyle w:val="CharSClsNo"/>
        </w:rPr>
        <w:t>8</w:t>
      </w:r>
      <w:r>
        <w:t>.</w:t>
      </w:r>
      <w:r>
        <w:tab/>
        <w:t>Review of the safety management system</w:t>
      </w:r>
      <w:bookmarkEnd w:id="13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132" w:name="_Toc43903939"/>
      <w:r>
        <w:rPr>
          <w:rStyle w:val="CharSClsNo"/>
        </w:rPr>
        <w:t>9</w:t>
      </w:r>
      <w:r>
        <w:t>.</w:t>
      </w:r>
      <w:r>
        <w:tab/>
        <w:t>Safety performance measures</w:t>
      </w:r>
      <w:bookmarkEnd w:id="132"/>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133" w:name="_Toc43903940"/>
      <w:r>
        <w:rPr>
          <w:rStyle w:val="CharSClsNo"/>
        </w:rPr>
        <w:t>10</w:t>
      </w:r>
      <w:r>
        <w:t>.</w:t>
      </w:r>
      <w:r>
        <w:tab/>
        <w:t>Safety audit arrangements</w:t>
      </w:r>
      <w:bookmarkEnd w:id="133"/>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134" w:name="_Toc43903941"/>
      <w:r>
        <w:rPr>
          <w:rStyle w:val="CharSClsNo"/>
        </w:rPr>
        <w:t>11</w:t>
      </w:r>
      <w:r>
        <w:t>.</w:t>
      </w:r>
      <w:r>
        <w:tab/>
        <w:t>Corrective action</w:t>
      </w:r>
      <w:bookmarkEnd w:id="13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135" w:name="_Toc43903942"/>
      <w:r>
        <w:rPr>
          <w:rStyle w:val="CharSClsNo"/>
        </w:rPr>
        <w:t>12</w:t>
      </w:r>
      <w:r>
        <w:t>.</w:t>
      </w:r>
      <w:r>
        <w:tab/>
        <w:t>Management of change</w:t>
      </w:r>
      <w:bookmarkEnd w:id="135"/>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136" w:name="_Toc43903943"/>
      <w:r>
        <w:rPr>
          <w:rStyle w:val="CharSClsNo"/>
        </w:rPr>
        <w:t>13</w:t>
      </w:r>
      <w:r>
        <w:t>.</w:t>
      </w:r>
      <w:r>
        <w:tab/>
        <w:t>Consultation</w:t>
      </w:r>
      <w:bookmarkEnd w:id="136"/>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137" w:name="_Toc43903944"/>
      <w:r>
        <w:rPr>
          <w:rStyle w:val="CharSClsNo"/>
        </w:rPr>
        <w:t>14</w:t>
      </w:r>
      <w:r>
        <w:t>.</w:t>
      </w:r>
      <w:r>
        <w:tab/>
        <w:t>Internal communication</w:t>
      </w:r>
      <w:bookmarkEnd w:id="137"/>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138" w:name="_Toc43903945"/>
      <w:r>
        <w:rPr>
          <w:rStyle w:val="CharSClsNo"/>
        </w:rPr>
        <w:t>15</w:t>
      </w:r>
      <w:r>
        <w:t>.</w:t>
      </w:r>
      <w:r>
        <w:tab/>
        <w:t>Training and instruction</w:t>
      </w:r>
      <w:bookmarkEnd w:id="138"/>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139" w:name="_Toc43903946"/>
      <w:r>
        <w:rPr>
          <w:rStyle w:val="CharSClsNo"/>
        </w:rPr>
        <w:t>16</w:t>
      </w:r>
      <w:r>
        <w:t>.</w:t>
      </w:r>
      <w:r>
        <w:tab/>
        <w:t>Risk management</w:t>
      </w:r>
      <w:bookmarkEnd w:id="139"/>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140" w:name="_Toc43903947"/>
      <w:r>
        <w:rPr>
          <w:rStyle w:val="CharSClsNo"/>
        </w:rPr>
        <w:t>17</w:t>
      </w:r>
      <w:r>
        <w:t>.</w:t>
      </w:r>
      <w:r>
        <w:tab/>
        <w:t>Human factors</w:t>
      </w:r>
      <w:bookmarkEnd w:id="140"/>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141" w:name="_Toc43903948"/>
      <w:r>
        <w:rPr>
          <w:rStyle w:val="CharSClsNo"/>
        </w:rPr>
        <w:t>18</w:t>
      </w:r>
      <w:r>
        <w:t>.</w:t>
      </w:r>
      <w:r>
        <w:tab/>
        <w:t>Procurement and contract management</w:t>
      </w:r>
      <w:bookmarkEnd w:id="14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142" w:name="_Toc43903949"/>
      <w:r>
        <w:rPr>
          <w:rStyle w:val="CharSClsNo"/>
        </w:rPr>
        <w:t>19</w:t>
      </w:r>
      <w:r>
        <w:t>.</w:t>
      </w:r>
      <w:r>
        <w:tab/>
        <w:t>General engineering and operational systems safety requirements</w:t>
      </w:r>
      <w:bookmarkEnd w:id="142"/>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143" w:name="_Toc43903950"/>
      <w:r>
        <w:rPr>
          <w:rStyle w:val="CharSClsNo"/>
        </w:rPr>
        <w:t>20</w:t>
      </w:r>
      <w:r>
        <w:t>.</w:t>
      </w:r>
      <w:r>
        <w:tab/>
        <w:t>Process control</w:t>
      </w:r>
      <w:bookmarkEnd w:id="143"/>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144" w:name="_Toc43903951"/>
      <w:r>
        <w:rPr>
          <w:rStyle w:val="CharSClsNo"/>
        </w:rPr>
        <w:t>21</w:t>
      </w:r>
      <w:r>
        <w:t>.</w:t>
      </w:r>
      <w:r>
        <w:tab/>
        <w:t>Asset management</w:t>
      </w:r>
      <w:bookmarkEnd w:id="144"/>
    </w:p>
    <w:p>
      <w:pPr>
        <w:pStyle w:val="ySubsection"/>
      </w:pPr>
      <w:r>
        <w:tab/>
      </w:r>
      <w:r>
        <w:tab/>
        <w:t>An asset management policy and processes that address all phases of the asset life cycle of the rail infrastructure or rolling stock operations.</w:t>
      </w:r>
    </w:p>
    <w:p>
      <w:pPr>
        <w:pStyle w:val="yHeading5"/>
      </w:pPr>
      <w:bookmarkStart w:id="145" w:name="_Toc43903952"/>
      <w:r>
        <w:rPr>
          <w:rStyle w:val="CharSClsNo"/>
        </w:rPr>
        <w:t>22</w:t>
      </w:r>
      <w:r>
        <w:t>.</w:t>
      </w:r>
      <w:r>
        <w:tab/>
        <w:t>Safety interface coordination</w:t>
      </w:r>
      <w:bookmarkEnd w:id="145"/>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146" w:name="_Toc43903953"/>
      <w:r>
        <w:rPr>
          <w:rStyle w:val="CharSClsNo"/>
        </w:rPr>
        <w:t>23</w:t>
      </w:r>
      <w:r>
        <w:t>.</w:t>
      </w:r>
      <w:r>
        <w:tab/>
        <w:t>Management of notifiable occurrences</w:t>
      </w:r>
      <w:bookmarkEnd w:id="146"/>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147" w:name="_Toc43903954"/>
      <w:r>
        <w:rPr>
          <w:rStyle w:val="CharSClsNo"/>
        </w:rPr>
        <w:t>24</w:t>
      </w:r>
      <w:r>
        <w:t>.</w:t>
      </w:r>
      <w:r>
        <w:tab/>
        <w:t>Rail safety worker competence</w:t>
      </w:r>
      <w:bookmarkEnd w:id="147"/>
    </w:p>
    <w:p>
      <w:pPr>
        <w:pStyle w:val="ySubsection"/>
      </w:pPr>
      <w:r>
        <w:tab/>
      </w:r>
      <w:r>
        <w:tab/>
        <w:t>Procedures and, where necessary, standards to ensure compliance with section 117 (Assessment of competence) of the Law.</w:t>
      </w:r>
    </w:p>
    <w:p>
      <w:pPr>
        <w:pStyle w:val="yHeading5"/>
      </w:pPr>
      <w:bookmarkStart w:id="148" w:name="_Toc43903955"/>
      <w:r>
        <w:rPr>
          <w:rStyle w:val="CharSClsNo"/>
        </w:rPr>
        <w:t>25</w:t>
      </w:r>
      <w:r>
        <w:t>.</w:t>
      </w:r>
      <w:r>
        <w:tab/>
        <w:t>Security management</w:t>
      </w:r>
      <w:bookmarkEnd w:id="148"/>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149" w:name="_Toc43903956"/>
      <w:r>
        <w:rPr>
          <w:rStyle w:val="CharSClsNo"/>
        </w:rPr>
        <w:t>26</w:t>
      </w:r>
      <w:r>
        <w:t>.</w:t>
      </w:r>
      <w:r>
        <w:tab/>
        <w:t>Emergency management</w:t>
      </w:r>
      <w:bookmarkEnd w:id="149"/>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150" w:name="_Toc43903957"/>
      <w:r>
        <w:rPr>
          <w:rStyle w:val="CharSClsNo"/>
        </w:rPr>
        <w:t>27</w:t>
      </w:r>
      <w:r>
        <w:t>.</w:t>
      </w:r>
      <w:r>
        <w:tab/>
        <w:t>Health and fitness</w:t>
      </w:r>
      <w:bookmarkEnd w:id="150"/>
    </w:p>
    <w:p>
      <w:pPr>
        <w:pStyle w:val="ySubsection"/>
      </w:pPr>
      <w:r>
        <w:tab/>
      </w:r>
      <w:r>
        <w:tab/>
        <w:t>Systems and procedures to ensure compliance with section 114 (Health and fitness management program) of the Law and with regulation 27.</w:t>
      </w:r>
    </w:p>
    <w:p>
      <w:pPr>
        <w:pStyle w:val="yHeading5"/>
      </w:pPr>
      <w:bookmarkStart w:id="151" w:name="_Toc43903958"/>
      <w:r>
        <w:rPr>
          <w:rStyle w:val="CharSClsNo"/>
        </w:rPr>
        <w:t>28</w:t>
      </w:r>
      <w:r>
        <w:t>.</w:t>
      </w:r>
      <w:r>
        <w:tab/>
        <w:t>Drugs and alcohol</w:t>
      </w:r>
      <w:bookmarkEnd w:id="151"/>
    </w:p>
    <w:p>
      <w:pPr>
        <w:pStyle w:val="ySubsection"/>
      </w:pPr>
      <w:r>
        <w:tab/>
      </w:r>
      <w:r>
        <w:tab/>
        <w:t>Systems and procedures to ensure compliance with section 115 (Drug and alcohol management program) of the Law and with regulation 28.</w:t>
      </w:r>
    </w:p>
    <w:p>
      <w:pPr>
        <w:pStyle w:val="yHeading5"/>
      </w:pPr>
      <w:bookmarkStart w:id="152" w:name="_Toc43903959"/>
      <w:r>
        <w:rPr>
          <w:rStyle w:val="CharSClsNo"/>
        </w:rPr>
        <w:t>29</w:t>
      </w:r>
      <w:r>
        <w:t>.</w:t>
      </w:r>
      <w:r>
        <w:tab/>
        <w:t>Fatigue risk management</w:t>
      </w:r>
      <w:bookmarkEnd w:id="152"/>
    </w:p>
    <w:p>
      <w:pPr>
        <w:pStyle w:val="ySubsection"/>
      </w:pPr>
      <w:r>
        <w:tab/>
      </w:r>
      <w:r>
        <w:tab/>
        <w:t>Systems and procedures to ensure compliance with section 116 (Fatigue risk management program) of the Law and regulation 29.</w:t>
      </w:r>
    </w:p>
    <w:p>
      <w:pPr>
        <w:pStyle w:val="yHeading5"/>
      </w:pPr>
      <w:bookmarkStart w:id="153" w:name="_Toc43903960"/>
      <w:r>
        <w:rPr>
          <w:rStyle w:val="CharSClsNo"/>
        </w:rPr>
        <w:t>30</w:t>
      </w:r>
      <w:r>
        <w:t>.</w:t>
      </w:r>
      <w:r>
        <w:tab/>
        <w:t>Resource availability</w:t>
      </w:r>
      <w:bookmarkEnd w:id="153"/>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154" w:name="_Toc43300745"/>
      <w:bookmarkStart w:id="155" w:name="_Toc43301241"/>
      <w:bookmarkStart w:id="156" w:name="_Toc43903961"/>
      <w:r>
        <w:rPr>
          <w:rStyle w:val="CharSchNo"/>
        </w:rPr>
        <w:t>Schedule 3</w:t>
      </w:r>
      <w:r>
        <w:t> — </w:t>
      </w:r>
      <w:r>
        <w:rPr>
          <w:rStyle w:val="CharSchText"/>
        </w:rPr>
        <w:t>Fees</w:t>
      </w:r>
      <w:bookmarkEnd w:id="154"/>
      <w:bookmarkEnd w:id="155"/>
      <w:bookmarkEnd w:id="156"/>
    </w:p>
    <w:p>
      <w:pPr>
        <w:pStyle w:val="yShoulderClause"/>
      </w:pPr>
      <w:r>
        <w:t>[r. 58]</w:t>
      </w:r>
    </w:p>
    <w:p>
      <w:pPr>
        <w:pStyle w:val="yHeading3"/>
        <w:spacing w:after="160"/>
      </w:pPr>
      <w:bookmarkStart w:id="157" w:name="_Toc43300746"/>
      <w:bookmarkStart w:id="158" w:name="_Toc43301242"/>
      <w:bookmarkStart w:id="159" w:name="_Toc43903962"/>
      <w:r>
        <w:rPr>
          <w:rStyle w:val="CharSDivNo"/>
        </w:rPr>
        <w:t>Division 1</w:t>
      </w:r>
      <w:r>
        <w:t> — </w:t>
      </w:r>
      <w:r>
        <w:rPr>
          <w:rStyle w:val="CharSDivText"/>
        </w:rPr>
        <w:t>Application fees</w:t>
      </w:r>
      <w:bookmarkEnd w:id="157"/>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160" w:name="_Toc43300747"/>
      <w:bookmarkStart w:id="161" w:name="_Toc43301243"/>
      <w:bookmarkStart w:id="162" w:name="_Toc43903963"/>
      <w:r>
        <w:rPr>
          <w:rStyle w:val="CharSDivNo"/>
        </w:rPr>
        <w:t>Division 2</w:t>
      </w:r>
      <w:r>
        <w:t> — </w:t>
      </w:r>
      <w:r>
        <w:rPr>
          <w:rStyle w:val="CharSDivText"/>
        </w:rPr>
        <w:t>Annual fees</w:t>
      </w:r>
      <w:bookmarkEnd w:id="160"/>
      <w:bookmarkEnd w:id="161"/>
      <w:bookmarkEnd w:id="162"/>
    </w:p>
    <w:p>
      <w:pPr>
        <w:pStyle w:val="yHeading5"/>
      </w:pPr>
      <w:bookmarkStart w:id="163" w:name="_Toc43903964"/>
      <w:r>
        <w:rPr>
          <w:rStyle w:val="CharSClsNo"/>
        </w:rPr>
        <w:t>1</w:t>
      </w:r>
      <w:r>
        <w:t>.</w:t>
      </w:r>
      <w:r>
        <w:tab/>
        <w:t>Annual fees</w:t>
      </w:r>
      <w:bookmarkEnd w:id="163"/>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91.66</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0.045</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65" w:name="_Toc43300749"/>
      <w:bookmarkStart w:id="166" w:name="_Toc43301245"/>
      <w:bookmarkStart w:id="167" w:name="_Toc43903965"/>
      <w:r>
        <w:t>Notes</w:t>
      </w:r>
      <w:bookmarkEnd w:id="165"/>
      <w:bookmarkEnd w:id="166"/>
      <w:bookmarkEnd w:id="167"/>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w:t>
      </w:r>
    </w:p>
    <w:p>
      <w:pPr>
        <w:pStyle w:val="nHeading3"/>
      </w:pPr>
      <w:bookmarkStart w:id="168" w:name="_Toc43903966"/>
      <w:r>
        <w:t>Compilation table</w:t>
      </w:r>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Rail Safety National Law (WA) Amendment Regulations 2020</w:t>
            </w:r>
          </w:p>
        </w:tc>
        <w:tc>
          <w:tcPr>
            <w:tcW w:w="1276" w:type="dxa"/>
            <w:tcBorders>
              <w:bottom w:val="single" w:sz="4" w:space="0" w:color="auto"/>
            </w:tcBorders>
          </w:tcPr>
          <w:p>
            <w:pPr>
              <w:pStyle w:val="nTable"/>
              <w:spacing w:after="40"/>
            </w:pPr>
            <w:r>
              <w:t>SL 2020/75 9 Jun 2020</w:t>
            </w:r>
          </w:p>
        </w:tc>
        <w:tc>
          <w:tcPr>
            <w:tcW w:w="2693" w:type="dxa"/>
            <w:tcBorders>
              <w:bottom w:val="single" w:sz="4" w:space="0" w:color="auto"/>
            </w:tcBorders>
          </w:tcPr>
          <w:p>
            <w:pPr>
              <w:pStyle w:val="nTable"/>
              <w:spacing w:after="40"/>
              <w:rPr>
                <w:noProof/>
              </w:rPr>
            </w:pPr>
            <w:r>
              <w:rPr>
                <w:noProof/>
              </w:rPr>
              <w:t>r. 1 and 2: 9 Jun 2020 (see r. 2(a));</w:t>
            </w:r>
            <w:r>
              <w:rPr>
                <w:noProof/>
              </w:rPr>
              <w:br/>
              <w:t>Regulations other than r. 1 and 2: 1 Jul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70" w:name="_Toc43300752"/>
      <w:bookmarkStart w:id="171" w:name="_Toc43301247"/>
      <w:bookmarkStart w:id="172" w:name="_Toc43903967"/>
      <w:r>
        <w:rPr>
          <w:sz w:val="28"/>
        </w:rPr>
        <w:t>Defined terms</w:t>
      </w:r>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153621"/>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D83F-6F50-4B22-A846-B3F3C31B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15253</Words>
  <Characters>80080</Characters>
  <Application>Microsoft Office Word</Application>
  <DocSecurity>0</DocSecurity>
  <Lines>2355</Lines>
  <Paragraphs>1238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2015 - 00-k0-00</dc:title>
  <dc:subject/>
  <dc:creator/>
  <cp:keywords/>
  <dc:description/>
  <cp:lastModifiedBy>svcMRProcess</cp:lastModifiedBy>
  <cp:revision>4</cp:revision>
  <cp:lastPrinted>2015-09-30T06:40:00Z</cp:lastPrinted>
  <dcterms:created xsi:type="dcterms:W3CDTF">2020-06-30T03:04:00Z</dcterms:created>
  <dcterms:modified xsi:type="dcterms:W3CDTF">2020-06-30T03:04:00Z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01 Jul 2020</vt:lpwstr>
  </property>
  <property fmtid="{D5CDD505-2E9C-101B-9397-08002B2CF9AE}" pid="6" name="Suffix">
    <vt:lpwstr>00-k0-00</vt:lpwstr>
  </property>
  <property fmtid="{D5CDD505-2E9C-101B-9397-08002B2CF9AE}" pid="7" name="CommencementDate">
    <vt:lpwstr>20200701</vt:lpwstr>
  </property>
</Properties>
</file>