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_Toc43390397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_Toc43390398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_Toc43390399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_Toc43390400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_Toc43390401 \h </w:instrText>
      </w:r>
      <w:r>
        <w:fldChar w:fldCharType="separate"/>
      </w:r>
      <w:r>
        <w:t>3</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_Toc43390402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_Toc43390403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_Toc43390404 \h </w:instrText>
      </w:r>
      <w:r>
        <w:fldChar w:fldCharType="separate"/>
      </w:r>
      <w:r>
        <w:t>4</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_Toc43390405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_Toc43390406 \h </w:instrText>
      </w:r>
      <w:r>
        <w:fldChar w:fldCharType="separate"/>
      </w:r>
      <w:r>
        <w:t>5</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_Toc43390407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_Toc43390409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_Toc43390410 \h </w:instrText>
      </w:r>
      <w:r>
        <w:fldChar w:fldCharType="separate"/>
      </w:r>
      <w:r>
        <w:t>6</w:t>
      </w:r>
      <w:r>
        <w:fldChar w:fldCharType="end"/>
      </w:r>
    </w:p>
    <w:p>
      <w:pPr>
        <w:pStyle w:val="TOC8"/>
        <w:rPr>
          <w:rFonts w:asciiTheme="minorHAnsi" w:eastAsiaTheme="minorEastAsia" w:hAnsiTheme="minorHAnsi" w:cstheme="minorBidi"/>
          <w:szCs w:val="22"/>
        </w:rPr>
      </w:pPr>
      <w:r>
        <w:t>3.</w:t>
      </w:r>
      <w:r>
        <w:tab/>
        <w:t>Tariff R1 (time</w:t>
      </w:r>
      <w:r>
        <w:noBreakHyphen/>
        <w:t>of</w:t>
      </w:r>
      <w:r>
        <w:noBreakHyphen/>
        <w:t>use tariff)</w:t>
      </w:r>
      <w:r>
        <w:tab/>
      </w:r>
      <w:r>
        <w:fldChar w:fldCharType="begin"/>
      </w:r>
      <w:r>
        <w:instrText xml:space="preserve"> PAGEREF _Toc43390411 \h </w:instrText>
      </w:r>
      <w:r>
        <w:fldChar w:fldCharType="separate"/>
      </w:r>
      <w:r>
        <w:t>7</w:t>
      </w:r>
      <w:r>
        <w:fldChar w:fldCharType="end"/>
      </w:r>
    </w:p>
    <w:p>
      <w:pPr>
        <w:pStyle w:val="TOC8"/>
        <w:rPr>
          <w:rFonts w:asciiTheme="minorHAnsi" w:eastAsiaTheme="minorEastAsia" w:hAnsiTheme="minorHAnsi" w:cstheme="minorBidi"/>
          <w:szCs w:val="22"/>
        </w:rPr>
      </w:pPr>
      <w:r>
        <w:t>4.</w:t>
      </w:r>
      <w:r>
        <w:tab/>
        <w:t>Tariff R3 (time</w:t>
      </w:r>
      <w:r>
        <w:noBreakHyphen/>
        <w:t>of</w:t>
      </w:r>
      <w:r>
        <w:noBreakHyphen/>
        <w:t>use tariff)</w:t>
      </w:r>
      <w:r>
        <w:tab/>
      </w:r>
      <w:r>
        <w:fldChar w:fldCharType="begin"/>
      </w:r>
      <w:r>
        <w:instrText xml:space="preserve"> PAGEREF _Toc43390412 \h </w:instrText>
      </w:r>
      <w:r>
        <w:fldChar w:fldCharType="separate"/>
      </w:r>
      <w:r>
        <w:t>7</w:t>
      </w:r>
      <w:r>
        <w:fldChar w:fldCharType="end"/>
      </w:r>
    </w:p>
    <w:p>
      <w:pPr>
        <w:pStyle w:val="TOC8"/>
        <w:rPr>
          <w:rFonts w:asciiTheme="minorHAnsi" w:eastAsiaTheme="minorEastAsia" w:hAnsiTheme="minorHAnsi" w:cstheme="minorBidi"/>
          <w:szCs w:val="22"/>
        </w:rPr>
      </w:pPr>
      <w:r>
        <w:t>5.</w:t>
      </w:r>
      <w:r>
        <w:tab/>
        <w:t>Standby charges</w:t>
      </w:r>
      <w:r>
        <w:tab/>
      </w:r>
      <w:r>
        <w:fldChar w:fldCharType="begin"/>
      </w:r>
      <w:r>
        <w:instrText xml:space="preserve"> PAGEREF _Toc43390413 \h </w:instrText>
      </w:r>
      <w:r>
        <w:fldChar w:fldCharType="separate"/>
      </w:r>
      <w:r>
        <w:t>8</w:t>
      </w:r>
      <w:r>
        <w:fldChar w:fldCharType="end"/>
      </w:r>
    </w:p>
    <w:p>
      <w:pPr>
        <w:pStyle w:val="TOC8"/>
        <w:rPr>
          <w:rFonts w:asciiTheme="minorHAnsi" w:eastAsiaTheme="minorEastAsia" w:hAnsiTheme="minorHAnsi" w:cstheme="minorBidi"/>
          <w:szCs w:val="22"/>
        </w:rPr>
      </w:pPr>
      <w:r>
        <w:t>6.</w:t>
      </w:r>
      <w:r>
        <w:tab/>
        <w:t>Tariff A1 (residential tariff)</w:t>
      </w:r>
      <w:r>
        <w:tab/>
      </w:r>
      <w:r>
        <w:fldChar w:fldCharType="begin"/>
      </w:r>
      <w:r>
        <w:instrText xml:space="preserve"> PAGEREF _Toc43390414 \h </w:instrText>
      </w:r>
      <w:r>
        <w:fldChar w:fldCharType="separate"/>
      </w:r>
      <w:r>
        <w:t>9</w:t>
      </w:r>
      <w:r>
        <w:fldChar w:fldCharType="end"/>
      </w:r>
    </w:p>
    <w:p>
      <w:pPr>
        <w:pStyle w:val="TOC8"/>
        <w:rPr>
          <w:rFonts w:asciiTheme="minorHAnsi" w:eastAsiaTheme="minorEastAsia" w:hAnsiTheme="minorHAnsi" w:cstheme="minorBidi"/>
          <w:szCs w:val="22"/>
        </w:rPr>
      </w:pPr>
      <w:r>
        <w:t>7.</w:t>
      </w:r>
      <w:r>
        <w:tab/>
        <w:t>Tariff B1 (residential water heating tariff)</w:t>
      </w:r>
      <w:r>
        <w:tab/>
      </w:r>
      <w:r>
        <w:fldChar w:fldCharType="begin"/>
      </w:r>
      <w:r>
        <w:instrText xml:space="preserve"> PAGEREF _Toc43390415 \h </w:instrText>
      </w:r>
      <w:r>
        <w:fldChar w:fldCharType="separate"/>
      </w:r>
      <w:r>
        <w:t>9</w:t>
      </w:r>
      <w:r>
        <w:fldChar w:fldCharType="end"/>
      </w:r>
    </w:p>
    <w:p>
      <w:pPr>
        <w:pStyle w:val="TOC8"/>
        <w:rPr>
          <w:rFonts w:asciiTheme="minorHAnsi" w:eastAsiaTheme="minorEastAsia" w:hAnsiTheme="minorHAnsi" w:cstheme="minorBidi"/>
          <w:szCs w:val="22"/>
        </w:rPr>
      </w:pPr>
      <w:r>
        <w:t>8.</w:t>
      </w:r>
      <w:r>
        <w:tab/>
        <w:t>Tariff C1 (special community service tariff)</w:t>
      </w:r>
      <w:r>
        <w:tab/>
      </w:r>
      <w:r>
        <w:fldChar w:fldCharType="begin"/>
      </w:r>
      <w:r>
        <w:instrText xml:space="preserve"> PAGEREF _Toc43390416 \h </w:instrText>
      </w:r>
      <w:r>
        <w:fldChar w:fldCharType="separate"/>
      </w:r>
      <w:r>
        <w:t>10</w:t>
      </w:r>
      <w:r>
        <w:fldChar w:fldCharType="end"/>
      </w:r>
    </w:p>
    <w:p>
      <w:pPr>
        <w:pStyle w:val="TOC8"/>
        <w:rPr>
          <w:rFonts w:asciiTheme="minorHAnsi" w:eastAsiaTheme="minorEastAsia" w:hAnsiTheme="minorHAnsi" w:cstheme="minorBidi"/>
          <w:szCs w:val="22"/>
        </w:rPr>
      </w:pPr>
      <w:r>
        <w:t>9.</w:t>
      </w:r>
      <w:r>
        <w:tab/>
        <w:t>Tariff D1 (special tariff for certain premises)</w:t>
      </w:r>
      <w:r>
        <w:tab/>
      </w:r>
      <w:r>
        <w:fldChar w:fldCharType="begin"/>
      </w:r>
      <w:r>
        <w:instrText xml:space="preserve"> PAGEREF _Toc43390417 \h </w:instrText>
      </w:r>
      <w:r>
        <w:fldChar w:fldCharType="separate"/>
      </w:r>
      <w:r>
        <w:t>11</w:t>
      </w:r>
      <w:r>
        <w:fldChar w:fldCharType="end"/>
      </w:r>
    </w:p>
    <w:p>
      <w:pPr>
        <w:pStyle w:val="TOC8"/>
        <w:rPr>
          <w:rFonts w:asciiTheme="minorHAnsi" w:eastAsiaTheme="minorEastAsia" w:hAnsiTheme="minorHAnsi" w:cstheme="minorBidi"/>
          <w:szCs w:val="22"/>
        </w:rPr>
      </w:pPr>
      <w:r>
        <w:t>10.</w:t>
      </w:r>
      <w:r>
        <w:tab/>
        <w:t>Tariff K1 (general supply with residential tariff)</w:t>
      </w:r>
      <w:r>
        <w:tab/>
      </w:r>
      <w:r>
        <w:fldChar w:fldCharType="begin"/>
      </w:r>
      <w:r>
        <w:instrText xml:space="preserve"> PAGEREF _Toc43390418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_Toc43390422 \h </w:instrText>
      </w:r>
      <w:r>
        <w:fldChar w:fldCharType="separate"/>
      </w:r>
      <w:r>
        <w:t>14</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_Toc43390423 \h </w:instrText>
      </w:r>
      <w:r>
        <w:fldChar w:fldCharType="separate"/>
      </w:r>
      <w:r>
        <w:t>14</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_Toc43390424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_Toc43390428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_Toc43390429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43390397"/>
      <w:r>
        <w:rPr>
          <w:rStyle w:val="CharSectno"/>
        </w:rPr>
        <w:t>1</w:t>
      </w:r>
      <w:r>
        <w:t>.</w:t>
      </w:r>
      <w:r>
        <w:tab/>
        <w:t>Citation</w:t>
      </w:r>
      <w:bookmarkEnd w:id="3"/>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t>.</w:t>
      </w:r>
    </w:p>
    <w:p>
      <w:pPr>
        <w:pStyle w:val="Footnotesection"/>
      </w:pPr>
      <w:r>
        <w:tab/>
        <w:t>[By-law 1 amended: Gazette 27 Dec 2013 p. 6477.]</w:t>
      </w:r>
    </w:p>
    <w:p>
      <w:pPr>
        <w:pStyle w:val="Heading5"/>
      </w:pPr>
      <w:bookmarkStart w:id="4" w:name="_Toc43390398"/>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43390399"/>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tab/>
      </w:r>
      <w:r>
        <w:rPr>
          <w:rStyle w:val="CharDefText"/>
        </w:rPr>
        <w:t>life support customer</w:t>
      </w:r>
      <w:r>
        <w:t xml:space="preserve"> means a customer whose address is registered as a life support equipment address under the code of conduct in force from time to time under the </w:t>
      </w:r>
      <w:r>
        <w:rPr>
          <w:i/>
        </w:rPr>
        <w:t>Electricity Industry Act </w:t>
      </w:r>
      <w:r>
        <w:t>2004 section 79;</w:t>
      </w:r>
    </w:p>
    <w:p>
      <w:pPr>
        <w:pStyle w:val="Defstart"/>
      </w:pPr>
      <w:r>
        <w:tab/>
      </w:r>
      <w:r>
        <w:rPr>
          <w:rStyle w:val="CharDefText"/>
        </w:rPr>
        <w:t>MSLA</w:t>
      </w:r>
      <w:r>
        <w:t xml:space="preserve"> means the model service level agreement approved under the </w:t>
      </w:r>
      <w:r>
        <w:rPr>
          <w:i/>
        </w:rPr>
        <w:t xml:space="preserve">Electricity Industry (Metering) Code 2012 </w:t>
      </w:r>
      <w:r>
        <w:t>by the Economic Regulation Authority, as in force from time to time;</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970; 29 Jun 2012 p. 2914; 27 Dec 2013 p. 6477; 22 Aug 2014 p. 3024; 16 Feb 2018 p. 470; 21 Jun 2019 p. 2119.]</w:t>
      </w:r>
    </w:p>
    <w:p>
      <w:pPr>
        <w:pStyle w:val="Ednotesection"/>
      </w:pPr>
      <w:r>
        <w:t>[</w:t>
      </w:r>
      <w:r>
        <w:rPr>
          <w:b/>
          <w:bCs/>
        </w:rPr>
        <w:t>3A.</w:t>
      </w:r>
      <w:r>
        <w:tab/>
        <w:t>Deleted: Gazette 26 Mar 2010 p. 1136.]</w:t>
      </w:r>
    </w:p>
    <w:p>
      <w:pPr>
        <w:pStyle w:val="Ednotesection"/>
      </w:pPr>
      <w:r>
        <w:t>[</w:t>
      </w:r>
      <w:r>
        <w:rPr>
          <w:b/>
          <w:bCs/>
        </w:rPr>
        <w:t>4A.</w:t>
      </w:r>
      <w:r>
        <w:tab/>
        <w:t>Deleted: Gazette 22 Aug 2014 p. 3024.]</w:t>
      </w:r>
    </w:p>
    <w:p>
      <w:pPr>
        <w:pStyle w:val="Heading5"/>
        <w:rPr>
          <w:snapToGrid w:val="0"/>
        </w:rPr>
      </w:pPr>
      <w:bookmarkStart w:id="6" w:name="_Toc43390400"/>
      <w:r>
        <w:rPr>
          <w:rStyle w:val="CharSectno"/>
        </w:rPr>
        <w:t>4</w:t>
      </w:r>
      <w:r>
        <w:t>.</w:t>
      </w:r>
      <w:r>
        <w:tab/>
      </w:r>
      <w:r>
        <w:rPr>
          <w:snapToGrid w:val="0"/>
        </w:rPr>
        <w:t>Electricity charges payable by consumers (Sch. 1, Sch. 2)</w:t>
      </w:r>
      <w:bookmarkEnd w:id="6"/>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Gazette 30 Aug 2013 p. 4097-8.]</w:t>
      </w:r>
    </w:p>
    <w:p>
      <w:pPr>
        <w:pStyle w:val="Heading5"/>
      </w:pPr>
      <w:bookmarkStart w:id="7" w:name="_Toc43390401"/>
      <w:r>
        <w:rPr>
          <w:rStyle w:val="CharSectno"/>
        </w:rPr>
        <w:t>5</w:t>
      </w:r>
      <w:r>
        <w:t>.</w:t>
      </w:r>
      <w:r>
        <w:tab/>
        <w:t>Residential tariffs, when applicable</w:t>
      </w:r>
      <w:bookmarkEnd w:id="7"/>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8" w:name="_Toc43390402"/>
      <w:r>
        <w:rPr>
          <w:rStyle w:val="CharSectno"/>
        </w:rPr>
        <w:t>6</w:t>
      </w:r>
      <w:r>
        <w:t>.</w:t>
      </w:r>
      <w:r>
        <w:tab/>
        <w:t>Subsidiary meters, rental for (Sch. 3)</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9" w:name="_Toc43390403"/>
      <w:r>
        <w:rPr>
          <w:rStyle w:val="CharSectno"/>
        </w:rPr>
        <w:t>7</w:t>
      </w:r>
      <w:r>
        <w:t>.</w:t>
      </w:r>
      <w:r>
        <w:tab/>
        <w:t>Fees (Sch. 4)</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43390404"/>
      <w:r>
        <w:rPr>
          <w:rStyle w:val="CharSectno"/>
        </w:rPr>
        <w:t>8</w:t>
      </w:r>
      <w:r>
        <w:t>.</w:t>
      </w:r>
      <w:r>
        <w:tab/>
        <w:t>When charges payable; interest on unpaid charges</w:t>
      </w:r>
      <w:bookmarkEnd w:id="10"/>
    </w:p>
    <w:p>
      <w:pPr>
        <w:pStyle w:val="Subsection"/>
        <w:keepNext/>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970.]</w:t>
      </w:r>
    </w:p>
    <w:p>
      <w:pPr>
        <w:pStyle w:val="Ednotesection"/>
      </w:pPr>
      <w:r>
        <w:t>[</w:t>
      </w:r>
      <w:r>
        <w:rPr>
          <w:b/>
          <w:bCs/>
        </w:rPr>
        <w:t>9.</w:t>
      </w:r>
      <w:r>
        <w:tab/>
        <w:t>Deleted: Gazette 21 Sep 2012 p. 4424.]</w:t>
      </w:r>
    </w:p>
    <w:p>
      <w:pPr>
        <w:pStyle w:val="Heading5"/>
      </w:pPr>
      <w:bookmarkStart w:id="11" w:name="_Toc43390405"/>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Footnotesection"/>
      </w:pPr>
      <w:r>
        <w:tab/>
        <w:t>[By</w:t>
      </w:r>
      <w:r>
        <w:noBreakHyphen/>
        <w:t>law 10 amended: Gazette 21 Jun 2019 p. 2120.]</w:t>
      </w:r>
    </w:p>
    <w:p>
      <w:pPr>
        <w:pStyle w:val="Heading5"/>
      </w:pPr>
      <w:bookmarkStart w:id="12" w:name="_Toc43390406"/>
      <w:r>
        <w:rPr>
          <w:rStyle w:val="CharSectno"/>
        </w:rPr>
        <w:t>11</w:t>
      </w:r>
      <w:r>
        <w:t>.</w:t>
      </w:r>
      <w:r>
        <w:tab/>
        <w:t>Changes to rate of charges, adjustment for</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43390407"/>
      <w:r>
        <w:rPr>
          <w:rStyle w:val="CharSectno"/>
        </w:rPr>
        <w:t>12</w:t>
      </w:r>
      <w:r>
        <w:t>.</w:t>
      </w:r>
      <w:r>
        <w:tab/>
        <w:t>Interest rate prescribed (Act s. 62(16))</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970</w:t>
      </w:r>
      <w:r>
        <w:noBreakHyphen/>
        <w:t>1.]</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43213645"/>
      <w:bookmarkStart w:id="15" w:name="_Toc43387154"/>
      <w:bookmarkStart w:id="16" w:name="_Toc43390408"/>
      <w:bookmarkStart w:id="17" w:name="_Toc43212318"/>
      <w:r>
        <w:rPr>
          <w:rStyle w:val="CharSchNo"/>
        </w:rPr>
        <w:t>Schedule 1</w:t>
      </w:r>
      <w:r>
        <w:t> — </w:t>
      </w:r>
      <w:r>
        <w:rPr>
          <w:rStyle w:val="CharSchText"/>
        </w:rPr>
        <w:t>Supply charges</w:t>
      </w:r>
      <w:bookmarkEnd w:id="14"/>
      <w:bookmarkEnd w:id="15"/>
      <w:bookmarkEnd w:id="16"/>
    </w:p>
    <w:p>
      <w:pPr>
        <w:pStyle w:val="yShoulderClause"/>
      </w:pPr>
      <w:r>
        <w:t>[bl. 3, 4(1) and 10(1)]</w:t>
      </w:r>
    </w:p>
    <w:p>
      <w:pPr>
        <w:pStyle w:val="yFootnoteheading"/>
      </w:pPr>
      <w:r>
        <w:tab/>
        <w:t>[Heading inserted: SL 2020/79 bl. 4.]</w:t>
      </w:r>
    </w:p>
    <w:p>
      <w:pPr>
        <w:pStyle w:val="yHeading5"/>
      </w:pPr>
      <w:bookmarkStart w:id="18" w:name="_Toc43390409"/>
      <w:r>
        <w:rPr>
          <w:rStyle w:val="CharSClsNo"/>
        </w:rPr>
        <w:t>1</w:t>
      </w:r>
      <w:r>
        <w:t>.</w:t>
      </w:r>
      <w:r>
        <w:tab/>
        <w:t>Tariff L1 (general supply — low/medium voltage tariff)</w:t>
      </w:r>
      <w:bookmarkEnd w:id="1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$1.8447 per day; and</w:t>
      </w:r>
    </w:p>
    <w:p>
      <w:pPr>
        <w:pStyle w:val="yIndenta"/>
      </w:pPr>
      <w:r>
        <w:tab/>
        <w:t>(b)</w:t>
      </w:r>
      <w:r>
        <w:tab/>
        <w:t xml:space="preserve">a charge for metered consumption at the rate of — </w:t>
      </w:r>
    </w:p>
    <w:p>
      <w:pPr>
        <w:pStyle w:val="yIndenti0"/>
      </w:pPr>
      <w:r>
        <w:tab/>
        <w:t>(i)</w:t>
      </w:r>
      <w:r>
        <w:tab/>
        <w:t>28.7065 cents per unit for the first 1 650 units per day; and</w:t>
      </w:r>
    </w:p>
    <w:p>
      <w:pPr>
        <w:pStyle w:val="yIndenti0"/>
      </w:pPr>
      <w:r>
        <w:tab/>
        <w:t>(ii)</w:t>
      </w:r>
      <w:r>
        <w:tab/>
        <w:t>32.3656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SL 2020/79 bl. 4.]</w:t>
      </w:r>
    </w:p>
    <w:p>
      <w:pPr>
        <w:pStyle w:val="yHeading5"/>
      </w:pPr>
      <w:bookmarkStart w:id="19" w:name="_Toc43390410"/>
      <w:r>
        <w:rPr>
          <w:rStyle w:val="CharSClsNo"/>
        </w:rPr>
        <w:t>2</w:t>
      </w:r>
      <w:r>
        <w:t>.</w:t>
      </w:r>
      <w:r>
        <w:tab/>
        <w:t>Tariff L3 (general supply — low/medium voltage tariff)</w:t>
      </w:r>
      <w:bookmarkEnd w:id="1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$1.9747 per day; and</w:t>
      </w:r>
    </w:p>
    <w:p>
      <w:pPr>
        <w:pStyle w:val="yIndenta"/>
      </w:pPr>
      <w:r>
        <w:tab/>
        <w:t>(b)</w:t>
      </w:r>
      <w:r>
        <w:tab/>
        <w:t xml:space="preserve">a charge for metered consumption at the rate of — </w:t>
      </w:r>
    </w:p>
    <w:p>
      <w:pPr>
        <w:pStyle w:val="yIndenti0"/>
      </w:pPr>
      <w:r>
        <w:tab/>
        <w:t>(i)</w:t>
      </w:r>
      <w:r>
        <w:tab/>
        <w:t>40.1101</w:t>
      </w:r>
      <w:r>
        <w:rPr>
          <w:szCs w:val="22"/>
        </w:rPr>
        <w:t xml:space="preserve"> </w:t>
      </w:r>
      <w:r>
        <w:t>cents per unit for the first 1 650 units per day; and</w:t>
      </w:r>
    </w:p>
    <w:p>
      <w:pPr>
        <w:pStyle w:val="yIndenti0"/>
      </w:pPr>
      <w:r>
        <w:tab/>
        <w:t>(ii)</w:t>
      </w:r>
      <w:r>
        <w:tab/>
        <w:t>34.0347</w:t>
      </w:r>
      <w:r>
        <w:rPr>
          <w:szCs w:val="22"/>
        </w:rPr>
        <w:t xml:space="preserve">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SL 2020/79 bl. 4.]</w:t>
      </w:r>
    </w:p>
    <w:p>
      <w:pPr>
        <w:pStyle w:val="yHeading5"/>
      </w:pPr>
      <w:bookmarkStart w:id="20" w:name="_Toc43390411"/>
      <w:r>
        <w:rPr>
          <w:rStyle w:val="CharSClsNo"/>
        </w:rPr>
        <w:t>3</w:t>
      </w:r>
      <w:r>
        <w:t>.</w:t>
      </w:r>
      <w:r>
        <w:tab/>
        <w:t>Tariff R1 (time</w:t>
      </w:r>
      <w:r>
        <w:noBreakHyphen/>
        <w:t>of</w:t>
      </w:r>
      <w:r>
        <w:noBreakHyphen/>
        <w:t>use tariff)</w:t>
      </w:r>
      <w:bookmarkEnd w:id="20"/>
    </w:p>
    <w:p>
      <w:pPr>
        <w:pStyle w:val="ySubsection"/>
      </w:pPr>
      <w:r>
        <w:tab/>
        <w:t>(1)</w:t>
      </w:r>
      <w:r>
        <w:tab/>
        <w:t>Tariff R1 comprises —</w:t>
      </w:r>
    </w:p>
    <w:p>
      <w:pPr>
        <w:pStyle w:val="yIndenta"/>
      </w:pPr>
      <w:r>
        <w:tab/>
        <w:t>(a)</w:t>
      </w:r>
      <w:r>
        <w:tab/>
        <w:t>a fixed charge at the rate of $3.4494 per day; and</w:t>
      </w:r>
    </w:p>
    <w:p>
      <w:pPr>
        <w:pStyle w:val="yIndenta"/>
      </w:pPr>
      <w:r>
        <w:tab/>
        <w:t>(b)</w:t>
      </w:r>
      <w:r>
        <w:tab/>
        <w:t>an energy charge consisting of — </w:t>
      </w:r>
    </w:p>
    <w:p>
      <w:pPr>
        <w:pStyle w:val="yIndenti0"/>
      </w:pPr>
      <w:r>
        <w:tab/>
        <w:t>(i)</w:t>
      </w:r>
      <w:r>
        <w:tab/>
        <w:t>an on peak energy charge at the rate of 37.4114 cents per unit; and</w:t>
      </w:r>
    </w:p>
    <w:p>
      <w:pPr>
        <w:pStyle w:val="yIndenti0"/>
      </w:pPr>
      <w:r>
        <w:tab/>
        <w:t>(ii)</w:t>
      </w:r>
      <w:r>
        <w:tab/>
        <w:t>an off peak energy charge at the rate of 11.2234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3 inserted: SL 2020/79 bl. 4.]</w:t>
      </w:r>
    </w:p>
    <w:p>
      <w:pPr>
        <w:pStyle w:val="yHeading5"/>
      </w:pPr>
      <w:bookmarkStart w:id="21" w:name="_Toc43390412"/>
      <w:r>
        <w:rPr>
          <w:rStyle w:val="CharSClsNo"/>
        </w:rPr>
        <w:t>4</w:t>
      </w:r>
      <w:r>
        <w:t>.</w:t>
      </w:r>
      <w:r>
        <w:tab/>
        <w:t>Tariff R3 (time</w:t>
      </w:r>
      <w:r>
        <w:noBreakHyphen/>
        <w:t>of</w:t>
      </w:r>
      <w:r>
        <w:noBreakHyphen/>
        <w:t>use tariff)</w:t>
      </w:r>
      <w:bookmarkEnd w:id="21"/>
    </w:p>
    <w:p>
      <w:pPr>
        <w:pStyle w:val="ySubsection"/>
      </w:pPr>
      <w:r>
        <w:tab/>
        <w:t>(1)</w:t>
      </w:r>
      <w:r>
        <w:tab/>
        <w:t>Tariff R3 comprises —</w:t>
      </w:r>
    </w:p>
    <w:p>
      <w:pPr>
        <w:pStyle w:val="yIndenta"/>
      </w:pPr>
      <w:r>
        <w:tab/>
        <w:t>(a)</w:t>
      </w:r>
      <w:r>
        <w:tab/>
        <w:t xml:space="preserve">a fixed charge at the rate of </w:t>
      </w:r>
      <w:r>
        <w:rPr>
          <w:szCs w:val="22"/>
        </w:rPr>
        <w:t>$3.7424</w:t>
      </w:r>
      <w:r>
        <w:t xml:space="preserve"> per day; and</w:t>
      </w:r>
    </w:p>
    <w:p>
      <w:pPr>
        <w:pStyle w:val="yIndenta"/>
      </w:pPr>
      <w:r>
        <w:tab/>
        <w:t>(b)</w:t>
      </w:r>
      <w:r>
        <w:tab/>
        <w:t>an energy charge consisting of — </w:t>
      </w:r>
    </w:p>
    <w:p>
      <w:pPr>
        <w:pStyle w:val="yIndenti0"/>
      </w:pPr>
      <w:r>
        <w:tab/>
        <w:t>(i)</w:t>
      </w:r>
      <w:r>
        <w:tab/>
        <w:t>an on peak energy charge at the rate of 54.5881</w:t>
      </w:r>
      <w:r>
        <w:rPr>
          <w:szCs w:val="22"/>
        </w:rPr>
        <w:t xml:space="preserve"> </w:t>
      </w:r>
      <w:r>
        <w:t>cents per unit; and</w:t>
      </w:r>
    </w:p>
    <w:p>
      <w:pPr>
        <w:pStyle w:val="yIndenti0"/>
      </w:pPr>
      <w:r>
        <w:tab/>
        <w:t>(ii)</w:t>
      </w:r>
      <w:r>
        <w:tab/>
        <w:t>an off peak energy charge at the rate of 16.3983</w:t>
      </w:r>
      <w:r>
        <w:rPr>
          <w:szCs w:val="22"/>
        </w:rPr>
        <w:t xml:space="preserve">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10;</w:t>
      </w:r>
    </w:p>
    <w:p>
      <w:pPr>
        <w:pStyle w:val="yIndenta"/>
        <w:keepNext/>
      </w:pPr>
      <w:r>
        <w:tab/>
        <w:t>(c)</w:t>
      </w:r>
      <w:r>
        <w:tab/>
        <w:t>the consumer satisfies the corporation that the amount of electricity supplied to the consumer’s premises will be 50 MW hours or more per annum.</w:t>
      </w:r>
    </w:p>
    <w:p>
      <w:pPr>
        <w:pStyle w:val="yFootnotesection"/>
      </w:pPr>
      <w:r>
        <w:tab/>
        <w:t>[Clause 4 inserted: SL 2020/79 bl. 4.]</w:t>
      </w:r>
    </w:p>
    <w:p>
      <w:pPr>
        <w:pStyle w:val="yHeading5"/>
      </w:pPr>
      <w:bookmarkStart w:id="22" w:name="_Toc43390413"/>
      <w:r>
        <w:rPr>
          <w:rStyle w:val="CharSClsNo"/>
        </w:rPr>
        <w:t>5</w:t>
      </w:r>
      <w:r>
        <w:t>.</w:t>
      </w:r>
      <w:r>
        <w:tab/>
        <w:t>Standby charges</w:t>
      </w:r>
      <w:bookmarkEnd w:id="22"/>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Subsection"/>
      </w:pPr>
      <w:r>
        <w:tab/>
        <w:t>(3)</w:t>
      </w:r>
      <w:r>
        <w:tab/>
        <w:t>The normal half</w:t>
      </w:r>
      <w:r>
        <w:noBreakHyphen/>
        <w:t>hourly maximum demand is to be assessed by the corporation and is to be based on loading normally supplied from the corporation’s supply.</w:t>
      </w:r>
    </w:p>
    <w:p>
      <w:pPr>
        <w:pStyle w:val="ySubsection"/>
      </w:pPr>
      <w:r>
        <w:tab/>
        <w:t>(4)</w:t>
      </w:r>
      <w:r>
        <w:tab/>
        <w:t>Notwithstanding the corporation’s assessment, in any accounting period the normal half</w:t>
      </w:r>
      <w:r>
        <w:noBreakHyphen/>
        <w:t>hourly maximum demand is taken to be not less than — </w:t>
      </w:r>
    </w:p>
    <w:p>
      <w:pPr>
        <w:pStyle w:val="Equation"/>
        <w:spacing w:before="120"/>
        <w:ind w:left="1418"/>
      </w:pPr>
      <m:oMathPara>
        <m:oMath>
          <m:f>
            <m:fPr>
              <m:ctrlPr>
                <w:rPr>
                  <w:rFonts w:ascii="Cambria Math" w:hAnsi="Cambria Math"/>
                  <w:i/>
                </w:rPr>
              </m:ctrlPr>
            </m:fPr>
            <m:num>
              <m:r>
                <m:rPr>
                  <m:sty m:val="p"/>
                </m:rPr>
                <w:rPr>
                  <w:rFonts w:ascii="Cambria Math" w:hAnsi="Cambria Math"/>
                </w:rPr>
                <m:t>kWh registered for the accounting period</m:t>
              </m:r>
            </m:num>
            <m:den>
              <m:r>
                <m:rPr>
                  <m:sty m:val="p"/>
                </m:rPr>
                <w:rPr>
                  <w:rFonts w:ascii="Cambria Math" w:hAnsi="Cambria Math"/>
                </w:rPr>
                <m:t>24 ×</m:t>
              </m:r>
              <m:d>
                <m:dPr>
                  <m:ctrlPr>
                    <w:rPr>
                      <w:rFonts w:ascii="Cambria Math" w:hAnsi="Cambria Math"/>
                    </w:rPr>
                  </m:ctrlPr>
                </m:dPr>
                <m:e>
                  <m:r>
                    <m:rPr>
                      <m:sty m:val="p"/>
                    </m:rPr>
                    <w:rPr>
                      <w:rFonts w:ascii="Cambria Math" w:hAnsi="Cambria Math"/>
                    </w:rPr>
                    <m:t>number of days in the accounting period</m:t>
                  </m:r>
                </m:e>
              </m:d>
              <m:r>
                <w:rPr>
                  <w:rFonts w:ascii="Cambria Math" w:hAnsi="Cambria Math"/>
                </w:rPr>
                <m:t xml:space="preserve"> ×0.4</m:t>
              </m:r>
            </m:den>
          </m:f>
        </m:oMath>
      </m:oMathPara>
    </w:p>
    <w:p>
      <w:pPr>
        <w:pStyle w:val="ySubsection"/>
      </w:pPr>
      <w:r>
        <w:tab/>
        <w:t>(5)</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(6)</w:t>
      </w:r>
      <w:r>
        <w:tab/>
        <w:t>The difference between total half</w:t>
      </w:r>
      <w:r>
        <w:noBreakHyphen/>
        <w:t>hourly maximum demand and normal half</w:t>
      </w:r>
      <w:r>
        <w:noBreakHyphen/>
        <w:t>hourly maximum demand is not to exceed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keepNext/>
      </w:pPr>
      <w:r>
        <w:tab/>
        <w:t>(7)</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5 inserted: SL 2020/79 bl. 4.]</w:t>
      </w:r>
    </w:p>
    <w:p>
      <w:pPr>
        <w:pStyle w:val="yHeading5"/>
      </w:pPr>
      <w:bookmarkStart w:id="23" w:name="_Toc43390414"/>
      <w:r>
        <w:rPr>
          <w:rStyle w:val="CharSClsNo"/>
        </w:rPr>
        <w:t>6</w:t>
      </w:r>
      <w:r>
        <w:t>.</w:t>
      </w:r>
      <w:r>
        <w:tab/>
        <w:t>Tariff A1 (residential tariff)</w:t>
      </w:r>
      <w:bookmarkEnd w:id="23"/>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$1.0333 per day or, for multiple dwellings supplied through 1 metered supply point, a fixed charge at the rate of —</w:t>
      </w:r>
    </w:p>
    <w:p>
      <w:pPr>
        <w:pStyle w:val="yIndenti0"/>
      </w:pPr>
      <w:r>
        <w:tab/>
        <w:t>(i)</w:t>
      </w:r>
      <w:r>
        <w:tab/>
        <w:t>$1.0333 per day for the first dwelling; and</w:t>
      </w:r>
    </w:p>
    <w:p>
      <w:pPr>
        <w:pStyle w:val="yIndenti0"/>
      </w:pPr>
      <w:r>
        <w:tab/>
        <w:t>(ii)</w:t>
      </w:r>
      <w:r>
        <w:tab/>
        <w:t>41.0828 cents per day for each additional dwelling;</w:t>
      </w:r>
    </w:p>
    <w:p>
      <w:pPr>
        <w:pStyle w:val="yIndenta"/>
      </w:pPr>
      <w:r>
        <w:tab/>
      </w:r>
      <w:r>
        <w:tab/>
        <w:t>and</w:t>
      </w:r>
    </w:p>
    <w:p>
      <w:pPr>
        <w:pStyle w:val="yIndenta"/>
      </w:pPr>
      <w:r>
        <w:tab/>
        <w:t>(b)</w:t>
      </w:r>
      <w:r>
        <w:tab/>
        <w:t>a charge for metered consumption at the rate of 28.8229 cents per unit.</w:t>
      </w:r>
    </w:p>
    <w:p>
      <w:pPr>
        <w:pStyle w:val="yFootnotesection"/>
      </w:pPr>
      <w:r>
        <w:tab/>
        <w:t>[Clause 6 inserted: SL 2020/79 bl. 4.]</w:t>
      </w:r>
    </w:p>
    <w:p>
      <w:pPr>
        <w:pStyle w:val="yHeading5"/>
      </w:pPr>
      <w:bookmarkStart w:id="24" w:name="_Toc43390415"/>
      <w:r>
        <w:rPr>
          <w:rStyle w:val="CharSClsNo"/>
        </w:rPr>
        <w:t>7</w:t>
      </w:r>
      <w:r>
        <w:t>.</w:t>
      </w:r>
      <w:r>
        <w:tab/>
        <w:t>Tariff B1 (residential water heating tariff)</w:t>
      </w:r>
      <w:bookmarkEnd w:id="24"/>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21.7705 cents per day or, for multiple dwellings supplied through 1 metered supply point, a fixed charge at the rate of 21.7705 cents per day for each dwelling; and</w:t>
      </w:r>
    </w:p>
    <w:p>
      <w:pPr>
        <w:pStyle w:val="yIndenta"/>
      </w:pPr>
      <w:r>
        <w:tab/>
        <w:t>(b)</w:t>
      </w:r>
      <w:r>
        <w:tab/>
        <w:t>a charge for metered consumption at the rate of 12.0269 cents per unit.</w:t>
      </w:r>
    </w:p>
    <w:p>
      <w:pPr>
        <w:pStyle w:val="yFootnotesection"/>
      </w:pPr>
      <w:r>
        <w:tab/>
        <w:t>[Clause 7 inserted: SL 2020/79 bl. 4.]</w:t>
      </w:r>
    </w:p>
    <w:p>
      <w:pPr>
        <w:pStyle w:val="yHeading5"/>
      </w:pPr>
      <w:bookmarkStart w:id="25" w:name="_Toc43390416"/>
      <w:r>
        <w:rPr>
          <w:rStyle w:val="CharSClsNo"/>
        </w:rPr>
        <w:t>8</w:t>
      </w:r>
      <w:r>
        <w:t>.</w:t>
      </w:r>
      <w:r>
        <w:tab/>
        <w:t>Tariff C1 (special community service tariff)</w:t>
      </w:r>
      <w:bookmarkEnd w:id="25"/>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99.7104 cents per day; and</w:t>
      </w:r>
    </w:p>
    <w:p>
      <w:pPr>
        <w:pStyle w:val="yIndenta"/>
      </w:pPr>
      <w:r>
        <w:tab/>
        <w:t>(b)</w:t>
      </w:r>
      <w:r>
        <w:tab/>
        <w:t xml:space="preserve">a charge for metered consumption at the rate of — </w:t>
      </w:r>
    </w:p>
    <w:p>
      <w:pPr>
        <w:pStyle w:val="yIndenti0"/>
      </w:pPr>
      <w:r>
        <w:tab/>
        <w:t>(i)</w:t>
      </w:r>
      <w:r>
        <w:tab/>
        <w:t>23.2958 cents per unit for the first 20 units per day; and</w:t>
      </w:r>
    </w:p>
    <w:p>
      <w:pPr>
        <w:pStyle w:val="yIndenti0"/>
      </w:pPr>
      <w:r>
        <w:tab/>
        <w:t>(ii)</w:t>
      </w:r>
      <w:r>
        <w:tab/>
        <w:t>24.8550 cents per unit for the next 1 630 units per day; and</w:t>
      </w:r>
    </w:p>
    <w:p>
      <w:pPr>
        <w:pStyle w:val="yIndenti0"/>
      </w:pPr>
      <w:r>
        <w:tab/>
        <w:t>(iii)</w:t>
      </w:r>
      <w:r>
        <w:tab/>
        <w:t>23.7081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keepNext/>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8 inserted: SL 2020/79 bl. 4.]</w:t>
      </w:r>
    </w:p>
    <w:p>
      <w:pPr>
        <w:pStyle w:val="yHeading5"/>
      </w:pPr>
      <w:bookmarkStart w:id="26" w:name="_Toc43390417"/>
      <w:r>
        <w:rPr>
          <w:rStyle w:val="CharSClsNo"/>
        </w:rPr>
        <w:t>9</w:t>
      </w:r>
      <w:r>
        <w:t>.</w:t>
      </w:r>
      <w:r>
        <w:tab/>
        <w:t>Tariff D1 (special tariff for certain premises)</w:t>
      </w:r>
      <w:bookmarkEnd w:id="26"/>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98.3532 cents per day; and</w:t>
      </w:r>
    </w:p>
    <w:p>
      <w:pPr>
        <w:pStyle w:val="yIndenta"/>
      </w:pPr>
      <w:r>
        <w:tab/>
        <w:t>(b)</w:t>
      </w:r>
      <w:r>
        <w:tab/>
        <w:t>if under subclause (3) there is deemed to be more than 1 equivalent domestic residence in the premises, a charge of 36.4628 cents per day for each equivalent domestic residence except the first that is deemed to be in the premises; and</w:t>
      </w:r>
    </w:p>
    <w:p>
      <w:pPr>
        <w:pStyle w:val="yIndenta"/>
      </w:pPr>
      <w:r>
        <w:tab/>
        <w:t>(c)</w:t>
      </w:r>
      <w:r>
        <w:tab/>
        <w:t>a charge for metered consumption at the rate of 24.9876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SL 2020/79 bl. 4.]</w:t>
      </w:r>
    </w:p>
    <w:p>
      <w:pPr>
        <w:pStyle w:val="yHeading5"/>
      </w:pPr>
      <w:bookmarkStart w:id="27" w:name="_Toc43390418"/>
      <w:r>
        <w:rPr>
          <w:rStyle w:val="CharSClsNo"/>
        </w:rPr>
        <w:t>10</w:t>
      </w:r>
      <w:r>
        <w:t>.</w:t>
      </w:r>
      <w:r>
        <w:tab/>
        <w:t>Tariff K1 (general supply with residential tariff)</w:t>
      </w:r>
      <w:bookmarkEnd w:id="27"/>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$1.8234 per day; and</w:t>
      </w:r>
    </w:p>
    <w:p>
      <w:pPr>
        <w:pStyle w:val="yIndenta"/>
      </w:pPr>
      <w:r>
        <w:tab/>
        <w:t>(b)</w:t>
      </w:r>
      <w:r>
        <w:tab/>
        <w:t>a charge for metered consumption at the rate of —</w:t>
      </w:r>
    </w:p>
    <w:p>
      <w:pPr>
        <w:pStyle w:val="yIndenti0"/>
      </w:pPr>
      <w:r>
        <w:tab/>
        <w:t>(i)</w:t>
      </w:r>
      <w:r>
        <w:tab/>
        <w:t>30.1107 cents per unit for the first 20 units per day; and</w:t>
      </w:r>
    </w:p>
    <w:p>
      <w:pPr>
        <w:pStyle w:val="yIndenti0"/>
      </w:pPr>
      <w:r>
        <w:tab/>
        <w:t>(ii)</w:t>
      </w:r>
      <w:r>
        <w:tab/>
        <w:t>28.3753 cents per unit for the next 1 630 units per day; and</w:t>
      </w:r>
    </w:p>
    <w:p>
      <w:pPr>
        <w:pStyle w:val="yIndenti0"/>
      </w:pPr>
      <w:r>
        <w:tab/>
        <w:t>(iii)</w:t>
      </w:r>
      <w:r>
        <w:tab/>
        <w:t>31.9921 cents per unit for all units exceeding 1 650 units per day.</w:t>
      </w:r>
    </w:p>
    <w:p>
      <w:pPr>
        <w:pStyle w:val="yFootnotesection"/>
      </w:pPr>
      <w:r>
        <w:tab/>
        <w:t>[Clause 10 inserted: SL 2020/79 bl.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8" w:name="_Toc43213656"/>
      <w:bookmarkStart w:id="29" w:name="_Toc43387165"/>
      <w:bookmarkStart w:id="30" w:name="_Toc43390419"/>
      <w:r>
        <w:rPr>
          <w:rStyle w:val="CharSchNo"/>
        </w:rPr>
        <w:t>Schedule 2</w:t>
      </w:r>
      <w:r>
        <w:t> — </w:t>
      </w:r>
      <w:r>
        <w:rPr>
          <w:rStyle w:val="CharSchText"/>
        </w:rPr>
        <w:t>Unmetered supply</w:t>
      </w:r>
      <w:bookmarkEnd w:id="28"/>
      <w:bookmarkEnd w:id="29"/>
      <w:bookmarkEnd w:id="30"/>
    </w:p>
    <w:p>
      <w:pPr>
        <w:pStyle w:val="yShoulderClause"/>
      </w:pPr>
      <w:r>
        <w:t>[bl. 4(2) and (3)]</w:t>
      </w:r>
    </w:p>
    <w:p>
      <w:pPr>
        <w:pStyle w:val="yFootnoteheading"/>
      </w:pPr>
      <w:r>
        <w:tab/>
        <w:t>[Heading inserted: SL 2020/79 bl. 4.]</w:t>
      </w:r>
    </w:p>
    <w:p>
      <w:pPr>
        <w:pStyle w:val="yHeading3"/>
      </w:pPr>
      <w:bookmarkStart w:id="31" w:name="_Toc43213657"/>
      <w:bookmarkStart w:id="32" w:name="_Toc43387166"/>
      <w:bookmarkStart w:id="33" w:name="_Toc43390420"/>
      <w:r>
        <w:rPr>
          <w:rStyle w:val="CharSDivNo"/>
        </w:rPr>
        <w:t>Division 1</w:t>
      </w:r>
      <w:r>
        <w:rPr>
          <w:b w:val="0"/>
        </w:rPr>
        <w:t> — </w:t>
      </w:r>
      <w:r>
        <w:rPr>
          <w:rStyle w:val="CharSDivText"/>
        </w:rPr>
        <w:t>Street lighting</w:t>
      </w:r>
      <w:bookmarkEnd w:id="31"/>
      <w:bookmarkEnd w:id="32"/>
      <w:bookmarkEnd w:id="33"/>
    </w:p>
    <w:p>
      <w:pPr>
        <w:pStyle w:val="yFootnoteheading"/>
        <w:spacing w:after="120"/>
      </w:pPr>
      <w:r>
        <w:tab/>
        <w:t>[Heading inserted: SL 2020/79 bl. 4.]</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09"/>
        <w:gridCol w:w="142"/>
        <w:gridCol w:w="1114"/>
        <w:gridCol w:w="28"/>
        <w:gridCol w:w="133"/>
        <w:gridCol w:w="122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gridSpan w:val="2"/>
            <w:tcBorders>
              <w:top w:val="single" w:sz="4" w:space="0" w:color="auto"/>
              <w:bottom w:val="single" w:sz="4" w:space="0" w:color="auto"/>
            </w:tcBorders>
          </w:tcPr>
          <w:p>
            <w:pPr>
              <w:pStyle w:val="yTableNAm"/>
            </w:pPr>
            <w:r>
              <w:rPr>
                <w:b/>
                <w:bCs/>
                <w:sz w:val="16"/>
                <w:szCs w:val="16"/>
              </w:rPr>
              <w:t>Wattage</w:t>
            </w:r>
          </w:p>
        </w:tc>
        <w:tc>
          <w:tcPr>
            <w:tcW w:w="1142" w:type="dxa"/>
            <w:gridSpan w:val="2"/>
            <w:tcBorders>
              <w:top w:val="single" w:sz="4" w:space="0" w:color="auto"/>
              <w:bottom w:val="single" w:sz="4" w:space="0" w:color="auto"/>
            </w:tcBorders>
          </w:tcPr>
          <w:p>
            <w:pPr>
              <w:pStyle w:val="yTableNAm"/>
            </w:pPr>
            <w:r>
              <w:rPr>
                <w:b/>
                <w:bCs/>
                <w:sz w:val="16"/>
                <w:szCs w:val="16"/>
              </w:rPr>
              <w:t>Type</w:t>
            </w:r>
          </w:p>
        </w:tc>
        <w:tc>
          <w:tcPr>
            <w:tcW w:w="136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9"/>
          </w:tcPr>
          <w:p>
            <w:pPr>
              <w:pStyle w:val="yTableNAm"/>
            </w:pPr>
            <w:r>
              <w:rPr>
                <w:b/>
                <w:i/>
                <w:iCs/>
                <w:sz w:val="16"/>
                <w:szCs w:val="16"/>
              </w:rPr>
              <w:t>Street lighting on current offer and for existing services</w:t>
            </w:r>
          </w:p>
        </w:tc>
      </w:tr>
      <w:tr>
        <w:trPr>
          <w:cantSplit/>
        </w:trPr>
        <w:tc>
          <w:tcPr>
            <w:tcW w:w="567" w:type="dxa"/>
          </w:tcPr>
          <w:p>
            <w:pPr>
              <w:pStyle w:val="yTableNAm"/>
              <w:rPr>
                <w:sz w:val="18"/>
                <w:szCs w:val="18"/>
              </w:rPr>
            </w:pPr>
            <w:r>
              <w:rPr>
                <w:sz w:val="18"/>
                <w:szCs w:val="18"/>
              </w:rPr>
              <w:t>Z.01</w:t>
            </w:r>
          </w:p>
        </w:tc>
        <w:tc>
          <w:tcPr>
            <w:tcW w:w="709" w:type="dxa"/>
          </w:tcPr>
          <w:p>
            <w:pPr>
              <w:pStyle w:val="yTableNAm"/>
              <w:rPr>
                <w:sz w:val="18"/>
                <w:szCs w:val="18"/>
              </w:rPr>
            </w:pPr>
            <w:r>
              <w:rPr>
                <w:sz w:val="18"/>
                <w:szCs w:val="18"/>
              </w:rPr>
              <w:t>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30.6207</w:t>
            </w:r>
          </w:p>
        </w:tc>
        <w:tc>
          <w:tcPr>
            <w:tcW w:w="1512" w:type="dxa"/>
          </w:tcPr>
          <w:p>
            <w:pPr>
              <w:pStyle w:val="yTableNAm"/>
              <w:rPr>
                <w:sz w:val="18"/>
                <w:szCs w:val="18"/>
              </w:rPr>
            </w:pPr>
            <w:r>
              <w:rPr>
                <w:sz w:val="18"/>
                <w:szCs w:val="18"/>
              </w:rPr>
              <w:t>31.6462</w:t>
            </w:r>
          </w:p>
        </w:tc>
        <w:tc>
          <w:tcPr>
            <w:tcW w:w="1370" w:type="dxa"/>
          </w:tcPr>
          <w:p>
            <w:pPr>
              <w:pStyle w:val="yTableNAm"/>
              <w:rPr>
                <w:sz w:val="18"/>
                <w:szCs w:val="18"/>
              </w:rPr>
            </w:pPr>
            <w:r>
              <w:rPr>
                <w:sz w:val="18"/>
                <w:szCs w:val="18"/>
              </w:rPr>
              <w:t>35.5432</w:t>
            </w:r>
          </w:p>
        </w:tc>
      </w:tr>
      <w:tr>
        <w:trPr>
          <w:cantSplit/>
        </w:trPr>
        <w:tc>
          <w:tcPr>
            <w:tcW w:w="567" w:type="dxa"/>
          </w:tcPr>
          <w:p>
            <w:pPr>
              <w:pStyle w:val="yTableNAm"/>
              <w:rPr>
                <w:sz w:val="18"/>
                <w:szCs w:val="18"/>
              </w:rPr>
            </w:pPr>
            <w:r>
              <w:rPr>
                <w:sz w:val="18"/>
                <w:szCs w:val="18"/>
              </w:rPr>
              <w:t>Z.02</w:t>
            </w:r>
          </w:p>
        </w:tc>
        <w:tc>
          <w:tcPr>
            <w:tcW w:w="709" w:type="dxa"/>
          </w:tcPr>
          <w:p>
            <w:pPr>
              <w:pStyle w:val="yTableNAm"/>
              <w:rPr>
                <w:sz w:val="18"/>
                <w:szCs w:val="18"/>
              </w:rPr>
            </w:pPr>
            <w:r>
              <w:rPr>
                <w:sz w:val="18"/>
                <w:szCs w:val="18"/>
              </w:rPr>
              <w:t>80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39.5562</w:t>
            </w:r>
          </w:p>
        </w:tc>
        <w:tc>
          <w:tcPr>
            <w:tcW w:w="1512" w:type="dxa"/>
          </w:tcPr>
          <w:p>
            <w:pPr>
              <w:pStyle w:val="yTableNAm"/>
              <w:rPr>
                <w:sz w:val="18"/>
                <w:szCs w:val="18"/>
              </w:rPr>
            </w:pPr>
            <w:r>
              <w:rPr>
                <w:sz w:val="18"/>
                <w:szCs w:val="18"/>
              </w:rPr>
              <w:t>41.1971</w:t>
            </w:r>
          </w:p>
        </w:tc>
        <w:tc>
          <w:tcPr>
            <w:tcW w:w="1370" w:type="dxa"/>
          </w:tcPr>
          <w:p>
            <w:pPr>
              <w:pStyle w:val="yTableNAm"/>
              <w:rPr>
                <w:sz w:val="18"/>
                <w:szCs w:val="18"/>
              </w:rPr>
            </w:pPr>
            <w:r>
              <w:rPr>
                <w:sz w:val="18"/>
                <w:szCs w:val="18"/>
              </w:rPr>
              <w:t>47.4323</w:t>
            </w:r>
          </w:p>
        </w:tc>
      </w:tr>
      <w:tr>
        <w:trPr>
          <w:cantSplit/>
        </w:trPr>
        <w:tc>
          <w:tcPr>
            <w:tcW w:w="567" w:type="dxa"/>
          </w:tcPr>
          <w:p>
            <w:pPr>
              <w:pStyle w:val="yTableNAm"/>
              <w:rPr>
                <w:sz w:val="18"/>
                <w:szCs w:val="18"/>
              </w:rPr>
            </w:pPr>
            <w:r>
              <w:rPr>
                <w:sz w:val="18"/>
                <w:szCs w:val="18"/>
              </w:rPr>
              <w:t>Z.03</w:t>
            </w:r>
          </w:p>
        </w:tc>
        <w:tc>
          <w:tcPr>
            <w:tcW w:w="709" w:type="dxa"/>
          </w:tcPr>
          <w:p>
            <w:pPr>
              <w:pStyle w:val="yTableNAm"/>
              <w:rPr>
                <w:sz w:val="18"/>
                <w:szCs w:val="18"/>
              </w:rPr>
            </w:pPr>
            <w:r>
              <w:rPr>
                <w:sz w:val="18"/>
                <w:szCs w:val="18"/>
              </w:rPr>
              <w:t>125</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48.5943</w:t>
            </w:r>
          </w:p>
        </w:tc>
        <w:tc>
          <w:tcPr>
            <w:tcW w:w="1512" w:type="dxa"/>
          </w:tcPr>
          <w:p>
            <w:pPr>
              <w:pStyle w:val="yTableNAm"/>
              <w:rPr>
                <w:sz w:val="18"/>
                <w:szCs w:val="18"/>
              </w:rPr>
            </w:pPr>
            <w:r>
              <w:rPr>
                <w:sz w:val="18"/>
                <w:szCs w:val="18"/>
              </w:rPr>
              <w:t>51.1580</w:t>
            </w:r>
          </w:p>
        </w:tc>
        <w:tc>
          <w:tcPr>
            <w:tcW w:w="1370" w:type="dxa"/>
          </w:tcPr>
          <w:p>
            <w:pPr>
              <w:pStyle w:val="yTableNAm"/>
              <w:rPr>
                <w:sz w:val="18"/>
                <w:szCs w:val="18"/>
              </w:rPr>
            </w:pPr>
            <w:r>
              <w:rPr>
                <w:sz w:val="18"/>
                <w:szCs w:val="18"/>
              </w:rPr>
              <w:t>60.9005</w:t>
            </w:r>
          </w:p>
        </w:tc>
      </w:tr>
      <w:tr>
        <w:trPr>
          <w:cantSplit/>
        </w:trPr>
        <w:tc>
          <w:tcPr>
            <w:tcW w:w="567" w:type="dxa"/>
          </w:tcPr>
          <w:p>
            <w:pPr>
              <w:pStyle w:val="yTableNAm"/>
              <w:rPr>
                <w:sz w:val="18"/>
                <w:szCs w:val="18"/>
              </w:rPr>
            </w:pPr>
            <w:r>
              <w:rPr>
                <w:sz w:val="18"/>
                <w:szCs w:val="18"/>
              </w:rPr>
              <w:t>Z.07</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69.6622</w:t>
            </w:r>
          </w:p>
        </w:tc>
        <w:tc>
          <w:tcPr>
            <w:tcW w:w="1512" w:type="dxa"/>
          </w:tcPr>
          <w:p>
            <w:pPr>
              <w:pStyle w:val="yTableNAm"/>
              <w:rPr>
                <w:sz w:val="18"/>
                <w:szCs w:val="18"/>
              </w:rPr>
            </w:pPr>
            <w:r>
              <w:rPr>
                <w:sz w:val="18"/>
                <w:szCs w:val="18"/>
              </w:rPr>
              <w:t>74.7899</w:t>
            </w:r>
          </w:p>
        </w:tc>
        <w:tc>
          <w:tcPr>
            <w:tcW w:w="1370" w:type="dxa"/>
          </w:tcPr>
          <w:p>
            <w:pPr>
              <w:pStyle w:val="yTableNAm"/>
              <w:rPr>
                <w:sz w:val="18"/>
                <w:szCs w:val="18"/>
              </w:rPr>
            </w:pPr>
            <w:r>
              <w:rPr>
                <w:sz w:val="18"/>
                <w:szCs w:val="18"/>
              </w:rPr>
              <w:t>94.2748</w:t>
            </w:r>
          </w:p>
        </w:tc>
      </w:tr>
      <w:tr>
        <w:trPr>
          <w:cantSplit/>
        </w:trPr>
        <w:tc>
          <w:tcPr>
            <w:tcW w:w="567" w:type="dxa"/>
          </w:tcPr>
          <w:p>
            <w:pPr>
              <w:pStyle w:val="yTableNAm"/>
              <w:rPr>
                <w:sz w:val="18"/>
                <w:szCs w:val="18"/>
              </w:rPr>
            </w:pPr>
            <w:r>
              <w:rPr>
                <w:sz w:val="18"/>
                <w:szCs w:val="18"/>
              </w:rPr>
              <w:t>Z.10</w:t>
            </w:r>
          </w:p>
        </w:tc>
        <w:tc>
          <w:tcPr>
            <w:tcW w:w="709" w:type="dxa"/>
          </w:tcPr>
          <w:p>
            <w:pPr>
              <w:pStyle w:val="yTableNAm"/>
              <w:rPr>
                <w:sz w:val="18"/>
                <w:szCs w:val="18"/>
              </w:rPr>
            </w:pPr>
            <w:r>
              <w:rPr>
                <w:sz w:val="18"/>
                <w:szCs w:val="18"/>
              </w:rPr>
              <w:t>400</w:t>
            </w:r>
          </w:p>
        </w:tc>
        <w:tc>
          <w:tcPr>
            <w:tcW w:w="1417" w:type="dxa"/>
            <w:gridSpan w:val="4"/>
          </w:tcPr>
          <w:p>
            <w:pPr>
              <w:pStyle w:val="yTableNAm"/>
              <w:rPr>
                <w:sz w:val="18"/>
                <w:szCs w:val="18"/>
              </w:rPr>
            </w:pPr>
            <w:r>
              <w:rPr>
                <w:sz w:val="18"/>
                <w:szCs w:val="18"/>
              </w:rPr>
              <w:t>Mercury vapour</w:t>
            </w:r>
          </w:p>
        </w:tc>
        <w:tc>
          <w:tcPr>
            <w:tcW w:w="1229" w:type="dxa"/>
          </w:tcPr>
          <w:p>
            <w:pPr>
              <w:pStyle w:val="yTableNAm"/>
              <w:rPr>
                <w:sz w:val="18"/>
                <w:szCs w:val="18"/>
              </w:rPr>
            </w:pPr>
            <w:r>
              <w:rPr>
                <w:sz w:val="18"/>
                <w:szCs w:val="18"/>
              </w:rPr>
              <w:t>80.7647</w:t>
            </w:r>
          </w:p>
        </w:tc>
        <w:tc>
          <w:tcPr>
            <w:tcW w:w="1512" w:type="dxa"/>
          </w:tcPr>
          <w:p>
            <w:pPr>
              <w:pStyle w:val="yTableNAm"/>
              <w:rPr>
                <w:sz w:val="18"/>
                <w:szCs w:val="18"/>
              </w:rPr>
            </w:pPr>
            <w:r>
              <w:rPr>
                <w:sz w:val="18"/>
                <w:szCs w:val="18"/>
              </w:rPr>
              <w:t>84.0614</w:t>
            </w:r>
          </w:p>
        </w:tc>
        <w:tc>
          <w:tcPr>
            <w:tcW w:w="1370" w:type="dxa"/>
          </w:tcPr>
          <w:p>
            <w:pPr>
              <w:pStyle w:val="yTableNAm"/>
              <w:rPr>
                <w:sz w:val="18"/>
                <w:szCs w:val="18"/>
              </w:rPr>
            </w:pPr>
            <w:r>
              <w:rPr>
                <w:sz w:val="18"/>
                <w:szCs w:val="18"/>
              </w:rPr>
              <w:t>124.1038</w:t>
            </w:r>
          </w:p>
        </w:tc>
      </w:tr>
      <w:tr>
        <w:trPr>
          <w:cantSplit/>
        </w:trPr>
        <w:tc>
          <w:tcPr>
            <w:tcW w:w="567" w:type="dxa"/>
          </w:tcPr>
          <w:p>
            <w:pPr>
              <w:pStyle w:val="yTableNAm"/>
              <w:rPr>
                <w:sz w:val="18"/>
                <w:szCs w:val="18"/>
              </w:rPr>
            </w:pPr>
            <w:r>
              <w:rPr>
                <w:sz w:val="18"/>
                <w:szCs w:val="18"/>
              </w:rPr>
              <w:t>Z.13</w:t>
            </w:r>
          </w:p>
        </w:tc>
        <w:tc>
          <w:tcPr>
            <w:tcW w:w="709" w:type="dxa"/>
          </w:tcPr>
          <w:p>
            <w:pPr>
              <w:pStyle w:val="yTableNAm"/>
              <w:rPr>
                <w:sz w:val="18"/>
                <w:szCs w:val="18"/>
              </w:rPr>
            </w:pPr>
            <w:r>
              <w:rPr>
                <w:sz w:val="18"/>
                <w:szCs w:val="18"/>
              </w:rPr>
              <w:t>150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53.3514</w:t>
            </w:r>
          </w:p>
        </w:tc>
        <w:tc>
          <w:tcPr>
            <w:tcW w:w="1512" w:type="dxa"/>
          </w:tcPr>
          <w:p>
            <w:pPr>
              <w:pStyle w:val="yTableNAm"/>
              <w:rPr>
                <w:sz w:val="18"/>
                <w:szCs w:val="18"/>
              </w:rPr>
            </w:pPr>
            <w:r>
              <w:rPr>
                <w:sz w:val="18"/>
                <w:szCs w:val="18"/>
              </w:rPr>
              <w:t>56.4280</w:t>
            </w:r>
          </w:p>
        </w:tc>
        <w:tc>
          <w:tcPr>
            <w:tcW w:w="1370" w:type="dxa"/>
          </w:tcPr>
          <w:p>
            <w:pPr>
              <w:pStyle w:val="yTableNAm"/>
              <w:rPr>
                <w:sz w:val="18"/>
                <w:szCs w:val="18"/>
              </w:rPr>
            </w:pPr>
            <w:r>
              <w:rPr>
                <w:sz w:val="18"/>
                <w:szCs w:val="18"/>
              </w:rPr>
              <w:t>68.1189</w:t>
            </w:r>
          </w:p>
        </w:tc>
      </w:tr>
      <w:tr>
        <w:trPr>
          <w:cantSplit/>
        </w:trPr>
        <w:tc>
          <w:tcPr>
            <w:tcW w:w="567" w:type="dxa"/>
          </w:tcPr>
          <w:p>
            <w:pPr>
              <w:pStyle w:val="yTableNAm"/>
              <w:rPr>
                <w:sz w:val="18"/>
                <w:szCs w:val="18"/>
              </w:rPr>
            </w:pPr>
            <w:r>
              <w:rPr>
                <w:sz w:val="18"/>
                <w:szCs w:val="18"/>
              </w:rPr>
              <w:t>Z.15</w:t>
            </w:r>
          </w:p>
        </w:tc>
        <w:tc>
          <w:tcPr>
            <w:tcW w:w="709" w:type="dxa"/>
          </w:tcPr>
          <w:p>
            <w:pPr>
              <w:pStyle w:val="yTableNAm"/>
              <w:rPr>
                <w:sz w:val="18"/>
                <w:szCs w:val="18"/>
              </w:rPr>
            </w:pPr>
            <w:r>
              <w:rPr>
                <w:sz w:val="18"/>
                <w:szCs w:val="18"/>
              </w:rPr>
              <w:t>250</w:t>
            </w:r>
          </w:p>
        </w:tc>
        <w:tc>
          <w:tcPr>
            <w:tcW w:w="1417" w:type="dxa"/>
            <w:gridSpan w:val="4"/>
          </w:tcPr>
          <w:p>
            <w:pPr>
              <w:pStyle w:val="yTableNAm"/>
              <w:rPr>
                <w:sz w:val="18"/>
                <w:szCs w:val="18"/>
              </w:rPr>
            </w:pPr>
            <w:r>
              <w:rPr>
                <w:sz w:val="18"/>
                <w:szCs w:val="18"/>
              </w:rPr>
              <w:t>High pressure sodium</w:t>
            </w:r>
          </w:p>
        </w:tc>
        <w:tc>
          <w:tcPr>
            <w:tcW w:w="1229" w:type="dxa"/>
          </w:tcPr>
          <w:p>
            <w:pPr>
              <w:pStyle w:val="yTableNAm"/>
              <w:rPr>
                <w:sz w:val="18"/>
                <w:szCs w:val="18"/>
              </w:rPr>
            </w:pPr>
            <w:r>
              <w:rPr>
                <w:sz w:val="18"/>
                <w:szCs w:val="18"/>
              </w:rPr>
              <w:t>62.0643</w:t>
            </w:r>
          </w:p>
        </w:tc>
        <w:tc>
          <w:tcPr>
            <w:tcW w:w="1512" w:type="dxa"/>
          </w:tcPr>
          <w:p>
            <w:pPr>
              <w:pStyle w:val="yTableNAm"/>
              <w:rPr>
                <w:sz w:val="18"/>
                <w:szCs w:val="18"/>
              </w:rPr>
            </w:pPr>
            <w:r>
              <w:rPr>
                <w:sz w:val="18"/>
                <w:szCs w:val="18"/>
              </w:rPr>
              <w:t>67.1919</w:t>
            </w:r>
          </w:p>
        </w:tc>
        <w:tc>
          <w:tcPr>
            <w:tcW w:w="1370" w:type="dxa"/>
          </w:tcPr>
          <w:p>
            <w:pPr>
              <w:pStyle w:val="yTableNAm"/>
              <w:rPr>
                <w:sz w:val="18"/>
                <w:szCs w:val="18"/>
              </w:rPr>
            </w:pPr>
            <w:r>
              <w:rPr>
                <w:sz w:val="18"/>
                <w:szCs w:val="18"/>
              </w:rPr>
              <w:t>86.6768</w:t>
            </w:r>
          </w:p>
        </w:tc>
      </w:tr>
      <w:tr>
        <w:trPr>
          <w:cantSplit/>
        </w:trPr>
        <w:tc>
          <w:tcPr>
            <w:tcW w:w="567" w:type="dxa"/>
          </w:tcPr>
          <w:p>
            <w:pPr>
              <w:pStyle w:val="yTableNAm"/>
              <w:rPr>
                <w:sz w:val="18"/>
                <w:szCs w:val="18"/>
              </w:rPr>
            </w:pPr>
            <w:r>
              <w:rPr>
                <w:sz w:val="18"/>
                <w:szCs w:val="18"/>
              </w:rPr>
              <w:t>Z.18</w:t>
            </w:r>
          </w:p>
        </w:tc>
        <w:tc>
          <w:tcPr>
            <w:tcW w:w="709" w:type="dxa"/>
          </w:tcPr>
          <w:p>
            <w:pPr>
              <w:pStyle w:val="yTableNAm"/>
              <w:rPr>
                <w:sz w:val="18"/>
                <w:szCs w:val="18"/>
              </w:rPr>
            </w:pPr>
            <w:r>
              <w:rPr>
                <w:sz w:val="18"/>
                <w:szCs w:val="18"/>
              </w:rPr>
              <w:t>per kW</w:t>
            </w:r>
          </w:p>
        </w:tc>
        <w:tc>
          <w:tcPr>
            <w:tcW w:w="1417" w:type="dxa"/>
            <w:gridSpan w:val="4"/>
          </w:tcPr>
          <w:p>
            <w:pPr>
              <w:pStyle w:val="yTableNAm"/>
              <w:rPr>
                <w:sz w:val="18"/>
                <w:szCs w:val="18"/>
              </w:rPr>
            </w:pPr>
            <w:r>
              <w:rPr>
                <w:sz w:val="18"/>
                <w:szCs w:val="18"/>
              </w:rPr>
              <w:t>Auxiliary lighting in public places</w:t>
            </w:r>
          </w:p>
        </w:tc>
        <w:tc>
          <w:tcPr>
            <w:tcW w:w="1229" w:type="dxa"/>
          </w:tcPr>
          <w:p>
            <w:pPr>
              <w:pStyle w:val="yTableNAm"/>
              <w:rPr>
                <w:sz w:val="18"/>
                <w:szCs w:val="18"/>
              </w:rPr>
            </w:pPr>
            <w:r>
              <w:rPr>
                <w:sz w:val="18"/>
                <w:szCs w:val="18"/>
              </w:rPr>
              <w:t>Not applicable</w:t>
            </w:r>
          </w:p>
        </w:tc>
        <w:tc>
          <w:tcPr>
            <w:tcW w:w="1512" w:type="dxa"/>
          </w:tcPr>
          <w:p>
            <w:pPr>
              <w:pStyle w:val="yTableNAm"/>
              <w:rPr>
                <w:sz w:val="18"/>
                <w:szCs w:val="18"/>
              </w:rPr>
            </w:pPr>
            <w:r>
              <w:rPr>
                <w:sz w:val="18"/>
                <w:szCs w:val="18"/>
              </w:rPr>
              <w:t>Not applicable</w:t>
            </w:r>
          </w:p>
        </w:tc>
        <w:tc>
          <w:tcPr>
            <w:tcW w:w="1370" w:type="dxa"/>
          </w:tcPr>
          <w:p>
            <w:pPr>
              <w:pStyle w:val="yTableNAm"/>
              <w:rPr>
                <w:sz w:val="18"/>
                <w:szCs w:val="18"/>
              </w:rPr>
            </w:pPr>
            <w:r>
              <w:rPr>
                <w:sz w:val="18"/>
                <w:szCs w:val="18"/>
              </w:rPr>
              <w:t>271.5837</w:t>
            </w:r>
          </w:p>
        </w:tc>
      </w:tr>
      <w:tr>
        <w:trPr>
          <w:cantSplit/>
        </w:trPr>
        <w:tc>
          <w:tcPr>
            <w:tcW w:w="6804" w:type="dxa"/>
            <w:gridSpan w:val="9"/>
          </w:tcPr>
          <w:p>
            <w:pPr>
              <w:pStyle w:val="yTableNAm"/>
              <w:keepNext/>
              <w:keepLines/>
            </w:pPr>
            <w:r>
              <w:rPr>
                <w:b/>
                <w:i/>
                <w:iCs/>
                <w:sz w:val="16"/>
                <w:szCs w:val="16"/>
              </w:rPr>
              <w:t>Street lighting for existing services only</w:t>
            </w:r>
          </w:p>
        </w:tc>
      </w:tr>
      <w:tr>
        <w:trPr>
          <w:cantSplit/>
        </w:trPr>
        <w:tc>
          <w:tcPr>
            <w:tcW w:w="567" w:type="dxa"/>
          </w:tcPr>
          <w:p>
            <w:pPr>
              <w:pStyle w:val="yTableNAm"/>
              <w:rPr>
                <w:sz w:val="18"/>
                <w:szCs w:val="18"/>
              </w:rPr>
            </w:pPr>
            <w:r>
              <w:rPr>
                <w:sz w:val="18"/>
                <w:szCs w:val="18"/>
              </w:rPr>
              <w:t>Z.52</w:t>
            </w:r>
          </w:p>
        </w:tc>
        <w:tc>
          <w:tcPr>
            <w:tcW w:w="851" w:type="dxa"/>
            <w:gridSpan w:val="2"/>
          </w:tcPr>
          <w:p>
            <w:pPr>
              <w:pStyle w:val="yTableNAm"/>
              <w:rPr>
                <w:sz w:val="18"/>
                <w:szCs w:val="18"/>
              </w:rPr>
            </w:pPr>
            <w:r>
              <w:rPr>
                <w:sz w:val="18"/>
                <w:szCs w:val="18"/>
              </w:rPr>
              <w:t>100</w:t>
            </w:r>
          </w:p>
        </w:tc>
        <w:tc>
          <w:tcPr>
            <w:tcW w:w="1114" w:type="dxa"/>
          </w:tcPr>
          <w:p>
            <w:pPr>
              <w:pStyle w:val="yTableNAm"/>
              <w:rPr>
                <w:sz w:val="18"/>
                <w:szCs w:val="18"/>
              </w:rPr>
            </w:pPr>
            <w:r>
              <w:rPr>
                <w:sz w:val="18"/>
                <w:szCs w:val="18"/>
              </w:rPr>
              <w:t>Incandescent</w:t>
            </w:r>
          </w:p>
        </w:tc>
        <w:tc>
          <w:tcPr>
            <w:tcW w:w="1390" w:type="dxa"/>
            <w:gridSpan w:val="3"/>
          </w:tcPr>
          <w:p>
            <w:pPr>
              <w:pStyle w:val="yTableNAm"/>
              <w:rPr>
                <w:sz w:val="18"/>
                <w:szCs w:val="18"/>
              </w:rPr>
            </w:pPr>
            <w:r>
              <w:rPr>
                <w:sz w:val="18"/>
                <w:szCs w:val="18"/>
              </w:rPr>
              <w:t>34.9771</w:t>
            </w:r>
          </w:p>
        </w:tc>
        <w:tc>
          <w:tcPr>
            <w:tcW w:w="1512" w:type="dxa"/>
          </w:tcPr>
          <w:p>
            <w:pPr>
              <w:pStyle w:val="yTableNAm"/>
              <w:rPr>
                <w:sz w:val="18"/>
                <w:szCs w:val="18"/>
              </w:rPr>
            </w:pPr>
            <w:r>
              <w:rPr>
                <w:sz w:val="18"/>
                <w:szCs w:val="18"/>
              </w:rPr>
              <w:t>36.4334</w:t>
            </w:r>
          </w:p>
        </w:tc>
        <w:tc>
          <w:tcPr>
            <w:tcW w:w="1370" w:type="dxa"/>
          </w:tcPr>
          <w:p>
            <w:pPr>
              <w:pStyle w:val="yTableNAm"/>
              <w:rPr>
                <w:sz w:val="18"/>
                <w:szCs w:val="18"/>
              </w:rPr>
            </w:pPr>
            <w:r>
              <w:rPr>
                <w:sz w:val="18"/>
                <w:szCs w:val="18"/>
              </w:rPr>
              <w:t>40.5008</w:t>
            </w:r>
          </w:p>
        </w:tc>
      </w:tr>
      <w:tr>
        <w:trPr>
          <w:cantSplit/>
        </w:trPr>
        <w:tc>
          <w:tcPr>
            <w:tcW w:w="567" w:type="dxa"/>
            <w:tcBorders>
              <w:bottom w:val="single" w:sz="4" w:space="0" w:color="auto"/>
            </w:tcBorders>
          </w:tcPr>
          <w:p>
            <w:pPr>
              <w:pStyle w:val="yTableNAm"/>
              <w:rPr>
                <w:sz w:val="18"/>
                <w:szCs w:val="18"/>
              </w:rPr>
            </w:pPr>
            <w:r>
              <w:rPr>
                <w:sz w:val="18"/>
                <w:szCs w:val="18"/>
              </w:rPr>
              <w:t>Z.56</w:t>
            </w:r>
          </w:p>
        </w:tc>
        <w:tc>
          <w:tcPr>
            <w:tcW w:w="851" w:type="dxa"/>
            <w:gridSpan w:val="2"/>
            <w:tcBorders>
              <w:bottom w:val="single" w:sz="4" w:space="0" w:color="auto"/>
            </w:tcBorders>
          </w:tcPr>
          <w:p>
            <w:pPr>
              <w:pStyle w:val="yTableNAm"/>
              <w:rPr>
                <w:sz w:val="18"/>
                <w:szCs w:val="18"/>
              </w:rPr>
            </w:pPr>
            <w:r>
              <w:rPr>
                <w:sz w:val="18"/>
                <w:szCs w:val="18"/>
              </w:rPr>
              <w:t>40</w:t>
            </w:r>
          </w:p>
        </w:tc>
        <w:tc>
          <w:tcPr>
            <w:tcW w:w="1114" w:type="dxa"/>
            <w:tcBorders>
              <w:bottom w:val="single" w:sz="4" w:space="0" w:color="auto"/>
            </w:tcBorders>
          </w:tcPr>
          <w:p>
            <w:pPr>
              <w:pStyle w:val="yTableNAm"/>
              <w:rPr>
                <w:sz w:val="18"/>
                <w:szCs w:val="18"/>
              </w:rPr>
            </w:pPr>
            <w:r>
              <w:rPr>
                <w:sz w:val="18"/>
                <w:szCs w:val="18"/>
              </w:rPr>
              <w:t>Fluorescent</w:t>
            </w:r>
          </w:p>
        </w:tc>
        <w:tc>
          <w:tcPr>
            <w:tcW w:w="1390" w:type="dxa"/>
            <w:gridSpan w:val="3"/>
            <w:tcBorders>
              <w:bottom w:val="single" w:sz="4" w:space="0" w:color="auto"/>
            </w:tcBorders>
          </w:tcPr>
          <w:p>
            <w:pPr>
              <w:pStyle w:val="yTableNAm"/>
              <w:rPr>
                <w:sz w:val="18"/>
                <w:szCs w:val="18"/>
              </w:rPr>
            </w:pPr>
            <w:r>
              <w:rPr>
                <w:sz w:val="18"/>
                <w:szCs w:val="18"/>
              </w:rPr>
              <w:t>29.7494</w:t>
            </w:r>
          </w:p>
        </w:tc>
        <w:tc>
          <w:tcPr>
            <w:tcW w:w="1512" w:type="dxa"/>
            <w:tcBorders>
              <w:bottom w:val="single" w:sz="4" w:space="0" w:color="auto"/>
            </w:tcBorders>
          </w:tcPr>
          <w:p>
            <w:pPr>
              <w:pStyle w:val="yTableNAm"/>
              <w:rPr>
                <w:sz w:val="18"/>
                <w:szCs w:val="18"/>
              </w:rPr>
            </w:pPr>
            <w:r>
              <w:rPr>
                <w:sz w:val="18"/>
                <w:szCs w:val="18"/>
              </w:rPr>
              <w:t>30.5698</w:t>
            </w:r>
          </w:p>
        </w:tc>
        <w:tc>
          <w:tcPr>
            <w:tcW w:w="1370" w:type="dxa"/>
            <w:tcBorders>
              <w:bottom w:val="single" w:sz="4" w:space="0" w:color="auto"/>
            </w:tcBorders>
          </w:tcPr>
          <w:p>
            <w:pPr>
              <w:pStyle w:val="yTableNAm"/>
              <w:rPr>
                <w:sz w:val="18"/>
                <w:szCs w:val="18"/>
              </w:rPr>
            </w:pPr>
            <w:r>
              <w:rPr>
                <w:sz w:val="18"/>
                <w:szCs w:val="18"/>
              </w:rPr>
              <w:t>33.6874</w:t>
            </w:r>
          </w:p>
        </w:tc>
      </w:tr>
    </w:tbl>
    <w:p>
      <w:pPr>
        <w:pStyle w:val="yFootnotesection"/>
      </w:pPr>
      <w:r>
        <w:tab/>
        <w:t>[Division 1 inserted: SL 2020/79 bl. 4.]</w:t>
      </w:r>
    </w:p>
    <w:p>
      <w:pPr>
        <w:pStyle w:val="yHeading3"/>
      </w:pPr>
      <w:bookmarkStart w:id="34" w:name="_Toc43213658"/>
      <w:bookmarkStart w:id="35" w:name="_Toc43387167"/>
      <w:bookmarkStart w:id="36" w:name="_Toc43390421"/>
      <w:r>
        <w:rPr>
          <w:rStyle w:val="CharSDivNo"/>
        </w:rPr>
        <w:t>Division 2</w:t>
      </w:r>
      <w:r>
        <w:rPr>
          <w:b w:val="0"/>
        </w:rPr>
        <w:t> — </w:t>
      </w:r>
      <w:r>
        <w:rPr>
          <w:rStyle w:val="CharSDivText"/>
        </w:rPr>
        <w:t>Miscellaneous</w:t>
      </w:r>
      <w:bookmarkEnd w:id="34"/>
      <w:bookmarkEnd w:id="35"/>
      <w:bookmarkEnd w:id="36"/>
    </w:p>
    <w:p>
      <w:pPr>
        <w:pStyle w:val="yFootnoteheading"/>
        <w:keepNext/>
      </w:pPr>
      <w:r>
        <w:tab/>
        <w:t>[Heading inserted: SL 2020/79 bl. 4.]</w:t>
      </w:r>
    </w:p>
    <w:p>
      <w:pPr>
        <w:pStyle w:val="yHeading5"/>
      </w:pPr>
      <w:bookmarkStart w:id="37" w:name="_Toc43390422"/>
      <w:r>
        <w:rPr>
          <w:rStyle w:val="CharSClsNo"/>
        </w:rPr>
        <w:t>1</w:t>
      </w:r>
      <w:r>
        <w:t>.</w:t>
      </w:r>
      <w:r>
        <w:tab/>
        <w:t>Traffic light installation</w:t>
      </w:r>
      <w:bookmarkEnd w:id="37"/>
    </w:p>
    <w:p>
      <w:pPr>
        <w:pStyle w:val="ySubsection"/>
        <w:keepNext/>
      </w:pPr>
      <w:r>
        <w:tab/>
      </w:r>
      <w:r>
        <w:tab/>
        <w:t xml:space="preserve">Supply of electricity to traffic light installations comprises a charge of </w:t>
      </w:r>
      <w:r>
        <w:rPr>
          <w:szCs w:val="22"/>
        </w:rPr>
        <w:t xml:space="preserve">$7.6365 </w:t>
      </w:r>
      <w:r>
        <w:t>per day per kW of installed wattage.</w:t>
      </w:r>
    </w:p>
    <w:p>
      <w:pPr>
        <w:pStyle w:val="yFootnotesection"/>
      </w:pPr>
      <w:r>
        <w:tab/>
        <w:t>[Clause 1 inserted: SL 2020/79 bl. 4.]</w:t>
      </w:r>
    </w:p>
    <w:p>
      <w:pPr>
        <w:pStyle w:val="yHeading5"/>
      </w:pPr>
      <w:bookmarkStart w:id="38" w:name="_Toc43390423"/>
      <w:r>
        <w:rPr>
          <w:rStyle w:val="CharSClsNo"/>
        </w:rPr>
        <w:t>2</w:t>
      </w:r>
      <w:r>
        <w:t>.</w:t>
      </w:r>
      <w:r>
        <w:tab/>
        <w:t>Public telephone facility</w:t>
      </w:r>
      <w:bookmarkEnd w:id="38"/>
    </w:p>
    <w:p>
      <w:pPr>
        <w:pStyle w:val="ySubsection"/>
      </w:pPr>
      <w:r>
        <w:tab/>
      </w:r>
      <w:r>
        <w:tab/>
        <w:t>Supply of electricity to a standard public telephone facility where supply is not independently metered comprises a charge of 66.2364 cents per day.</w:t>
      </w:r>
    </w:p>
    <w:p>
      <w:pPr>
        <w:pStyle w:val="yFootnotesection"/>
      </w:pPr>
      <w:r>
        <w:tab/>
        <w:t>[Clause 2 inserted: SL 2020/79 bl. 4.]</w:t>
      </w:r>
    </w:p>
    <w:p>
      <w:pPr>
        <w:pStyle w:val="yHeading5"/>
      </w:pPr>
      <w:bookmarkStart w:id="39" w:name="_Toc43390424"/>
      <w:r>
        <w:rPr>
          <w:rStyle w:val="CharSClsNo"/>
        </w:rPr>
        <w:t>3</w:t>
      </w:r>
      <w:r>
        <w:t>.</w:t>
      </w:r>
      <w:r>
        <w:tab/>
        <w:t>Railway crossing</w:t>
      </w:r>
      <w:bookmarkEnd w:id="39"/>
    </w:p>
    <w:p>
      <w:pPr>
        <w:pStyle w:val="ySubsection"/>
      </w:pPr>
      <w:r>
        <w:tab/>
      </w:r>
      <w:r>
        <w:tab/>
        <w:t xml:space="preserve">Supply of electricity to standard railway crossing lights comprises a charge of </w:t>
      </w:r>
      <w:r>
        <w:rPr>
          <w:szCs w:val="22"/>
        </w:rPr>
        <w:t xml:space="preserve">84.6457 </w:t>
      </w:r>
      <w:r>
        <w:t>cents per day.</w:t>
      </w:r>
    </w:p>
    <w:p>
      <w:pPr>
        <w:pStyle w:val="yFootnotesection"/>
      </w:pPr>
      <w:r>
        <w:tab/>
        <w:t>[Clause 3 inserted: SL 2020/79 bl. 4.]</w:t>
      </w:r>
    </w:p>
    <w:p>
      <w:pPr>
        <w:pStyle w:val="yScheduleHeading"/>
      </w:pPr>
      <w:bookmarkStart w:id="40" w:name="_Toc43212335"/>
      <w:bookmarkStart w:id="41" w:name="_Toc43213662"/>
      <w:bookmarkStart w:id="42" w:name="_Toc43387171"/>
      <w:bookmarkStart w:id="43" w:name="_Toc43390425"/>
      <w:bookmarkEnd w:id="17"/>
      <w:r>
        <w:rPr>
          <w:rStyle w:val="CharSchNo"/>
        </w:rPr>
        <w:t>Schedule 3</w:t>
      </w:r>
      <w:r>
        <w:rPr>
          <w:rStyle w:val="CharSDivNo"/>
        </w:rPr>
        <w:t> </w:t>
      </w:r>
      <w:r>
        <w:t>—</w:t>
      </w:r>
      <w:r>
        <w:rPr>
          <w:rStyle w:val="CharSDivText"/>
        </w:rPr>
        <w:t> </w:t>
      </w:r>
      <w:r>
        <w:rPr>
          <w:rStyle w:val="CharSchText"/>
        </w:rPr>
        <w:t>Meter rental</w:t>
      </w:r>
      <w:bookmarkEnd w:id="40"/>
      <w:bookmarkEnd w:id="41"/>
      <w:bookmarkEnd w:id="42"/>
      <w:bookmarkEnd w:id="43"/>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4" w:name="_Toc43213663"/>
      <w:bookmarkStart w:id="45" w:name="_Toc43387172"/>
      <w:bookmarkStart w:id="46" w:name="_Toc43390426"/>
      <w:bookmarkStart w:id="47" w:name="_Toc43212336"/>
      <w:r>
        <w:rPr>
          <w:rStyle w:val="CharSchNo"/>
        </w:rPr>
        <w:t>Schedule 4</w:t>
      </w:r>
      <w:r>
        <w:t> — </w:t>
      </w:r>
      <w:r>
        <w:rPr>
          <w:rStyle w:val="CharSchText"/>
        </w:rPr>
        <w:t>Fees</w:t>
      </w:r>
      <w:bookmarkEnd w:id="44"/>
      <w:bookmarkEnd w:id="45"/>
      <w:bookmarkEnd w:id="46"/>
    </w:p>
    <w:p>
      <w:pPr>
        <w:pStyle w:val="yShoulderClause"/>
      </w:pPr>
      <w:r>
        <w:t>[bl. 7]</w:t>
      </w:r>
    </w:p>
    <w:p>
      <w:pPr>
        <w:pStyle w:val="yFootnoteheading"/>
        <w:spacing w:after="120"/>
      </w:pPr>
      <w:r>
        <w:tab/>
        <w:t>[Heading inserted: SL 2020/79 bl. 5.]</w:t>
      </w:r>
    </w:p>
    <w:tbl>
      <w:tblPr>
        <w:tblW w:w="0" w:type="auto"/>
        <w:tblInd w:w="284" w:type="dxa"/>
        <w:tblLayout w:type="fixed"/>
        <w:tblCellMar>
          <w:left w:w="142" w:type="dxa"/>
          <w:right w:w="142" w:type="dxa"/>
        </w:tblCellMar>
        <w:tblLook w:val="0000" w:firstRow="0" w:lastRow="0" w:firstColumn="0" w:lastColumn="0" w:noHBand="0" w:noVBand="0"/>
      </w:tblPr>
      <w:tblGrid>
        <w:gridCol w:w="5528"/>
        <w:gridCol w:w="1276"/>
      </w:tblGrid>
      <w:tr>
        <w:trPr>
          <w:cantSplit/>
          <w:tblHeader/>
        </w:trPr>
        <w:tc>
          <w:tcPr>
            <w:tcW w:w="5528" w:type="dxa"/>
            <w:tcBorders>
              <w:top w:val="single" w:sz="4" w:space="0" w:color="auto"/>
              <w:bottom w:val="single" w:sz="4" w:space="0" w:color="auto"/>
            </w:tcBorders>
          </w:tcPr>
          <w:p>
            <w:pPr>
              <w:pStyle w:val="yTableNAm"/>
              <w:keepNext/>
              <w:ind w:left="556"/>
              <w:rPr>
                <w:b/>
                <w:iCs/>
              </w:rPr>
            </w:pPr>
            <w:r>
              <w:rPr>
                <w:b/>
                <w:iCs/>
              </w:rPr>
              <w:t>Description of fee</w:t>
            </w:r>
          </w:p>
        </w:tc>
        <w:tc>
          <w:tcPr>
            <w:tcW w:w="1276" w:type="dxa"/>
            <w:tcBorders>
              <w:top w:val="single" w:sz="4" w:space="0" w:color="auto"/>
              <w:bottom w:val="single" w:sz="4" w:space="0" w:color="auto"/>
            </w:tcBorders>
          </w:tcPr>
          <w:p>
            <w:pPr>
              <w:pStyle w:val="yTableNAm"/>
              <w:keepNext/>
              <w:rPr>
                <w:b/>
                <w:iCs/>
              </w:rPr>
            </w:pPr>
            <w:r>
              <w:rPr>
                <w:b/>
                <w:iCs/>
              </w:rPr>
              <w:t>Amount</w:t>
            </w:r>
          </w:p>
        </w:tc>
      </w:tr>
      <w:tr>
        <w:trPr>
          <w:cantSplit/>
        </w:trPr>
        <w:tc>
          <w:tcPr>
            <w:tcW w:w="5528" w:type="dxa"/>
            <w:tcBorders>
              <w:top w:val="single" w:sz="4" w:space="0" w:color="auto"/>
            </w:tcBorders>
          </w:tcPr>
          <w:p>
            <w:pPr>
              <w:pStyle w:val="yTableNAm"/>
              <w:keepNext/>
              <w:tabs>
                <w:tab w:val="right" w:leader="dot" w:pos="5387"/>
              </w:tabs>
              <w:ind w:left="556" w:right="-85" w:hanging="556"/>
            </w:pPr>
            <w:r>
              <w:t>1.</w:t>
            </w:r>
            <w:r>
              <w:tab/>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keepNext/>
            </w:pPr>
            <w:r>
              <w:t>$42.75</w:t>
            </w:r>
          </w:p>
        </w:tc>
      </w:tr>
      <w:tr>
        <w:trPr>
          <w:cantSplit/>
        </w:trPr>
        <w:tc>
          <w:tcPr>
            <w:tcW w:w="5528" w:type="dxa"/>
          </w:tcPr>
          <w:p>
            <w:pPr>
              <w:pStyle w:val="yTableNAm"/>
              <w:tabs>
                <w:tab w:val="left" w:pos="1156"/>
                <w:tab w:val="right" w:leader="dot" w:pos="5386"/>
              </w:tabs>
              <w:ind w:left="1157" w:right="-85" w:hanging="1157"/>
            </w:pPr>
            <w:r>
              <w:t>2.</w:t>
            </w:r>
            <w:r>
              <w:tab/>
              <w:t xml:space="preserve">Three phase residential installation — </w:t>
            </w:r>
          </w:p>
        </w:tc>
        <w:tc>
          <w:tcPr>
            <w:tcW w:w="1276" w:type="dxa"/>
          </w:tcPr>
          <w:p>
            <w:pPr>
              <w:pStyle w:val="yTableNAm"/>
            </w:pPr>
          </w:p>
        </w:tc>
      </w:tr>
      <w:tr>
        <w:trPr>
          <w:cantSplit/>
        </w:trPr>
        <w:tc>
          <w:tcPr>
            <w:tcW w:w="5528" w:type="dxa"/>
          </w:tcPr>
          <w:p>
            <w:pPr>
              <w:pStyle w:val="yTableNAm"/>
              <w:tabs>
                <w:tab w:val="clear" w:pos="567"/>
                <w:tab w:val="left" w:pos="1134"/>
                <w:tab w:val="right" w:leader="dot" w:pos="5387"/>
              </w:tabs>
              <w:ind w:left="1134" w:right="-85" w:hanging="556"/>
            </w:pPr>
            <w:r>
              <w:t>(a)</w:t>
            </w:r>
            <w:r>
              <w:tab/>
              <w:t xml:space="preserve">new installation of three phase meter or replacement of single phase meter with three phase meter </w:t>
            </w:r>
            <w:r>
              <w:tab/>
            </w:r>
          </w:p>
        </w:tc>
        <w:tc>
          <w:tcPr>
            <w:tcW w:w="1276" w:type="dxa"/>
            <w:vAlign w:val="bottom"/>
          </w:tcPr>
          <w:p>
            <w:pPr>
              <w:pStyle w:val="yTableNAm"/>
            </w:pPr>
            <w:r>
              <w:t>$235.04</w:t>
            </w:r>
          </w:p>
        </w:tc>
      </w:tr>
      <w:tr>
        <w:trPr>
          <w:cantSplit/>
        </w:trPr>
        <w:tc>
          <w:tcPr>
            <w:tcW w:w="5528" w:type="dxa"/>
          </w:tcPr>
          <w:p>
            <w:pPr>
              <w:pStyle w:val="yTableNAm"/>
              <w:tabs>
                <w:tab w:val="clear" w:pos="567"/>
                <w:tab w:val="left" w:pos="1134"/>
                <w:tab w:val="right" w:leader="dot" w:pos="5387"/>
              </w:tabs>
              <w:ind w:left="1134" w:right="-85" w:hanging="556"/>
            </w:pPr>
            <w:r>
              <w:t>(b)</w:t>
            </w:r>
            <w:r>
              <w:tab/>
              <w:t xml:space="preserve">installation of subsidiary three phase meter (each installation) </w:t>
            </w:r>
            <w:r>
              <w:tab/>
            </w:r>
          </w:p>
        </w:tc>
        <w:tc>
          <w:tcPr>
            <w:tcW w:w="1276" w:type="dxa"/>
            <w:vAlign w:val="bottom"/>
          </w:tcPr>
          <w:p>
            <w:pPr>
              <w:pStyle w:val="yTableNAm"/>
            </w:pPr>
            <w:r>
              <w:t>$148.50</w:t>
            </w:r>
          </w:p>
        </w:tc>
      </w:tr>
      <w:tr>
        <w:trPr>
          <w:cantSplit/>
        </w:trPr>
        <w:tc>
          <w:tcPr>
            <w:tcW w:w="5528" w:type="dxa"/>
            <w:vAlign w:val="bottom"/>
          </w:tcPr>
          <w:p>
            <w:pPr>
              <w:pStyle w:val="yTableNAm"/>
              <w:keepNext/>
              <w:tabs>
                <w:tab w:val="right" w:leader="dot" w:pos="5386"/>
              </w:tabs>
              <w:ind w:left="556" w:right="-85" w:hanging="556"/>
            </w:pPr>
            <w:r>
              <w:t>3.</w:t>
            </w:r>
            <w:r>
              <w:tab/>
              <w:t>Non</w:t>
            </w:r>
            <w:r>
              <w:noBreakHyphen/>
              <w:t>refundable reconnection fee where supply has been terminated for non</w:t>
            </w:r>
            <w:r>
              <w:noBreakHyphen/>
              <w:t xml:space="preserve">payment of charges or for any other lawful reason — </w:t>
            </w:r>
          </w:p>
        </w:tc>
        <w:tc>
          <w:tcPr>
            <w:tcW w:w="1276" w:type="dxa"/>
            <w:vAlign w:val="bottom"/>
          </w:tcPr>
          <w:p>
            <w:pPr>
              <w:pStyle w:val="yTableNAm"/>
            </w:pPr>
          </w:p>
        </w:tc>
      </w:tr>
      <w:tr>
        <w:trPr>
          <w:cantSplit/>
        </w:trPr>
        <w:tc>
          <w:tcPr>
            <w:tcW w:w="5528" w:type="dxa"/>
            <w:vAlign w:val="bottom"/>
          </w:tcPr>
          <w:p>
            <w:pPr>
              <w:pStyle w:val="yTableNAm"/>
              <w:tabs>
                <w:tab w:val="left" w:pos="1134"/>
                <w:tab w:val="right" w:leader="dot" w:pos="5387"/>
              </w:tabs>
              <w:ind w:left="1157" w:right="-85" w:hanging="590"/>
            </w:pPr>
            <w:r>
              <w:t>(a)</w:t>
            </w:r>
            <w:r>
              <w:tab/>
              <w:t>for urgent reconnection at request of customer (other than life support customer) where the service is performed within a period less than the standard re</w:t>
            </w:r>
            <w:r>
              <w:noBreakHyphen/>
              <w:t>energisation timeframe set out in the MSLA</w:t>
            </w:r>
            <w:r>
              <w:tab/>
            </w:r>
          </w:p>
        </w:tc>
        <w:tc>
          <w:tcPr>
            <w:tcW w:w="1276" w:type="dxa"/>
            <w:vAlign w:val="bottom"/>
          </w:tcPr>
          <w:p>
            <w:pPr>
              <w:pStyle w:val="yTableNAm"/>
            </w:pPr>
            <w:r>
              <w:t>$213.76</w:t>
            </w:r>
          </w:p>
        </w:tc>
      </w:tr>
      <w:tr>
        <w:trPr>
          <w:cantSplit/>
        </w:trPr>
        <w:tc>
          <w:tcPr>
            <w:tcW w:w="5528" w:type="dxa"/>
          </w:tcPr>
          <w:p>
            <w:pPr>
              <w:pStyle w:val="yTableNAm"/>
              <w:tabs>
                <w:tab w:val="left" w:pos="1156"/>
                <w:tab w:val="right" w:leader="dot" w:pos="5387"/>
              </w:tabs>
              <w:ind w:left="1157" w:right="-85" w:hanging="590"/>
            </w:pPr>
            <w:r>
              <w:t>(b)</w:t>
            </w:r>
            <w:r>
              <w:tab/>
              <w:t>otherwise</w:t>
            </w:r>
            <w:r>
              <w:tab/>
            </w:r>
          </w:p>
        </w:tc>
        <w:tc>
          <w:tcPr>
            <w:tcW w:w="1276" w:type="dxa"/>
          </w:tcPr>
          <w:p>
            <w:pPr>
              <w:pStyle w:val="yTableNAm"/>
            </w:pPr>
            <w:r>
              <w:t>$31.10</w:t>
            </w:r>
          </w:p>
        </w:tc>
      </w:tr>
      <w:tr>
        <w:trPr>
          <w:cantSplit/>
        </w:trPr>
        <w:tc>
          <w:tcPr>
            <w:tcW w:w="5528" w:type="dxa"/>
          </w:tcPr>
          <w:p>
            <w:pPr>
              <w:pStyle w:val="yTableNAm"/>
              <w:tabs>
                <w:tab w:val="right" w:leader="dot" w:pos="5387"/>
              </w:tabs>
              <w:ind w:left="556" w:right="-85" w:hanging="556"/>
            </w:pPr>
            <w:r>
              <w:t>4.</w:t>
            </w:r>
            <w:r>
              <w:tab/>
              <w:t>Temporary supply connection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single phase (overhead) </w:t>
            </w:r>
            <w:r>
              <w:tab/>
            </w:r>
          </w:p>
        </w:tc>
        <w:tc>
          <w:tcPr>
            <w:tcW w:w="1276" w:type="dxa"/>
          </w:tcPr>
          <w:p>
            <w:pPr>
              <w:pStyle w:val="yTableNAm"/>
            </w:pPr>
            <w:r>
              <w:t>$300.00</w:t>
            </w:r>
          </w:p>
        </w:tc>
      </w:tr>
      <w:tr>
        <w:trPr>
          <w:cantSplit/>
        </w:trPr>
        <w:tc>
          <w:tcPr>
            <w:tcW w:w="5528" w:type="dxa"/>
          </w:tcPr>
          <w:p>
            <w:pPr>
              <w:pStyle w:val="yTableNAm"/>
              <w:tabs>
                <w:tab w:val="left" w:pos="1134"/>
                <w:tab w:val="right" w:leader="dot" w:pos="5386"/>
              </w:tabs>
              <w:ind w:left="1157" w:right="-85" w:hanging="590"/>
            </w:pPr>
            <w:r>
              <w:t>(b)</w:t>
            </w:r>
            <w:r>
              <w:tab/>
              <w:t xml:space="preserve">three phase (overhead) </w:t>
            </w:r>
            <w:r>
              <w:tab/>
            </w:r>
          </w:p>
        </w:tc>
        <w:tc>
          <w:tcPr>
            <w:tcW w:w="1276" w:type="dxa"/>
          </w:tcPr>
          <w:p>
            <w:pPr>
              <w:pStyle w:val="yTableNAm"/>
            </w:pPr>
            <w:r>
              <w:t>$600.00</w:t>
            </w:r>
          </w:p>
        </w:tc>
      </w:tr>
      <w:tr>
        <w:trPr>
          <w:cantSplit/>
        </w:trPr>
        <w:tc>
          <w:tcPr>
            <w:tcW w:w="5528" w:type="dxa"/>
          </w:tcPr>
          <w:p>
            <w:pPr>
              <w:pStyle w:val="yTableNAm"/>
              <w:tabs>
                <w:tab w:val="right" w:leader="dot" w:pos="5387"/>
              </w:tabs>
              <w:ind w:left="556" w:right="-85" w:hanging="556"/>
            </w:pPr>
            <w:r>
              <w:t>5.</w:t>
            </w:r>
            <w:r>
              <w:tab/>
              <w:t>Meter testing — </w:t>
            </w:r>
          </w:p>
        </w:tc>
        <w:tc>
          <w:tcPr>
            <w:tcW w:w="1276" w:type="dxa"/>
          </w:tcPr>
          <w:p>
            <w:pPr>
              <w:pStyle w:val="yTableNAm"/>
            </w:pPr>
          </w:p>
        </w:tc>
      </w:tr>
      <w:tr>
        <w:trPr>
          <w:cantSplit/>
        </w:trPr>
        <w:tc>
          <w:tcPr>
            <w:tcW w:w="5528" w:type="dxa"/>
          </w:tcPr>
          <w:p>
            <w:pPr>
              <w:pStyle w:val="yTableNAm"/>
              <w:tabs>
                <w:tab w:val="left" w:pos="1134"/>
                <w:tab w:val="right" w:leader="dot" w:pos="5386"/>
              </w:tabs>
              <w:ind w:left="1157" w:right="-85" w:hanging="590"/>
            </w:pPr>
            <w:r>
              <w:t>(a)</w:t>
            </w:r>
            <w:r>
              <w:tab/>
              <w:t xml:space="preserve">standard meter testing fee </w:t>
            </w:r>
            <w:r>
              <w:tab/>
            </w:r>
          </w:p>
        </w:tc>
        <w:tc>
          <w:tcPr>
            <w:tcW w:w="1276" w:type="dxa"/>
          </w:tcPr>
          <w:p>
            <w:pPr>
              <w:pStyle w:val="yTableNAm"/>
            </w:pPr>
            <w:r>
              <w:t>$336.15</w:t>
            </w:r>
          </w:p>
        </w:tc>
      </w:tr>
      <w:tr>
        <w:trPr>
          <w:cantSplit/>
        </w:trPr>
        <w:tc>
          <w:tcPr>
            <w:tcW w:w="5528" w:type="dxa"/>
          </w:tcPr>
          <w:p>
            <w:pPr>
              <w:pStyle w:val="yTableNAm"/>
              <w:tabs>
                <w:tab w:val="left" w:pos="1134"/>
                <w:tab w:val="right" w:leader="dot" w:pos="5386"/>
              </w:tabs>
              <w:ind w:left="1157" w:right="-85" w:hanging="590"/>
            </w:pPr>
            <w:r>
              <w:t>(b)</w:t>
            </w:r>
            <w:r>
              <w:tab/>
              <w:t xml:space="preserve">reduced meter testing fee </w:t>
            </w:r>
            <w:r>
              <w:tab/>
            </w:r>
          </w:p>
        </w:tc>
        <w:tc>
          <w:tcPr>
            <w:tcW w:w="1276" w:type="dxa"/>
          </w:tcPr>
          <w:p>
            <w:pPr>
              <w:pStyle w:val="yTableNAm"/>
            </w:pPr>
            <w:r>
              <w:t>$144.00</w:t>
            </w:r>
          </w:p>
        </w:tc>
      </w:tr>
      <w:tr>
        <w:trPr>
          <w:cantSplit/>
        </w:trPr>
        <w:tc>
          <w:tcPr>
            <w:tcW w:w="5528" w:type="dxa"/>
          </w:tcPr>
          <w:p>
            <w:pPr>
              <w:pStyle w:val="yTableNAm"/>
              <w:tabs>
                <w:tab w:val="right" w:leader="dot" w:pos="5387"/>
              </w:tabs>
              <w:ind w:left="556" w:right="-85" w:hanging="556"/>
            </w:pPr>
            <w:r>
              <w:t>6.</w:t>
            </w:r>
            <w:r>
              <w:tab/>
              <w:t xml:space="preserve">Disconnection of overhead service leads following unauthorised reconnection </w:t>
            </w:r>
            <w:r>
              <w:tab/>
            </w:r>
          </w:p>
        </w:tc>
        <w:tc>
          <w:tcPr>
            <w:tcW w:w="1276" w:type="dxa"/>
            <w:vAlign w:val="bottom"/>
          </w:tcPr>
          <w:p>
            <w:pPr>
              <w:pStyle w:val="yTableNAm"/>
            </w:pPr>
            <w:r>
              <w:t>$194.00</w:t>
            </w:r>
          </w:p>
        </w:tc>
      </w:tr>
      <w:tr>
        <w:trPr>
          <w:cantSplit/>
        </w:trPr>
        <w:tc>
          <w:tcPr>
            <w:tcW w:w="5528" w:type="dxa"/>
          </w:tcPr>
          <w:p>
            <w:pPr>
              <w:pStyle w:val="yTableNAm"/>
              <w:tabs>
                <w:tab w:val="right" w:leader="dot" w:pos="5387"/>
              </w:tabs>
              <w:ind w:left="556" w:right="-85" w:hanging="556"/>
            </w:pPr>
            <w:r>
              <w:t>7.</w:t>
            </w:r>
            <w:r>
              <w:tab/>
              <w:t>Meter reading where reading requested by consumer</w:t>
            </w:r>
          </w:p>
        </w:tc>
        <w:tc>
          <w:tcPr>
            <w:tcW w:w="1276" w:type="dxa"/>
          </w:tcPr>
          <w:p>
            <w:pPr>
              <w:pStyle w:val="yTableNAm"/>
            </w:pPr>
            <w:r>
              <w:t>$33.00</w:t>
            </w:r>
          </w:p>
        </w:tc>
      </w:tr>
      <w:tr>
        <w:trPr>
          <w:cantSplit/>
        </w:trPr>
        <w:tc>
          <w:tcPr>
            <w:tcW w:w="5528" w:type="dxa"/>
          </w:tcPr>
          <w:p>
            <w:pPr>
              <w:pStyle w:val="yTableNAm"/>
              <w:tabs>
                <w:tab w:val="right" w:leader="dot" w:pos="5387"/>
              </w:tabs>
              <w:ind w:left="556" w:right="-85" w:hanging="556"/>
            </w:pPr>
            <w:r>
              <w:t>8.</w:t>
            </w:r>
            <w:r>
              <w:tab/>
              <w:t xml:space="preserve">Remote meter reading </w:t>
            </w:r>
            <w:r>
              <w:tab/>
            </w:r>
          </w:p>
        </w:tc>
        <w:tc>
          <w:tcPr>
            <w:tcW w:w="1276" w:type="dxa"/>
          </w:tcPr>
          <w:p>
            <w:pPr>
              <w:pStyle w:val="yTableNAm"/>
            </w:pPr>
            <w:r>
              <w:t>$17.60</w:t>
            </w:r>
          </w:p>
        </w:tc>
      </w:tr>
      <w:tr>
        <w:trPr>
          <w:cantSplit/>
        </w:trPr>
        <w:tc>
          <w:tcPr>
            <w:tcW w:w="5528" w:type="dxa"/>
          </w:tcPr>
          <w:p>
            <w:pPr>
              <w:pStyle w:val="yTableNAm"/>
              <w:tabs>
                <w:tab w:val="right" w:leader="dot" w:pos="5387"/>
              </w:tabs>
              <w:ind w:left="556" w:right="-85" w:hanging="556"/>
            </w:pPr>
            <w:r>
              <w:t>9.</w:t>
            </w:r>
            <w:r>
              <w:tab/>
              <w:t xml:space="preserve">Overdue account notices </w:t>
            </w:r>
            <w:r>
              <w:tab/>
            </w:r>
          </w:p>
        </w:tc>
        <w:tc>
          <w:tcPr>
            <w:tcW w:w="1276" w:type="dxa"/>
          </w:tcPr>
          <w:p>
            <w:pPr>
              <w:pStyle w:val="yTableNAm"/>
            </w:pPr>
            <w:r>
              <w:t>$6.15</w:t>
            </w:r>
          </w:p>
        </w:tc>
      </w:tr>
      <w:tr>
        <w:trPr>
          <w:cantSplit/>
        </w:trPr>
        <w:tc>
          <w:tcPr>
            <w:tcW w:w="5528" w:type="dxa"/>
          </w:tcPr>
          <w:p>
            <w:pPr>
              <w:pStyle w:val="yTableNAm"/>
              <w:tabs>
                <w:tab w:val="right" w:leader="dot" w:pos="5387"/>
              </w:tabs>
              <w:ind w:left="556" w:right="-85" w:hanging="556"/>
            </w:pPr>
            <w:r>
              <w:t>10.</w:t>
            </w:r>
            <w:r>
              <w:tab/>
              <w:t>Tariff R1 or R3 “time</w:t>
            </w:r>
            <w:r>
              <w:noBreakHyphen/>
              <w:t>of</w:t>
            </w:r>
            <w:r>
              <w:noBreakHyphen/>
              <w:t xml:space="preserve">use meter” installation fee </w:t>
            </w:r>
            <w:r>
              <w:tab/>
            </w:r>
          </w:p>
        </w:tc>
        <w:tc>
          <w:tcPr>
            <w:tcW w:w="1276" w:type="dxa"/>
          </w:tcPr>
          <w:p>
            <w:pPr>
              <w:pStyle w:val="yTableNAm"/>
            </w:pPr>
            <w:r>
              <w:t>$786.40</w:t>
            </w:r>
          </w:p>
        </w:tc>
      </w:tr>
      <w:tr>
        <w:trPr>
          <w:cantSplit/>
        </w:trPr>
        <w:tc>
          <w:tcPr>
            <w:tcW w:w="5528" w:type="dxa"/>
          </w:tcPr>
          <w:p>
            <w:pPr>
              <w:pStyle w:val="yTableNAm"/>
              <w:keepNext/>
              <w:tabs>
                <w:tab w:val="right" w:leader="dot" w:pos="5387"/>
              </w:tabs>
              <w:ind w:left="556" w:right="-85" w:hanging="556"/>
            </w:pPr>
            <w:r>
              <w:t>11.</w:t>
            </w:r>
            <w:r>
              <w:tab/>
              <w:t xml:space="preserve">A transaction fee where a consumer makes a payment to the corporation by means of a credit card or debit card </w:t>
            </w:r>
            <w:r>
              <w:tab/>
            </w:r>
          </w:p>
        </w:tc>
        <w:tc>
          <w:tcPr>
            <w:tcW w:w="1276" w:type="dxa"/>
          </w:tcPr>
          <w:p>
            <w:pPr>
              <w:pStyle w:val="yTableNAm"/>
              <w:keepNext/>
            </w:pPr>
            <w:r>
              <w:t>The permitted surcharge for the payment</w:t>
            </w:r>
          </w:p>
        </w:tc>
      </w:tr>
      <w:tr>
        <w:trPr>
          <w:cantSplit/>
        </w:trPr>
        <w:tc>
          <w:tcPr>
            <w:tcW w:w="5528" w:type="dxa"/>
          </w:tcPr>
          <w:p>
            <w:pPr>
              <w:pStyle w:val="yTableNAm"/>
              <w:keepNext/>
              <w:tabs>
                <w:tab w:val="left" w:pos="1134"/>
                <w:tab w:val="right" w:leader="dot" w:pos="5386"/>
              </w:tabs>
              <w:ind w:left="1134" w:right="-85" w:hanging="1134"/>
            </w:pPr>
            <w:r>
              <w:t xml:space="preserve">12. </w:t>
            </w:r>
            <w:r>
              <w:tab/>
              <w:t xml:space="preserve">Paper bill fee </w:t>
            </w:r>
            <w:r>
              <w:tab/>
            </w:r>
          </w:p>
        </w:tc>
        <w:tc>
          <w:tcPr>
            <w:tcW w:w="1276" w:type="dxa"/>
          </w:tcPr>
          <w:p>
            <w:pPr>
              <w:pStyle w:val="yTableNAm"/>
              <w:keepNext/>
            </w:pPr>
            <w:r>
              <w:t>$1.20</w:t>
            </w:r>
          </w:p>
        </w:tc>
      </w:tr>
      <w:tr>
        <w:trPr>
          <w:cantSplit/>
        </w:trPr>
        <w:tc>
          <w:tcPr>
            <w:tcW w:w="5528" w:type="dxa"/>
            <w:tcBorders>
              <w:bottom w:val="single" w:sz="4" w:space="0" w:color="auto"/>
            </w:tcBorders>
          </w:tcPr>
          <w:p>
            <w:pPr>
              <w:pStyle w:val="yTableNAm"/>
              <w:tabs>
                <w:tab w:val="left" w:pos="1134"/>
                <w:tab w:val="right" w:leader="dot" w:pos="5386"/>
              </w:tabs>
              <w:ind w:left="1134" w:right="-85" w:hanging="1134"/>
            </w:pPr>
            <w:r>
              <w:t xml:space="preserve">13. </w:t>
            </w:r>
            <w:r>
              <w:tab/>
              <w:t>Over</w:t>
            </w:r>
            <w:r>
              <w:noBreakHyphen/>
              <w:t>the</w:t>
            </w:r>
            <w:r>
              <w:noBreakHyphen/>
              <w:t xml:space="preserve">counter payment fee </w:t>
            </w:r>
            <w:r>
              <w:tab/>
            </w:r>
          </w:p>
        </w:tc>
        <w:tc>
          <w:tcPr>
            <w:tcW w:w="1276" w:type="dxa"/>
            <w:tcBorders>
              <w:bottom w:val="single" w:sz="4" w:space="0" w:color="auto"/>
            </w:tcBorders>
          </w:tcPr>
          <w:p>
            <w:pPr>
              <w:pStyle w:val="yTableNAm"/>
              <w:keepNext/>
            </w:pPr>
            <w:r>
              <w:t>$2.10</w:t>
            </w:r>
          </w:p>
        </w:tc>
      </w:tr>
    </w:tbl>
    <w:p>
      <w:pPr>
        <w:pStyle w:val="yFootnotesection"/>
      </w:pPr>
      <w:r>
        <w:tab/>
        <w:t>[Schedule 4 inserted: SL 2020/79 bl. 5.]</w:t>
      </w:r>
    </w:p>
    <w:bookmarkEnd w:id="47"/>
    <w:p>
      <w:pPr>
        <w:pStyle w:val="CentredBaseLine"/>
        <w:spacing w:before="180"/>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8" w:name="_Toc43212337"/>
      <w:bookmarkStart w:id="49" w:name="_Toc43213664"/>
      <w:bookmarkStart w:id="50" w:name="_Toc43387173"/>
      <w:bookmarkStart w:id="51" w:name="_Toc43390427"/>
      <w:r>
        <w:t>Notes</w:t>
      </w:r>
      <w:bookmarkEnd w:id="48"/>
      <w:bookmarkEnd w:id="49"/>
      <w:bookmarkEnd w:id="50"/>
      <w:bookmarkEnd w:id="51"/>
    </w:p>
    <w:p>
      <w:pPr>
        <w:pStyle w:val="nStatement"/>
      </w:pPr>
      <w:r>
        <w:t xml:space="preserve">This is a compilation of the </w:t>
      </w:r>
      <w:r>
        <w:rPr>
          <w:i/>
          <w:noProof/>
        </w:rPr>
        <w:t>Energy Operators (Electricity Generation and Retail Corporation) (Charges) By-laws 2006</w:t>
      </w:r>
      <w:r>
        <w:t xml:space="preserve"> and includes amendments made by other written laws. For provisions that have come into operation, and for information about any reprints, see the compilation table.</w:t>
      </w:r>
    </w:p>
    <w:p>
      <w:pPr>
        <w:pStyle w:val="nHeading3"/>
      </w:pPr>
      <w:bookmarkStart w:id="52" w:name="_Toc43390428"/>
      <w:r>
        <w:t>Compilation table</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9"/>
      </w:tblGrid>
      <w:tr>
        <w:trPr>
          <w:gridAfter w:val="1"/>
          <w:wAfter w:w="2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1</w:t>
            </w:r>
          </w:p>
        </w:tc>
        <w:tc>
          <w:tcPr>
            <w:tcW w:w="1276" w:type="dxa"/>
            <w:gridSpan w:val="2"/>
            <w:tcBorders>
              <w:top w:val="single" w:sz="8" w:space="0" w:color="auto"/>
            </w:tcBorders>
          </w:tcPr>
          <w:p>
            <w:pPr>
              <w:pStyle w:val="nTable"/>
              <w:spacing w:after="40"/>
            </w:pPr>
            <w:r>
              <w:t>31 Mar 2006 p. 1225</w:t>
            </w:r>
            <w:r>
              <w:noBreakHyphen/>
              <w:t>46</w:t>
            </w:r>
          </w:p>
        </w:tc>
        <w:tc>
          <w:tcPr>
            <w:tcW w:w="2694" w:type="dxa"/>
            <w:gridSpan w:val="2"/>
            <w:tcBorders>
              <w:top w:val="single" w:sz="8" w:space="0" w:color="auto"/>
            </w:tcBorders>
          </w:tcPr>
          <w:p>
            <w:pPr>
              <w:pStyle w:val="nTable"/>
              <w:spacing w:after="40"/>
            </w:pPr>
            <w:r>
              <w:t>1 Apr 2006 (see bl. 2)</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2006</w:t>
            </w:r>
          </w:p>
        </w:tc>
        <w:tc>
          <w:tcPr>
            <w:tcW w:w="1276" w:type="dxa"/>
            <w:gridSpan w:val="2"/>
          </w:tcPr>
          <w:p>
            <w:pPr>
              <w:pStyle w:val="nTable"/>
              <w:spacing w:after="40"/>
            </w:pPr>
            <w:r>
              <w:t>1 Dec 2006 p. 5349</w:t>
            </w:r>
            <w:r>
              <w:noBreakHyphen/>
              <w:t>50</w:t>
            </w:r>
          </w:p>
        </w:tc>
        <w:tc>
          <w:tcPr>
            <w:tcW w:w="2694" w:type="dxa"/>
            <w:gridSpan w:val="2"/>
          </w:tcPr>
          <w:p>
            <w:pPr>
              <w:pStyle w:val="nTable"/>
              <w:spacing w:after="40"/>
            </w:pPr>
            <w:r>
              <w:t>1 Dec 2006</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2007</w:t>
            </w:r>
          </w:p>
        </w:tc>
        <w:tc>
          <w:tcPr>
            <w:tcW w:w="1276" w:type="dxa"/>
            <w:gridSpan w:val="2"/>
          </w:tcPr>
          <w:p>
            <w:pPr>
              <w:pStyle w:val="nTable"/>
              <w:spacing w:after="40"/>
            </w:pPr>
            <w:r>
              <w:t>26 Jun 2007 p. 3013</w:t>
            </w:r>
            <w:r>
              <w:noBreakHyphen/>
              <w:t>17</w:t>
            </w:r>
          </w:p>
        </w:tc>
        <w:tc>
          <w:tcPr>
            <w:tcW w:w="2694" w:type="dxa"/>
            <w:gridSpan w:val="2"/>
          </w:tcPr>
          <w:p>
            <w:pPr>
              <w:pStyle w:val="nTable"/>
              <w:spacing w:after="40"/>
            </w:pPr>
            <w:r>
              <w:t>bl. 1 and 2: 26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2009</w:t>
            </w:r>
          </w:p>
        </w:tc>
        <w:tc>
          <w:tcPr>
            <w:tcW w:w="1276" w:type="dxa"/>
            <w:gridSpan w:val="2"/>
          </w:tcPr>
          <w:p>
            <w:pPr>
              <w:pStyle w:val="nTable"/>
              <w:spacing w:after="40"/>
            </w:pPr>
            <w:r>
              <w:t>30 Mar 2009 p. 967</w:t>
            </w:r>
            <w:r>
              <w:noBreakHyphen/>
              <w:t>95</w:t>
            </w:r>
          </w:p>
        </w:tc>
        <w:tc>
          <w:tcPr>
            <w:tcW w:w="2694" w:type="dxa"/>
            <w:gridSpan w:val="2"/>
          </w:tcPr>
          <w:p>
            <w:pPr>
              <w:pStyle w:val="nTable"/>
              <w:spacing w:after="40"/>
            </w:pPr>
            <w:r>
              <w:t>bl. 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6"/>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gridSpan w:val="2"/>
          </w:tcPr>
          <w:p>
            <w:pPr>
              <w:pStyle w:val="nTable"/>
              <w:spacing w:after="40"/>
            </w:pPr>
            <w:r>
              <w:t>26 Mar 2010 p. 1135-42</w:t>
            </w:r>
          </w:p>
        </w:tc>
        <w:tc>
          <w:tcPr>
            <w:tcW w:w="2694" w:type="dxa"/>
            <w:gridSpan w:val="2"/>
          </w:tcPr>
          <w:p>
            <w:pPr>
              <w:pStyle w:val="nTable"/>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2011</w:t>
            </w:r>
          </w:p>
        </w:tc>
        <w:tc>
          <w:tcPr>
            <w:tcW w:w="1276" w:type="dxa"/>
            <w:gridSpan w:val="2"/>
          </w:tcPr>
          <w:p>
            <w:pPr>
              <w:pStyle w:val="nTable"/>
              <w:spacing w:after="40"/>
            </w:pPr>
            <w:r>
              <w:t>24 Jun 2011 p. 2499</w:t>
            </w:r>
            <w:r>
              <w:noBreakHyphen/>
              <w:t>503</w:t>
            </w:r>
          </w:p>
        </w:tc>
        <w:tc>
          <w:tcPr>
            <w:tcW w:w="2694" w:type="dxa"/>
            <w:gridSpan w:val="2"/>
          </w:tcPr>
          <w:p>
            <w:pPr>
              <w:pStyle w:val="nTable"/>
              <w:spacing w:after="40"/>
            </w:pPr>
            <w:r>
              <w:t>bl. 1 and 2: 24 Jun 2011 (see bl. 2(a));</w:t>
            </w:r>
            <w:r>
              <w:br/>
              <w:t>By-laws other than bl. 1 and 2: 1 Jul 2011 (see bl. 2(b))</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w:t>
            </w:r>
            <w:r>
              <w:rPr>
                <w:i/>
              </w:rPr>
              <w:noBreakHyphen/>
              <w:t>laws 2012</w:t>
            </w:r>
          </w:p>
        </w:tc>
        <w:tc>
          <w:tcPr>
            <w:tcW w:w="1276" w:type="dxa"/>
            <w:gridSpan w:val="2"/>
          </w:tcPr>
          <w:p>
            <w:pPr>
              <w:pStyle w:val="nTable"/>
              <w:spacing w:after="40"/>
            </w:pPr>
            <w:r>
              <w:t>29 Jun 2012 p. 2913-26</w:t>
            </w:r>
          </w:p>
        </w:tc>
        <w:tc>
          <w:tcPr>
            <w:tcW w:w="2694" w:type="dxa"/>
            <w:gridSpan w:val="2"/>
          </w:tcPr>
          <w:p>
            <w:pPr>
              <w:pStyle w:val="nTable"/>
              <w:spacing w:after="40"/>
            </w:pPr>
            <w:r>
              <w:t>bl. 1 and 2: 29 Jun 2012 (see bl. 2(a));</w:t>
            </w:r>
            <w:r>
              <w:br/>
              <w:t>By-laws other than bl. 1 and 2: 1 Jul 2012 (see bl. 2(b))</w:t>
            </w:r>
          </w:p>
        </w:tc>
      </w:tr>
      <w:tr>
        <w:tblPrEx>
          <w:tblBorders>
            <w:top w:val="none" w:sz="0" w:space="0" w:color="auto"/>
            <w:bottom w:val="none" w:sz="0" w:space="0" w:color="auto"/>
            <w:insideH w:val="none" w:sz="0" w:space="0" w:color="auto"/>
          </w:tblBorders>
        </w:tblPrEx>
        <w:trPr>
          <w:gridBefore w:val="1"/>
          <w:wBefore w:w="28" w:type="dxa"/>
          <w:cantSplit/>
        </w:trPr>
        <w:tc>
          <w:tcPr>
            <w:tcW w:w="3118" w:type="dxa"/>
            <w:gridSpan w:val="2"/>
          </w:tcPr>
          <w:p>
            <w:pPr>
              <w:pStyle w:val="nTable"/>
              <w:spacing w:after="40"/>
              <w:rPr>
                <w:i/>
              </w:rPr>
            </w:pPr>
            <w:r>
              <w:rPr>
                <w:i/>
              </w:rPr>
              <w:t>Energy Operators (Electricity Retail Corporation) (Charges) Amendment By-laws (No. 2) 2012</w:t>
            </w:r>
          </w:p>
        </w:tc>
        <w:tc>
          <w:tcPr>
            <w:tcW w:w="1276" w:type="dxa"/>
            <w:gridSpan w:val="2"/>
          </w:tcPr>
          <w:p>
            <w:pPr>
              <w:pStyle w:val="nTable"/>
              <w:spacing w:after="40"/>
            </w:pPr>
            <w:r>
              <w:t>21 Sep 2012 p. 4424</w:t>
            </w:r>
          </w:p>
        </w:tc>
        <w:tc>
          <w:tcPr>
            <w:tcW w:w="2694" w:type="dxa"/>
            <w:gridSpan w:val="2"/>
          </w:tcPr>
          <w:p>
            <w:pPr>
              <w:pStyle w:val="nTable"/>
              <w:spacing w:after="40"/>
            </w:pPr>
            <w:r>
              <w:t>bl. 1 and 2: 21 Sep 2012 (see bl. 2(a));</w:t>
            </w:r>
            <w:r>
              <w:br/>
              <w:t>By-laws other than bl. 1 and 2: 1 Oct 2012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2013</w:t>
            </w:r>
          </w:p>
        </w:tc>
        <w:tc>
          <w:tcPr>
            <w:tcW w:w="1276" w:type="dxa"/>
            <w:gridSpan w:val="2"/>
          </w:tcPr>
          <w:p>
            <w:pPr>
              <w:pStyle w:val="nTable"/>
              <w:spacing w:after="40"/>
            </w:pPr>
            <w:r>
              <w:t>14 Jun 2013 p. 2217-22</w:t>
            </w:r>
          </w:p>
        </w:tc>
        <w:tc>
          <w:tcPr>
            <w:tcW w:w="2694" w:type="dxa"/>
            <w:gridSpan w:val="2"/>
          </w:tcPr>
          <w:p>
            <w:pPr>
              <w:pStyle w:val="nTable"/>
              <w:spacing w:after="40"/>
            </w:pPr>
            <w:r>
              <w:t>bl. 1 and 2: 14 Jun 2013 (see bl. 2(a));</w:t>
            </w:r>
            <w:r>
              <w:br/>
              <w:t>By-laws other than bl. 1 and 2: 1 Jul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Pr>
          <w:p>
            <w:pPr>
              <w:pStyle w:val="nTable"/>
              <w:spacing w:after="40"/>
              <w:rPr>
                <w:i/>
              </w:rPr>
            </w:pPr>
            <w:r>
              <w:rPr>
                <w:i/>
              </w:rPr>
              <w:t>Energy Operators (Electricity Retail Corporation) (Charges) Amendment By-laws (No. 2) 2013</w:t>
            </w:r>
          </w:p>
        </w:tc>
        <w:tc>
          <w:tcPr>
            <w:tcW w:w="1276" w:type="dxa"/>
            <w:gridSpan w:val="2"/>
          </w:tcPr>
          <w:p>
            <w:pPr>
              <w:pStyle w:val="nTable"/>
              <w:spacing w:after="40"/>
            </w:pPr>
            <w:r>
              <w:t>30 Aug 2013 p. 4097-100</w:t>
            </w:r>
          </w:p>
        </w:tc>
        <w:tc>
          <w:tcPr>
            <w:tcW w:w="2694" w:type="dxa"/>
            <w:gridSpan w:val="2"/>
          </w:tcPr>
          <w:p>
            <w:pPr>
              <w:pStyle w:val="nTable"/>
              <w:spacing w:after="40"/>
            </w:pPr>
            <w:r>
              <w:t>bl. 1 and 2: 30 Aug 2013 (see bl. 2(a));</w:t>
            </w:r>
            <w:r>
              <w:br/>
              <w:t>By-laws other than bl. 1 and 2: 1 Sep 2013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Electricity Corporations (Consequential Amendments) Regulations 2013</w:t>
            </w:r>
            <w:r>
              <w:t xml:space="preserve"> r. 12</w:t>
            </w:r>
          </w:p>
        </w:tc>
        <w:tc>
          <w:tcPr>
            <w:tcW w:w="1276" w:type="dxa"/>
            <w:gridSpan w:val="2"/>
            <w:shd w:val="clear" w:color="auto" w:fill="auto"/>
          </w:tcPr>
          <w:p>
            <w:pPr>
              <w:pStyle w:val="nTable"/>
              <w:spacing w:after="40"/>
            </w:pPr>
            <w:r>
              <w:t>27 Dec 2013 p. 6469-79</w:t>
            </w:r>
          </w:p>
        </w:tc>
        <w:tc>
          <w:tcPr>
            <w:tcW w:w="2694" w:type="dxa"/>
            <w:gridSpan w:val="2"/>
            <w:shd w:val="clear" w:color="auto" w:fill="auto"/>
          </w:tcPr>
          <w:p>
            <w:pPr>
              <w:pStyle w:val="nTable"/>
              <w:spacing w:after="40"/>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2014</w:t>
            </w:r>
          </w:p>
        </w:tc>
        <w:tc>
          <w:tcPr>
            <w:tcW w:w="1276" w:type="dxa"/>
            <w:gridSpan w:val="2"/>
            <w:shd w:val="clear" w:color="auto" w:fill="auto"/>
          </w:tcPr>
          <w:p>
            <w:pPr>
              <w:pStyle w:val="nTable"/>
              <w:spacing w:after="40"/>
            </w:pPr>
            <w:r>
              <w:t>27 Jun 2014 p. 2313-19</w:t>
            </w:r>
          </w:p>
        </w:tc>
        <w:tc>
          <w:tcPr>
            <w:tcW w:w="2694" w:type="dxa"/>
            <w:gridSpan w:val="2"/>
            <w:shd w:val="clear" w:color="auto" w:fill="auto"/>
          </w:tcPr>
          <w:p>
            <w:pPr>
              <w:pStyle w:val="nTable"/>
              <w:spacing w:after="40"/>
            </w:pPr>
            <w:r>
              <w:t>bl. 1 and 2: 27 Jun 2014 (see bl. 2(a));</w:t>
            </w:r>
            <w:r>
              <w:br/>
              <w:t>By-laws other than bl. 1 and 2: 1 Jul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(No. 2) 2014</w:t>
            </w:r>
          </w:p>
        </w:tc>
        <w:tc>
          <w:tcPr>
            <w:tcW w:w="1276" w:type="dxa"/>
            <w:gridSpan w:val="2"/>
            <w:shd w:val="clear" w:color="auto" w:fill="auto"/>
          </w:tcPr>
          <w:p>
            <w:pPr>
              <w:pStyle w:val="nTable"/>
              <w:spacing w:after="40"/>
            </w:pPr>
            <w:r>
              <w:t>22 Aug 2014 p. 3024</w:t>
            </w:r>
            <w:r>
              <w:noBreakHyphen/>
              <w:t>32</w:t>
            </w:r>
          </w:p>
        </w:tc>
        <w:tc>
          <w:tcPr>
            <w:tcW w:w="2694" w:type="dxa"/>
            <w:gridSpan w:val="2"/>
            <w:shd w:val="clear" w:color="auto" w:fill="auto"/>
          </w:tcPr>
          <w:p>
            <w:pPr>
              <w:pStyle w:val="nTable"/>
              <w:spacing w:after="40"/>
            </w:pPr>
            <w:r>
              <w:t>bl. 1 and 2: 22 Aug 2014 (see bl. 2(a));</w:t>
            </w:r>
            <w:r>
              <w:br/>
              <w:t>By-laws other than bl. 1 and 2: 1 Sep 2014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By-laws 2015</w:t>
            </w:r>
          </w:p>
        </w:tc>
        <w:tc>
          <w:tcPr>
            <w:tcW w:w="1276" w:type="dxa"/>
            <w:gridSpan w:val="2"/>
            <w:shd w:val="clear" w:color="auto" w:fill="auto"/>
          </w:tcPr>
          <w:p>
            <w:pPr>
              <w:pStyle w:val="nTable"/>
              <w:spacing w:after="40"/>
            </w:pPr>
            <w:r>
              <w:t>26 Jun 2015 p. 2239</w:t>
            </w:r>
            <w:r>
              <w:noBreakHyphen/>
              <w:t>46</w:t>
            </w:r>
          </w:p>
        </w:tc>
        <w:tc>
          <w:tcPr>
            <w:tcW w:w="2694" w:type="dxa"/>
            <w:gridSpan w:val="2"/>
            <w:shd w:val="clear" w:color="auto" w:fill="auto"/>
          </w:tcPr>
          <w:p>
            <w:pPr>
              <w:pStyle w:val="nTable"/>
              <w:spacing w:after="40"/>
            </w:pPr>
            <w:r>
              <w:t>bl. 1 and 2: 26 Jun 2015 (see bl. 2(a));</w:t>
            </w:r>
            <w:r>
              <w:br/>
              <w:t>By-laws other than bl. 1 and 2: 1 Jul 2015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Energy Operators (Electricity Generation and Retail Corporation) (Charges) Amendment By-laws 2016</w:t>
            </w:r>
            <w:r>
              <w:rPr>
                <w:vertAlign w:val="superscript"/>
              </w:rPr>
              <w:t> 2</w:t>
            </w:r>
          </w:p>
        </w:tc>
        <w:tc>
          <w:tcPr>
            <w:tcW w:w="1276" w:type="dxa"/>
            <w:gridSpan w:val="2"/>
            <w:shd w:val="clear" w:color="auto" w:fill="auto"/>
          </w:tcPr>
          <w:p>
            <w:pPr>
              <w:pStyle w:val="nTable"/>
              <w:spacing w:after="40"/>
            </w:pPr>
            <w:r>
              <w:t>28 Jun 2016 p. 2623</w:t>
            </w:r>
            <w:r>
              <w:noBreakHyphen/>
              <w:t>5</w:t>
            </w:r>
          </w:p>
        </w:tc>
        <w:tc>
          <w:tcPr>
            <w:tcW w:w="2694" w:type="dxa"/>
            <w:gridSpan w:val="2"/>
            <w:shd w:val="clear" w:color="auto" w:fill="auto"/>
          </w:tcPr>
          <w:p>
            <w:pPr>
              <w:pStyle w:val="nTable"/>
              <w:spacing w:after="40"/>
            </w:pPr>
            <w:r>
              <w:t>bl. 1 and 2: 28 Jun 2016 (see bl. 2(a));</w:t>
            </w:r>
            <w:r>
              <w:br/>
              <w:t>By-laws other than bl. 1 and 2: 1 Jul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gridSpan w:val="2"/>
            <w:shd w:val="clear" w:color="auto" w:fill="auto"/>
          </w:tcPr>
          <w:p>
            <w:pPr>
              <w:pStyle w:val="nTable"/>
              <w:spacing w:after="40"/>
            </w:pPr>
            <w:r>
              <w:t>31 Aug 2016 p. 3701</w:t>
            </w:r>
            <w:r>
              <w:noBreakHyphen/>
              <w:t>5</w:t>
            </w:r>
          </w:p>
        </w:tc>
        <w:tc>
          <w:tcPr>
            <w:tcW w:w="2694" w:type="dxa"/>
            <w:gridSpan w:val="2"/>
            <w:shd w:val="clear" w:color="auto" w:fill="auto"/>
          </w:tcPr>
          <w:p>
            <w:pPr>
              <w:pStyle w:val="nTable"/>
              <w:spacing w:after="40"/>
            </w:pPr>
            <w:r>
              <w:rPr>
                <w:bCs/>
                <w:snapToGrid w:val="0"/>
                <w:spacing w:val="-2"/>
              </w:rPr>
              <w:t>bl. 1 and 2: 31 Aug 2016 (see bl. 2(a));</w:t>
            </w:r>
            <w:r>
              <w:rPr>
                <w:bCs/>
                <w:snapToGrid w:val="0"/>
                <w:spacing w:val="-2"/>
              </w:rPr>
              <w:br/>
              <w:t>By-laws other than bl. 1 and 2: 1 Sep 2016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2017</w:t>
            </w:r>
          </w:p>
        </w:tc>
        <w:tc>
          <w:tcPr>
            <w:tcW w:w="1276" w:type="dxa"/>
            <w:gridSpan w:val="2"/>
            <w:shd w:val="clear" w:color="auto" w:fill="auto"/>
          </w:tcPr>
          <w:p>
            <w:pPr>
              <w:pStyle w:val="nTable"/>
              <w:spacing w:after="40"/>
            </w:pPr>
            <w:r>
              <w:t>27 Jun 2017 p. 3424</w:t>
            </w:r>
            <w:r>
              <w:noBreakHyphen/>
              <w:t>31</w:t>
            </w:r>
          </w:p>
        </w:tc>
        <w:tc>
          <w:tcPr>
            <w:tcW w:w="2694" w:type="dxa"/>
            <w:gridSpan w:val="2"/>
            <w:shd w:val="clear" w:color="auto" w:fill="auto"/>
          </w:tcPr>
          <w:p>
            <w:pPr>
              <w:pStyle w:val="nTable"/>
              <w:spacing w:after="40"/>
              <w:rPr>
                <w:bCs/>
                <w:snapToGrid w:val="0"/>
                <w:spacing w:val="-2"/>
              </w:rPr>
            </w:pPr>
            <w:r>
              <w:rPr>
                <w:bCs/>
                <w:snapToGrid w:val="0"/>
                <w:spacing w:val="-2"/>
              </w:rPr>
              <w:t>bl. 1 and 2: 27 Jun 2017 (see bl. 2(a));</w:t>
            </w:r>
            <w:r>
              <w:rPr>
                <w:bCs/>
                <w:snapToGrid w:val="0"/>
                <w:spacing w:val="-2"/>
              </w:rPr>
              <w:br/>
              <w:t>By-laws other than bl. 1 and 2: 1 Jul 2017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Energy Operators (Electricity Generation and Retail Corporation) (Charges) Amendment By</w:t>
            </w:r>
            <w:r>
              <w:rPr>
                <w:i/>
              </w:rPr>
              <w:noBreakHyphen/>
              <w:t>laws (No. 2) 2017</w:t>
            </w:r>
          </w:p>
        </w:tc>
        <w:tc>
          <w:tcPr>
            <w:tcW w:w="1276" w:type="dxa"/>
            <w:gridSpan w:val="2"/>
            <w:shd w:val="clear" w:color="auto" w:fill="auto"/>
          </w:tcPr>
          <w:p>
            <w:pPr>
              <w:pStyle w:val="nTable"/>
              <w:keepNext/>
              <w:spacing w:after="40"/>
            </w:pPr>
            <w:r>
              <w:t>30 Jun 2017 p. 3564</w:t>
            </w:r>
            <w:r>
              <w:noBreakHyphen/>
              <w:t>6</w:t>
            </w:r>
          </w:p>
        </w:tc>
        <w:tc>
          <w:tcPr>
            <w:tcW w:w="2694" w:type="dxa"/>
            <w:gridSpan w:val="2"/>
            <w:shd w:val="clear" w:color="auto" w:fill="auto"/>
          </w:tcPr>
          <w:p>
            <w:pPr>
              <w:pStyle w:val="nTable"/>
              <w:keepNext/>
              <w:spacing w:after="40"/>
              <w:rPr>
                <w:bCs/>
                <w:snapToGrid w:val="0"/>
                <w:spacing w:val="-2"/>
              </w:rPr>
            </w:pPr>
            <w:r>
              <w:rPr>
                <w:bCs/>
                <w:snapToGrid w:val="0"/>
                <w:spacing w:val="-2"/>
              </w:rPr>
              <w:t>bl. 1 and 2: 30 Jun 2017 (see bl. 2(a));</w:t>
            </w:r>
            <w:r>
              <w:rPr>
                <w:bCs/>
                <w:snapToGrid w:val="0"/>
                <w:spacing w:val="-2"/>
              </w:rPr>
              <w:br/>
              <w:t xml:space="preserve">By-laws other than bl. 1 and 2: 1 Jul 2017 (see bl. 2(b)(i) and </w:t>
            </w:r>
            <w:r>
              <w:rPr>
                <w:bCs/>
                <w:i/>
                <w:snapToGrid w:val="0"/>
                <w:spacing w:val="-2"/>
              </w:rPr>
              <w:t>Gazette</w:t>
            </w:r>
            <w:r>
              <w:rPr>
                <w:bCs/>
                <w:snapToGrid w:val="0"/>
                <w:spacing w:val="-2"/>
              </w:rPr>
              <w:t xml:space="preserve"> 27 Jun 2017 p. 3424)</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2018</w:t>
            </w:r>
          </w:p>
        </w:tc>
        <w:tc>
          <w:tcPr>
            <w:tcW w:w="1276" w:type="dxa"/>
            <w:gridSpan w:val="2"/>
            <w:shd w:val="clear" w:color="auto" w:fill="auto"/>
          </w:tcPr>
          <w:p>
            <w:pPr>
              <w:pStyle w:val="nTable"/>
              <w:spacing w:after="40"/>
            </w:pPr>
            <w:r>
              <w:t>16 Feb 2018 p. 469</w:t>
            </w:r>
            <w:r>
              <w:noBreakHyphen/>
              <w:t>70</w:t>
            </w:r>
          </w:p>
        </w:tc>
        <w:tc>
          <w:tcPr>
            <w:tcW w:w="2694" w:type="dxa"/>
            <w:gridSpan w:val="2"/>
            <w:shd w:val="clear" w:color="auto" w:fill="auto"/>
          </w:tcPr>
          <w:p>
            <w:pPr>
              <w:pStyle w:val="nTable"/>
              <w:spacing w:after="40"/>
              <w:rPr>
                <w:bCs/>
                <w:snapToGrid w:val="0"/>
                <w:spacing w:val="-2"/>
              </w:rPr>
            </w:pPr>
            <w:r>
              <w:rPr>
                <w:bCs/>
                <w:snapToGrid w:val="0"/>
                <w:spacing w:val="-2"/>
              </w:rPr>
              <w:t>bl. 1 and 2: 16 Feb 2018 (see bl. 2(a));</w:t>
            </w:r>
            <w:r>
              <w:rPr>
                <w:bCs/>
                <w:snapToGrid w:val="0"/>
                <w:spacing w:val="-2"/>
              </w:rPr>
              <w:br/>
              <w:t>By-laws other than bl. 1 and 2: 17 Feb 2018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Energy Operators (Electricity Generation and Retail Corporation) (Charges) Amendment By</w:t>
            </w:r>
            <w:r>
              <w:rPr>
                <w:i/>
              </w:rPr>
              <w:noBreakHyphen/>
              <w:t>laws (No. 2) 2018</w:t>
            </w:r>
          </w:p>
        </w:tc>
        <w:tc>
          <w:tcPr>
            <w:tcW w:w="1276" w:type="dxa"/>
            <w:gridSpan w:val="2"/>
            <w:shd w:val="clear" w:color="auto" w:fill="auto"/>
          </w:tcPr>
          <w:p>
            <w:pPr>
              <w:pStyle w:val="nTable"/>
              <w:spacing w:after="40"/>
              <w:rPr>
                <w:caps/>
              </w:rPr>
            </w:pPr>
            <w:r>
              <w:t>26 Jun 2018 p. 2371</w:t>
            </w:r>
            <w:r>
              <w:noBreakHyphen/>
              <w:t>9</w:t>
            </w:r>
          </w:p>
        </w:tc>
        <w:tc>
          <w:tcPr>
            <w:tcW w:w="2694" w:type="dxa"/>
            <w:gridSpan w:val="2"/>
            <w:shd w:val="clear" w:color="auto" w:fill="auto"/>
          </w:tcPr>
          <w:p>
            <w:pPr>
              <w:pStyle w:val="nTable"/>
              <w:spacing w:after="40"/>
              <w:rPr>
                <w:bCs/>
                <w:snapToGrid w:val="0"/>
                <w:spacing w:val="-2"/>
              </w:rPr>
            </w:pPr>
            <w:r>
              <w:rPr>
                <w:bCs/>
                <w:snapToGrid w:val="0"/>
                <w:spacing w:val="-2"/>
              </w:rPr>
              <w:t>bl. 1 and 2: 26 Jun 2018 (see bl. 2);</w:t>
            </w:r>
            <w:r>
              <w:rPr>
                <w:bCs/>
                <w:snapToGrid w:val="0"/>
                <w:spacing w:val="-2"/>
              </w:rPr>
              <w:br/>
              <w:t>By-laws other than bl. 1 and 2: 1 Jul 2018 (see bl. 2)</w:t>
            </w:r>
          </w:p>
        </w:tc>
      </w:tr>
      <w:tr>
        <w:tblPrEx>
          <w:tblBorders>
            <w:top w:val="none" w:sz="0" w:space="0" w:color="auto"/>
            <w:bottom w:val="none" w:sz="0" w:space="0" w:color="auto"/>
            <w:insideH w:val="none" w:sz="0" w:space="0" w:color="auto"/>
          </w:tblBorders>
        </w:tblPrEx>
        <w:trPr>
          <w:gridBefore w:val="1"/>
          <w:wBefore w:w="28" w:type="dxa"/>
        </w:trPr>
        <w:tc>
          <w:tcPr>
            <w:tcW w:w="7088" w:type="dxa"/>
            <w:gridSpan w:val="6"/>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Energy Operators (Electricity Generation and Retail Corporation) (Charges) By-laws 2006</w:t>
            </w:r>
            <w:r>
              <w:rPr>
                <w:b/>
                <w:bCs/>
                <w:snapToGrid w:val="0"/>
                <w:spacing w:val="-2"/>
              </w:rPr>
              <w:t xml:space="preserve"> as at 28 Sep 2018</w:t>
            </w:r>
            <w:r>
              <w:rPr>
                <w:bCs/>
                <w:snapToGrid w:val="0"/>
                <w:spacing w:val="-2"/>
              </w:rPr>
              <w:t xml:space="preserve"> (includes amendments listed above)</w:t>
            </w:r>
          </w:p>
        </w:tc>
      </w:tr>
      <w:tr>
        <w:trPr>
          <w:gridBefore w:val="1"/>
          <w:wBefore w:w="28" w:type="dxa"/>
        </w:trPr>
        <w:tc>
          <w:tcPr>
            <w:tcW w:w="3118" w:type="dxa"/>
            <w:gridSpan w:val="2"/>
            <w:tcBorders>
              <w:top w:val="nil"/>
              <w:bottom w:val="nil"/>
            </w:tcBorders>
            <w:shd w:val="clear" w:color="auto" w:fill="auto"/>
          </w:tcPr>
          <w:p>
            <w:pPr>
              <w:pStyle w:val="nTable"/>
              <w:spacing w:after="40"/>
            </w:pPr>
            <w:r>
              <w:rPr>
                <w:i/>
              </w:rPr>
              <w:t xml:space="preserve">Energy Operators (Electricity Generation and Retail Corporation) (Charges) Amendment By-laws 2019 </w:t>
            </w:r>
          </w:p>
        </w:tc>
        <w:tc>
          <w:tcPr>
            <w:tcW w:w="1276" w:type="dxa"/>
            <w:gridSpan w:val="2"/>
            <w:tcBorders>
              <w:top w:val="nil"/>
              <w:bottom w:val="nil"/>
            </w:tcBorders>
            <w:shd w:val="clear" w:color="auto" w:fill="auto"/>
          </w:tcPr>
          <w:p>
            <w:pPr>
              <w:pStyle w:val="nTable"/>
              <w:spacing w:after="40"/>
              <w:rPr>
                <w:caps/>
              </w:rPr>
            </w:pPr>
            <w:r>
              <w:t>21 Jun 2019 p. 2119</w:t>
            </w:r>
            <w:r>
              <w:noBreakHyphen/>
              <w:t>27</w:t>
            </w:r>
          </w:p>
        </w:tc>
        <w:tc>
          <w:tcPr>
            <w:tcW w:w="2694" w:type="dxa"/>
            <w:gridSpan w:val="2"/>
            <w:tcBorders>
              <w:top w:val="nil"/>
              <w:bottom w:val="nil"/>
            </w:tcBorders>
            <w:shd w:val="clear" w:color="auto" w:fill="auto"/>
          </w:tcPr>
          <w:p>
            <w:pPr>
              <w:pStyle w:val="nTable"/>
              <w:spacing w:after="40"/>
              <w:rPr>
                <w:bCs/>
                <w:snapToGrid w:val="0"/>
                <w:spacing w:val="-2"/>
              </w:rPr>
            </w:pPr>
            <w:r>
              <w:rPr>
                <w:bCs/>
                <w:snapToGrid w:val="0"/>
                <w:spacing w:val="-2"/>
              </w:rPr>
              <w:t>bl. 1 and 2: 21 Jun 2019 (see bl. 2(a));</w:t>
            </w:r>
            <w:r>
              <w:rPr>
                <w:bCs/>
                <w:snapToGrid w:val="0"/>
                <w:spacing w:val="-2"/>
              </w:rPr>
              <w:br/>
              <w:t>By-laws other than bl. 1, 2 and 5: 1 Jul 2019 (see bl. 2(c));</w:t>
            </w:r>
          </w:p>
          <w:p>
            <w:pPr>
              <w:pStyle w:val="nTable"/>
              <w:spacing w:after="40"/>
              <w:rPr>
                <w:bCs/>
                <w:snapToGrid w:val="0"/>
                <w:spacing w:val="-2"/>
              </w:rPr>
            </w:pPr>
            <w:r>
              <w:rPr>
                <w:bCs/>
                <w:snapToGrid w:val="0"/>
                <w:spacing w:val="-2"/>
              </w:rPr>
              <w:t>bl. 5: 1 Sep 2019 (see bl.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2020</w:t>
            </w:r>
          </w:p>
        </w:tc>
        <w:tc>
          <w:tcPr>
            <w:tcW w:w="1276" w:type="dxa"/>
            <w:gridSpan w:val="2"/>
            <w:tcBorders>
              <w:bottom w:val="single" w:sz="4" w:space="0" w:color="auto"/>
            </w:tcBorders>
            <w:shd w:val="clear" w:color="auto" w:fill="auto"/>
          </w:tcPr>
          <w:p>
            <w:pPr>
              <w:pStyle w:val="nTable"/>
              <w:spacing w:after="40"/>
            </w:pPr>
            <w:r>
              <w:t>SL 2020/79 9 Jun 2020</w:t>
            </w:r>
          </w:p>
        </w:tc>
        <w:tc>
          <w:tcPr>
            <w:tcW w:w="2694" w:type="dxa"/>
            <w:gridSpan w:val="2"/>
            <w:tcBorders>
              <w:bottom w:val="single" w:sz="4" w:space="0" w:color="auto"/>
            </w:tcBorders>
            <w:shd w:val="clear" w:color="auto" w:fill="auto"/>
          </w:tcPr>
          <w:p>
            <w:pPr>
              <w:pStyle w:val="nTable"/>
              <w:spacing w:after="40"/>
              <w:rPr>
                <w:bCs/>
                <w:snapToGrid w:val="0"/>
                <w:spacing w:val="-2"/>
              </w:rPr>
            </w:pPr>
            <w:r>
              <w:rPr>
                <w:bCs/>
                <w:snapToGrid w:val="0"/>
                <w:spacing w:val="-2"/>
              </w:rPr>
              <w:t>bl. 1 and 2: 9 Jun 2020 (see bl. 2(a));</w:t>
            </w:r>
            <w:r>
              <w:rPr>
                <w:bCs/>
                <w:snapToGrid w:val="0"/>
                <w:spacing w:val="-2"/>
              </w:rPr>
              <w:br/>
              <w:t>By-laws other than bl. 1 and 2: 1 Jul 2020 (see bl. 2(b))</w:t>
            </w:r>
          </w:p>
        </w:tc>
      </w:tr>
    </w:tbl>
    <w:p>
      <w:pPr>
        <w:pStyle w:val="nHeading3"/>
      </w:pPr>
      <w:bookmarkStart w:id="53" w:name="_Toc43390429"/>
      <w:r>
        <w:t>Other notes</w:t>
      </w:r>
      <w:bookmarkEnd w:id="53"/>
    </w:p>
    <w:p>
      <w:pPr>
        <w:pStyle w:val="nNote"/>
        <w:rPr>
          <w:noProof/>
          <w:snapToGrid w:val="0"/>
        </w:rPr>
      </w:pPr>
      <w:r>
        <w:rPr>
          <w:vertAlign w:val="superscript"/>
        </w:rPr>
        <w:t>1</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Pr>
        <w:pStyle w:val="nNote"/>
        <w:keepNext/>
      </w:pPr>
      <w:r>
        <w:rPr>
          <w:noProof/>
          <w:snapToGrid w:val="0"/>
          <w:vertAlign w:val="superscript"/>
        </w:rPr>
        <w:t>2</w:t>
      </w:r>
      <w:r>
        <w:rPr>
          <w:noProof/>
          <w:snapToGrid w:val="0"/>
        </w:rPr>
        <w:tab/>
        <w:t xml:space="preserve">The </w:t>
      </w:r>
      <w:r>
        <w:rPr>
          <w:i/>
        </w:rPr>
        <w:t>Energy Operators (Electricity Generation and Retail Corporation) (Charges) Amendment By-laws 2016</w:t>
      </w:r>
      <w:r>
        <w:t>, (row 5 of the table in by</w:t>
      </w:r>
      <w:r>
        <w:noBreakHyphen/>
        <w:t xml:space="preserve">law 5) was disallowed by the Legislative Council on 22 Nov 2016 (see </w:t>
      </w:r>
      <w:r>
        <w:rPr>
          <w:i/>
        </w:rPr>
        <w:t>Gazette</w:t>
      </w:r>
      <w:r>
        <w:t xml:space="preserve"> 6 Dec 2016 p. 5492).</w:t>
      </w:r>
    </w:p>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5" w:name="_Toc43212341"/>
      <w:bookmarkStart w:id="56" w:name="_Toc43213667"/>
      <w:bookmarkStart w:id="57" w:name="_Toc43387176"/>
      <w:bookmarkStart w:id="58" w:name="_Toc43390430"/>
      <w:r>
        <w:rPr>
          <w:sz w:val="28"/>
        </w:rPr>
        <w:t>Defined terms</w:t>
      </w:r>
      <w:bookmarkEnd w:id="55"/>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life support customer</w:t>
      </w:r>
      <w:r>
        <w:tab/>
        <w:t>3</w:t>
      </w:r>
    </w:p>
    <w:p>
      <w:pPr>
        <w:pStyle w:val="DefinedTerms"/>
      </w:pPr>
      <w:r>
        <w:t>MSLA</w:t>
      </w:r>
      <w:r>
        <w:tab/>
        <w:t>3</w:t>
      </w:r>
    </w:p>
    <w:p>
      <w:pPr>
        <w:pStyle w:val="DefinedTerms"/>
      </w:pPr>
      <w:r>
        <w:t>off peak</w:t>
      </w:r>
      <w:r>
        <w:tab/>
        <w:t>3</w:t>
      </w:r>
    </w:p>
    <w:p>
      <w:pPr>
        <w:pStyle w:val="DefinedTerms"/>
      </w:pPr>
      <w:r>
        <w:t>on peak</w:t>
      </w:r>
      <w:r>
        <w:tab/>
        <w:t>3</w:t>
      </w:r>
    </w:p>
    <w:p>
      <w:pPr>
        <w:pStyle w:val="DefinedTerms"/>
      </w:pPr>
      <w:r>
        <w:t>permitted surcharge</w:t>
      </w:r>
      <w:r>
        <w:tab/>
        <w:t>3</w:t>
      </w:r>
    </w:p>
    <w:p>
      <w:pPr>
        <w:pStyle w:val="DefinedTerms"/>
      </w:pPr>
      <w:r>
        <w:t>RBA cash rate</w:t>
      </w:r>
      <w:r>
        <w:tab/>
        <w:t>3</w:t>
      </w:r>
    </w:p>
    <w:p>
      <w:pPr>
        <w:pStyle w:val="DefinedTerms"/>
      </w:pPr>
      <w:r>
        <w:t>RBA Standard No. 3 of 2016</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16150220"/>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 w:name="WAFER_20170208155836" w:val="RemoveTocBookmarks,RemoveUnusedBookmarks,RemoveLanguageTags,UsedStyles,ResetPageSize"/>
    <w:docVar w:name="WAFER_20170208155836_GUID" w:val="49bc0dda-ee02-4cd7-8c47-6054202e0286"/>
    <w:docVar w:name="WAFER_20180216105838" w:val="RemoveTocBookmarks,RemoveUnusedBookmarks,RemoveLanguageTags,UsedStyles,ResetPageSize"/>
    <w:docVar w:name="WAFER_20180216105838_GUID" w:val="e86a15db-9c5f-45d7-8b16-1d8cf0163571"/>
    <w:docVar w:name="WAFER_20180426120024" w:val="RemoveTocBookmarks,RemoveUnusedBookmarks,RemoveLanguageTags,UsedStyles,ResetPageSize,RemoveCustomizations"/>
    <w:docVar w:name="WAFER_20180426120024_GUID" w:val="9e9a78d8-f620-4916-8831-2f9af6e2081f"/>
    <w:docVar w:name="WAFER_20190828113052" w:val="RemoveTocBookmarks,RemoveUnusedBookmarks,RemoveLanguageTags,ResetPageSize,RunningHeaders,UpdateStyles,UsedStyles"/>
    <w:docVar w:name="WAFER_20190828113052_GUID" w:val="b014ba0c-ec47-4ee8-9ca7-a5ff8dee9b0d"/>
    <w:docVar w:name="WAFER_20200608110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0511_GUID" w:val="7253b864-7969-4c6f-bec9-4392535540ed"/>
    <w:docVar w:name="WAFER_2020061615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0220_GUID" w:val="78773235-194e-462d-9745-a1d2cd2e5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4645</Words>
  <Characters>22808</Characters>
  <Application>Microsoft Office Word</Application>
  <DocSecurity>0</DocSecurity>
  <Lines>844</Lines>
  <Paragraphs>560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2006 - 04-f0-00</dc:title>
  <dc:subject/>
  <dc:creator/>
  <cp:keywords/>
  <dc:description/>
  <cp:lastModifiedBy>svcMRProcess</cp:lastModifiedBy>
  <cp:revision>4</cp:revision>
  <cp:lastPrinted>2019-06-24T07:01:00Z</cp:lastPrinted>
  <dcterms:created xsi:type="dcterms:W3CDTF">2020-06-30T03:20:00Z</dcterms:created>
  <dcterms:modified xsi:type="dcterms:W3CDTF">2020-06-30T03:20:00Z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4</vt:lpwstr>
  </property>
  <property fmtid="{D5CDD505-2E9C-101B-9397-08002B2CF9AE}" pid="7" name="AsAtDate">
    <vt:lpwstr>01 Jul 2020</vt:lpwstr>
  </property>
  <property fmtid="{D5CDD505-2E9C-101B-9397-08002B2CF9AE}" pid="8" name="Suffix">
    <vt:lpwstr>04-f0-00</vt:lpwstr>
  </property>
  <property fmtid="{D5CDD505-2E9C-101B-9397-08002B2CF9AE}" pid="9" name="CommencementDate">
    <vt:lpwstr>20200701</vt:lpwstr>
  </property>
</Properties>
</file>