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Deeds Act 1856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_Toc43473032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_Toc43473033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_Toc43473034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Memorials for registration, requirements for etc.</w:t>
      </w:r>
      <w:r>
        <w:tab/>
      </w:r>
      <w:r>
        <w:fldChar w:fldCharType="begin"/>
      </w:r>
      <w:r>
        <w:instrText xml:space="preserve"> PAGEREF _Toc43473035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Fees (Sch. 1)</w:t>
      </w:r>
      <w:r>
        <w:tab/>
      </w:r>
      <w:r>
        <w:fldChar w:fldCharType="begin"/>
      </w:r>
      <w:r>
        <w:instrText xml:space="preserve"> PAGEREF _Toc43473036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Fees to be charged by the Registrar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Registrations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 Reproduction of documents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Miscellaneous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_Toc43473042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3" w:name="_Toc4347303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4" w:name="_Toc4347303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5" w:name="_Toc43473034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6" w:name="_Toc43473035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7" w:name="_Toc43473036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8" w:name="_Toc43215803"/>
      <w:bookmarkStart w:id="9" w:name="_Toc43216123"/>
      <w:bookmarkStart w:id="10" w:name="_Toc43473037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8"/>
      <w:bookmarkEnd w:id="9"/>
      <w:bookmarkEnd w:id="10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11" w:name="_Toc43215804"/>
      <w:bookmarkStart w:id="12" w:name="_Toc43216124"/>
      <w:bookmarkStart w:id="13" w:name="_Toc43473038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11"/>
      <w:bookmarkEnd w:id="12"/>
      <w:bookmarkEnd w:id="1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$155.00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$155.00</w:t>
            </w:r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1474; SL 2020/76 r. 4.]</w:t>
      </w:r>
    </w:p>
    <w:p>
      <w:pPr>
        <w:pStyle w:val="yHeading3"/>
        <w:spacing w:before="260" w:after="120"/>
      </w:pPr>
      <w:bookmarkStart w:id="14" w:name="_Toc43215805"/>
      <w:bookmarkStart w:id="15" w:name="_Toc43216125"/>
      <w:bookmarkStart w:id="16" w:name="_Toc43473039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14"/>
      <w:bookmarkEnd w:id="15"/>
      <w:bookmarkEnd w:id="1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$26.70</w:t>
            </w:r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1474; SL 2020/76 r. 4.]</w:t>
      </w:r>
    </w:p>
    <w:p>
      <w:pPr>
        <w:pStyle w:val="yHeading3"/>
        <w:spacing w:before="260" w:after="120"/>
      </w:pPr>
      <w:bookmarkStart w:id="17" w:name="_Toc43215806"/>
      <w:bookmarkStart w:id="18" w:name="_Toc43216126"/>
      <w:bookmarkStart w:id="19" w:name="_Toc43473040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17"/>
      <w:bookmarkEnd w:id="18"/>
      <w:bookmarkEnd w:id="1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rPr>
                <w:szCs w:val="22"/>
              </w:rPr>
              <w:t>$64.00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$155.00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1474; SL 2020/76 r. 4.]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1" w:name="_Toc43215807"/>
      <w:bookmarkStart w:id="22" w:name="_Toc43216127"/>
      <w:bookmarkStart w:id="23" w:name="_Toc43473041"/>
      <w:r>
        <w:t>Notes</w:t>
      </w:r>
      <w:bookmarkEnd w:id="21"/>
      <w:bookmarkEnd w:id="22"/>
      <w:bookmarkEnd w:id="2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 2004</w:t>
      </w:r>
      <w:r>
        <w:t xml:space="preserve"> and includes amendments made by other written laws. For provisions that have come into operation, and for information about any reprints, see the compilation table. </w:t>
      </w:r>
    </w:p>
    <w:p>
      <w:pPr>
        <w:pStyle w:val="nHeading3"/>
      </w:pPr>
      <w:bookmarkStart w:id="24" w:name="_Toc43473042"/>
      <w:r>
        <w:t>Compilation table</w:t>
      </w:r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2020/76 9 Jun 2020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6" w:name="_Toc43215810"/>
      <w:bookmarkStart w:id="27" w:name="_Toc43216129"/>
      <w:bookmarkStart w:id="28" w:name="_Toc43473043"/>
      <w:r>
        <w:rPr>
          <w:sz w:val="28"/>
        </w:rPr>
        <w:t>Defined terms</w:t>
      </w:r>
      <w:bookmarkEnd w:id="26"/>
      <w:bookmarkEnd w:id="27"/>
      <w:bookmarkEnd w:id="2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02-k0-00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9" w:name="DefinedTerms"/>
    <w:bookmarkEnd w:id="29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616160123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1323</Words>
  <Characters>5932</Characters>
  <Application>Microsoft Office Word</Application>
  <DocSecurity>0</DocSecurity>
  <Lines>269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2004 - 02-k0-00</dc:title>
  <dc:subject/>
  <dc:creator/>
  <cp:keywords/>
  <dc:description/>
  <cp:lastModifiedBy>svcMRProcess</cp:lastModifiedBy>
  <cp:revision>4</cp:revision>
  <cp:lastPrinted>2012-10-30T00:56:00Z</cp:lastPrinted>
  <dcterms:created xsi:type="dcterms:W3CDTF">2020-06-30T03:35:00Z</dcterms:created>
  <dcterms:modified xsi:type="dcterms:W3CDTF">2020-06-30T03:35:00Z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AsAtDate">
    <vt:lpwstr>01 Jul 2020</vt:lpwstr>
  </property>
  <property fmtid="{D5CDD505-2E9C-101B-9397-08002B2CF9AE}" pid="8" name="Suffix">
    <vt:lpwstr>02-k0-00</vt:lpwstr>
  </property>
  <property fmtid="{D5CDD505-2E9C-101B-9397-08002B2CF9AE}" pid="9" name="CommencementDate">
    <vt:lpwstr>20200701</vt:lpwstr>
  </property>
</Properties>
</file>