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Police Act 1892</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Police (Fees and Charges) Regulations 2018</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Police (Fees and Charges) Regulations 2018</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_Toc43908700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_Toc43908701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_Toc43908702 \h </w:instrText>
      </w:r>
      <w:r>
        <w:fldChar w:fldCharType="separate"/>
      </w:r>
      <w:r>
        <w:t>1</w:t>
      </w:r>
      <w:r>
        <w:fldChar w:fldCharType="end"/>
      </w:r>
    </w:p>
    <w:p>
      <w:pPr>
        <w:pStyle w:val="TOC8"/>
        <w:rPr>
          <w:rFonts w:asciiTheme="minorHAnsi" w:eastAsiaTheme="minorEastAsia" w:hAnsiTheme="minorHAnsi" w:cstheme="minorBidi"/>
          <w:szCs w:val="22"/>
        </w:rPr>
      </w:pPr>
      <w:r>
        <w:t>4.</w:t>
      </w:r>
      <w:r>
        <w:tab/>
        <w:t>Fees</w:t>
      </w:r>
      <w:r>
        <w:tab/>
      </w:r>
      <w:r>
        <w:fldChar w:fldCharType="begin"/>
      </w:r>
      <w:r>
        <w:instrText xml:space="preserve"> PAGEREF _Toc43908703 \h </w:instrText>
      </w:r>
      <w:r>
        <w:fldChar w:fldCharType="separate"/>
      </w:r>
      <w:r>
        <w:t>2</w:t>
      </w:r>
      <w:r>
        <w:fldChar w:fldCharType="end"/>
      </w:r>
    </w:p>
    <w:p>
      <w:pPr>
        <w:pStyle w:val="TOC8"/>
        <w:rPr>
          <w:rFonts w:asciiTheme="minorHAnsi" w:eastAsiaTheme="minorEastAsia" w:hAnsiTheme="minorHAnsi" w:cstheme="minorBidi"/>
          <w:szCs w:val="22"/>
        </w:rPr>
      </w:pPr>
      <w:r>
        <w:t>5.</w:t>
      </w:r>
      <w:r>
        <w:tab/>
        <w:t>Exempt events</w:t>
      </w:r>
      <w:r>
        <w:tab/>
      </w:r>
      <w:r>
        <w:fldChar w:fldCharType="begin"/>
      </w:r>
      <w:r>
        <w:instrText xml:space="preserve"> PAGEREF _Toc43908704 \h </w:instrText>
      </w:r>
      <w:r>
        <w:fldChar w:fldCharType="separate"/>
      </w:r>
      <w:r>
        <w:t>2</w:t>
      </w:r>
      <w:r>
        <w:fldChar w:fldCharType="end"/>
      </w:r>
    </w:p>
    <w:p>
      <w:pPr>
        <w:pStyle w:val="TOC8"/>
        <w:rPr>
          <w:rFonts w:asciiTheme="minorHAnsi" w:eastAsiaTheme="minorEastAsia" w:hAnsiTheme="minorHAnsi" w:cstheme="minorBidi"/>
          <w:szCs w:val="22"/>
        </w:rPr>
      </w:pPr>
      <w:r>
        <w:t>6.</w:t>
      </w:r>
      <w:r>
        <w:tab/>
        <w:t>Charges for police services at major event</w:t>
      </w:r>
      <w:r>
        <w:tab/>
      </w:r>
      <w:r>
        <w:fldChar w:fldCharType="begin"/>
      </w:r>
      <w:r>
        <w:instrText xml:space="preserve"> PAGEREF _Toc43908705 \h </w:instrText>
      </w:r>
      <w:r>
        <w:fldChar w:fldCharType="separate"/>
      </w:r>
      <w:r>
        <w:t>2</w:t>
      </w:r>
      <w:r>
        <w:fldChar w:fldCharType="end"/>
      </w:r>
    </w:p>
    <w:p>
      <w:pPr>
        <w:pStyle w:val="TOC8"/>
        <w:rPr>
          <w:rFonts w:asciiTheme="minorHAnsi" w:eastAsiaTheme="minorEastAsia" w:hAnsiTheme="minorHAnsi" w:cstheme="minorBidi"/>
          <w:szCs w:val="22"/>
        </w:rPr>
      </w:pPr>
      <w:r>
        <w:t>7.</w:t>
      </w:r>
      <w:r>
        <w:tab/>
        <w:t>Charges for police services if major event cancelled</w:t>
      </w:r>
      <w:r>
        <w:tab/>
      </w:r>
      <w:r>
        <w:fldChar w:fldCharType="begin"/>
      </w:r>
      <w:r>
        <w:instrText xml:space="preserve"> PAGEREF _Toc43908706 \h </w:instrText>
      </w:r>
      <w:r>
        <w:fldChar w:fldCharType="separate"/>
      </w:r>
      <w:r>
        <w:t>3</w:t>
      </w:r>
      <w:r>
        <w:fldChar w:fldCharType="end"/>
      </w:r>
    </w:p>
    <w:p>
      <w:pPr>
        <w:pStyle w:val="TOC8"/>
        <w:rPr>
          <w:rFonts w:asciiTheme="minorHAnsi" w:eastAsiaTheme="minorEastAsia" w:hAnsiTheme="minorHAnsi" w:cstheme="minorBidi"/>
          <w:szCs w:val="22"/>
        </w:rPr>
      </w:pPr>
      <w:r>
        <w:t>8.</w:t>
      </w:r>
      <w:r>
        <w:tab/>
        <w:t>Amounts inclusive of GST</w:t>
      </w:r>
      <w:r>
        <w:tab/>
      </w:r>
      <w:r>
        <w:fldChar w:fldCharType="begin"/>
      </w:r>
      <w:r>
        <w:instrText xml:space="preserve"> PAGEREF _Toc43908707 \h </w:instrText>
      </w:r>
      <w:r>
        <w:fldChar w:fldCharType="separate"/>
      </w:r>
      <w:r>
        <w:t>4</w:t>
      </w:r>
      <w:r>
        <w:fldChar w:fldCharType="end"/>
      </w:r>
    </w:p>
    <w:p>
      <w:pPr>
        <w:pStyle w:val="TOC8"/>
        <w:rPr>
          <w:rFonts w:asciiTheme="minorHAnsi" w:eastAsiaTheme="minorEastAsia" w:hAnsiTheme="minorHAnsi" w:cstheme="minorBidi"/>
          <w:szCs w:val="22"/>
        </w:rPr>
      </w:pPr>
      <w:r>
        <w:t>9.</w:t>
      </w:r>
      <w:r>
        <w:tab/>
      </w:r>
      <w:r>
        <w:rPr>
          <w:i/>
        </w:rPr>
        <w:t xml:space="preserve">Police (Fees) Regulations 1981 </w:t>
      </w:r>
      <w:r>
        <w:t>repealed</w:t>
      </w:r>
      <w:r>
        <w:tab/>
      </w:r>
      <w:r>
        <w:fldChar w:fldCharType="begin"/>
      </w:r>
      <w:r>
        <w:instrText xml:space="preserve"> PAGEREF _Toc43908708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Schedule 1 — Fees</w:t>
      </w:r>
    </w:p>
    <w:p>
      <w:pPr>
        <w:pStyle w:val="TOC2"/>
        <w:tabs>
          <w:tab w:val="right" w:leader="dot" w:pos="7077"/>
        </w:tabs>
        <w:rPr>
          <w:rFonts w:asciiTheme="minorHAnsi" w:eastAsiaTheme="minorEastAsia" w:hAnsiTheme="minorHAnsi" w:cstheme="minorBidi"/>
          <w:b w:val="0"/>
          <w:sz w:val="22"/>
          <w:szCs w:val="22"/>
        </w:rPr>
      </w:pPr>
      <w:r>
        <w:t>Schedule 2 — Charges for major events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_Toc43908712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PrincipalActReg"/>
      </w:pPr>
      <w:r>
        <w:lastRenderedPageBreak/>
        <w:t>Police Act 1892</w:t>
      </w:r>
    </w:p>
    <w:p>
      <w:pPr>
        <w:pStyle w:val="NameofActReg"/>
      </w:pPr>
      <w:r>
        <w:t>Police (Fees and Charges) Regulations 2018</w:t>
      </w:r>
    </w:p>
    <w:p>
      <w:pPr>
        <w:pStyle w:val="Heading5"/>
      </w:pPr>
      <w:bookmarkStart w:id="3" w:name="_Toc43908700"/>
      <w:r>
        <w:rPr>
          <w:rStyle w:val="CharSectno"/>
        </w:rPr>
        <w:t>1</w:t>
      </w:r>
      <w:r>
        <w:t>.</w:t>
      </w:r>
      <w:r>
        <w:tab/>
        <w:t>Citation</w:t>
      </w:r>
      <w:bookmarkEnd w:id="3"/>
    </w:p>
    <w:p>
      <w:pPr>
        <w:pStyle w:val="Subsection"/>
      </w:pPr>
      <w:r>
        <w:tab/>
      </w:r>
      <w:r>
        <w:tab/>
      </w:r>
      <w:bookmarkStart w:id="4" w:name="Start_Cursor"/>
      <w:bookmarkEnd w:id="4"/>
      <w:r>
        <w:t xml:space="preserve">These </w:t>
      </w:r>
      <w:r>
        <w:rPr>
          <w:spacing w:val="-2"/>
        </w:rPr>
        <w:t>regulations</w:t>
      </w:r>
      <w:r>
        <w:t xml:space="preserve"> are the </w:t>
      </w:r>
      <w:r>
        <w:rPr>
          <w:i/>
        </w:rPr>
        <w:t>Police (Fees and Charges) Regulations 2018</w:t>
      </w:r>
      <w:r>
        <w:t>.</w:t>
      </w:r>
    </w:p>
    <w:p>
      <w:pPr>
        <w:pStyle w:val="Heading5"/>
        <w:rPr>
          <w:spacing w:val="-2"/>
        </w:rPr>
      </w:pPr>
      <w:bookmarkStart w:id="5" w:name="_Toc43908701"/>
      <w:r>
        <w:rPr>
          <w:rStyle w:val="CharSectno"/>
        </w:rPr>
        <w:t>2</w:t>
      </w:r>
      <w:r>
        <w:rPr>
          <w:spacing w:val="-2"/>
        </w:rPr>
        <w:t>.</w:t>
      </w:r>
      <w:r>
        <w:rPr>
          <w:spacing w:val="-2"/>
        </w:rPr>
        <w:tab/>
        <w:t>Commencement</w:t>
      </w:r>
      <w:bookmarkEnd w:id="5"/>
    </w:p>
    <w:p>
      <w:pPr>
        <w:pStyle w:val="Subsection"/>
        <w:rPr>
          <w:spacing w:val="-2"/>
        </w:rPr>
      </w:pPr>
      <w:r>
        <w:rPr>
          <w:spacing w:val="-2"/>
        </w:rPr>
        <w:tab/>
      </w:r>
      <w:r>
        <w:rPr>
          <w:spacing w:val="-2"/>
        </w:rPr>
        <w:tab/>
      </w:r>
      <w:r>
        <w:t xml:space="preserve">These </w:t>
      </w:r>
      <w:r>
        <w:rPr>
          <w:spacing w:val="-2"/>
        </w:rPr>
        <w:t>regulations come into operation as follows</w:t>
      </w:r>
      <w:r>
        <w:t> —</w:t>
      </w:r>
    </w:p>
    <w:p>
      <w:pPr>
        <w:pStyle w:val="Indenta"/>
      </w:pPr>
      <w:r>
        <w:tab/>
        <w:t>(a)</w:t>
      </w:r>
      <w:r>
        <w:tab/>
      </w:r>
      <w:r>
        <w:rPr>
          <w:spacing w:val="-2"/>
        </w:rPr>
        <w:t>regulations</w:t>
      </w:r>
      <w:r>
        <w:t xml:space="preserve"> 1 and 2 — on the day on which these </w:t>
      </w:r>
      <w:r>
        <w:rPr>
          <w:spacing w:val="-2"/>
        </w:rPr>
        <w:t>regulations</w:t>
      </w:r>
      <w:r>
        <w:t xml:space="preserve"> are published in the </w:t>
      </w:r>
      <w:r>
        <w:rPr>
          <w:i/>
          <w:iCs/>
        </w:rPr>
        <w:t>Gazette</w:t>
      </w:r>
      <w:r>
        <w:t>;</w:t>
      </w:r>
    </w:p>
    <w:p>
      <w:pPr>
        <w:pStyle w:val="Indenta"/>
      </w:pPr>
      <w:r>
        <w:tab/>
        <w:t>(b)</w:t>
      </w:r>
      <w:r>
        <w:tab/>
        <w:t xml:space="preserve">the rest of the </w:t>
      </w:r>
      <w:r>
        <w:rPr>
          <w:spacing w:val="-2"/>
        </w:rPr>
        <w:t>regulations</w:t>
      </w:r>
      <w:r>
        <w:t xml:space="preserve"> — on the day on which the </w:t>
      </w:r>
      <w:r>
        <w:rPr>
          <w:i/>
        </w:rPr>
        <w:t xml:space="preserve">Police Amendment Act 2011 </w:t>
      </w:r>
      <w:r>
        <w:t>section 4 comes into operation.</w:t>
      </w:r>
    </w:p>
    <w:p>
      <w:pPr>
        <w:pStyle w:val="Heading5"/>
      </w:pPr>
      <w:bookmarkStart w:id="6" w:name="_Toc43908702"/>
      <w:r>
        <w:rPr>
          <w:rStyle w:val="CharSectno"/>
        </w:rPr>
        <w:t>3</w:t>
      </w:r>
      <w:r>
        <w:t>.</w:t>
      </w:r>
      <w:r>
        <w:tab/>
        <w:t>Terms used</w:t>
      </w:r>
      <w:bookmarkEnd w:id="6"/>
    </w:p>
    <w:p>
      <w:pPr>
        <w:pStyle w:val="Subsection"/>
      </w:pPr>
      <w:r>
        <w:tab/>
      </w:r>
      <w:r>
        <w:tab/>
        <w:t xml:space="preserve">In these regulations — </w:t>
      </w:r>
    </w:p>
    <w:p>
      <w:pPr>
        <w:pStyle w:val="Defstart"/>
      </w:pPr>
      <w:r>
        <w:tab/>
      </w:r>
      <w:r>
        <w:rPr>
          <w:rStyle w:val="CharDefText"/>
        </w:rPr>
        <w:t>attendance rate</w:t>
      </w:r>
      <w:r>
        <w:t xml:space="preserve"> means the total of — </w:t>
      </w:r>
    </w:p>
    <w:p>
      <w:pPr>
        <w:pStyle w:val="Defpara"/>
      </w:pPr>
      <w:r>
        <w:tab/>
        <w:t>(a)</w:t>
      </w:r>
      <w:r>
        <w:tab/>
        <w:t>the hourly attendance rate specified in Schedule 2; and</w:t>
      </w:r>
    </w:p>
    <w:p>
      <w:pPr>
        <w:pStyle w:val="Defpara"/>
      </w:pPr>
      <w:r>
        <w:tab/>
        <w:t>(b)</w:t>
      </w:r>
      <w:r>
        <w:tab/>
        <w:t>the hourly general overhead expenses rate specified in that Schedule;</w:t>
      </w:r>
    </w:p>
    <w:p>
      <w:pPr>
        <w:pStyle w:val="Defstart"/>
      </w:pPr>
      <w:r>
        <w:tab/>
      </w:r>
      <w:r>
        <w:rPr>
          <w:rStyle w:val="CharDefText"/>
        </w:rPr>
        <w:t>department</w:t>
      </w:r>
      <w:r>
        <w:t xml:space="preserve"> means the department of the Public Service principally assisting the Minister in the administration of the Act;</w:t>
      </w:r>
    </w:p>
    <w:p>
      <w:pPr>
        <w:pStyle w:val="Defstart"/>
      </w:pPr>
      <w:r>
        <w:tab/>
      </w:r>
      <w:r>
        <w:rPr>
          <w:rStyle w:val="CharDefText"/>
        </w:rPr>
        <w:t>GST</w:t>
      </w:r>
      <w:r>
        <w:t xml:space="preserve"> has the meaning given in the </w:t>
      </w:r>
      <w:r>
        <w:rPr>
          <w:i/>
        </w:rPr>
        <w:t>A New Tax System (Goods and Services Tax) Act 1999</w:t>
      </w:r>
      <w:r>
        <w:t xml:space="preserve"> (Commonwealth) section 195</w:t>
      </w:r>
      <w:r>
        <w:noBreakHyphen/>
        <w:t>1;</w:t>
      </w:r>
    </w:p>
    <w:p>
      <w:pPr>
        <w:pStyle w:val="Defstart"/>
      </w:pPr>
      <w:r>
        <w:tab/>
      </w:r>
      <w:r>
        <w:rPr>
          <w:rStyle w:val="CharDefText"/>
        </w:rPr>
        <w:t>planning rate</w:t>
      </w:r>
      <w:r>
        <w:t xml:space="preserve"> means the total of — </w:t>
      </w:r>
    </w:p>
    <w:p>
      <w:pPr>
        <w:pStyle w:val="Defpara"/>
      </w:pPr>
      <w:r>
        <w:tab/>
        <w:t>(a)</w:t>
      </w:r>
      <w:r>
        <w:tab/>
        <w:t>the hourly planning rate specified in Schedule 2; and</w:t>
      </w:r>
    </w:p>
    <w:p>
      <w:pPr>
        <w:pStyle w:val="Defpara"/>
      </w:pPr>
      <w:r>
        <w:tab/>
        <w:t>(b)</w:t>
      </w:r>
      <w:r>
        <w:tab/>
        <w:t>the hourly general overhead expenses rate specified in that Schedule;</w:t>
      </w:r>
    </w:p>
    <w:p>
      <w:pPr>
        <w:pStyle w:val="Defstart"/>
      </w:pPr>
      <w:r>
        <w:tab/>
      </w:r>
      <w:r>
        <w:rPr>
          <w:rStyle w:val="CharDefText"/>
        </w:rPr>
        <w:t>traffic infringement notice record</w:t>
      </w:r>
      <w:r>
        <w:t xml:space="preserve">, in respect of a person, means the record held in the department of infringement notices served on the person under the </w:t>
      </w:r>
      <w:r>
        <w:rPr>
          <w:i/>
        </w:rPr>
        <w:t xml:space="preserve">Road Traffic (Administration) Act 2008 </w:t>
      </w:r>
      <w:r>
        <w:t>section 79.</w:t>
      </w:r>
    </w:p>
    <w:p>
      <w:pPr>
        <w:pStyle w:val="Heading5"/>
      </w:pPr>
      <w:bookmarkStart w:id="7" w:name="_Toc43908703"/>
      <w:r>
        <w:rPr>
          <w:rStyle w:val="CharSectno"/>
        </w:rPr>
        <w:t>4</w:t>
      </w:r>
      <w:r>
        <w:t>.</w:t>
      </w:r>
      <w:r>
        <w:tab/>
        <w:t>Fees</w:t>
      </w:r>
      <w:bookmarkEnd w:id="7"/>
    </w:p>
    <w:p>
      <w:pPr>
        <w:pStyle w:val="Subsection"/>
      </w:pPr>
      <w:r>
        <w:tab/>
        <w:t>(1)</w:t>
      </w:r>
      <w:r>
        <w:tab/>
        <w:t>A fee specified in Schedule 1 is the fee payable for the purpose set out opposite the fee in that Schedule.</w:t>
      </w:r>
    </w:p>
    <w:p>
      <w:pPr>
        <w:pStyle w:val="Subsection"/>
      </w:pPr>
      <w:r>
        <w:tab/>
        <w:t>(2)</w:t>
      </w:r>
      <w:r>
        <w:tab/>
        <w:t>The Commissioner of Police may reduce, waive or refund, in whole or in part, a fee payable under this regulation.</w:t>
      </w:r>
    </w:p>
    <w:p>
      <w:pPr>
        <w:pStyle w:val="Heading5"/>
      </w:pPr>
      <w:bookmarkStart w:id="8" w:name="_Toc43908704"/>
      <w:r>
        <w:rPr>
          <w:rStyle w:val="CharSectno"/>
        </w:rPr>
        <w:t>5</w:t>
      </w:r>
      <w:r>
        <w:t>.</w:t>
      </w:r>
      <w:r>
        <w:tab/>
        <w:t>Exempt events</w:t>
      </w:r>
      <w:bookmarkEnd w:id="8"/>
    </w:p>
    <w:p>
      <w:pPr>
        <w:pStyle w:val="Subsection"/>
      </w:pPr>
      <w:r>
        <w:tab/>
      </w:r>
      <w:r>
        <w:tab/>
        <w:t xml:space="preserve">For the purposes of paragraph (b)(vi) of the definition of </w:t>
      </w:r>
      <w:r>
        <w:rPr>
          <w:b/>
          <w:i/>
        </w:rPr>
        <w:t>event</w:t>
      </w:r>
      <w:r>
        <w:t xml:space="preserve"> in section 39E of the Act, each of the following is exempted from Part IVB of the Act —</w:t>
      </w:r>
    </w:p>
    <w:p>
      <w:pPr>
        <w:pStyle w:val="Indenta"/>
      </w:pPr>
      <w:r>
        <w:tab/>
        <w:t>(a)</w:t>
      </w:r>
      <w:r>
        <w:tab/>
        <w:t>the Perth Royal Show;</w:t>
      </w:r>
    </w:p>
    <w:p>
      <w:pPr>
        <w:pStyle w:val="Indenta"/>
      </w:pPr>
      <w:r>
        <w:tab/>
        <w:t>(b)</w:t>
      </w:r>
      <w:r>
        <w:tab/>
        <w:t>the Perth Gay and Lesbian Pride Parade;</w:t>
      </w:r>
    </w:p>
    <w:p>
      <w:pPr>
        <w:pStyle w:val="Indenta"/>
      </w:pPr>
      <w:r>
        <w:tab/>
        <w:t>(c)</w:t>
      </w:r>
      <w:r>
        <w:tab/>
        <w:t>the Perth Pride Fair Day.</w:t>
      </w:r>
    </w:p>
    <w:p>
      <w:pPr>
        <w:pStyle w:val="Heading5"/>
      </w:pPr>
      <w:bookmarkStart w:id="9" w:name="_Toc43908705"/>
      <w:r>
        <w:rPr>
          <w:rStyle w:val="CharSectno"/>
        </w:rPr>
        <w:t>6</w:t>
      </w:r>
      <w:r>
        <w:t>.</w:t>
      </w:r>
      <w:r>
        <w:tab/>
        <w:t>Charges for police services at major event</w:t>
      </w:r>
      <w:bookmarkEnd w:id="9"/>
    </w:p>
    <w:p>
      <w:pPr>
        <w:pStyle w:val="Subsection"/>
      </w:pPr>
      <w:r>
        <w:tab/>
        <w:t>(1)</w:t>
      </w:r>
      <w:r>
        <w:tab/>
        <w:t>The amount chargeable for personnel costs associated with the police officers who attend a major event to provide police services is the total of —</w:t>
      </w:r>
    </w:p>
    <w:p>
      <w:pPr>
        <w:pStyle w:val="Indenta"/>
      </w:pPr>
      <w:r>
        <w:tab/>
        <w:t>(a)</w:t>
      </w:r>
      <w:r>
        <w:tab/>
        <w:t>for each police officer who spends time in planning the deployment of police officers for the major event — one</w:t>
      </w:r>
      <w:r>
        <w:noBreakHyphen/>
        <w:t>tenth of the planning rate for each 6 minutes that the police officer spends; and</w:t>
      </w:r>
    </w:p>
    <w:p>
      <w:pPr>
        <w:pStyle w:val="Indenta"/>
      </w:pPr>
      <w:r>
        <w:tab/>
        <w:t>(b)</w:t>
      </w:r>
      <w:r>
        <w:tab/>
        <w:t>for each police officer who spends time in attending the major event to provide police services — one</w:t>
      </w:r>
      <w:r>
        <w:noBreakHyphen/>
        <w:t>tenth of the attendance rate for each 6 minutes that the police officer spends.</w:t>
      </w:r>
    </w:p>
    <w:p>
      <w:pPr>
        <w:pStyle w:val="Subsection"/>
      </w:pPr>
      <w:r>
        <w:tab/>
        <w:t>(2)</w:t>
      </w:r>
      <w:r>
        <w:tab/>
        <w:t xml:space="preserve">Subregulation (3) applies if — </w:t>
      </w:r>
    </w:p>
    <w:p>
      <w:pPr>
        <w:pStyle w:val="Indenta"/>
      </w:pPr>
      <w:r>
        <w:tab/>
        <w:t>(a)</w:t>
      </w:r>
      <w:r>
        <w:tab/>
        <w:t>the promoter or organiser of a major event requests the Commissioner of Police to provide police services in the air (</w:t>
      </w:r>
      <w:r>
        <w:rPr>
          <w:rStyle w:val="CharDefText"/>
        </w:rPr>
        <w:t>air support</w:t>
      </w:r>
      <w:r>
        <w:t>) at the major event; and</w:t>
      </w:r>
    </w:p>
    <w:p>
      <w:pPr>
        <w:pStyle w:val="Indenta"/>
      </w:pPr>
      <w:r>
        <w:tab/>
        <w:t>(b)</w:t>
      </w:r>
      <w:r>
        <w:tab/>
        <w:t>the Commissioner, having regard to the security requirements of the major event, agrees to provide the air support.</w:t>
      </w:r>
    </w:p>
    <w:p>
      <w:pPr>
        <w:pStyle w:val="Subsection"/>
      </w:pPr>
      <w:r>
        <w:tab/>
        <w:t>(3)</w:t>
      </w:r>
      <w:r>
        <w:tab/>
        <w:t>The amount chargeable for overhead expenses associated with the provision of air support for the major event is, for each 6 minutes that the air support is provided, one</w:t>
      </w:r>
      <w:r>
        <w:noBreakHyphen/>
        <w:t>tenth of the hourly overhead expenses rate for air support specified in Schedule 2 for the type of air support provided.</w:t>
      </w:r>
    </w:p>
    <w:p>
      <w:pPr>
        <w:pStyle w:val="Footnotesection"/>
      </w:pPr>
      <w:r>
        <w:tab/>
        <w:t>[Regulation 6 amended: Gazette 17 Aug 2018 p. 2897</w:t>
      </w:r>
      <w:r>
        <w:noBreakHyphen/>
        <w:t>8.]</w:t>
      </w:r>
    </w:p>
    <w:p>
      <w:pPr>
        <w:pStyle w:val="Heading5"/>
      </w:pPr>
      <w:bookmarkStart w:id="10" w:name="_Toc43908706"/>
      <w:r>
        <w:rPr>
          <w:rStyle w:val="CharSectno"/>
        </w:rPr>
        <w:t>7</w:t>
      </w:r>
      <w:r>
        <w:t>.</w:t>
      </w:r>
      <w:r>
        <w:tab/>
        <w:t>Charges for police services if major event cancelled</w:t>
      </w:r>
      <w:bookmarkEnd w:id="10"/>
    </w:p>
    <w:p>
      <w:pPr>
        <w:pStyle w:val="Subsection"/>
      </w:pPr>
      <w:r>
        <w:tab/>
        <w:t>(1)</w:t>
      </w:r>
      <w:r>
        <w:tab/>
        <w:t xml:space="preserve">If, after the promoter or organiser of a major event has requested the Commissioner of Police to provide police services for the event, the major event is cancelled — </w:t>
      </w:r>
    </w:p>
    <w:p>
      <w:pPr>
        <w:pStyle w:val="Indenta"/>
      </w:pPr>
      <w:r>
        <w:tab/>
        <w:t>(a)</w:t>
      </w:r>
      <w:r>
        <w:tab/>
        <w:t>the promoter or organiser must, as soon as practicable, give the Commissioner written notice of the cancellation; and</w:t>
      </w:r>
    </w:p>
    <w:p>
      <w:pPr>
        <w:pStyle w:val="Indenta"/>
      </w:pPr>
      <w:r>
        <w:tab/>
        <w:t>(b)</w:t>
      </w:r>
      <w:r>
        <w:tab/>
        <w:t>the Commissioner may charge the promoter or organiser an amount calculated in accordance with subregulation (2) for the time spent in planning the deployment of police services for the major event before the Commissioner was given notice of the cancellation.</w:t>
      </w:r>
    </w:p>
    <w:p>
      <w:pPr>
        <w:pStyle w:val="Subsection"/>
      </w:pPr>
      <w:r>
        <w:tab/>
        <w:t>(2)</w:t>
      </w:r>
      <w:r>
        <w:tab/>
        <w:t>For the purposes of subregulation (1), the amount chargeable for the cancellation is one</w:t>
      </w:r>
      <w:r>
        <w:noBreakHyphen/>
        <w:t>tenth of the planning rate for each 6 minutes that each police officer has spent in planning the deployment of police services for the major event.</w:t>
      </w:r>
    </w:p>
    <w:p>
      <w:pPr>
        <w:pStyle w:val="Heading5"/>
      </w:pPr>
      <w:bookmarkStart w:id="11" w:name="_Toc43908707"/>
      <w:r>
        <w:rPr>
          <w:rStyle w:val="CharSectno"/>
        </w:rPr>
        <w:t>8</w:t>
      </w:r>
      <w:r>
        <w:t>.</w:t>
      </w:r>
      <w:r>
        <w:tab/>
        <w:t>Amounts inclusive of GST</w:t>
      </w:r>
      <w:bookmarkEnd w:id="11"/>
    </w:p>
    <w:p>
      <w:pPr>
        <w:pStyle w:val="Subsection"/>
        <w:keepNext/>
      </w:pPr>
      <w:r>
        <w:tab/>
      </w:r>
      <w:r>
        <w:tab/>
        <w:t>The amounts specified in Schedule 2 are inclusive of GST.</w:t>
      </w:r>
    </w:p>
    <w:p>
      <w:pPr>
        <w:pStyle w:val="Heading5"/>
      </w:pPr>
      <w:bookmarkStart w:id="12" w:name="_Toc43908708"/>
      <w:r>
        <w:rPr>
          <w:rStyle w:val="CharSectno"/>
        </w:rPr>
        <w:t>9</w:t>
      </w:r>
      <w:r>
        <w:t>.</w:t>
      </w:r>
      <w:r>
        <w:tab/>
      </w:r>
      <w:r>
        <w:rPr>
          <w:i/>
        </w:rPr>
        <w:t xml:space="preserve">Police (Fees) Regulations 1981 </w:t>
      </w:r>
      <w:r>
        <w:t>repealed</w:t>
      </w:r>
      <w:bookmarkEnd w:id="12"/>
    </w:p>
    <w:p>
      <w:pPr>
        <w:pStyle w:val="Subsection"/>
      </w:pPr>
      <w:r>
        <w:tab/>
      </w:r>
      <w:r>
        <w:tab/>
        <w:t xml:space="preserve">The </w:t>
      </w:r>
      <w:r>
        <w:rPr>
          <w:i/>
        </w:rPr>
        <w:t xml:space="preserve">Police (Fees) Regulations 1981 </w:t>
      </w:r>
      <w:r>
        <w:t>are repealed.</w:t>
      </w:r>
    </w:p>
    <w:p>
      <w:pPr>
        <w:sectPr>
          <w:headerReference w:type="even" r:id="rId22"/>
          <w:headerReference w:type="default" r:id="rId23"/>
          <w:headerReference w:type="first" r:id="rId24"/>
          <w:endnotePr>
            <w:numFmt w:val="decimal"/>
          </w:endnotePr>
          <w:pgSz w:w="11907" w:h="16840" w:code="9"/>
          <w:pgMar w:top="2381" w:right="2410" w:bottom="3544" w:left="2410" w:header="720" w:footer="3544" w:gutter="0"/>
          <w:pgNumType w:start="1"/>
          <w:cols w:space="720"/>
          <w:noEndnote/>
          <w:titlePg/>
        </w:sectPr>
      </w:pPr>
    </w:p>
    <w:p>
      <w:pPr>
        <w:pStyle w:val="yScheduleHeading"/>
      </w:pPr>
      <w:bookmarkStart w:id="13" w:name="_Toc43798719"/>
      <w:bookmarkStart w:id="14" w:name="_Toc43908709"/>
      <w:bookmarkStart w:id="15" w:name="_Toc43798408"/>
      <w:r>
        <w:rPr>
          <w:rStyle w:val="CharSchNo"/>
        </w:rPr>
        <w:t>Schedule 1</w:t>
      </w:r>
      <w:r>
        <w:t> — </w:t>
      </w:r>
      <w:r>
        <w:rPr>
          <w:rStyle w:val="CharSchText"/>
        </w:rPr>
        <w:t>Fees</w:t>
      </w:r>
      <w:bookmarkEnd w:id="13"/>
      <w:bookmarkEnd w:id="14"/>
    </w:p>
    <w:p>
      <w:pPr>
        <w:pStyle w:val="yShoulderClause"/>
      </w:pPr>
      <w:r>
        <w:t>[r. 4(1)]</w:t>
      </w:r>
    </w:p>
    <w:p>
      <w:pPr>
        <w:pStyle w:val="yFootnoteheading"/>
        <w:spacing w:after="120"/>
      </w:pPr>
      <w:r>
        <w:tab/>
        <w:t>[Heading inserted: SL 2020/82 r. 9.]</w:t>
      </w:r>
    </w:p>
    <w:tbl>
      <w:tblPr>
        <w:tblW w:w="59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51"/>
        <w:gridCol w:w="3969"/>
        <w:gridCol w:w="1097"/>
      </w:tblGrid>
      <w:tr>
        <w:trPr>
          <w:cantSplit/>
          <w:tblHeader/>
        </w:trPr>
        <w:tc>
          <w:tcPr>
            <w:tcW w:w="851" w:type="dxa"/>
          </w:tcPr>
          <w:p>
            <w:pPr>
              <w:pStyle w:val="yTableNAm"/>
            </w:pPr>
          </w:p>
        </w:tc>
        <w:tc>
          <w:tcPr>
            <w:tcW w:w="3969" w:type="dxa"/>
          </w:tcPr>
          <w:p>
            <w:pPr>
              <w:pStyle w:val="yTableNAm"/>
              <w:rPr>
                <w:b/>
              </w:rPr>
            </w:pPr>
            <w:r>
              <w:rPr>
                <w:b/>
              </w:rPr>
              <w:t>Rate</w:t>
            </w:r>
          </w:p>
        </w:tc>
        <w:tc>
          <w:tcPr>
            <w:tcW w:w="1097" w:type="dxa"/>
          </w:tcPr>
          <w:p>
            <w:pPr>
              <w:pStyle w:val="yTableNAm"/>
            </w:pPr>
            <w:r>
              <w:rPr>
                <w:b/>
              </w:rPr>
              <w:t>Amount</w:t>
            </w:r>
          </w:p>
        </w:tc>
      </w:tr>
      <w:tr>
        <w:trPr>
          <w:cantSplit/>
        </w:trPr>
        <w:tc>
          <w:tcPr>
            <w:tcW w:w="851" w:type="dxa"/>
          </w:tcPr>
          <w:p>
            <w:pPr>
              <w:pStyle w:val="yTableNAm"/>
            </w:pPr>
            <w:r>
              <w:t>1.</w:t>
            </w:r>
          </w:p>
        </w:tc>
        <w:tc>
          <w:tcPr>
            <w:tcW w:w="3969" w:type="dxa"/>
          </w:tcPr>
          <w:p>
            <w:pPr>
              <w:pStyle w:val="yTableNAm"/>
            </w:pPr>
            <w:r>
              <w:t>Copy of traffic infringement notice record</w:t>
            </w:r>
          </w:p>
        </w:tc>
        <w:tc>
          <w:tcPr>
            <w:tcW w:w="1097" w:type="dxa"/>
          </w:tcPr>
          <w:p>
            <w:pPr>
              <w:pStyle w:val="yTableNAm"/>
            </w:pPr>
            <w:r>
              <w:t>$31.50</w:t>
            </w:r>
          </w:p>
        </w:tc>
      </w:tr>
      <w:tr>
        <w:trPr>
          <w:cantSplit/>
        </w:trPr>
        <w:tc>
          <w:tcPr>
            <w:tcW w:w="851" w:type="dxa"/>
            <w:tcBorders>
              <w:bottom w:val="single" w:sz="4" w:space="0" w:color="auto"/>
            </w:tcBorders>
          </w:tcPr>
          <w:p>
            <w:pPr>
              <w:pStyle w:val="yTableNAm"/>
            </w:pPr>
            <w:r>
              <w:t>2.</w:t>
            </w:r>
          </w:p>
        </w:tc>
        <w:tc>
          <w:tcPr>
            <w:tcW w:w="3969" w:type="dxa"/>
            <w:tcBorders>
              <w:bottom w:val="single" w:sz="4" w:space="0" w:color="auto"/>
            </w:tcBorders>
          </w:tcPr>
          <w:p>
            <w:pPr>
              <w:pStyle w:val="yTableNAm"/>
              <w:rPr>
                <w:rStyle w:val="DraftersNotes"/>
              </w:rPr>
            </w:pPr>
            <w:r>
              <w:t xml:space="preserve">Escorts and guards — each person provided per hour and part of an hour for high risk escorts carried out by TRG </w:t>
            </w:r>
          </w:p>
        </w:tc>
        <w:tc>
          <w:tcPr>
            <w:tcW w:w="1097" w:type="dxa"/>
            <w:tcBorders>
              <w:bottom w:val="single" w:sz="4" w:space="0" w:color="auto"/>
            </w:tcBorders>
            <w:vAlign w:val="bottom"/>
          </w:tcPr>
          <w:p>
            <w:pPr>
              <w:pStyle w:val="yTableNAm"/>
            </w:pPr>
            <w:r>
              <w:t>$127.50</w:t>
            </w:r>
          </w:p>
        </w:tc>
      </w:tr>
      <w:tr>
        <w:trPr>
          <w:cantSplit/>
        </w:trPr>
        <w:tc>
          <w:tcPr>
            <w:tcW w:w="851" w:type="dxa"/>
            <w:tcBorders>
              <w:bottom w:val="single" w:sz="4" w:space="0" w:color="auto"/>
            </w:tcBorders>
          </w:tcPr>
          <w:p>
            <w:pPr>
              <w:pStyle w:val="yTableNAm"/>
            </w:pPr>
            <w:r>
              <w:t>3.</w:t>
            </w:r>
          </w:p>
        </w:tc>
        <w:tc>
          <w:tcPr>
            <w:tcW w:w="3969" w:type="dxa"/>
            <w:tcBorders>
              <w:bottom w:val="single" w:sz="4" w:space="0" w:color="auto"/>
            </w:tcBorders>
          </w:tcPr>
          <w:p>
            <w:pPr>
              <w:pStyle w:val="yTableNAm"/>
            </w:pPr>
            <w:r>
              <w:t>Authorised copy of a photograph</w:t>
            </w:r>
          </w:p>
        </w:tc>
        <w:tc>
          <w:tcPr>
            <w:tcW w:w="1097" w:type="dxa"/>
            <w:tcBorders>
              <w:bottom w:val="single" w:sz="4" w:space="0" w:color="auto"/>
            </w:tcBorders>
          </w:tcPr>
          <w:p>
            <w:pPr>
              <w:pStyle w:val="yTableNAm"/>
            </w:pPr>
            <w:r>
              <w:t>$10.90</w:t>
            </w:r>
          </w:p>
        </w:tc>
      </w:tr>
      <w:tr>
        <w:trPr>
          <w:cantSplit/>
        </w:trPr>
        <w:tc>
          <w:tcPr>
            <w:tcW w:w="851" w:type="dxa"/>
            <w:tcBorders>
              <w:bottom w:val="nil"/>
            </w:tcBorders>
          </w:tcPr>
          <w:p>
            <w:pPr>
              <w:pStyle w:val="yTableNAm"/>
            </w:pPr>
            <w:r>
              <w:t>4.</w:t>
            </w:r>
          </w:p>
        </w:tc>
        <w:tc>
          <w:tcPr>
            <w:tcW w:w="3969" w:type="dxa"/>
            <w:tcBorders>
              <w:bottom w:val="nil"/>
            </w:tcBorders>
          </w:tcPr>
          <w:p>
            <w:pPr>
              <w:pStyle w:val="yTableNAm"/>
            </w:pPr>
            <w:r>
              <w:t xml:space="preserve">National criminal history record check — </w:t>
            </w:r>
          </w:p>
        </w:tc>
        <w:tc>
          <w:tcPr>
            <w:tcW w:w="1097" w:type="dxa"/>
            <w:tcBorders>
              <w:bottom w:val="nil"/>
            </w:tcBorders>
          </w:tcPr>
          <w:p>
            <w:pPr>
              <w:pStyle w:val="yTableNAm"/>
            </w:pPr>
          </w:p>
        </w:tc>
      </w:tr>
      <w:tr>
        <w:trPr>
          <w:cantSplit/>
        </w:trPr>
        <w:tc>
          <w:tcPr>
            <w:tcW w:w="851" w:type="dxa"/>
            <w:tcBorders>
              <w:top w:val="nil"/>
              <w:bottom w:val="nil"/>
            </w:tcBorders>
          </w:tcPr>
          <w:p>
            <w:pPr>
              <w:pStyle w:val="yTableNAm"/>
            </w:pPr>
          </w:p>
        </w:tc>
        <w:tc>
          <w:tcPr>
            <w:tcW w:w="3969" w:type="dxa"/>
            <w:tcBorders>
              <w:top w:val="nil"/>
              <w:bottom w:val="nil"/>
            </w:tcBorders>
          </w:tcPr>
          <w:p>
            <w:pPr>
              <w:pStyle w:val="yTableNAm"/>
            </w:pPr>
            <w:r>
              <w:t>(a)</w:t>
            </w:r>
            <w:r>
              <w:tab/>
              <w:t>issued to a volunteer organisation</w:t>
            </w:r>
          </w:p>
        </w:tc>
        <w:tc>
          <w:tcPr>
            <w:tcW w:w="1097" w:type="dxa"/>
            <w:tcBorders>
              <w:top w:val="nil"/>
              <w:bottom w:val="nil"/>
            </w:tcBorders>
          </w:tcPr>
          <w:p>
            <w:pPr>
              <w:pStyle w:val="yTableNAm"/>
            </w:pPr>
            <w:r>
              <w:t>$16.70</w:t>
            </w:r>
          </w:p>
        </w:tc>
      </w:tr>
      <w:tr>
        <w:trPr>
          <w:cantSplit/>
        </w:trPr>
        <w:tc>
          <w:tcPr>
            <w:tcW w:w="851" w:type="dxa"/>
            <w:tcBorders>
              <w:top w:val="nil"/>
            </w:tcBorders>
          </w:tcPr>
          <w:p>
            <w:pPr>
              <w:pStyle w:val="yTableNAm"/>
            </w:pPr>
          </w:p>
        </w:tc>
        <w:tc>
          <w:tcPr>
            <w:tcW w:w="3969" w:type="dxa"/>
            <w:tcBorders>
              <w:top w:val="nil"/>
            </w:tcBorders>
          </w:tcPr>
          <w:p>
            <w:pPr>
              <w:pStyle w:val="yTableNAm"/>
            </w:pPr>
            <w:r>
              <w:t>(b)</w:t>
            </w:r>
            <w:r>
              <w:tab/>
              <w:t>issued to a public sector body</w:t>
            </w:r>
          </w:p>
        </w:tc>
        <w:tc>
          <w:tcPr>
            <w:tcW w:w="1097" w:type="dxa"/>
            <w:tcBorders>
              <w:top w:val="nil"/>
            </w:tcBorders>
          </w:tcPr>
          <w:p>
            <w:pPr>
              <w:pStyle w:val="yTableNAm"/>
            </w:pPr>
            <w:r>
              <w:t>$32.50</w:t>
            </w:r>
          </w:p>
        </w:tc>
      </w:tr>
      <w:tr>
        <w:trPr>
          <w:cantSplit/>
        </w:trPr>
        <w:tc>
          <w:tcPr>
            <w:tcW w:w="851" w:type="dxa"/>
            <w:tcBorders>
              <w:bottom w:val="single" w:sz="4" w:space="0" w:color="auto"/>
            </w:tcBorders>
          </w:tcPr>
          <w:p>
            <w:pPr>
              <w:pStyle w:val="yTableNAm"/>
            </w:pPr>
            <w:r>
              <w:t>5.</w:t>
            </w:r>
          </w:p>
        </w:tc>
        <w:tc>
          <w:tcPr>
            <w:tcW w:w="3969" w:type="dxa"/>
            <w:tcBorders>
              <w:bottom w:val="single" w:sz="4" w:space="0" w:color="auto"/>
            </w:tcBorders>
          </w:tcPr>
          <w:p>
            <w:pPr>
              <w:pStyle w:val="yTableNAm"/>
            </w:pPr>
            <w:r>
              <w:t>National police certificate</w:t>
            </w:r>
          </w:p>
        </w:tc>
        <w:tc>
          <w:tcPr>
            <w:tcW w:w="1097" w:type="dxa"/>
            <w:tcBorders>
              <w:bottom w:val="single" w:sz="4" w:space="0" w:color="auto"/>
            </w:tcBorders>
          </w:tcPr>
          <w:p>
            <w:pPr>
              <w:pStyle w:val="yTableNAm"/>
            </w:pPr>
            <w:r>
              <w:t>$55.80</w:t>
            </w:r>
          </w:p>
        </w:tc>
      </w:tr>
      <w:tr>
        <w:trPr>
          <w:cantSplit/>
        </w:trPr>
        <w:tc>
          <w:tcPr>
            <w:tcW w:w="851" w:type="dxa"/>
            <w:tcBorders>
              <w:bottom w:val="nil"/>
            </w:tcBorders>
          </w:tcPr>
          <w:p>
            <w:pPr>
              <w:pStyle w:val="yTableNAm"/>
              <w:keepNext/>
            </w:pPr>
            <w:r>
              <w:t>6.</w:t>
            </w:r>
          </w:p>
        </w:tc>
        <w:tc>
          <w:tcPr>
            <w:tcW w:w="3969" w:type="dxa"/>
            <w:tcBorders>
              <w:bottom w:val="nil"/>
            </w:tcBorders>
          </w:tcPr>
          <w:p>
            <w:pPr>
              <w:pStyle w:val="yTableNAm"/>
              <w:keepNext/>
            </w:pPr>
            <w:r>
              <w:t xml:space="preserve">Provision of incident information as defined in the </w:t>
            </w:r>
            <w:r>
              <w:rPr>
                <w:i/>
              </w:rPr>
              <w:t xml:space="preserve">Road Traffic (Administration) Act 2008 </w:t>
            </w:r>
            <w:r>
              <w:t>section 12(1) —</w:t>
            </w:r>
          </w:p>
        </w:tc>
        <w:tc>
          <w:tcPr>
            <w:tcW w:w="1097" w:type="dxa"/>
            <w:tcBorders>
              <w:bottom w:val="nil"/>
            </w:tcBorders>
          </w:tcPr>
          <w:p>
            <w:pPr>
              <w:pStyle w:val="yTableNAm"/>
              <w:keepNext/>
            </w:pPr>
          </w:p>
        </w:tc>
      </w:tr>
      <w:tr>
        <w:trPr>
          <w:cantSplit/>
        </w:trPr>
        <w:tc>
          <w:tcPr>
            <w:tcW w:w="851" w:type="dxa"/>
            <w:tcBorders>
              <w:top w:val="nil"/>
              <w:bottom w:val="nil"/>
            </w:tcBorders>
          </w:tcPr>
          <w:p>
            <w:pPr>
              <w:pStyle w:val="yTableNAm"/>
            </w:pPr>
          </w:p>
        </w:tc>
        <w:tc>
          <w:tcPr>
            <w:tcW w:w="3969" w:type="dxa"/>
            <w:tcBorders>
              <w:top w:val="nil"/>
              <w:bottom w:val="nil"/>
            </w:tcBorders>
          </w:tcPr>
          <w:p>
            <w:pPr>
              <w:pStyle w:val="yTableNAm"/>
              <w:ind w:left="567" w:hanging="567"/>
            </w:pPr>
            <w:r>
              <w:t>(a)</w:t>
            </w:r>
            <w:r>
              <w:tab/>
              <w:t>to those involved or their representatives (outlining certain accident details)</w:t>
            </w:r>
          </w:p>
        </w:tc>
        <w:tc>
          <w:tcPr>
            <w:tcW w:w="1097" w:type="dxa"/>
            <w:tcBorders>
              <w:top w:val="nil"/>
              <w:bottom w:val="nil"/>
            </w:tcBorders>
            <w:vAlign w:val="bottom"/>
          </w:tcPr>
          <w:p>
            <w:pPr>
              <w:pStyle w:val="yTableNAm"/>
            </w:pPr>
            <w:r>
              <w:t>$46.90</w:t>
            </w:r>
          </w:p>
        </w:tc>
      </w:tr>
      <w:tr>
        <w:trPr>
          <w:cantSplit/>
        </w:trPr>
        <w:tc>
          <w:tcPr>
            <w:tcW w:w="851" w:type="dxa"/>
            <w:tcBorders>
              <w:top w:val="nil"/>
              <w:bottom w:val="single" w:sz="4" w:space="0" w:color="auto"/>
            </w:tcBorders>
          </w:tcPr>
          <w:p>
            <w:pPr>
              <w:pStyle w:val="yTableNAm"/>
            </w:pPr>
          </w:p>
        </w:tc>
        <w:tc>
          <w:tcPr>
            <w:tcW w:w="3969" w:type="dxa"/>
            <w:tcBorders>
              <w:top w:val="nil"/>
              <w:bottom w:val="single" w:sz="4" w:space="0" w:color="auto"/>
            </w:tcBorders>
          </w:tcPr>
          <w:p>
            <w:pPr>
              <w:pStyle w:val="yTableNAm"/>
              <w:ind w:left="567" w:hanging="567"/>
            </w:pPr>
            <w:r>
              <w:t>(b)</w:t>
            </w:r>
            <w:r>
              <w:tab/>
              <w:t>to the Insurance Commission of Western Australia for third party insurance purposes</w:t>
            </w:r>
          </w:p>
        </w:tc>
        <w:tc>
          <w:tcPr>
            <w:tcW w:w="1097" w:type="dxa"/>
            <w:tcBorders>
              <w:top w:val="nil"/>
              <w:bottom w:val="single" w:sz="4" w:space="0" w:color="auto"/>
            </w:tcBorders>
            <w:vAlign w:val="bottom"/>
          </w:tcPr>
          <w:p>
            <w:pPr>
              <w:pStyle w:val="yTableNAm"/>
            </w:pPr>
            <w:r>
              <w:t>$46.90</w:t>
            </w:r>
          </w:p>
        </w:tc>
      </w:tr>
      <w:tr>
        <w:trPr>
          <w:cantSplit/>
        </w:trPr>
        <w:tc>
          <w:tcPr>
            <w:tcW w:w="851" w:type="dxa"/>
            <w:tcBorders>
              <w:top w:val="single" w:sz="4" w:space="0" w:color="auto"/>
              <w:bottom w:val="single" w:sz="4" w:space="0" w:color="auto"/>
            </w:tcBorders>
          </w:tcPr>
          <w:p>
            <w:pPr>
              <w:pStyle w:val="yTableNAm"/>
            </w:pPr>
            <w:r>
              <w:t>7.</w:t>
            </w:r>
          </w:p>
        </w:tc>
        <w:tc>
          <w:tcPr>
            <w:tcW w:w="3969" w:type="dxa"/>
            <w:tcBorders>
              <w:top w:val="single" w:sz="4" w:space="0" w:color="auto"/>
              <w:bottom w:val="single" w:sz="4" w:space="0" w:color="auto"/>
            </w:tcBorders>
          </w:tcPr>
          <w:p>
            <w:pPr>
              <w:pStyle w:val="yTableNAm"/>
            </w:pPr>
            <w:r>
              <w:t xml:space="preserve">Provision of information about a reported incident, other than incident information as defined in the </w:t>
            </w:r>
            <w:r>
              <w:rPr>
                <w:i/>
              </w:rPr>
              <w:t xml:space="preserve">Road Traffic (Administration) Act 2008 </w:t>
            </w:r>
            <w:r>
              <w:t>section 12(1), to those involved or their representatives (outlining certain incident details)</w:t>
            </w:r>
          </w:p>
        </w:tc>
        <w:tc>
          <w:tcPr>
            <w:tcW w:w="1097" w:type="dxa"/>
            <w:tcBorders>
              <w:top w:val="single" w:sz="4" w:space="0" w:color="auto"/>
              <w:bottom w:val="single" w:sz="4" w:space="0" w:color="auto"/>
            </w:tcBorders>
            <w:vAlign w:val="bottom"/>
          </w:tcPr>
          <w:p>
            <w:pPr>
              <w:pStyle w:val="yTableNAm"/>
            </w:pPr>
            <w:r>
              <w:t>$47.40</w:t>
            </w:r>
          </w:p>
        </w:tc>
      </w:tr>
      <w:tr>
        <w:trPr>
          <w:cantSplit/>
        </w:trPr>
        <w:tc>
          <w:tcPr>
            <w:tcW w:w="851" w:type="dxa"/>
            <w:tcBorders>
              <w:top w:val="single" w:sz="4" w:space="0" w:color="auto"/>
              <w:bottom w:val="nil"/>
            </w:tcBorders>
          </w:tcPr>
          <w:p>
            <w:pPr>
              <w:pStyle w:val="yTableNAm"/>
            </w:pPr>
            <w:r>
              <w:t>8.</w:t>
            </w:r>
          </w:p>
        </w:tc>
        <w:tc>
          <w:tcPr>
            <w:tcW w:w="3969" w:type="dxa"/>
            <w:tcBorders>
              <w:top w:val="single" w:sz="4" w:space="0" w:color="auto"/>
              <w:bottom w:val="nil"/>
            </w:tcBorders>
          </w:tcPr>
          <w:p>
            <w:pPr>
              <w:pStyle w:val="yTableNAm"/>
            </w:pPr>
            <w:r>
              <w:t xml:space="preserve">Replacement of prosecution documents — </w:t>
            </w:r>
          </w:p>
        </w:tc>
        <w:tc>
          <w:tcPr>
            <w:tcW w:w="1097" w:type="dxa"/>
            <w:tcBorders>
              <w:top w:val="single" w:sz="4" w:space="0" w:color="auto"/>
              <w:bottom w:val="nil"/>
            </w:tcBorders>
          </w:tcPr>
          <w:p>
            <w:pPr>
              <w:pStyle w:val="yTableNAm"/>
            </w:pPr>
          </w:p>
        </w:tc>
      </w:tr>
      <w:tr>
        <w:trPr>
          <w:cantSplit/>
        </w:trPr>
        <w:tc>
          <w:tcPr>
            <w:tcW w:w="851" w:type="dxa"/>
            <w:tcBorders>
              <w:top w:val="nil"/>
              <w:bottom w:val="nil"/>
            </w:tcBorders>
          </w:tcPr>
          <w:p>
            <w:pPr>
              <w:pStyle w:val="yTableNAm"/>
            </w:pPr>
          </w:p>
        </w:tc>
        <w:tc>
          <w:tcPr>
            <w:tcW w:w="3969" w:type="dxa"/>
            <w:tcBorders>
              <w:top w:val="nil"/>
              <w:bottom w:val="nil"/>
            </w:tcBorders>
          </w:tcPr>
          <w:p>
            <w:pPr>
              <w:pStyle w:val="yTableNAm"/>
              <w:ind w:left="567" w:hanging="567"/>
            </w:pPr>
            <w:r>
              <w:t>(a)</w:t>
            </w:r>
            <w:r>
              <w:tab/>
              <w:t>a statement of the material facts of a charge, which has already been served (per hour or part of an hour)</w:t>
            </w:r>
          </w:p>
        </w:tc>
        <w:tc>
          <w:tcPr>
            <w:tcW w:w="1097" w:type="dxa"/>
            <w:tcBorders>
              <w:top w:val="nil"/>
              <w:bottom w:val="nil"/>
            </w:tcBorders>
            <w:vAlign w:val="bottom"/>
          </w:tcPr>
          <w:p>
            <w:pPr>
              <w:pStyle w:val="yTableNAm"/>
            </w:pPr>
            <w:r>
              <w:t>$98.00</w:t>
            </w:r>
          </w:p>
        </w:tc>
      </w:tr>
      <w:tr>
        <w:trPr>
          <w:cantSplit/>
        </w:trPr>
        <w:tc>
          <w:tcPr>
            <w:tcW w:w="851" w:type="dxa"/>
            <w:tcBorders>
              <w:top w:val="nil"/>
            </w:tcBorders>
          </w:tcPr>
          <w:p>
            <w:pPr>
              <w:pStyle w:val="yTableNAm"/>
            </w:pPr>
          </w:p>
        </w:tc>
        <w:tc>
          <w:tcPr>
            <w:tcW w:w="3969" w:type="dxa"/>
            <w:tcBorders>
              <w:top w:val="nil"/>
            </w:tcBorders>
          </w:tcPr>
          <w:p>
            <w:pPr>
              <w:pStyle w:val="yTableNAm"/>
              <w:ind w:left="567" w:hanging="567"/>
            </w:pPr>
            <w:r>
              <w:t>(b)</w:t>
            </w:r>
            <w:r>
              <w:tab/>
              <w:t>additional copy of documents already disclosed (per hour or part of an hour)</w:t>
            </w:r>
          </w:p>
        </w:tc>
        <w:tc>
          <w:tcPr>
            <w:tcW w:w="1097" w:type="dxa"/>
            <w:tcBorders>
              <w:top w:val="nil"/>
            </w:tcBorders>
            <w:vAlign w:val="bottom"/>
          </w:tcPr>
          <w:p>
            <w:pPr>
              <w:pStyle w:val="yTableNAm"/>
            </w:pPr>
            <w:r>
              <w:t>$98.00</w:t>
            </w:r>
          </w:p>
        </w:tc>
      </w:tr>
    </w:tbl>
    <w:p>
      <w:pPr>
        <w:pStyle w:val="yFootnotesection"/>
      </w:pPr>
      <w:r>
        <w:tab/>
        <w:t>[Schedule 1 inserted: SL 2020/82 r. 9.]</w:t>
      </w:r>
    </w:p>
    <w:p>
      <w:pPr>
        <w:pStyle w:val="yScheduleHeading"/>
      </w:pPr>
      <w:bookmarkStart w:id="16" w:name="_Toc43798720"/>
      <w:bookmarkStart w:id="17" w:name="_Toc43908710"/>
      <w:bookmarkStart w:id="18" w:name="_Toc43798409"/>
      <w:bookmarkEnd w:id="15"/>
      <w:r>
        <w:rPr>
          <w:rStyle w:val="CharSchNo"/>
        </w:rPr>
        <w:t>Schedule 2</w:t>
      </w:r>
      <w:r>
        <w:t> — </w:t>
      </w:r>
      <w:r>
        <w:rPr>
          <w:rStyle w:val="CharSchText"/>
        </w:rPr>
        <w:t>Charges for major events</w:t>
      </w:r>
      <w:bookmarkEnd w:id="16"/>
      <w:bookmarkEnd w:id="17"/>
    </w:p>
    <w:p>
      <w:pPr>
        <w:pStyle w:val="yShoulderClause"/>
      </w:pPr>
      <w:r>
        <w:t>[r. 6 and 8]</w:t>
      </w:r>
    </w:p>
    <w:p>
      <w:pPr>
        <w:pStyle w:val="yFootnoteheading"/>
        <w:spacing w:after="120"/>
      </w:pPr>
      <w:r>
        <w:tab/>
        <w:t>[Heading inserted: SL 2020/82 r. 10.]</w:t>
      </w:r>
    </w:p>
    <w:tbl>
      <w:tblPr>
        <w:tblW w:w="59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51"/>
        <w:gridCol w:w="3827"/>
        <w:gridCol w:w="1239"/>
      </w:tblGrid>
      <w:tr>
        <w:trPr>
          <w:tblHeader/>
        </w:trPr>
        <w:tc>
          <w:tcPr>
            <w:tcW w:w="851" w:type="dxa"/>
          </w:tcPr>
          <w:p>
            <w:pPr>
              <w:pStyle w:val="yTableNAm"/>
              <w:keepNext/>
              <w:keepLines/>
            </w:pPr>
          </w:p>
        </w:tc>
        <w:tc>
          <w:tcPr>
            <w:tcW w:w="3827" w:type="dxa"/>
          </w:tcPr>
          <w:p>
            <w:pPr>
              <w:pStyle w:val="yTableNAm"/>
              <w:keepNext/>
              <w:keepLines/>
              <w:rPr>
                <w:b/>
              </w:rPr>
            </w:pPr>
            <w:r>
              <w:rPr>
                <w:b/>
              </w:rPr>
              <w:t>Rate/hour</w:t>
            </w:r>
          </w:p>
        </w:tc>
        <w:tc>
          <w:tcPr>
            <w:tcW w:w="1239" w:type="dxa"/>
          </w:tcPr>
          <w:p>
            <w:pPr>
              <w:pStyle w:val="yTableNAm"/>
              <w:keepNext/>
              <w:keepLines/>
              <w:rPr>
                <w:b/>
              </w:rPr>
            </w:pPr>
            <w:r>
              <w:rPr>
                <w:b/>
              </w:rPr>
              <w:t>Amount</w:t>
            </w:r>
          </w:p>
        </w:tc>
      </w:tr>
      <w:tr>
        <w:tc>
          <w:tcPr>
            <w:tcW w:w="851" w:type="dxa"/>
          </w:tcPr>
          <w:p>
            <w:pPr>
              <w:pStyle w:val="yTableNAm"/>
              <w:keepNext/>
              <w:keepLines/>
            </w:pPr>
            <w:r>
              <w:t>1.</w:t>
            </w:r>
          </w:p>
        </w:tc>
        <w:tc>
          <w:tcPr>
            <w:tcW w:w="3827" w:type="dxa"/>
          </w:tcPr>
          <w:p>
            <w:pPr>
              <w:pStyle w:val="yTableNAm"/>
              <w:keepNext/>
              <w:keepLines/>
            </w:pPr>
            <w:r>
              <w:t>Planning rate</w:t>
            </w:r>
          </w:p>
        </w:tc>
        <w:tc>
          <w:tcPr>
            <w:tcW w:w="1239" w:type="dxa"/>
          </w:tcPr>
          <w:p>
            <w:pPr>
              <w:pStyle w:val="yTableNAm"/>
              <w:keepNext/>
              <w:keepLines/>
            </w:pPr>
            <w:r>
              <w:t>$61.00</w:t>
            </w:r>
          </w:p>
        </w:tc>
      </w:tr>
      <w:tr>
        <w:tc>
          <w:tcPr>
            <w:tcW w:w="851" w:type="dxa"/>
          </w:tcPr>
          <w:p>
            <w:pPr>
              <w:pStyle w:val="yTableNAm"/>
              <w:keepNext/>
              <w:keepLines/>
            </w:pPr>
            <w:r>
              <w:t>2.</w:t>
            </w:r>
          </w:p>
        </w:tc>
        <w:tc>
          <w:tcPr>
            <w:tcW w:w="3827" w:type="dxa"/>
          </w:tcPr>
          <w:p>
            <w:pPr>
              <w:pStyle w:val="yTableNAm"/>
              <w:keepNext/>
              <w:keepLines/>
            </w:pPr>
            <w:r>
              <w:t>Attendance rate</w:t>
            </w:r>
          </w:p>
        </w:tc>
        <w:tc>
          <w:tcPr>
            <w:tcW w:w="1239" w:type="dxa"/>
          </w:tcPr>
          <w:p>
            <w:pPr>
              <w:pStyle w:val="yTableNAm"/>
              <w:keepNext/>
              <w:keepLines/>
            </w:pPr>
            <w:r>
              <w:t>$108.00</w:t>
            </w:r>
          </w:p>
        </w:tc>
      </w:tr>
      <w:tr>
        <w:tc>
          <w:tcPr>
            <w:tcW w:w="851" w:type="dxa"/>
          </w:tcPr>
          <w:p>
            <w:pPr>
              <w:pStyle w:val="yTableNAm"/>
              <w:keepNext/>
              <w:keepLines/>
            </w:pPr>
            <w:r>
              <w:t>3.</w:t>
            </w:r>
          </w:p>
        </w:tc>
        <w:tc>
          <w:tcPr>
            <w:tcW w:w="3827" w:type="dxa"/>
          </w:tcPr>
          <w:p>
            <w:pPr>
              <w:pStyle w:val="yTableNAm"/>
              <w:keepNext/>
              <w:keepLines/>
            </w:pPr>
            <w:r>
              <w:t>General overhead expenses rate</w:t>
            </w:r>
          </w:p>
        </w:tc>
        <w:tc>
          <w:tcPr>
            <w:tcW w:w="1239" w:type="dxa"/>
          </w:tcPr>
          <w:p>
            <w:pPr>
              <w:pStyle w:val="yTableNAm"/>
              <w:keepNext/>
              <w:keepLines/>
            </w:pPr>
            <w:r>
              <w:t>$15.00</w:t>
            </w:r>
          </w:p>
        </w:tc>
      </w:tr>
      <w:tr>
        <w:tc>
          <w:tcPr>
            <w:tcW w:w="851" w:type="dxa"/>
          </w:tcPr>
          <w:p>
            <w:pPr>
              <w:pStyle w:val="yTableNAm"/>
              <w:keepNext/>
              <w:keepLines/>
            </w:pPr>
            <w:r>
              <w:t>4.</w:t>
            </w:r>
          </w:p>
        </w:tc>
        <w:tc>
          <w:tcPr>
            <w:tcW w:w="3827" w:type="dxa"/>
          </w:tcPr>
          <w:p>
            <w:pPr>
              <w:pStyle w:val="yTableNAm"/>
              <w:keepNext/>
              <w:keepLines/>
            </w:pPr>
            <w:r>
              <w:t>Overhead expenses rate for air support — helicopter</w:t>
            </w:r>
          </w:p>
        </w:tc>
        <w:tc>
          <w:tcPr>
            <w:tcW w:w="1239" w:type="dxa"/>
            <w:vAlign w:val="bottom"/>
          </w:tcPr>
          <w:p>
            <w:pPr>
              <w:pStyle w:val="yTableNAm"/>
              <w:keepNext/>
              <w:keepLines/>
            </w:pPr>
            <w:r>
              <w:t>$2 857.00</w:t>
            </w:r>
          </w:p>
        </w:tc>
      </w:tr>
      <w:tr>
        <w:tc>
          <w:tcPr>
            <w:tcW w:w="851" w:type="dxa"/>
          </w:tcPr>
          <w:p>
            <w:pPr>
              <w:pStyle w:val="yTableNAm"/>
              <w:keepNext/>
              <w:keepLines/>
            </w:pPr>
            <w:r>
              <w:t>5.</w:t>
            </w:r>
          </w:p>
        </w:tc>
        <w:tc>
          <w:tcPr>
            <w:tcW w:w="3827" w:type="dxa"/>
          </w:tcPr>
          <w:p>
            <w:pPr>
              <w:pStyle w:val="yTableNAm"/>
              <w:keepNext/>
              <w:keepLines/>
            </w:pPr>
            <w:r>
              <w:t>Overhead expenses rate for air support — fixed wing aircraft</w:t>
            </w:r>
          </w:p>
        </w:tc>
        <w:tc>
          <w:tcPr>
            <w:tcW w:w="1239" w:type="dxa"/>
            <w:vAlign w:val="bottom"/>
          </w:tcPr>
          <w:p>
            <w:pPr>
              <w:pStyle w:val="yTableNAm"/>
              <w:keepNext/>
              <w:keepLines/>
            </w:pPr>
            <w:r>
              <w:t>$1 721.00</w:t>
            </w:r>
          </w:p>
        </w:tc>
      </w:tr>
    </w:tbl>
    <w:p>
      <w:pPr>
        <w:pStyle w:val="yFootnotesection"/>
      </w:pPr>
      <w:r>
        <w:tab/>
        <w:t>[Schedule 2 inserted: SL 2020/82 r. 10.]</w:t>
      </w: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bookmarkEnd w:id="18"/>
    <w:p>
      <w:pPr>
        <w:pStyle w:val="yFootnotesection"/>
        <w:sectPr>
          <w:headerReference w:type="even" r:id="rId26"/>
          <w:headerReference w:type="default" r:id="rId27"/>
          <w:pgSz w:w="11907" w:h="16840" w:code="9"/>
          <w:pgMar w:top="2381" w:right="2410" w:bottom="3544" w:left="2410" w:header="720" w:footer="3544" w:gutter="0"/>
          <w:cols w:space="720"/>
        </w:sectPr>
      </w:pPr>
    </w:p>
    <w:p>
      <w:pPr>
        <w:pStyle w:val="nHeading2"/>
      </w:pPr>
      <w:bookmarkStart w:id="20" w:name="_Toc43798410"/>
      <w:bookmarkStart w:id="21" w:name="_Toc43798721"/>
      <w:bookmarkStart w:id="22" w:name="_Toc43908711"/>
      <w:r>
        <w:t>Notes</w:t>
      </w:r>
      <w:bookmarkEnd w:id="20"/>
      <w:bookmarkEnd w:id="21"/>
      <w:bookmarkEnd w:id="22"/>
    </w:p>
    <w:p>
      <w:pPr>
        <w:pStyle w:val="nStatement"/>
      </w:pPr>
      <w:r>
        <w:t xml:space="preserve">This is a compilation of the </w:t>
      </w:r>
      <w:r>
        <w:rPr>
          <w:i/>
          <w:noProof/>
        </w:rPr>
        <w:t>Police (Fees and Charges) Regulations 2018</w:t>
      </w:r>
      <w:r>
        <w:t xml:space="preserve"> and includes amendments made by other written laws. For provisions that have come into operation see the compilation table. </w:t>
      </w:r>
    </w:p>
    <w:p>
      <w:pPr>
        <w:pStyle w:val="nHeading3"/>
      </w:pPr>
      <w:bookmarkStart w:id="23" w:name="_Toc43908712"/>
      <w:r>
        <w:t>Compilation table</w:t>
      </w:r>
      <w:bookmarkEnd w:id="23"/>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pPr>
            <w:r>
              <w:rPr>
                <w:i/>
                <w:noProof/>
              </w:rPr>
              <w:t>Police (Fees and Charges) Regulations 2018</w:t>
            </w:r>
          </w:p>
        </w:tc>
        <w:tc>
          <w:tcPr>
            <w:tcW w:w="1276" w:type="dxa"/>
            <w:tcBorders>
              <w:bottom w:val="nil"/>
            </w:tcBorders>
          </w:tcPr>
          <w:p>
            <w:pPr>
              <w:pStyle w:val="nTable"/>
              <w:spacing w:after="40"/>
            </w:pPr>
            <w:r>
              <w:t>12 Jan 2018 p. 137</w:t>
            </w:r>
            <w:r>
              <w:noBreakHyphen/>
              <w:t>146</w:t>
            </w:r>
          </w:p>
        </w:tc>
        <w:tc>
          <w:tcPr>
            <w:tcW w:w="2693" w:type="dxa"/>
            <w:tcBorders>
              <w:bottom w:val="nil"/>
            </w:tcBorders>
          </w:tcPr>
          <w:p>
            <w:pPr>
              <w:pStyle w:val="nTable"/>
              <w:spacing w:after="40"/>
            </w:pPr>
            <w:r>
              <w:t>r. 1 and 2: 12 Jan 2018 (see r. 2(a));</w:t>
            </w:r>
            <w:r>
              <w:br/>
              <w:t xml:space="preserve">Regulations other than r. 1 and 2: 13 Jan 2018 (see r 2(b) and </w:t>
            </w:r>
            <w:r>
              <w:rPr>
                <w:i/>
              </w:rPr>
              <w:t>Gazette</w:t>
            </w:r>
            <w:r>
              <w:t xml:space="preserve"> 12 Jan 2018 p. 115)</w:t>
            </w:r>
          </w:p>
        </w:tc>
      </w:tr>
      <w:tr>
        <w:tc>
          <w:tcPr>
            <w:tcW w:w="3118" w:type="dxa"/>
            <w:tcBorders>
              <w:top w:val="nil"/>
              <w:bottom w:val="nil"/>
            </w:tcBorders>
          </w:tcPr>
          <w:p>
            <w:pPr>
              <w:pStyle w:val="nTable"/>
              <w:spacing w:after="40"/>
              <w:rPr>
                <w:noProof/>
              </w:rPr>
            </w:pPr>
            <w:r>
              <w:rPr>
                <w:i/>
              </w:rPr>
              <w:t>Police Regulations Amendment (Fees and Charges) Regulations 2018</w:t>
            </w:r>
            <w:r>
              <w:t xml:space="preserve"> Pt. 4</w:t>
            </w:r>
          </w:p>
        </w:tc>
        <w:tc>
          <w:tcPr>
            <w:tcW w:w="1276" w:type="dxa"/>
            <w:tcBorders>
              <w:top w:val="nil"/>
              <w:bottom w:val="nil"/>
            </w:tcBorders>
          </w:tcPr>
          <w:p>
            <w:pPr>
              <w:pStyle w:val="nTable"/>
              <w:spacing w:after="40"/>
            </w:pPr>
            <w:r>
              <w:t>26 Jun 2018 p. 2392</w:t>
            </w:r>
            <w:r>
              <w:noBreakHyphen/>
              <w:t>400</w:t>
            </w:r>
          </w:p>
        </w:tc>
        <w:tc>
          <w:tcPr>
            <w:tcW w:w="2693" w:type="dxa"/>
            <w:tcBorders>
              <w:top w:val="nil"/>
              <w:bottom w:val="nil"/>
            </w:tcBorders>
          </w:tcPr>
          <w:p>
            <w:pPr>
              <w:pStyle w:val="nTable"/>
              <w:spacing w:after="40"/>
            </w:pPr>
            <w:r>
              <w:t>1 Jul 2018 (see r. 2(b))</w:t>
            </w:r>
          </w:p>
        </w:tc>
      </w:tr>
      <w:tr>
        <w:tc>
          <w:tcPr>
            <w:tcW w:w="3118" w:type="dxa"/>
            <w:tcBorders>
              <w:top w:val="nil"/>
              <w:bottom w:val="nil"/>
            </w:tcBorders>
          </w:tcPr>
          <w:p>
            <w:pPr>
              <w:pStyle w:val="nTable"/>
              <w:spacing w:after="40"/>
              <w:rPr>
                <w:i/>
              </w:rPr>
            </w:pPr>
            <w:r>
              <w:rPr>
                <w:i/>
              </w:rPr>
              <w:t>Police (Fees and Charges) Amendment Regulations 2018</w:t>
            </w:r>
          </w:p>
        </w:tc>
        <w:tc>
          <w:tcPr>
            <w:tcW w:w="1276" w:type="dxa"/>
            <w:tcBorders>
              <w:top w:val="nil"/>
              <w:bottom w:val="nil"/>
            </w:tcBorders>
          </w:tcPr>
          <w:p>
            <w:pPr>
              <w:pStyle w:val="nTable"/>
              <w:spacing w:after="40"/>
            </w:pPr>
            <w:r>
              <w:t>17 Aug 2018 p. 2897</w:t>
            </w:r>
            <w:r>
              <w:noBreakHyphen/>
              <w:t>8</w:t>
            </w:r>
          </w:p>
        </w:tc>
        <w:tc>
          <w:tcPr>
            <w:tcW w:w="2693" w:type="dxa"/>
            <w:tcBorders>
              <w:top w:val="nil"/>
              <w:bottom w:val="nil"/>
            </w:tcBorders>
          </w:tcPr>
          <w:p>
            <w:pPr>
              <w:pStyle w:val="nTable"/>
              <w:spacing w:after="40"/>
            </w:pPr>
            <w:r>
              <w:t>r. 1 and 2: 17 Aug 2018 (see r. 2(a));</w:t>
            </w:r>
            <w:r>
              <w:br/>
              <w:t>Regulations other than r. 1 and 2: 18 Aug 2018 (see r 2(b))</w:t>
            </w:r>
          </w:p>
        </w:tc>
      </w:tr>
      <w:tr>
        <w:tc>
          <w:tcPr>
            <w:tcW w:w="3118" w:type="dxa"/>
            <w:tcBorders>
              <w:top w:val="nil"/>
              <w:bottom w:val="nil"/>
            </w:tcBorders>
          </w:tcPr>
          <w:p>
            <w:pPr>
              <w:pStyle w:val="nTable"/>
              <w:spacing w:after="40"/>
              <w:rPr>
                <w:i/>
              </w:rPr>
            </w:pPr>
            <w:r>
              <w:rPr>
                <w:i/>
              </w:rPr>
              <w:t>Police Regulations Amendment (Fees and Charges) Regulations 2019</w:t>
            </w:r>
            <w:r>
              <w:t xml:space="preserve"> Pt. 4</w:t>
            </w:r>
          </w:p>
        </w:tc>
        <w:tc>
          <w:tcPr>
            <w:tcW w:w="1276" w:type="dxa"/>
            <w:tcBorders>
              <w:top w:val="nil"/>
              <w:bottom w:val="nil"/>
            </w:tcBorders>
          </w:tcPr>
          <w:p>
            <w:pPr>
              <w:pStyle w:val="nTable"/>
              <w:spacing w:after="40"/>
            </w:pPr>
            <w:r>
              <w:t>21 Jun 2019 p. 2141</w:t>
            </w:r>
            <w:r>
              <w:noBreakHyphen/>
              <w:t>50</w:t>
            </w:r>
          </w:p>
        </w:tc>
        <w:tc>
          <w:tcPr>
            <w:tcW w:w="2693" w:type="dxa"/>
            <w:tcBorders>
              <w:top w:val="nil"/>
              <w:bottom w:val="nil"/>
            </w:tcBorders>
          </w:tcPr>
          <w:p>
            <w:pPr>
              <w:pStyle w:val="nTable"/>
              <w:spacing w:after="40"/>
            </w:pPr>
            <w:r>
              <w:t>1 Jul 2019 (see r. 2(b))</w:t>
            </w:r>
          </w:p>
        </w:tc>
      </w:tr>
      <w:tr>
        <w:tc>
          <w:tcPr>
            <w:tcW w:w="3118" w:type="dxa"/>
            <w:tcBorders>
              <w:top w:val="nil"/>
              <w:bottom w:val="single" w:sz="4" w:space="0" w:color="auto"/>
            </w:tcBorders>
          </w:tcPr>
          <w:p>
            <w:pPr>
              <w:pStyle w:val="nTable"/>
              <w:spacing w:after="40"/>
              <w:rPr>
                <w:i/>
              </w:rPr>
            </w:pPr>
            <w:r>
              <w:rPr>
                <w:i/>
              </w:rPr>
              <w:t>Police Regulations Amendment (Fees and Charges) Regulations 2020</w:t>
            </w:r>
            <w:r>
              <w:t xml:space="preserve"> Pt. 4</w:t>
            </w:r>
          </w:p>
        </w:tc>
        <w:tc>
          <w:tcPr>
            <w:tcW w:w="1276" w:type="dxa"/>
            <w:tcBorders>
              <w:top w:val="nil"/>
              <w:bottom w:val="single" w:sz="4" w:space="0" w:color="auto"/>
            </w:tcBorders>
          </w:tcPr>
          <w:p>
            <w:pPr>
              <w:pStyle w:val="nTable"/>
              <w:spacing w:after="40"/>
            </w:pPr>
            <w:r>
              <w:t xml:space="preserve">SL 2020/82 19 Jun 2020 </w:t>
            </w:r>
          </w:p>
        </w:tc>
        <w:tc>
          <w:tcPr>
            <w:tcW w:w="2693" w:type="dxa"/>
            <w:tcBorders>
              <w:top w:val="nil"/>
              <w:bottom w:val="single" w:sz="4" w:space="0" w:color="auto"/>
            </w:tcBorders>
          </w:tcPr>
          <w:p>
            <w:pPr>
              <w:pStyle w:val="nTable"/>
              <w:spacing w:after="40"/>
            </w:pPr>
            <w:r>
              <w:t>1 Jul 2020 (see r. 2(b))</w:t>
            </w:r>
          </w:p>
        </w:tc>
      </w:tr>
    </w:tbl>
    <w:p/>
    <w:p>
      <w:pPr>
        <w:sectPr>
          <w:headerReference w:type="even" r:id="rId28"/>
          <w:headerReference w:type="default" r:id="rId29"/>
          <w:pgSz w:w="11907" w:h="16840" w:code="9"/>
          <w:pgMar w:top="2376" w:right="2404" w:bottom="3544" w:left="2404" w:header="720" w:footer="3380" w:gutter="0"/>
          <w:cols w:space="720"/>
          <w:noEndnote/>
          <w:docGrid w:linePitch="326"/>
        </w:sectPr>
      </w:pPr>
    </w:p>
    <w:p>
      <w:pPr>
        <w:pStyle w:val="nHeading2"/>
        <w:rPr>
          <w:sz w:val="28"/>
        </w:rPr>
      </w:pPr>
      <w:bookmarkStart w:id="25" w:name="_Toc43798413"/>
      <w:bookmarkStart w:id="26" w:name="_Toc43798723"/>
      <w:bookmarkStart w:id="27" w:name="_Toc43908713"/>
      <w:r>
        <w:rPr>
          <w:sz w:val="28"/>
        </w:rPr>
        <w:t>Defined terms</w:t>
      </w:r>
      <w:bookmarkEnd w:id="25"/>
      <w:bookmarkEnd w:id="26"/>
      <w:bookmarkEnd w:id="2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air support</w:t>
      </w:r>
      <w:r>
        <w:tab/>
        <w:t>6(2)</w:t>
      </w:r>
    </w:p>
    <w:p>
      <w:pPr>
        <w:pStyle w:val="DefinedTerms"/>
      </w:pPr>
      <w:r>
        <w:t>attendance rate</w:t>
      </w:r>
      <w:r>
        <w:tab/>
        <w:t>3</w:t>
      </w:r>
    </w:p>
    <w:p>
      <w:pPr>
        <w:pStyle w:val="DefinedTerms"/>
      </w:pPr>
      <w:r>
        <w:t>department</w:t>
      </w:r>
      <w:r>
        <w:tab/>
        <w:t>3</w:t>
      </w:r>
    </w:p>
    <w:p>
      <w:pPr>
        <w:pStyle w:val="DefinedTerms"/>
      </w:pPr>
      <w:r>
        <w:t>GST</w:t>
      </w:r>
      <w:r>
        <w:tab/>
        <w:t>3</w:t>
      </w:r>
    </w:p>
    <w:p>
      <w:pPr>
        <w:pStyle w:val="DefinedTerms"/>
      </w:pPr>
      <w:r>
        <w:t>planning rate</w:t>
      </w:r>
      <w:r>
        <w:tab/>
        <w:t>3</w:t>
      </w:r>
    </w:p>
    <w:p>
      <w:pPr>
        <w:pStyle w:val="DefinedTerms"/>
      </w:pPr>
      <w:r>
        <w:t>traffic infringement notice record</w:t>
      </w:r>
      <w:r>
        <w:tab/>
        <w:t>3</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Police (Fees and Charges) Regulations 2018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Police (Fees and Charges) Regulations 2018</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19" w:name="Schedule"/>
    <w:bookmarkEnd w:id="1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Police (Fees and Charges) Regulations 2018</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Police (Fees and Charges) Regulations 2018</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4" w:name="Compilation"/>
    <w:bookmarkEnd w:id="2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Police (Fees and Charges) Regulations 2018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Police (Fees and Charges) Regulations 2018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8" w:name="DefinedTerms"/>
    <w:bookmarkEnd w:id="28"/>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9" w:name="Coversheet"/>
    <w:bookmarkEnd w:id="2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Police (Fees and Charges) Regulations 2018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Police (Fees and Charges) Regulations 2018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Police (Fees and Charges) Regulations 2018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jc w:val="right"/>
          </w:pPr>
          <w:r>
            <w:rPr>
              <w:b/>
              <w:i/>
            </w:rPr>
            <w:fldChar w:fldCharType="begin"/>
          </w:r>
          <w:r>
            <w:rPr>
              <w:b/>
              <w:i/>
            </w:rPr>
            <w:instrText xml:space="preserve"> STYLEREF "Name of Act/Reg" </w:instrText>
          </w:r>
          <w:r>
            <w:rPr>
              <w:b/>
              <w:i/>
            </w:rPr>
            <w:fldChar w:fldCharType="separate"/>
          </w:r>
          <w:r>
            <w:rPr>
              <w:b/>
              <w:i/>
            </w:rPr>
            <w:t>Police (Fees and Charges) Regulations 2018</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jc w:val="right"/>
          </w:pPr>
          <w:r>
            <w:rPr>
              <w:b/>
            </w:rPr>
            <w:fldChar w:fldCharType="begin"/>
          </w:r>
          <w:r>
            <w:rPr>
              <w:b/>
            </w:rPr>
            <w:instrText>STYLEREF CharPartNo</w:instrText>
          </w:r>
          <w:r>
            <w:rPr>
              <w:b/>
            </w:rPr>
            <w:fldChar w:fldCharType="end"/>
          </w:r>
        </w:p>
      </w:tc>
    </w:tr>
    <w:tr>
      <w:tc>
        <w:tcPr>
          <w:tcW w:w="5715" w:type="dxa"/>
          <w:vAlign w:val="bottom"/>
        </w:tcPr>
        <w:p>
          <w:pPr>
            <w:pStyle w:val="Header"/>
            <w:jc w:val="right"/>
          </w:pPr>
          <w:r>
            <w:rPr>
              <w:b/>
            </w:rPr>
            <w:fldChar w:fldCharType="begin"/>
          </w:r>
          <w:r>
            <w:rPr>
              <w:b/>
            </w:rPr>
            <w:instrText xml:space="preserve"> styleref CharDivText </w:instrText>
          </w:r>
          <w:r>
            <w:rPr>
              <w:b/>
            </w:rPr>
            <w:fldChar w:fldCharType="end"/>
          </w:r>
        </w:p>
      </w:tc>
      <w:tc>
        <w:tcPr>
          <w:tcW w:w="1548" w:type="dxa"/>
        </w:tcPr>
        <w:p>
          <w:pPr>
            <w:pStyle w:val="Header"/>
            <w:spacing w:before="40"/>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lvlText w:val="%1."/>
      <w:lvlJc w:val="left"/>
      <w:pPr>
        <w:tabs>
          <w:tab w:val="num" w:pos="1492"/>
        </w:tabs>
        <w:ind w:left="1492" w:hanging="360"/>
      </w:pPr>
    </w:lvl>
  </w:abstractNum>
  <w:abstractNum w:abstractNumId="1">
    <w:nsid w:val="FFFFFF7D"/>
    <w:multiLevelType w:val="singleLevel"/>
    <w:tmpl w:val="EF88F740"/>
    <w:lvl w:ilvl="0">
      <w:start w:val="1"/>
      <w:numFmt w:val="decimal"/>
      <w:lvlText w:val="%1."/>
      <w:lvlJc w:val="left"/>
      <w:pPr>
        <w:tabs>
          <w:tab w:val="num" w:pos="1209"/>
        </w:tabs>
        <w:ind w:left="1209" w:hanging="360"/>
      </w:pPr>
    </w:lvl>
  </w:abstractNum>
  <w:abstractNum w:abstractNumId="2">
    <w:nsid w:val="FFFFFF7E"/>
    <w:multiLevelType w:val="singleLevel"/>
    <w:tmpl w:val="4E44E0D6"/>
    <w:lvl w:ilvl="0">
      <w:start w:val="1"/>
      <w:numFmt w:val="decimal"/>
      <w:lvlText w:val="%1."/>
      <w:lvlJc w:val="left"/>
      <w:pPr>
        <w:tabs>
          <w:tab w:val="num" w:pos="926"/>
        </w:tabs>
        <w:ind w:left="926" w:hanging="360"/>
      </w:pPr>
    </w:lvl>
  </w:abstractNum>
  <w:abstractNum w:abstractNumId="3">
    <w:nsid w:val="FFFFFF7F"/>
    <w:multiLevelType w:val="singleLevel"/>
    <w:tmpl w:val="615A2A1E"/>
    <w:lvl w:ilvl="0">
      <w:start w:val="1"/>
      <w:numFmt w:val="decimal"/>
      <w:lvlText w:val="%1."/>
      <w:lvlJc w:val="left"/>
      <w:pPr>
        <w:tabs>
          <w:tab w:val="num" w:pos="643"/>
        </w:tabs>
        <w:ind w:left="643" w:hanging="360"/>
      </w:pPr>
    </w:lvl>
  </w:abstractNum>
  <w:abstractNum w:abstractNumId="4">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lvlText w:val="%1."/>
      <w:lvlJc w:val="left"/>
      <w:pPr>
        <w:tabs>
          <w:tab w:val="num" w:pos="360"/>
        </w:tabs>
        <w:ind w:left="360" w:hanging="360"/>
      </w:pPr>
    </w:lvl>
  </w:abstractNum>
  <w:abstractNum w:abstractNumId="9">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CC03303"/>
    <w:multiLevelType w:val="singleLevel"/>
    <w:tmpl w:val="0809000F"/>
    <w:lvl w:ilvl="0">
      <w:start w:val="1"/>
      <w:numFmt w:val="decimal"/>
      <w:lvlText w:val="%1."/>
      <w:lvlJc w:val="left"/>
      <w:pPr>
        <w:tabs>
          <w:tab w:val="num" w:pos="360"/>
        </w:tabs>
        <w:ind w:left="360" w:hanging="360"/>
      </w:p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4"/>
  </w:num>
  <w:num w:numId="3">
    <w:abstractNumId w:val="15"/>
  </w:num>
  <w:num w:numId="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623095209"/>
    <w:docVar w:name="WAFER_20150206084300" w:val="ResetPageSize"/>
    <w:docVar w:name="WAFER_20150206084300_GUID" w:val="de2fbc3d-acf0-43f4-a0fa-d2631ba8b5df"/>
    <w:docVar w:name="WAFER_20151016170500" w:val="UpdateStyles"/>
    <w:docVar w:name="WAFER_20151016170500_GUID" w:val="b265764f-9cc9-4051-b597-28966bcc0033"/>
    <w:docVar w:name="WAFER_20151016171156" w:val="UsedStyles"/>
    <w:docVar w:name="WAFER_20151016171156_GUID" w:val="65b8bf31-20ff-4e33-a7f5-3e8a982d38e1"/>
    <w:docVar w:name="WAFER_20151016171216" w:val="UpdateStyles"/>
    <w:docVar w:name="WAFER_20151016171216_GUID" w:val="6c2db7ef-daac-4b3e-9dc6-438f5d0ef0de"/>
    <w:docVar w:name="WAFER_20151019113755" w:val="UpdateStyles,UsedStyles"/>
    <w:docVar w:name="WAFER_20151019113755_GUID" w:val="94d94bff-48d8-4137-a72c-5fd727eea17c"/>
    <w:docVar w:name="WAFER_20151102150240" w:val="UpdateStyles,UsedStyles"/>
    <w:docVar w:name="WAFER_20151102150240_GUID" w:val="2391df09-cb41-4aa3-adeb-85763481adf4"/>
    <w:docVar w:name="WAFER_20171127141210" w:val="RemoveTocBookmarks,RemoveUnusedBookmarks,RemoveLanguageTags,UsedStyles,ResetPageSize"/>
    <w:docVar w:name="WAFER_20171127141210_GUID" w:val="b1fc28a2-ca1d-4f25-a121-1f77c5d49843"/>
    <w:docVar w:name="WAFER_20171128131807" w:val="RemoveTocBookmarks,RemoveUnusedBookmarks,RemoveLanguageTags,UpdateStyles,UsedStyles,ResetPageSize"/>
    <w:docVar w:name="WAFER_20171128131807_GUID" w:val="53e54bdd-16c6-48a8-a657-1da02fa56f8b"/>
    <w:docVar w:name="WAFER_2020061814594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18145941_GUID" w:val="bc64d1ba-6103-4783-a418-c27f9fee1e93"/>
    <w:docVar w:name="WAFER_2020062309520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23095209_GUID" w:val="c08f2dbe-6936-4614-a6be-d3234056987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jpg"/><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51B4-8FAC-4559-9194-2597BCD3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1379</Words>
  <Characters>6869</Characters>
  <Application>Microsoft Office Word</Application>
  <DocSecurity>0</DocSecurity>
  <Lines>298</Lines>
  <Paragraphs>206</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(Fees and Charges) Regulations 2018 - 00-g0-01</dc:title>
  <dc:subject/>
  <dc:creator/>
  <cp:keywords/>
  <dc:description/>
  <cp:lastModifiedBy>svcMRProcess</cp:lastModifiedBy>
  <cp:revision>4</cp:revision>
  <cp:lastPrinted>2019-06-25T00:38:00Z</cp:lastPrinted>
  <dcterms:created xsi:type="dcterms:W3CDTF">2020-06-30T04:42:00Z</dcterms:created>
  <dcterms:modified xsi:type="dcterms:W3CDTF">2020-06-30T04:42:00Z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Reg</vt:lpwstr>
  </property>
  <property fmtid="{D5CDD505-2E9C-101B-9397-08002B2CF9AE}" pid="3" name="AsAtDate">
    <vt:lpwstr>01 Jul 2020</vt:lpwstr>
  </property>
  <property fmtid="{D5CDD505-2E9C-101B-9397-08002B2CF9AE}" pid="4" name="Suffix">
    <vt:lpwstr>00-g0-01</vt:lpwstr>
  </property>
  <property fmtid="{D5CDD505-2E9C-101B-9397-08002B2CF9AE}" pid="5" name="CommencementDate">
    <vt:lpwstr>20200701</vt:lpwstr>
  </property>
</Properties>
</file>