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Control of Vehicles (Off-road Areas)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_Toc43299550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_Toc43299551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Registration and identification of off</w:t>
      </w:r>
      <w:r>
        <w:noBreakHyphen/>
        <w:t>road vehicles</w:t>
      </w:r>
    </w:p>
    <w:p>
      <w:pPr>
        <w:pStyle w:val="TOC8"/>
        <w:rPr>
          <w:rFonts w:asciiTheme="minorHAnsi" w:eastAsiaTheme="minorEastAsia" w:hAnsiTheme="minorHAnsi" w:cstheme="minorBidi"/>
          <w:szCs w:val="22"/>
        </w:rPr>
      </w:pPr>
      <w:r>
        <w:t>3</w:t>
      </w:r>
      <w:r>
        <w:rPr>
          <w:snapToGrid w:val="0"/>
        </w:rPr>
        <w:t>.</w:t>
      </w:r>
      <w:r>
        <w:rPr>
          <w:snapToGrid w:val="0"/>
        </w:rPr>
        <w:tab/>
        <w:t>Notices relating to suspension of registration</w:t>
      </w:r>
      <w:r>
        <w:tab/>
      </w:r>
      <w:r>
        <w:fldChar w:fldCharType="begin"/>
      </w:r>
      <w:r>
        <w:instrText xml:space="preserve"> PAGEREF _Toc43299553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Proof of ownership and age</w:t>
      </w:r>
      <w:r>
        <w:tab/>
      </w:r>
      <w:r>
        <w:fldChar w:fldCharType="begin"/>
      </w:r>
      <w:r>
        <w:instrText xml:space="preserve"> PAGEREF _Toc43299554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fee</w:t>
      </w:r>
      <w:r>
        <w:tab/>
      </w:r>
      <w:r>
        <w:fldChar w:fldCharType="begin"/>
      </w:r>
      <w:r>
        <w:instrText xml:space="preserve"> PAGEREF _Toc43299555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 plate fee</w:t>
      </w:r>
      <w:r>
        <w:tab/>
      </w:r>
      <w:r>
        <w:fldChar w:fldCharType="begin"/>
      </w:r>
      <w:r>
        <w:instrText xml:space="preserve"> PAGEREF _Toc43299556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Renewal of registration fee</w:t>
      </w:r>
      <w:r>
        <w:tab/>
      </w:r>
      <w:r>
        <w:fldChar w:fldCharType="begin"/>
      </w:r>
      <w:r>
        <w:instrText xml:space="preserve"> PAGEREF _Toc43299557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Certificates of registration to be carried on vehicles</w:t>
      </w:r>
      <w:r>
        <w:tab/>
      </w:r>
      <w:r>
        <w:fldChar w:fldCharType="begin"/>
      </w:r>
      <w:r>
        <w:instrText xml:space="preserve"> PAGEREF _Toc43299558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Duplicates or certified copies of certificates of registration</w:t>
      </w:r>
      <w:r>
        <w:tab/>
      </w:r>
      <w:r>
        <w:fldChar w:fldCharType="begin"/>
      </w:r>
      <w:r>
        <w:instrText xml:space="preserve"> PAGEREF _Toc43299559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fee</w:t>
      </w:r>
      <w:r>
        <w:tab/>
      </w:r>
      <w:r>
        <w:fldChar w:fldCharType="begin"/>
      </w:r>
      <w:r>
        <w:instrText xml:space="preserve"> PAGEREF _Toc43299560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Refund fee</w:t>
      </w:r>
      <w:r>
        <w:tab/>
      </w:r>
      <w:r>
        <w:fldChar w:fldCharType="begin"/>
      </w:r>
      <w:r>
        <w:instrText xml:space="preserve"> PAGEREF _Toc43299561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change of address</w:t>
      </w:r>
      <w:r>
        <w:tab/>
      </w:r>
      <w:r>
        <w:fldChar w:fldCharType="begin"/>
      </w:r>
      <w:r>
        <w:instrText xml:space="preserve"> PAGEREF _Toc43299562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Replacement of lost, damaged or dilapidated number plates</w:t>
      </w:r>
      <w:r>
        <w:tab/>
      </w:r>
      <w:r>
        <w:fldChar w:fldCharType="begin"/>
      </w:r>
      <w:r>
        <w:instrText xml:space="preserve"> PAGEREF _Toc43299563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Positioning and legibility of number plates</w:t>
      </w:r>
      <w:r>
        <w:tab/>
      </w:r>
      <w:r>
        <w:fldChar w:fldCharType="begin"/>
      </w:r>
      <w:r>
        <w:instrText xml:space="preserve"> PAGEREF _Toc43299564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officer may seize and take possession of number plates</w:t>
      </w:r>
      <w:r>
        <w:tab/>
      </w:r>
      <w:r>
        <w:fldChar w:fldCharType="begin"/>
      </w:r>
      <w:r>
        <w:instrText xml:space="preserve"> PAGEREF _Toc43299565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Allotment of identification marks</w:t>
      </w:r>
      <w:r>
        <w:tab/>
      </w:r>
      <w:r>
        <w:fldChar w:fldCharType="begin"/>
      </w:r>
      <w:r>
        <w:instrText xml:space="preserve"> PAGEREF _Toc43299566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Notification of change of identification mark</w:t>
      </w:r>
      <w:r>
        <w:tab/>
      </w:r>
      <w:r>
        <w:fldChar w:fldCharType="begin"/>
      </w:r>
      <w:r>
        <w:instrText xml:space="preserve"> PAGEREF _Toc43299567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in connection with identification marks</w:t>
      </w:r>
      <w:r>
        <w:tab/>
      </w:r>
      <w:r>
        <w:fldChar w:fldCharType="begin"/>
      </w:r>
      <w:r>
        <w:instrText xml:space="preserve"> PAGEREF _Toc43299568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Detention and disposal of off</w:t>
      </w:r>
      <w:r>
        <w:noBreakHyphen/>
        <w:t>road vehicles</w:t>
      </w:r>
    </w:p>
    <w:p>
      <w:pPr>
        <w:pStyle w:val="TOC8"/>
        <w:rPr>
          <w:rFonts w:asciiTheme="minorHAnsi" w:eastAsiaTheme="minorEastAsia" w:hAnsiTheme="minorHAnsi" w:cstheme="minorBidi"/>
          <w:szCs w:val="22"/>
        </w:rPr>
      </w:pPr>
      <w:r>
        <w:t>18</w:t>
      </w:r>
      <w:r>
        <w:rPr>
          <w:snapToGrid w:val="0"/>
        </w:rPr>
        <w:t>.</w:t>
      </w:r>
      <w:r>
        <w:rPr>
          <w:snapToGrid w:val="0"/>
        </w:rPr>
        <w:tab/>
        <w:t>Period for recovery of detained vehicles</w:t>
      </w:r>
      <w:r>
        <w:tab/>
      </w:r>
      <w:r>
        <w:fldChar w:fldCharType="begin"/>
      </w:r>
      <w:r>
        <w:instrText xml:space="preserve"> PAGEREF _Toc43299570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Sale or disposal of unclaimed vehicles</w:t>
      </w:r>
      <w:r>
        <w:tab/>
      </w:r>
      <w:r>
        <w:fldChar w:fldCharType="begin"/>
      </w:r>
      <w:r>
        <w:instrText xml:space="preserve"> PAGEREF _Toc43299571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Proceeds of sale of unclaimed vehicles</w:t>
      </w:r>
      <w:r>
        <w:tab/>
      </w:r>
      <w:r>
        <w:fldChar w:fldCharType="begin"/>
      </w:r>
      <w:r>
        <w:instrText xml:space="preserve"> PAGEREF _Toc43299572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Recovery of costs through court proceedings</w:t>
      </w:r>
      <w:r>
        <w:tab/>
      </w:r>
      <w:r>
        <w:fldChar w:fldCharType="begin"/>
      </w:r>
      <w:r>
        <w:instrText xml:space="preserve"> PAGEREF _Toc43299573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requirements</w:t>
      </w:r>
    </w:p>
    <w:p>
      <w:pPr>
        <w:pStyle w:val="TOC8"/>
        <w:rPr>
          <w:rFonts w:asciiTheme="minorHAnsi" w:eastAsiaTheme="minorEastAsia" w:hAnsiTheme="minorHAnsi" w:cstheme="minorBidi"/>
          <w:szCs w:val="22"/>
        </w:rPr>
      </w:pPr>
      <w:r>
        <w:t>22</w:t>
      </w:r>
      <w:r>
        <w:rPr>
          <w:snapToGrid w:val="0"/>
        </w:rPr>
        <w:t>.</w:t>
      </w:r>
      <w:r>
        <w:rPr>
          <w:snapToGrid w:val="0"/>
        </w:rPr>
        <w:tab/>
        <w:t>Prescribed safety requirements</w:t>
      </w:r>
      <w:r>
        <w:tab/>
      </w:r>
      <w:r>
        <w:fldChar w:fldCharType="begin"/>
      </w:r>
      <w:r>
        <w:instrText xml:space="preserve"> PAGEREF _Toc43299575 \h </w:instrText>
      </w:r>
      <w:r>
        <w:fldChar w:fldCharType="separate"/>
      </w:r>
      <w:r>
        <w:t>12</w:t>
      </w:r>
      <w:r>
        <w:fldChar w:fldCharType="end"/>
      </w:r>
    </w:p>
    <w:p>
      <w:pPr>
        <w:pStyle w:val="TOC8"/>
        <w:rPr>
          <w:rFonts w:asciiTheme="minorHAnsi" w:eastAsiaTheme="minorEastAsia" w:hAnsiTheme="minorHAnsi" w:cstheme="minorBidi"/>
          <w:szCs w:val="22"/>
        </w:rPr>
      </w:pPr>
      <w:r>
        <w:t>22A.</w:t>
      </w:r>
      <w:r>
        <w:tab/>
        <w:t>Seat belts</w:t>
      </w:r>
      <w:r>
        <w:tab/>
      </w:r>
      <w:r>
        <w:fldChar w:fldCharType="begin"/>
      </w:r>
      <w:r>
        <w:instrText xml:space="preserve"> PAGEREF _Toc43299576 \h </w:instrText>
      </w:r>
      <w:r>
        <w:fldChar w:fldCharType="separate"/>
      </w:r>
      <w:r>
        <w:t>12</w:t>
      </w:r>
      <w:r>
        <w:fldChar w:fldCharType="end"/>
      </w:r>
    </w:p>
    <w:p>
      <w:pPr>
        <w:pStyle w:val="TOC8"/>
        <w:rPr>
          <w:rFonts w:asciiTheme="minorHAnsi" w:eastAsiaTheme="minorEastAsia" w:hAnsiTheme="minorHAnsi" w:cstheme="minorBidi"/>
          <w:szCs w:val="22"/>
        </w:rPr>
      </w:pPr>
      <w:r>
        <w:t>22B.</w:t>
      </w:r>
      <w:r>
        <w:tab/>
        <w:t>Protective helmets</w:t>
      </w:r>
      <w:r>
        <w:tab/>
      </w:r>
      <w:r>
        <w:fldChar w:fldCharType="begin"/>
      </w:r>
      <w:r>
        <w:instrText xml:space="preserve"> PAGEREF _Toc43299577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Control of noise</w:t>
      </w:r>
    </w:p>
    <w:p>
      <w:pPr>
        <w:pStyle w:val="TOC8"/>
        <w:rPr>
          <w:rFonts w:asciiTheme="minorHAnsi" w:eastAsiaTheme="minorEastAsia" w:hAnsiTheme="minorHAnsi" w:cstheme="minorBidi"/>
          <w:szCs w:val="22"/>
        </w:rPr>
      </w:pPr>
      <w:r>
        <w:t>23</w:t>
      </w:r>
      <w:r>
        <w:rPr>
          <w:snapToGrid w:val="0"/>
        </w:rPr>
        <w:t>.</w:t>
      </w:r>
      <w:r>
        <w:rPr>
          <w:snapToGrid w:val="0"/>
        </w:rPr>
        <w:tab/>
        <w:t>Interpretation in Part V</w:t>
      </w:r>
      <w:r>
        <w:tab/>
      </w:r>
      <w:r>
        <w:fldChar w:fldCharType="begin"/>
      </w:r>
      <w:r>
        <w:instrText xml:space="preserve"> PAGEREF _Toc43299579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Prescribed noise requirements</w:t>
      </w:r>
      <w:r>
        <w:tab/>
      </w:r>
      <w:r>
        <w:fldChar w:fldCharType="begin"/>
      </w:r>
      <w:r>
        <w:instrText xml:space="preserve"> PAGEREF _Toc43299580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Maximum permissible noise levels</w:t>
      </w:r>
      <w:r>
        <w:tab/>
      </w:r>
      <w:r>
        <w:fldChar w:fldCharType="begin"/>
      </w:r>
      <w:r>
        <w:instrText xml:space="preserve"> PAGEREF _Toc43299581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Excessive noise penalised</w:t>
      </w:r>
      <w:r>
        <w:tab/>
      </w:r>
      <w:r>
        <w:fldChar w:fldCharType="begin"/>
      </w:r>
      <w:r>
        <w:instrText xml:space="preserve"> PAGEREF _Toc43299582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Sound level meters to be used</w:t>
      </w:r>
      <w:r>
        <w:tab/>
      </w:r>
      <w:r>
        <w:fldChar w:fldCharType="begin"/>
      </w:r>
      <w:r>
        <w:instrText xml:space="preserve"> PAGEREF _Toc43299583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Calibration of sound level meters</w:t>
      </w:r>
      <w:r>
        <w:tab/>
      </w:r>
      <w:r>
        <w:fldChar w:fldCharType="begin"/>
      </w:r>
      <w:r>
        <w:instrText xml:space="preserve"> PAGEREF _Toc43299584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Test sites</w:t>
      </w:r>
      <w:r>
        <w:tab/>
      </w:r>
      <w:r>
        <w:fldChar w:fldCharType="begin"/>
      </w:r>
      <w:r>
        <w:instrText xml:space="preserve"> PAGEREF _Toc43299585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Ambient noise</w:t>
      </w:r>
      <w:r>
        <w:tab/>
      </w:r>
      <w:r>
        <w:fldChar w:fldCharType="begin"/>
      </w:r>
      <w:r>
        <w:instrText xml:space="preserve"> PAGEREF _Toc43299586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Weather conditions</w:t>
      </w:r>
      <w:r>
        <w:tab/>
      </w:r>
      <w:r>
        <w:fldChar w:fldCharType="begin"/>
      </w:r>
      <w:r>
        <w:instrText xml:space="preserve"> PAGEREF _Toc43299587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Persons permitted near vehicle being tested</w:t>
      </w:r>
      <w:r>
        <w:tab/>
      </w:r>
      <w:r>
        <w:fldChar w:fldCharType="begin"/>
      </w:r>
      <w:r>
        <w:instrText xml:space="preserve"> PAGEREF _Toc43299588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Engine of vehicle to be at normal operating temperature</w:t>
      </w:r>
      <w:r>
        <w:tab/>
      </w:r>
      <w:r>
        <w:fldChar w:fldCharType="begin"/>
      </w:r>
      <w:r>
        <w:instrText xml:space="preserve"> PAGEREF _Toc43299589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Vehicle testing methods</w:t>
      </w:r>
      <w:r>
        <w:tab/>
      </w:r>
      <w:r>
        <w:fldChar w:fldCharType="begin"/>
      </w:r>
      <w:r>
        <w:instrText xml:space="preserve"> PAGEREF _Toc43299590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and penalties</w:t>
      </w:r>
    </w:p>
    <w:p>
      <w:pPr>
        <w:pStyle w:val="TOC8"/>
        <w:rPr>
          <w:rFonts w:asciiTheme="minorHAnsi" w:eastAsiaTheme="minorEastAsia" w:hAnsiTheme="minorHAnsi" w:cstheme="minorBidi"/>
          <w:szCs w:val="22"/>
        </w:rPr>
      </w:pPr>
      <w:r>
        <w:t>35</w:t>
      </w:r>
      <w:r>
        <w:rPr>
          <w:snapToGrid w:val="0"/>
        </w:rPr>
        <w:t>.</w:t>
      </w:r>
      <w:r>
        <w:rPr>
          <w:snapToGrid w:val="0"/>
        </w:rPr>
        <w:tab/>
        <w:t>Modified penalties, infringement notices and withdrawal notices</w:t>
      </w:r>
      <w:r>
        <w:tab/>
      </w:r>
      <w:r>
        <w:fldChar w:fldCharType="begin"/>
      </w:r>
      <w:r>
        <w:instrText xml:space="preserve"> PAGEREF _Toc43299592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Endorsing or altering infringement notice an offence</w:t>
      </w:r>
      <w:r>
        <w:tab/>
      </w:r>
      <w:r>
        <w:fldChar w:fldCharType="begin"/>
      </w:r>
      <w:r>
        <w:instrText xml:space="preserve"> PAGEREF _Toc43299593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Certificates of appointment of authorised officers and notices prohibiting use of vehicles</w:t>
      </w:r>
      <w:r>
        <w:tab/>
      </w:r>
      <w:r>
        <w:fldChar w:fldCharType="begin"/>
      </w:r>
      <w:r>
        <w:instrText xml:space="preserve"> PAGEREF _Toc43299594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penalty</w:t>
      </w:r>
      <w:r>
        <w:tab/>
      </w:r>
      <w:r>
        <w:fldChar w:fldCharType="begin"/>
      </w:r>
      <w:r>
        <w:instrText xml:space="preserve"> PAGEREF _Toc43299595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8"/>
        <w:rPr>
          <w:rFonts w:asciiTheme="minorHAnsi" w:eastAsiaTheme="minorEastAsia" w:hAnsiTheme="minorHAnsi" w:cstheme="minorBidi"/>
          <w:szCs w:val="22"/>
        </w:rPr>
      </w:pPr>
      <w:r>
        <w:tab/>
        <w:t>Dangerous fittings</w:t>
      </w:r>
      <w:r>
        <w:tab/>
      </w:r>
      <w:r>
        <w:fldChar w:fldCharType="begin"/>
      </w:r>
      <w:r>
        <w:instrText xml:space="preserve"> PAGEREF _Toc43299598 \h </w:instrText>
      </w:r>
      <w:r>
        <w:fldChar w:fldCharType="separate"/>
      </w:r>
      <w:r>
        <w:t>28</w:t>
      </w:r>
      <w:r>
        <w:fldChar w:fldCharType="end"/>
      </w:r>
    </w:p>
    <w:p>
      <w:pPr>
        <w:pStyle w:val="TOC8"/>
        <w:rPr>
          <w:rFonts w:asciiTheme="minorHAnsi" w:eastAsiaTheme="minorEastAsia" w:hAnsiTheme="minorHAnsi" w:cstheme="minorBidi"/>
          <w:szCs w:val="22"/>
        </w:rPr>
      </w:pPr>
      <w:r>
        <w:tab/>
        <w:t>Noise or vibration</w:t>
      </w:r>
      <w:r>
        <w:tab/>
      </w:r>
      <w:r>
        <w:fldChar w:fldCharType="begin"/>
      </w:r>
      <w:r>
        <w:instrText xml:space="preserve"> PAGEREF _Toc43299599 \h </w:instrText>
      </w:r>
      <w:r>
        <w:fldChar w:fldCharType="separate"/>
      </w:r>
      <w:r>
        <w:t>28</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_Toc43299600 \h </w:instrText>
      </w:r>
      <w:r>
        <w:fldChar w:fldCharType="separate"/>
      </w:r>
      <w:r>
        <w:t>28</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_Toc43299601 \h </w:instrText>
      </w:r>
      <w:r>
        <w:fldChar w:fldCharType="separate"/>
      </w:r>
      <w:r>
        <w:t>29</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_Toc43299602 \h </w:instrText>
      </w:r>
      <w:r>
        <w:fldChar w:fldCharType="separate"/>
      </w:r>
      <w:r>
        <w:t>29</w:t>
      </w:r>
      <w:r>
        <w:fldChar w:fldCharType="end"/>
      </w:r>
    </w:p>
    <w:p>
      <w:pPr>
        <w:pStyle w:val="TOC8"/>
        <w:rPr>
          <w:rFonts w:asciiTheme="minorHAnsi" w:eastAsiaTheme="minorEastAsia" w:hAnsiTheme="minorHAnsi" w:cstheme="minorBidi"/>
          <w:szCs w:val="22"/>
        </w:rPr>
      </w:pPr>
      <w:r>
        <w:tab/>
        <w:t>Safety glass</w:t>
      </w:r>
      <w:r>
        <w:tab/>
      </w:r>
      <w:r>
        <w:fldChar w:fldCharType="begin"/>
      </w:r>
      <w:r>
        <w:instrText xml:space="preserve"> PAGEREF _Toc43299603 \h </w:instrText>
      </w:r>
      <w:r>
        <w:fldChar w:fldCharType="separate"/>
      </w:r>
      <w:r>
        <w:t>29</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_Toc43299604 \h </w:instrText>
      </w:r>
      <w:r>
        <w:fldChar w:fldCharType="separate"/>
      </w:r>
      <w:r>
        <w:t>29</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_Toc43299605 \h </w:instrText>
      </w:r>
      <w:r>
        <w:fldChar w:fldCharType="separate"/>
      </w:r>
      <w:r>
        <w:t>29</w:t>
      </w:r>
      <w:r>
        <w:fldChar w:fldCharType="end"/>
      </w:r>
    </w:p>
    <w:p>
      <w:pPr>
        <w:pStyle w:val="TOC8"/>
        <w:rPr>
          <w:rFonts w:asciiTheme="minorHAnsi" w:eastAsiaTheme="minorEastAsia" w:hAnsiTheme="minorHAnsi" w:cstheme="minorBidi"/>
          <w:szCs w:val="22"/>
        </w:rPr>
      </w:pPr>
      <w:r>
        <w:tab/>
        <w:t>Seats</w:t>
      </w:r>
      <w:r>
        <w:tab/>
      </w:r>
      <w:r>
        <w:fldChar w:fldCharType="begin"/>
      </w:r>
      <w:r>
        <w:instrText xml:space="preserve"> PAGEREF _Toc43299606 \h </w:instrText>
      </w:r>
      <w:r>
        <w:fldChar w:fldCharType="separate"/>
      </w:r>
      <w:r>
        <w:t>30</w:t>
      </w:r>
      <w:r>
        <w:fldChar w:fldCharType="end"/>
      </w:r>
    </w:p>
    <w:p>
      <w:pPr>
        <w:pStyle w:val="TOC8"/>
        <w:rPr>
          <w:rFonts w:asciiTheme="minorHAnsi" w:eastAsiaTheme="minorEastAsia" w:hAnsiTheme="minorHAnsi" w:cstheme="minorBidi"/>
          <w:szCs w:val="22"/>
        </w:rPr>
      </w:pPr>
      <w:r>
        <w:tab/>
        <w:t>Roll bar</w:t>
      </w:r>
      <w:r>
        <w:tab/>
      </w:r>
      <w:r>
        <w:fldChar w:fldCharType="begin"/>
      </w:r>
      <w:r>
        <w:instrText xml:space="preserve"> PAGEREF _Toc43299607 \h </w:instrText>
      </w:r>
      <w:r>
        <w:fldChar w:fldCharType="separate"/>
      </w:r>
      <w:r>
        <w:t>30</w:t>
      </w:r>
      <w:r>
        <w:fldChar w:fldCharType="end"/>
      </w:r>
    </w:p>
    <w:p>
      <w:pPr>
        <w:pStyle w:val="TOC8"/>
        <w:rPr>
          <w:rFonts w:asciiTheme="minorHAnsi" w:eastAsiaTheme="minorEastAsia" w:hAnsiTheme="minorHAnsi" w:cstheme="minorBidi"/>
          <w:szCs w:val="22"/>
        </w:rPr>
      </w:pPr>
      <w:r>
        <w:tab/>
        <w:t>Floor pan</w:t>
      </w:r>
      <w:r>
        <w:tab/>
      </w:r>
      <w:r>
        <w:fldChar w:fldCharType="begin"/>
      </w:r>
      <w:r>
        <w:instrText xml:space="preserve"> PAGEREF _Toc43299608 \h </w:instrText>
      </w:r>
      <w:r>
        <w:fldChar w:fldCharType="separate"/>
      </w:r>
      <w:r>
        <w:t>30</w:t>
      </w:r>
      <w:r>
        <w:fldChar w:fldCharType="end"/>
      </w:r>
    </w:p>
    <w:p>
      <w:pPr>
        <w:pStyle w:val="TOC8"/>
        <w:rPr>
          <w:rFonts w:asciiTheme="minorHAnsi" w:eastAsiaTheme="minorEastAsia" w:hAnsiTheme="minorHAnsi" w:cstheme="minorBidi"/>
          <w:szCs w:val="22"/>
        </w:rPr>
      </w:pPr>
      <w:r>
        <w:tab/>
        <w:t>Door latches and hinges</w:t>
      </w:r>
      <w:r>
        <w:tab/>
      </w:r>
      <w:r>
        <w:fldChar w:fldCharType="begin"/>
      </w:r>
      <w:r>
        <w:instrText xml:space="preserve"> PAGEREF _Toc43299609 \h </w:instrText>
      </w:r>
      <w:r>
        <w:fldChar w:fldCharType="separate"/>
      </w:r>
      <w:r>
        <w:t>30</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_Toc43299610 \h </w:instrText>
      </w:r>
      <w:r>
        <w:fldChar w:fldCharType="separate"/>
      </w:r>
      <w:r>
        <w:t>31</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_Toc43299611 \h </w:instrText>
      </w:r>
      <w:r>
        <w:fldChar w:fldCharType="separate"/>
      </w:r>
      <w:r>
        <w:t>31</w:t>
      </w:r>
      <w:r>
        <w:fldChar w:fldCharType="end"/>
      </w:r>
    </w:p>
    <w:p>
      <w:pPr>
        <w:pStyle w:val="TOC8"/>
        <w:rPr>
          <w:rFonts w:asciiTheme="minorHAnsi" w:eastAsiaTheme="minorEastAsia" w:hAnsiTheme="minorHAnsi" w:cstheme="minorBidi"/>
          <w:szCs w:val="22"/>
        </w:rPr>
      </w:pPr>
      <w:r>
        <w:tab/>
        <w:t>Cooling systems</w:t>
      </w:r>
      <w:r>
        <w:tab/>
      </w:r>
      <w:r>
        <w:fldChar w:fldCharType="begin"/>
      </w:r>
      <w:r>
        <w:instrText xml:space="preserve"> PAGEREF _Toc43299612 \h </w:instrText>
      </w:r>
      <w:r>
        <w:fldChar w:fldCharType="separate"/>
      </w:r>
      <w:r>
        <w:t>31</w:t>
      </w:r>
      <w:r>
        <w:fldChar w:fldCharType="end"/>
      </w:r>
    </w:p>
    <w:p>
      <w:pPr>
        <w:pStyle w:val="TOC8"/>
        <w:rPr>
          <w:rFonts w:asciiTheme="minorHAnsi" w:eastAsiaTheme="minorEastAsia" w:hAnsiTheme="minorHAnsi" w:cstheme="minorBidi"/>
          <w:szCs w:val="22"/>
        </w:rPr>
      </w:pPr>
      <w:r>
        <w:tab/>
        <w:t>Moving components</w:t>
      </w:r>
      <w:r>
        <w:tab/>
      </w:r>
      <w:r>
        <w:fldChar w:fldCharType="begin"/>
      </w:r>
      <w:r>
        <w:instrText xml:space="preserve"> PAGEREF _Toc43299613 \h </w:instrText>
      </w:r>
      <w:r>
        <w:fldChar w:fldCharType="separate"/>
      </w:r>
      <w:r>
        <w:t>32</w:t>
      </w:r>
      <w:r>
        <w:fldChar w:fldCharType="end"/>
      </w:r>
    </w:p>
    <w:p>
      <w:pPr>
        <w:pStyle w:val="TOC8"/>
        <w:rPr>
          <w:rFonts w:asciiTheme="minorHAnsi" w:eastAsiaTheme="minorEastAsia" w:hAnsiTheme="minorHAnsi" w:cstheme="minorBidi"/>
          <w:szCs w:val="22"/>
        </w:rPr>
      </w:pPr>
      <w:r>
        <w:tab/>
        <w:t>Electrical systems</w:t>
      </w:r>
      <w:r>
        <w:tab/>
      </w:r>
      <w:r>
        <w:fldChar w:fldCharType="begin"/>
      </w:r>
      <w:r>
        <w:instrText xml:space="preserve"> PAGEREF _Toc43299614 \h </w:instrText>
      </w:r>
      <w:r>
        <w:fldChar w:fldCharType="separate"/>
      </w:r>
      <w:r>
        <w:t>32</w:t>
      </w:r>
      <w:r>
        <w:fldChar w:fldCharType="end"/>
      </w:r>
    </w:p>
    <w:p>
      <w:pPr>
        <w:pStyle w:val="TOC8"/>
        <w:rPr>
          <w:rFonts w:asciiTheme="minorHAnsi" w:eastAsiaTheme="minorEastAsia" w:hAnsiTheme="minorHAnsi" w:cstheme="minorBidi"/>
          <w:szCs w:val="22"/>
        </w:rPr>
      </w:pPr>
      <w:r>
        <w:tab/>
        <w:t>Dangerous fittings</w:t>
      </w:r>
      <w:r>
        <w:tab/>
      </w:r>
      <w:r>
        <w:fldChar w:fldCharType="begin"/>
      </w:r>
      <w:r>
        <w:instrText xml:space="preserve"> PAGEREF _Toc43299615 \h </w:instrText>
      </w:r>
      <w:r>
        <w:fldChar w:fldCharType="separate"/>
      </w:r>
      <w:r>
        <w:t>32</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_Toc43299616 \h </w:instrText>
      </w:r>
      <w:r>
        <w:fldChar w:fldCharType="separate"/>
      </w:r>
      <w:r>
        <w:t>32</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_Toc43299617 \h </w:instrText>
      </w:r>
      <w:r>
        <w:fldChar w:fldCharType="separate"/>
      </w:r>
      <w:r>
        <w:t>32</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_Toc43299618 \h </w:instrText>
      </w:r>
      <w:r>
        <w:fldChar w:fldCharType="separate"/>
      </w:r>
      <w:r>
        <w:t>33</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_Toc43299619 \h </w:instrText>
      </w:r>
      <w:r>
        <w:fldChar w:fldCharType="separate"/>
      </w:r>
      <w:r>
        <w:t>33</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_Toc43299620 \h </w:instrText>
      </w:r>
      <w:r>
        <w:fldChar w:fldCharType="separate"/>
      </w:r>
      <w:r>
        <w:t>33</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_Toc43299621 \h </w:instrText>
      </w:r>
      <w:r>
        <w:fldChar w:fldCharType="separate"/>
      </w:r>
      <w:r>
        <w:t>33</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_Toc43299622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8"/>
        <w:rPr>
          <w:rFonts w:asciiTheme="minorHAnsi" w:eastAsiaTheme="minorEastAsia" w:hAnsiTheme="minorHAnsi" w:cstheme="minorBidi"/>
          <w:szCs w:val="22"/>
        </w:rPr>
      </w:pPr>
      <w:r>
        <w:t>1.</w:t>
      </w:r>
      <w:r>
        <w:tab/>
        <w:t>Testing vehicles other than motor cycles</w:t>
      </w:r>
      <w:r>
        <w:tab/>
      </w:r>
      <w:r>
        <w:fldChar w:fldCharType="begin"/>
      </w:r>
      <w:r>
        <w:instrText xml:space="preserve"> PAGEREF _Toc43299625 \h </w:instrText>
      </w:r>
      <w:r>
        <w:fldChar w:fldCharType="separate"/>
      </w:r>
      <w:r>
        <w:t>36</w:t>
      </w:r>
      <w:r>
        <w:fldChar w:fldCharType="end"/>
      </w:r>
    </w:p>
    <w:p>
      <w:pPr>
        <w:pStyle w:val="TOC8"/>
        <w:rPr>
          <w:rFonts w:asciiTheme="minorHAnsi" w:eastAsiaTheme="minorEastAsia" w:hAnsiTheme="minorHAnsi" w:cstheme="minorBidi"/>
          <w:szCs w:val="22"/>
        </w:rPr>
      </w:pPr>
      <w:r>
        <w:t>2.</w:t>
      </w:r>
      <w:r>
        <w:tab/>
        <w:t>Testing motor cycles</w:t>
      </w:r>
      <w:r>
        <w:tab/>
      </w:r>
      <w:r>
        <w:fldChar w:fldCharType="begin"/>
      </w:r>
      <w:r>
        <w:instrText xml:space="preserve"> PAGEREF _Toc43299626 \h </w:instrText>
      </w:r>
      <w:r>
        <w:fldChar w:fldCharType="separate"/>
      </w:r>
      <w:r>
        <w:t>36</w:t>
      </w:r>
      <w:r>
        <w:fldChar w:fldCharType="end"/>
      </w:r>
    </w:p>
    <w:p>
      <w:pPr>
        <w:pStyle w:val="TOC8"/>
        <w:rPr>
          <w:rFonts w:asciiTheme="minorHAnsi" w:eastAsiaTheme="minorEastAsia" w:hAnsiTheme="minorHAnsi" w:cstheme="minorBidi"/>
          <w:szCs w:val="22"/>
        </w:rPr>
      </w:pPr>
      <w:r>
        <w:t>3.</w:t>
      </w:r>
      <w:r>
        <w:tab/>
        <w:t>Tachometers</w:t>
      </w:r>
      <w:r>
        <w:tab/>
      </w:r>
      <w:r>
        <w:fldChar w:fldCharType="begin"/>
      </w:r>
      <w:r>
        <w:instrText xml:space="preserve"> PAGEREF _Toc43299627 \h </w:instrText>
      </w:r>
      <w:r>
        <w:fldChar w:fldCharType="separate"/>
      </w:r>
      <w:r>
        <w:t>37</w:t>
      </w:r>
      <w:r>
        <w:fldChar w:fldCharType="end"/>
      </w:r>
    </w:p>
    <w:p>
      <w:pPr>
        <w:pStyle w:val="TOC8"/>
        <w:rPr>
          <w:rFonts w:asciiTheme="minorHAnsi" w:eastAsiaTheme="minorEastAsia" w:hAnsiTheme="minorHAnsi" w:cstheme="minorBidi"/>
          <w:szCs w:val="22"/>
        </w:rPr>
      </w:pPr>
      <w:r>
        <w:t>4.</w:t>
      </w:r>
      <w:r>
        <w:tab/>
        <w:t>Positioning and use of microphones</w:t>
      </w:r>
      <w:r>
        <w:tab/>
      </w:r>
      <w:r>
        <w:fldChar w:fldCharType="begin"/>
      </w:r>
      <w:r>
        <w:instrText xml:space="preserve"> PAGEREF _Toc43299628 \h </w:instrText>
      </w:r>
      <w:r>
        <w:fldChar w:fldCharType="separate"/>
      </w:r>
      <w:r>
        <w:t>37</w:t>
      </w:r>
      <w:r>
        <w:fldChar w:fldCharType="end"/>
      </w:r>
    </w:p>
    <w:p>
      <w:pPr>
        <w:pStyle w:val="TOC8"/>
        <w:rPr>
          <w:rFonts w:asciiTheme="minorHAnsi" w:eastAsiaTheme="minorEastAsia" w:hAnsiTheme="minorHAnsi" w:cstheme="minorBidi"/>
          <w:szCs w:val="22"/>
        </w:rPr>
      </w:pPr>
      <w:r>
        <w:t>5.</w:t>
      </w:r>
      <w:r>
        <w:tab/>
        <w:t>Measurement of noise levels</w:t>
      </w:r>
      <w:r>
        <w:tab/>
      </w:r>
      <w:r>
        <w:fldChar w:fldCharType="begin"/>
      </w:r>
      <w:r>
        <w:instrText xml:space="preserve"> PAGEREF _Toc43299629 \h </w:instrText>
      </w:r>
      <w:r>
        <w:fldChar w:fldCharType="separate"/>
      </w:r>
      <w:r>
        <w:t>39</w:t>
      </w:r>
      <w:r>
        <w:fldChar w:fldCharType="end"/>
      </w:r>
    </w:p>
    <w:p>
      <w:pPr>
        <w:pStyle w:val="TOC8"/>
        <w:rPr>
          <w:rFonts w:asciiTheme="minorHAnsi" w:eastAsiaTheme="minorEastAsia" w:hAnsiTheme="minorHAnsi" w:cstheme="minorBidi"/>
          <w:szCs w:val="22"/>
        </w:rPr>
      </w:pPr>
      <w:r>
        <w:t>6.</w:t>
      </w:r>
      <w:r>
        <w:tab/>
        <w:t>Contents of test reports</w:t>
      </w:r>
      <w:r>
        <w:tab/>
      </w:r>
      <w:r>
        <w:fldChar w:fldCharType="begin"/>
      </w:r>
      <w:r>
        <w:instrText xml:space="preserve"> PAGEREF _Toc43299630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_Toc43299633 \h </w:instrText>
      </w:r>
      <w:r>
        <w:fldChar w:fldCharType="separate"/>
      </w:r>
      <w:r>
        <w:t>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_Toc43299634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3" w:name="_Toc43282840"/>
      <w:bookmarkStart w:id="4" w:name="_Toc43283809"/>
      <w:bookmarkStart w:id="5" w:name="_Toc43299549"/>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3299550"/>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w:t>
      </w:r>
    </w:p>
    <w:p>
      <w:pPr>
        <w:pStyle w:val="Heading5"/>
        <w:rPr>
          <w:snapToGrid w:val="0"/>
        </w:rPr>
      </w:pPr>
      <w:bookmarkStart w:id="7" w:name="_Toc43299551"/>
      <w:r>
        <w:rPr>
          <w:rStyle w:val="CharSectno"/>
        </w:rPr>
        <w:t>2</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Gazette 26 Oct 2007 p. 5655; 8 Jan 2015 p. 123; 18 Sep 2015 p. 3802.]</w:t>
      </w:r>
    </w:p>
    <w:p>
      <w:pPr>
        <w:pStyle w:val="Heading2"/>
      </w:pPr>
      <w:bookmarkStart w:id="8" w:name="_Toc43282843"/>
      <w:bookmarkStart w:id="9" w:name="_Toc43283812"/>
      <w:bookmarkStart w:id="10" w:name="_Toc43299552"/>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8"/>
      <w:bookmarkEnd w:id="9"/>
      <w:bookmarkEnd w:id="10"/>
      <w:r>
        <w:rPr>
          <w:rStyle w:val="CharPartText"/>
        </w:rPr>
        <w:t xml:space="preserve"> </w:t>
      </w:r>
    </w:p>
    <w:p>
      <w:pPr>
        <w:pStyle w:val="Heading5"/>
        <w:spacing w:before="120"/>
        <w:rPr>
          <w:snapToGrid w:val="0"/>
        </w:rPr>
      </w:pPr>
      <w:bookmarkStart w:id="11" w:name="_Toc43299553"/>
      <w:r>
        <w:rPr>
          <w:rStyle w:val="CharSectno"/>
        </w:rPr>
        <w:t>3</w:t>
      </w:r>
      <w:r>
        <w:rPr>
          <w:snapToGrid w:val="0"/>
        </w:rPr>
        <w:t>.</w:t>
      </w:r>
      <w:r>
        <w:rPr>
          <w:snapToGrid w:val="0"/>
        </w:rPr>
        <w:tab/>
        <w:t>Notices relating to suspension of registration</w:t>
      </w:r>
      <w:bookmarkEnd w:id="11"/>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12" w:name="_Toc43299554"/>
      <w:r>
        <w:rPr>
          <w:rStyle w:val="CharSectno"/>
        </w:rPr>
        <w:t>4</w:t>
      </w:r>
      <w:r>
        <w:rPr>
          <w:snapToGrid w:val="0"/>
        </w:rPr>
        <w:t>.</w:t>
      </w:r>
      <w:r>
        <w:rPr>
          <w:snapToGrid w:val="0"/>
        </w:rPr>
        <w:tab/>
        <w:t>Proof of ownership and age</w:t>
      </w:r>
      <w:bookmarkEnd w:id="12"/>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 xml:space="preserve">[Regulation 4 amended: Gazette 2 Feb 1982 p. 395; 31 Jan 1997 p. 673; 18 Sep 2015 p. 3802.] </w:t>
      </w:r>
    </w:p>
    <w:p>
      <w:pPr>
        <w:pStyle w:val="Heading5"/>
        <w:spacing w:before="120"/>
        <w:rPr>
          <w:snapToGrid w:val="0"/>
        </w:rPr>
      </w:pPr>
      <w:bookmarkStart w:id="13" w:name="_Toc43299555"/>
      <w:r>
        <w:rPr>
          <w:rStyle w:val="CharSectno"/>
        </w:rPr>
        <w:t>5</w:t>
      </w:r>
      <w:r>
        <w:rPr>
          <w:snapToGrid w:val="0"/>
        </w:rPr>
        <w:t>.</w:t>
      </w:r>
      <w:r>
        <w:rPr>
          <w:snapToGrid w:val="0"/>
        </w:rPr>
        <w:tab/>
        <w:t>Registration fee</w:t>
      </w:r>
      <w:bookmarkEnd w:id="13"/>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w:t>
      </w:r>
      <w:r>
        <w:t>$35.</w:t>
      </w:r>
    </w:p>
    <w:p>
      <w:pPr>
        <w:pStyle w:val="Footnotesection"/>
      </w:pPr>
      <w:r>
        <w:tab/>
        <w:t xml:space="preserve">[Regulation 5 amended: Gazette 8 Jul 1983 p. 2510; 18 Sep 2015 p. 3802; 15 Jun 2018 p. 1928; 10 May 2019 p. 1404; SL 2020/41 r. 4.] </w:t>
      </w:r>
    </w:p>
    <w:p>
      <w:pPr>
        <w:pStyle w:val="Heading5"/>
        <w:spacing w:before="120"/>
        <w:rPr>
          <w:snapToGrid w:val="0"/>
        </w:rPr>
      </w:pPr>
      <w:bookmarkStart w:id="14" w:name="_Toc43299556"/>
      <w:r>
        <w:rPr>
          <w:rStyle w:val="CharSectno"/>
        </w:rPr>
        <w:t>6</w:t>
      </w:r>
      <w:r>
        <w:rPr>
          <w:snapToGrid w:val="0"/>
        </w:rPr>
        <w:t>.</w:t>
      </w:r>
      <w:r>
        <w:rPr>
          <w:snapToGrid w:val="0"/>
        </w:rPr>
        <w:tab/>
        <w:t>Number plate fee</w:t>
      </w:r>
      <w:bookmarkEnd w:id="14"/>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 xml:space="preserve">[Regulation 6 amended: Gazette 8 Jul 1983 p. 2510; 18 Sep 2015 p. 3803.] </w:t>
      </w:r>
    </w:p>
    <w:p>
      <w:pPr>
        <w:pStyle w:val="Heading5"/>
        <w:spacing w:before="120"/>
        <w:rPr>
          <w:snapToGrid w:val="0"/>
        </w:rPr>
      </w:pPr>
      <w:bookmarkStart w:id="15" w:name="_Toc43299557"/>
      <w:r>
        <w:rPr>
          <w:rStyle w:val="CharSectno"/>
        </w:rPr>
        <w:t>6A</w:t>
      </w:r>
      <w:r>
        <w:rPr>
          <w:snapToGrid w:val="0"/>
        </w:rPr>
        <w:t>.</w:t>
      </w:r>
      <w:r>
        <w:rPr>
          <w:snapToGrid w:val="0"/>
        </w:rPr>
        <w:tab/>
        <w:t>Renewal of registration fee</w:t>
      </w:r>
      <w:bookmarkEnd w:id="15"/>
      <w:r>
        <w:rPr>
          <w:snapToGrid w:val="0"/>
        </w:rPr>
        <w:t xml:space="preserve"> </w:t>
      </w:r>
    </w:p>
    <w:p>
      <w:pPr>
        <w:pStyle w:val="Subsection"/>
        <w:keepNext/>
        <w:spacing w:before="100"/>
        <w:rPr>
          <w:snapToGrid w:val="0"/>
        </w:rPr>
      </w:pPr>
      <w:r>
        <w:rPr>
          <w:snapToGrid w:val="0"/>
        </w:rPr>
        <w:tab/>
      </w:r>
      <w:r>
        <w:rPr>
          <w:snapToGrid w:val="0"/>
        </w:rPr>
        <w:tab/>
        <w:t xml:space="preserve">The fee payable in respect of the renewal of registration of a vehicle </w:t>
      </w:r>
      <w:r>
        <w:t>under section 28A(2)(a) is a fee of $35.</w:t>
      </w:r>
    </w:p>
    <w:p>
      <w:pPr>
        <w:pStyle w:val="Footnotesection"/>
      </w:pPr>
      <w:r>
        <w:tab/>
        <w:t xml:space="preserve">[Regulation 6A inserted: Gazette 8 Jul 1983 p. 2510; amended: Gazette 18 Sep 2015 p. 3803; 15 Jun 2018 p. 1929; 10 May 2019 p. 1404; SL 2020/41 r. 5.] </w:t>
      </w:r>
    </w:p>
    <w:p>
      <w:pPr>
        <w:pStyle w:val="Heading5"/>
        <w:rPr>
          <w:snapToGrid w:val="0"/>
        </w:rPr>
      </w:pPr>
      <w:bookmarkStart w:id="16" w:name="_Toc43299558"/>
      <w:r>
        <w:rPr>
          <w:rStyle w:val="CharSectno"/>
        </w:rPr>
        <w:t>7</w:t>
      </w:r>
      <w:r>
        <w:rPr>
          <w:snapToGrid w:val="0"/>
        </w:rPr>
        <w:t>.</w:t>
      </w:r>
      <w:r>
        <w:rPr>
          <w:snapToGrid w:val="0"/>
        </w:rPr>
        <w:tab/>
        <w:t>Certificates of registration to be carried on vehicles</w:t>
      </w:r>
      <w:bookmarkEnd w:id="16"/>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17" w:name="_Toc43299559"/>
      <w:r>
        <w:rPr>
          <w:rStyle w:val="CharSectno"/>
        </w:rPr>
        <w:t>8</w:t>
      </w:r>
      <w:r>
        <w:rPr>
          <w:snapToGrid w:val="0"/>
        </w:rPr>
        <w:t>.</w:t>
      </w:r>
      <w:r>
        <w:rPr>
          <w:snapToGrid w:val="0"/>
        </w:rPr>
        <w:tab/>
        <w:t>Duplicates or certified copies of certificates of registration</w:t>
      </w:r>
      <w:bookmarkEnd w:id="17"/>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Gazette 2 Feb 1982 p. 395; 31 Jan 1997 p. 673; 8 Jan 2015 p. 124.] </w:t>
      </w:r>
    </w:p>
    <w:p>
      <w:pPr>
        <w:pStyle w:val="Heading5"/>
        <w:rPr>
          <w:snapToGrid w:val="0"/>
        </w:rPr>
      </w:pPr>
      <w:bookmarkStart w:id="18" w:name="_Toc43299560"/>
      <w:r>
        <w:rPr>
          <w:rStyle w:val="CharSectno"/>
        </w:rPr>
        <w:t>9</w:t>
      </w:r>
      <w:r>
        <w:rPr>
          <w:snapToGrid w:val="0"/>
        </w:rPr>
        <w:t>.</w:t>
      </w:r>
      <w:r>
        <w:rPr>
          <w:snapToGrid w:val="0"/>
        </w:rPr>
        <w:tab/>
        <w:t>Transfer fee</w:t>
      </w:r>
      <w:bookmarkEnd w:id="18"/>
      <w:r>
        <w:rPr>
          <w:snapToGrid w:val="0"/>
        </w:rPr>
        <w:t xml:space="preserve"> </w:t>
      </w:r>
    </w:p>
    <w:p>
      <w:pPr>
        <w:pStyle w:val="Subsection"/>
        <w:rPr>
          <w:snapToGrid w:val="0"/>
        </w:rPr>
      </w:pPr>
      <w:r>
        <w:rPr>
          <w:snapToGrid w:val="0"/>
        </w:rPr>
        <w:tab/>
      </w:r>
      <w:r>
        <w:rPr>
          <w:snapToGrid w:val="0"/>
        </w:rPr>
        <w:tab/>
        <w:t xml:space="preserve">The transfer fee referred to in section 29(8), and in section 29(10)(a) is, irrespective of the type of vehicle concerned, a fee of </w:t>
      </w:r>
      <w:r>
        <w:t>$15.</w:t>
      </w:r>
    </w:p>
    <w:p>
      <w:pPr>
        <w:pStyle w:val="Footnotesection"/>
      </w:pPr>
      <w:r>
        <w:tab/>
        <w:t xml:space="preserve">[Regulation 9 amended: Gazette 8 Jul 1983 p. 2510; 10 May 2019 p. 1404.] </w:t>
      </w:r>
    </w:p>
    <w:p>
      <w:pPr>
        <w:pStyle w:val="Heading5"/>
        <w:rPr>
          <w:snapToGrid w:val="0"/>
        </w:rPr>
      </w:pPr>
      <w:bookmarkStart w:id="19" w:name="_Toc43299561"/>
      <w:r>
        <w:rPr>
          <w:rStyle w:val="CharSectno"/>
        </w:rPr>
        <w:t>10</w:t>
      </w:r>
      <w:r>
        <w:rPr>
          <w:snapToGrid w:val="0"/>
        </w:rPr>
        <w:t>.</w:t>
      </w:r>
      <w:r>
        <w:rPr>
          <w:snapToGrid w:val="0"/>
        </w:rPr>
        <w:tab/>
        <w:t>Refund fee</w:t>
      </w:r>
      <w:bookmarkEnd w:id="19"/>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 xml:space="preserve">[Regulation 10 amended: Gazette 18 Sep 2015 p. 3803.] </w:t>
      </w:r>
    </w:p>
    <w:p>
      <w:pPr>
        <w:pStyle w:val="Heading5"/>
        <w:rPr>
          <w:snapToGrid w:val="0"/>
        </w:rPr>
      </w:pPr>
      <w:bookmarkStart w:id="20" w:name="_Toc43299562"/>
      <w:r>
        <w:rPr>
          <w:rStyle w:val="CharSectno"/>
        </w:rPr>
        <w:t>11</w:t>
      </w:r>
      <w:r>
        <w:rPr>
          <w:snapToGrid w:val="0"/>
        </w:rPr>
        <w:t>.</w:t>
      </w:r>
      <w:r>
        <w:rPr>
          <w:snapToGrid w:val="0"/>
        </w:rPr>
        <w:tab/>
        <w:t>Notification of change of address</w:t>
      </w:r>
      <w:bookmarkEnd w:id="20"/>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Gazette 2 Feb 1982 p. 395; 31 Jan 1997 p. 673.] </w:t>
      </w:r>
    </w:p>
    <w:p>
      <w:pPr>
        <w:pStyle w:val="Heading5"/>
        <w:rPr>
          <w:snapToGrid w:val="0"/>
        </w:rPr>
      </w:pPr>
      <w:bookmarkStart w:id="21" w:name="_Toc43299563"/>
      <w:r>
        <w:rPr>
          <w:rStyle w:val="CharSectno"/>
        </w:rPr>
        <w:t>12</w:t>
      </w:r>
      <w:r>
        <w:rPr>
          <w:snapToGrid w:val="0"/>
        </w:rPr>
        <w:t>.</w:t>
      </w:r>
      <w:r>
        <w:rPr>
          <w:snapToGrid w:val="0"/>
        </w:rPr>
        <w:tab/>
        <w:t>Replacement of lost, damaged or dilapidated number plates</w:t>
      </w:r>
      <w:bookmarkEnd w:id="21"/>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Gazette 2 Feb 1982 p. 395; 31 Jan 1997 p. 673.] </w:t>
      </w:r>
    </w:p>
    <w:p>
      <w:pPr>
        <w:pStyle w:val="Heading5"/>
        <w:rPr>
          <w:snapToGrid w:val="0"/>
        </w:rPr>
      </w:pPr>
      <w:bookmarkStart w:id="22" w:name="_Toc43299564"/>
      <w:r>
        <w:rPr>
          <w:rStyle w:val="CharSectno"/>
        </w:rPr>
        <w:t>13</w:t>
      </w:r>
      <w:r>
        <w:rPr>
          <w:snapToGrid w:val="0"/>
        </w:rPr>
        <w:t>.</w:t>
      </w:r>
      <w:r>
        <w:rPr>
          <w:snapToGrid w:val="0"/>
        </w:rPr>
        <w:tab/>
        <w:t>Positioning and legibility of number plates</w:t>
      </w:r>
      <w:bookmarkEnd w:id="22"/>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23" w:name="_Toc43299565"/>
      <w:r>
        <w:rPr>
          <w:rStyle w:val="CharSectno"/>
        </w:rPr>
        <w:t>14</w:t>
      </w:r>
      <w:r>
        <w:rPr>
          <w:snapToGrid w:val="0"/>
        </w:rPr>
        <w:t>.</w:t>
      </w:r>
      <w:r>
        <w:rPr>
          <w:snapToGrid w:val="0"/>
        </w:rPr>
        <w:tab/>
        <w:t>Authorised officer may seize and take possession of number plates</w:t>
      </w:r>
      <w:bookmarkEnd w:id="23"/>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Gazette 2 Feb 1982 p. 395; 31 Jan 1997 p. 673.] </w:t>
      </w:r>
    </w:p>
    <w:p>
      <w:pPr>
        <w:pStyle w:val="Heading5"/>
        <w:rPr>
          <w:snapToGrid w:val="0"/>
        </w:rPr>
      </w:pPr>
      <w:bookmarkStart w:id="24" w:name="_Toc43299566"/>
      <w:r>
        <w:rPr>
          <w:rStyle w:val="CharSectno"/>
        </w:rPr>
        <w:t>15</w:t>
      </w:r>
      <w:r>
        <w:rPr>
          <w:snapToGrid w:val="0"/>
        </w:rPr>
        <w:t>.</w:t>
      </w:r>
      <w:r>
        <w:rPr>
          <w:snapToGrid w:val="0"/>
        </w:rPr>
        <w:tab/>
        <w:t>Allotment of identification marks</w:t>
      </w:r>
      <w:bookmarkEnd w:id="24"/>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Gazette 2 Feb 1982 p. 395; 31 Jan 1997 p. 673.] </w:t>
      </w:r>
    </w:p>
    <w:p>
      <w:pPr>
        <w:pStyle w:val="Heading5"/>
        <w:rPr>
          <w:snapToGrid w:val="0"/>
        </w:rPr>
      </w:pPr>
      <w:bookmarkStart w:id="25" w:name="_Toc43299567"/>
      <w:r>
        <w:rPr>
          <w:rStyle w:val="CharSectno"/>
        </w:rPr>
        <w:t>16</w:t>
      </w:r>
      <w:r>
        <w:rPr>
          <w:snapToGrid w:val="0"/>
        </w:rPr>
        <w:t>.</w:t>
      </w:r>
      <w:r>
        <w:rPr>
          <w:snapToGrid w:val="0"/>
        </w:rPr>
        <w:tab/>
        <w:t>Notification of change of identification mark</w:t>
      </w:r>
      <w:bookmarkEnd w:id="25"/>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Gazette 2 Feb 1982 p. 395; 31 Jan 1997 p. 673.] </w:t>
      </w:r>
    </w:p>
    <w:p>
      <w:pPr>
        <w:pStyle w:val="Heading5"/>
        <w:rPr>
          <w:snapToGrid w:val="0"/>
        </w:rPr>
      </w:pPr>
      <w:bookmarkStart w:id="26" w:name="_Toc43299568"/>
      <w:r>
        <w:rPr>
          <w:rStyle w:val="CharSectno"/>
        </w:rPr>
        <w:t>17</w:t>
      </w:r>
      <w:r>
        <w:rPr>
          <w:snapToGrid w:val="0"/>
        </w:rPr>
        <w:t>.</w:t>
      </w:r>
      <w:r>
        <w:rPr>
          <w:snapToGrid w:val="0"/>
        </w:rPr>
        <w:tab/>
        <w:t>Duties in connection with identification marks</w:t>
      </w:r>
      <w:bookmarkEnd w:id="26"/>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Gazette 2 Feb 1982 p. 395; 31 Jan 1997 p. 673.] </w:t>
      </w:r>
    </w:p>
    <w:p>
      <w:pPr>
        <w:pStyle w:val="Heading2"/>
      </w:pPr>
      <w:bookmarkStart w:id="27" w:name="_Toc43282860"/>
      <w:bookmarkStart w:id="28" w:name="_Toc43283829"/>
      <w:bookmarkStart w:id="29" w:name="_Toc43299569"/>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27"/>
      <w:bookmarkEnd w:id="28"/>
      <w:bookmarkEnd w:id="29"/>
      <w:r>
        <w:rPr>
          <w:rStyle w:val="CharPartText"/>
        </w:rPr>
        <w:t xml:space="preserve"> </w:t>
      </w:r>
    </w:p>
    <w:p>
      <w:pPr>
        <w:pStyle w:val="Heading5"/>
        <w:rPr>
          <w:snapToGrid w:val="0"/>
        </w:rPr>
      </w:pPr>
      <w:bookmarkStart w:id="30" w:name="_Toc43299570"/>
      <w:r>
        <w:rPr>
          <w:rStyle w:val="CharSectno"/>
        </w:rPr>
        <w:t>18</w:t>
      </w:r>
      <w:r>
        <w:rPr>
          <w:snapToGrid w:val="0"/>
        </w:rPr>
        <w:t>.</w:t>
      </w:r>
      <w:r>
        <w:rPr>
          <w:snapToGrid w:val="0"/>
        </w:rPr>
        <w:tab/>
        <w:t>Period for recovery of detained vehicles</w:t>
      </w:r>
      <w:bookmarkEnd w:id="30"/>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31" w:name="_Toc43299571"/>
      <w:r>
        <w:rPr>
          <w:rStyle w:val="CharSectno"/>
        </w:rPr>
        <w:t>19</w:t>
      </w:r>
      <w:r>
        <w:rPr>
          <w:snapToGrid w:val="0"/>
        </w:rPr>
        <w:t>.</w:t>
      </w:r>
      <w:r>
        <w:rPr>
          <w:snapToGrid w:val="0"/>
        </w:rPr>
        <w:tab/>
        <w:t>Sale or disposal of unclaimed vehicles</w:t>
      </w:r>
      <w:bookmarkEnd w:id="31"/>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Gazette 2 Feb 1982 p. 395; 31 Jan 1997 p. 673; 8 Jan 2015 p. 124.] </w:t>
      </w:r>
    </w:p>
    <w:p>
      <w:pPr>
        <w:pStyle w:val="Heading5"/>
        <w:rPr>
          <w:snapToGrid w:val="0"/>
        </w:rPr>
      </w:pPr>
      <w:bookmarkStart w:id="32" w:name="_Toc43299572"/>
      <w:r>
        <w:rPr>
          <w:rStyle w:val="CharSectno"/>
        </w:rPr>
        <w:t>20</w:t>
      </w:r>
      <w:r>
        <w:rPr>
          <w:snapToGrid w:val="0"/>
        </w:rPr>
        <w:t>.</w:t>
      </w:r>
      <w:r>
        <w:rPr>
          <w:snapToGrid w:val="0"/>
        </w:rPr>
        <w:tab/>
        <w:t>Proceeds of sale of unclaimed vehicles</w:t>
      </w:r>
      <w:bookmarkEnd w:id="32"/>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Gazette 2 Feb 1982 p. 395; 31 Jan 1997 p. 673; 8 Jan 2015 p. 124</w:t>
      </w:r>
      <w:r>
        <w:noBreakHyphen/>
        <w:t xml:space="preserve">5.] </w:t>
      </w:r>
    </w:p>
    <w:p>
      <w:pPr>
        <w:pStyle w:val="Heading5"/>
        <w:rPr>
          <w:snapToGrid w:val="0"/>
        </w:rPr>
      </w:pPr>
      <w:bookmarkStart w:id="33" w:name="_Toc43299573"/>
      <w:r>
        <w:rPr>
          <w:rStyle w:val="CharSectno"/>
        </w:rPr>
        <w:t>21</w:t>
      </w:r>
      <w:r>
        <w:rPr>
          <w:snapToGrid w:val="0"/>
        </w:rPr>
        <w:t>.</w:t>
      </w:r>
      <w:r>
        <w:rPr>
          <w:snapToGrid w:val="0"/>
        </w:rPr>
        <w:tab/>
        <w:t>Recovery of costs through court proceedings</w:t>
      </w:r>
      <w:bookmarkEnd w:id="33"/>
      <w:r>
        <w:rPr>
          <w:snapToGrid w:val="0"/>
        </w:rPr>
        <w:t xml:space="preserve"> </w:t>
      </w:r>
    </w:p>
    <w:p>
      <w:pPr>
        <w:pStyle w:val="Subsection"/>
        <w:keepLines/>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keepLines/>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keepLines/>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Gazette 2 Feb 1982 p. 395; 31 Jan 1997 p. 673.] </w:t>
      </w:r>
    </w:p>
    <w:p>
      <w:pPr>
        <w:pStyle w:val="Heading2"/>
      </w:pPr>
      <w:bookmarkStart w:id="34" w:name="_Toc43282865"/>
      <w:bookmarkStart w:id="35" w:name="_Toc43283834"/>
      <w:bookmarkStart w:id="36" w:name="_Toc43299574"/>
      <w:r>
        <w:rPr>
          <w:rStyle w:val="CharPartNo"/>
        </w:rPr>
        <w:t>Part IV</w:t>
      </w:r>
      <w:r>
        <w:rPr>
          <w:rStyle w:val="CharDivNo"/>
        </w:rPr>
        <w:t> </w:t>
      </w:r>
      <w:r>
        <w:t>—</w:t>
      </w:r>
      <w:r>
        <w:rPr>
          <w:rStyle w:val="CharDivText"/>
        </w:rPr>
        <w:t> </w:t>
      </w:r>
      <w:r>
        <w:rPr>
          <w:rStyle w:val="CharPartText"/>
        </w:rPr>
        <w:t>Safety requirements</w:t>
      </w:r>
      <w:bookmarkEnd w:id="34"/>
      <w:bookmarkEnd w:id="35"/>
      <w:bookmarkEnd w:id="36"/>
      <w:r>
        <w:rPr>
          <w:rStyle w:val="CharPartText"/>
        </w:rPr>
        <w:t xml:space="preserve"> </w:t>
      </w:r>
    </w:p>
    <w:p>
      <w:pPr>
        <w:pStyle w:val="Heading5"/>
        <w:rPr>
          <w:snapToGrid w:val="0"/>
        </w:rPr>
      </w:pPr>
      <w:bookmarkStart w:id="37" w:name="_Toc43299575"/>
      <w:r>
        <w:rPr>
          <w:rStyle w:val="CharSectno"/>
        </w:rPr>
        <w:t>22</w:t>
      </w:r>
      <w:r>
        <w:rPr>
          <w:snapToGrid w:val="0"/>
        </w:rPr>
        <w:t>.</w:t>
      </w:r>
      <w:r>
        <w:rPr>
          <w:snapToGrid w:val="0"/>
        </w:rPr>
        <w:tab/>
        <w:t>Prescribed safety requirements</w:t>
      </w:r>
      <w:bookmarkEnd w:id="37"/>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 xml:space="preserve">[Regulation 22 amended: Gazette 18 Sep 2015 p. 3803.] </w:t>
      </w:r>
    </w:p>
    <w:p>
      <w:pPr>
        <w:pStyle w:val="Heading5"/>
      </w:pPr>
      <w:bookmarkStart w:id="38" w:name="_Toc43299576"/>
      <w:r>
        <w:rPr>
          <w:rStyle w:val="CharSectno"/>
        </w:rPr>
        <w:t>22A</w:t>
      </w:r>
      <w:r>
        <w:t>.</w:t>
      </w:r>
      <w:r>
        <w:tab/>
        <w:t>Seat belts</w:t>
      </w:r>
      <w:bookmarkEnd w:id="38"/>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Gazette 8 Jan 2015 p. 125</w:t>
      </w:r>
      <w:r>
        <w:noBreakHyphen/>
        <w:t xml:space="preserve">6.] </w:t>
      </w:r>
    </w:p>
    <w:p>
      <w:pPr>
        <w:pStyle w:val="Heading5"/>
      </w:pPr>
      <w:bookmarkStart w:id="39" w:name="_Toc43299577"/>
      <w:r>
        <w:rPr>
          <w:rStyle w:val="CharSectno"/>
        </w:rPr>
        <w:t>22B</w:t>
      </w:r>
      <w:r>
        <w:t>.</w:t>
      </w:r>
      <w:r>
        <w:tab/>
        <w:t>Protective helmets</w:t>
      </w:r>
      <w:bookmarkEnd w:id="39"/>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Gazette 8 Jan 2015 p. 126.] </w:t>
      </w:r>
    </w:p>
    <w:p>
      <w:pPr>
        <w:pStyle w:val="Ednotesection"/>
      </w:pPr>
      <w:r>
        <w:t>[</w:t>
      </w:r>
      <w:r>
        <w:rPr>
          <w:b/>
        </w:rPr>
        <w:t>22C.</w:t>
      </w:r>
      <w:r>
        <w:tab/>
        <w:t>Deleted: Gazette 8 Jan 2015 p. 125.]</w:t>
      </w:r>
    </w:p>
    <w:p>
      <w:pPr>
        <w:pStyle w:val="Heading2"/>
      </w:pPr>
      <w:bookmarkStart w:id="40" w:name="_Toc43282869"/>
      <w:bookmarkStart w:id="41" w:name="_Toc43283838"/>
      <w:bookmarkStart w:id="42" w:name="_Toc43299578"/>
      <w:r>
        <w:rPr>
          <w:rStyle w:val="CharPartNo"/>
        </w:rPr>
        <w:t>Part V</w:t>
      </w:r>
      <w:r>
        <w:rPr>
          <w:rStyle w:val="CharDivNo"/>
        </w:rPr>
        <w:t> </w:t>
      </w:r>
      <w:r>
        <w:t>—</w:t>
      </w:r>
      <w:r>
        <w:rPr>
          <w:rStyle w:val="CharDivText"/>
        </w:rPr>
        <w:t> </w:t>
      </w:r>
      <w:r>
        <w:rPr>
          <w:rStyle w:val="CharPartText"/>
        </w:rPr>
        <w:t>Control of noise</w:t>
      </w:r>
      <w:bookmarkEnd w:id="40"/>
      <w:bookmarkEnd w:id="41"/>
      <w:bookmarkEnd w:id="42"/>
      <w:r>
        <w:rPr>
          <w:rStyle w:val="CharPartText"/>
        </w:rPr>
        <w:t xml:space="preserve"> </w:t>
      </w:r>
    </w:p>
    <w:p>
      <w:pPr>
        <w:pStyle w:val="Heading5"/>
        <w:rPr>
          <w:snapToGrid w:val="0"/>
        </w:rPr>
      </w:pPr>
      <w:bookmarkStart w:id="43" w:name="_Toc43299579"/>
      <w:r>
        <w:rPr>
          <w:rStyle w:val="CharSectno"/>
        </w:rPr>
        <w:t>23</w:t>
      </w:r>
      <w:r>
        <w:rPr>
          <w:snapToGrid w:val="0"/>
        </w:rPr>
        <w:t>.</w:t>
      </w:r>
      <w:r>
        <w:rPr>
          <w:snapToGrid w:val="0"/>
        </w:rPr>
        <w:tab/>
        <w:t>Interpretation in Part V</w:t>
      </w:r>
      <w:bookmarkEnd w:id="4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 xml:space="preserve">[Regulation 23 amended: Gazette 8 Jan 2015 p. 126.] </w:t>
      </w:r>
    </w:p>
    <w:p>
      <w:pPr>
        <w:pStyle w:val="Heading5"/>
        <w:rPr>
          <w:snapToGrid w:val="0"/>
        </w:rPr>
      </w:pPr>
      <w:bookmarkStart w:id="44" w:name="_Toc43299580"/>
      <w:r>
        <w:rPr>
          <w:rStyle w:val="CharSectno"/>
        </w:rPr>
        <w:t>24</w:t>
      </w:r>
      <w:r>
        <w:rPr>
          <w:snapToGrid w:val="0"/>
        </w:rPr>
        <w:t>.</w:t>
      </w:r>
      <w:r>
        <w:rPr>
          <w:snapToGrid w:val="0"/>
        </w:rPr>
        <w:tab/>
        <w:t>Prescribed noise requirements</w:t>
      </w:r>
      <w:bookmarkEnd w:id="44"/>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 xml:space="preserve">[Regulation 24 amended: Gazette 18 Sep 2015 p. 3803.] </w:t>
      </w:r>
    </w:p>
    <w:p>
      <w:pPr>
        <w:pStyle w:val="Heading5"/>
        <w:rPr>
          <w:snapToGrid w:val="0"/>
        </w:rPr>
      </w:pPr>
      <w:bookmarkStart w:id="45" w:name="_Toc43299581"/>
      <w:r>
        <w:rPr>
          <w:rStyle w:val="CharSectno"/>
        </w:rPr>
        <w:t>25</w:t>
      </w:r>
      <w:r>
        <w:rPr>
          <w:snapToGrid w:val="0"/>
        </w:rPr>
        <w:t>.</w:t>
      </w:r>
      <w:r>
        <w:rPr>
          <w:snapToGrid w:val="0"/>
        </w:rPr>
        <w:tab/>
        <w:t>Maximum permissible noise levels</w:t>
      </w:r>
      <w:bookmarkEnd w:id="45"/>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46" w:name="_Toc43299582"/>
      <w:r>
        <w:rPr>
          <w:rStyle w:val="CharSectno"/>
        </w:rPr>
        <w:t>26</w:t>
      </w:r>
      <w:r>
        <w:rPr>
          <w:snapToGrid w:val="0"/>
        </w:rPr>
        <w:t>.</w:t>
      </w:r>
      <w:r>
        <w:rPr>
          <w:snapToGrid w:val="0"/>
        </w:rPr>
        <w:tab/>
        <w:t>Excessive noise penalised</w:t>
      </w:r>
      <w:bookmarkEnd w:id="46"/>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47" w:name="_Toc43299583"/>
      <w:r>
        <w:rPr>
          <w:rStyle w:val="CharSectno"/>
        </w:rPr>
        <w:t>27</w:t>
      </w:r>
      <w:r>
        <w:rPr>
          <w:snapToGrid w:val="0"/>
        </w:rPr>
        <w:t>.</w:t>
      </w:r>
      <w:r>
        <w:rPr>
          <w:snapToGrid w:val="0"/>
        </w:rPr>
        <w:tab/>
        <w:t>Sound level meters to be used</w:t>
      </w:r>
      <w:bookmarkEnd w:id="47"/>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48" w:name="_Toc43299584"/>
      <w:r>
        <w:rPr>
          <w:rStyle w:val="CharSectno"/>
        </w:rPr>
        <w:t>28</w:t>
      </w:r>
      <w:r>
        <w:rPr>
          <w:snapToGrid w:val="0"/>
        </w:rPr>
        <w:t>.</w:t>
      </w:r>
      <w:r>
        <w:rPr>
          <w:snapToGrid w:val="0"/>
        </w:rPr>
        <w:tab/>
        <w:t>Calibration of sound level meters</w:t>
      </w:r>
      <w:bookmarkEnd w:id="48"/>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w:t>
      </w:r>
      <w:r>
        <w:rPr>
          <w:snapToGrid w:val="0"/>
          <w:vertAlign w:val="superscript"/>
        </w:rPr>
        <w:t> 1</w:t>
      </w:r>
      <w:r>
        <w:rPr>
          <w:snapToGrid w:val="0"/>
        </w:rPr>
        <w:t xml:space="preserve"> or at any other laboratory approved by the Minister in writing.</w:t>
      </w:r>
    </w:p>
    <w:p>
      <w:pPr>
        <w:pStyle w:val="Heading5"/>
        <w:rPr>
          <w:snapToGrid w:val="0"/>
        </w:rPr>
      </w:pPr>
      <w:bookmarkStart w:id="49" w:name="_Toc43299585"/>
      <w:r>
        <w:rPr>
          <w:rStyle w:val="CharSectno"/>
        </w:rPr>
        <w:t>29</w:t>
      </w:r>
      <w:r>
        <w:rPr>
          <w:snapToGrid w:val="0"/>
        </w:rPr>
        <w:t>.</w:t>
      </w:r>
      <w:r>
        <w:rPr>
          <w:snapToGrid w:val="0"/>
        </w:rPr>
        <w:tab/>
        <w:t>Test sites</w:t>
      </w:r>
      <w:bookmarkEnd w:id="49"/>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50" w:name="_Toc43299586"/>
      <w:r>
        <w:rPr>
          <w:rStyle w:val="CharSectno"/>
        </w:rPr>
        <w:t>30</w:t>
      </w:r>
      <w:r>
        <w:rPr>
          <w:snapToGrid w:val="0"/>
        </w:rPr>
        <w:t>.</w:t>
      </w:r>
      <w:r>
        <w:rPr>
          <w:snapToGrid w:val="0"/>
        </w:rPr>
        <w:tab/>
        <w:t>Ambient noise</w:t>
      </w:r>
      <w:bookmarkEnd w:id="50"/>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51" w:name="_Toc43299587"/>
      <w:r>
        <w:rPr>
          <w:rStyle w:val="CharSectno"/>
        </w:rPr>
        <w:t>31</w:t>
      </w:r>
      <w:r>
        <w:rPr>
          <w:snapToGrid w:val="0"/>
        </w:rPr>
        <w:t>.</w:t>
      </w:r>
      <w:r>
        <w:rPr>
          <w:snapToGrid w:val="0"/>
        </w:rPr>
        <w:tab/>
        <w:t>Weather conditions</w:t>
      </w:r>
      <w:bookmarkEnd w:id="51"/>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52" w:name="_Toc43299588"/>
      <w:r>
        <w:rPr>
          <w:rStyle w:val="CharSectno"/>
        </w:rPr>
        <w:t>32</w:t>
      </w:r>
      <w:r>
        <w:rPr>
          <w:snapToGrid w:val="0"/>
        </w:rPr>
        <w:t>.</w:t>
      </w:r>
      <w:r>
        <w:rPr>
          <w:snapToGrid w:val="0"/>
        </w:rPr>
        <w:tab/>
        <w:t>Persons permitted near vehicle being tested</w:t>
      </w:r>
      <w:bookmarkEnd w:id="52"/>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53" w:name="_Toc43299589"/>
      <w:r>
        <w:rPr>
          <w:rStyle w:val="CharSectno"/>
        </w:rPr>
        <w:t>33</w:t>
      </w:r>
      <w:r>
        <w:rPr>
          <w:snapToGrid w:val="0"/>
        </w:rPr>
        <w:t>.</w:t>
      </w:r>
      <w:r>
        <w:rPr>
          <w:snapToGrid w:val="0"/>
        </w:rPr>
        <w:tab/>
        <w:t>Engine of vehicle to be at normal operating temperature</w:t>
      </w:r>
      <w:bookmarkEnd w:id="53"/>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54" w:name="_Toc43299590"/>
      <w:r>
        <w:rPr>
          <w:rStyle w:val="CharSectno"/>
        </w:rPr>
        <w:t>34</w:t>
      </w:r>
      <w:r>
        <w:rPr>
          <w:snapToGrid w:val="0"/>
        </w:rPr>
        <w:t>.</w:t>
      </w:r>
      <w:r>
        <w:rPr>
          <w:snapToGrid w:val="0"/>
        </w:rPr>
        <w:tab/>
        <w:t>Vehicle testing methods</w:t>
      </w:r>
      <w:bookmarkEnd w:id="54"/>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55" w:name="_Toc43282882"/>
      <w:bookmarkStart w:id="56" w:name="_Toc43283851"/>
      <w:bookmarkStart w:id="57" w:name="_Toc43299591"/>
      <w:r>
        <w:rPr>
          <w:rStyle w:val="CharPartNo"/>
        </w:rPr>
        <w:t>Part VI</w:t>
      </w:r>
      <w:r>
        <w:rPr>
          <w:rStyle w:val="CharDivNo"/>
        </w:rPr>
        <w:t> </w:t>
      </w:r>
      <w:r>
        <w:t>—</w:t>
      </w:r>
      <w:r>
        <w:rPr>
          <w:rStyle w:val="CharDivText"/>
        </w:rPr>
        <w:t> </w:t>
      </w:r>
      <w:r>
        <w:rPr>
          <w:rStyle w:val="CharPartText"/>
        </w:rPr>
        <w:t>General and penalties</w:t>
      </w:r>
      <w:bookmarkEnd w:id="55"/>
      <w:bookmarkEnd w:id="56"/>
      <w:bookmarkEnd w:id="57"/>
      <w:r>
        <w:rPr>
          <w:rStyle w:val="CharPartText"/>
        </w:rPr>
        <w:t xml:space="preserve"> </w:t>
      </w:r>
    </w:p>
    <w:p>
      <w:pPr>
        <w:pStyle w:val="Heading5"/>
        <w:rPr>
          <w:snapToGrid w:val="0"/>
        </w:rPr>
      </w:pPr>
      <w:bookmarkStart w:id="58" w:name="_Toc43299592"/>
      <w:r>
        <w:rPr>
          <w:rStyle w:val="CharSectno"/>
        </w:rPr>
        <w:t>35</w:t>
      </w:r>
      <w:r>
        <w:rPr>
          <w:snapToGrid w:val="0"/>
        </w:rPr>
        <w:t>.</w:t>
      </w:r>
      <w:r>
        <w:rPr>
          <w:snapToGrid w:val="0"/>
        </w:rPr>
        <w:tab/>
        <w:t>Modified penalties, infringement notices and withdrawal notices</w:t>
      </w:r>
      <w:bookmarkEnd w:id="58"/>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59" w:name="_Toc43299593"/>
      <w:r>
        <w:rPr>
          <w:rStyle w:val="CharSectno"/>
        </w:rPr>
        <w:t>36</w:t>
      </w:r>
      <w:r>
        <w:rPr>
          <w:snapToGrid w:val="0"/>
        </w:rPr>
        <w:t>.</w:t>
      </w:r>
      <w:r>
        <w:rPr>
          <w:snapToGrid w:val="0"/>
        </w:rPr>
        <w:tab/>
        <w:t>Endorsing or altering infringement notice an offence</w:t>
      </w:r>
      <w:bookmarkEnd w:id="59"/>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r>
        <w:tab/>
        <w:t xml:space="preserve">[Regulation 36 amended: Gazette 8 Jan 2015 p. 127.] </w:t>
      </w:r>
    </w:p>
    <w:p>
      <w:pPr>
        <w:pStyle w:val="Heading5"/>
        <w:rPr>
          <w:snapToGrid w:val="0"/>
        </w:rPr>
      </w:pPr>
      <w:bookmarkStart w:id="60" w:name="_Toc43299594"/>
      <w:r>
        <w:rPr>
          <w:rStyle w:val="CharSectno"/>
        </w:rPr>
        <w:t>37</w:t>
      </w:r>
      <w:r>
        <w:rPr>
          <w:snapToGrid w:val="0"/>
        </w:rPr>
        <w:t>.</w:t>
      </w:r>
      <w:r>
        <w:rPr>
          <w:snapToGrid w:val="0"/>
        </w:rPr>
        <w:tab/>
        <w:t>Certificates of appointment of authorised officers and notices prohibiting use of vehicles</w:t>
      </w:r>
      <w:bookmarkEnd w:id="60"/>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61" w:name="_Toc43299595"/>
      <w:r>
        <w:rPr>
          <w:rStyle w:val="CharSectno"/>
        </w:rPr>
        <w:t>38</w:t>
      </w:r>
      <w:r>
        <w:rPr>
          <w:snapToGrid w:val="0"/>
        </w:rPr>
        <w:t>.</w:t>
      </w:r>
      <w:r>
        <w:rPr>
          <w:snapToGrid w:val="0"/>
        </w:rPr>
        <w:tab/>
        <w:t>General penalty</w:t>
      </w:r>
      <w:bookmarkEnd w:id="61"/>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2" w:name="_Toc43282887"/>
      <w:bookmarkStart w:id="63" w:name="_Toc43283856"/>
      <w:bookmarkStart w:id="64" w:name="_Toc43299596"/>
      <w:r>
        <w:rPr>
          <w:rStyle w:val="CharSchNo"/>
        </w:rPr>
        <w:t>First Schedule</w:t>
      </w:r>
      <w:bookmarkEnd w:id="62"/>
      <w:bookmarkEnd w:id="63"/>
      <w:bookmarkEnd w:id="64"/>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 w:val="left" w:pos="1701"/>
          <w:tab w:val="left" w:pos="4253"/>
        </w:tabs>
        <w:spacing w:before="0"/>
      </w:pPr>
      <w:r>
        <w:tab/>
      </w: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Gazette 8 Jan 2015 p. 127.]</w:t>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 Gazette 8 Jan 2015 p. 127.]</w:t>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Gazette 2 Feb 1982 p. 395; 31 Jan 1997 p. 673.]</w:t>
      </w:r>
    </w:p>
    <w:p>
      <w:pPr>
        <w:pStyle w:val="yScheduleHeading"/>
      </w:pPr>
      <w:bookmarkStart w:id="65" w:name="_Toc43282888"/>
      <w:bookmarkStart w:id="66" w:name="_Toc43283857"/>
      <w:bookmarkStart w:id="67" w:name="_Toc43299597"/>
      <w:r>
        <w:rPr>
          <w:rStyle w:val="CharSchNo"/>
        </w:rPr>
        <w:t>Second Schedule</w:t>
      </w:r>
      <w:bookmarkEnd w:id="65"/>
      <w:bookmarkEnd w:id="66"/>
      <w:bookmarkEnd w:id="67"/>
    </w:p>
    <w:p>
      <w:pPr>
        <w:pStyle w:val="yShoulderClause"/>
        <w:widowControl w:val="0"/>
        <w:suppressLineNumbers/>
        <w:suppressAutoHyphens/>
      </w:pPr>
      <w:r>
        <w:t>[Regulation 22]</w:t>
      </w:r>
    </w:p>
    <w:p>
      <w:pPr>
        <w:pStyle w:val="yMiscellaneousHeading"/>
      </w:pPr>
      <w:r>
        <w:rPr>
          <w:rStyle w:val="CharSchText"/>
          <w:b/>
          <w:sz w:val="28"/>
          <w:szCs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outlineLvl w:val="9"/>
      </w:pPr>
      <w:bookmarkStart w:id="68" w:name="_Toc43299598"/>
      <w:r>
        <w:t>Dangerous fittings</w:t>
      </w:r>
      <w:bookmarkEnd w:id="68"/>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outlineLvl w:val="9"/>
      </w:pPr>
      <w:bookmarkStart w:id="69" w:name="_Toc43299599"/>
      <w:r>
        <w:t>Noise or vibration</w:t>
      </w:r>
      <w:bookmarkEnd w:id="69"/>
    </w:p>
    <w:p>
      <w:pPr>
        <w:pStyle w:val="ySubsection"/>
      </w:pPr>
      <w:r>
        <w:tab/>
        <w:t>4.</w:t>
      </w:r>
      <w:r>
        <w:tab/>
        <w:t>A vehicle shall be so constructed that no undue or avoidable noise or vibration is caused.</w:t>
      </w:r>
    </w:p>
    <w:p>
      <w:pPr>
        <w:pStyle w:val="yHeading5"/>
        <w:outlineLvl w:val="9"/>
      </w:pPr>
      <w:bookmarkStart w:id="70" w:name="_Toc43299600"/>
      <w:r>
        <w:t>Steering equipment</w:t>
      </w:r>
      <w:bookmarkEnd w:id="70"/>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outlineLvl w:val="9"/>
      </w:pPr>
      <w:bookmarkStart w:id="71" w:name="_Toc43299601"/>
      <w:r>
        <w:t>Braking equipment</w:t>
      </w:r>
      <w:bookmarkEnd w:id="71"/>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outlineLvl w:val="9"/>
      </w:pPr>
      <w:bookmarkStart w:id="72" w:name="_Toc43299602"/>
      <w:r>
        <w:t>Tyres and rims</w:t>
      </w:r>
      <w:bookmarkEnd w:id="72"/>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outlineLvl w:val="9"/>
      </w:pPr>
      <w:bookmarkStart w:id="73" w:name="_Toc43299603"/>
      <w:r>
        <w:t>Safety glass</w:t>
      </w:r>
      <w:bookmarkEnd w:id="73"/>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outlineLvl w:val="9"/>
      </w:pPr>
      <w:bookmarkStart w:id="74" w:name="_Toc43299604"/>
      <w:r>
        <w:t>Mudguards</w:t>
      </w:r>
      <w:bookmarkEnd w:id="74"/>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outlineLvl w:val="9"/>
      </w:pPr>
      <w:bookmarkStart w:id="75" w:name="_Toc43299605"/>
      <w:r>
        <w:t>Exhaust systems</w:t>
      </w:r>
      <w:bookmarkEnd w:id="75"/>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outlineLvl w:val="9"/>
      </w:pPr>
      <w:bookmarkStart w:id="76" w:name="_Toc43299606"/>
      <w:r>
        <w:t>Seats</w:t>
      </w:r>
      <w:bookmarkEnd w:id="76"/>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outlineLvl w:val="9"/>
      </w:pPr>
      <w:bookmarkStart w:id="77" w:name="_Toc43299607"/>
      <w:r>
        <w:t>Roll bar</w:t>
      </w:r>
      <w:bookmarkEnd w:id="77"/>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outlineLvl w:val="9"/>
      </w:pPr>
      <w:bookmarkStart w:id="78" w:name="_Toc43299608"/>
      <w:r>
        <w:t>Floor pan</w:t>
      </w:r>
      <w:bookmarkEnd w:id="78"/>
    </w:p>
    <w:p>
      <w:pPr>
        <w:pStyle w:val="ySubsection"/>
      </w:pPr>
      <w:r>
        <w:tab/>
        <w:t>19.</w:t>
      </w:r>
      <w:r>
        <w:tab/>
        <w:t>The floor pan of a vehicle shall extend under the entire passenger compartment of the vehicle.</w:t>
      </w:r>
    </w:p>
    <w:p>
      <w:pPr>
        <w:pStyle w:val="yHeading5"/>
        <w:outlineLvl w:val="9"/>
      </w:pPr>
      <w:bookmarkStart w:id="79" w:name="_Toc43299609"/>
      <w:r>
        <w:t>Door latches and hinges</w:t>
      </w:r>
      <w:bookmarkEnd w:id="79"/>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outlineLvl w:val="9"/>
      </w:pPr>
      <w:bookmarkStart w:id="80" w:name="_Toc43299610"/>
      <w:r>
        <w:t>Fuel tanks, fuel lines and fuel caps</w:t>
      </w:r>
      <w:bookmarkEnd w:id="80"/>
    </w:p>
    <w:p>
      <w:pPr>
        <w:pStyle w:val="ySubsection"/>
        <w:keepNext/>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outlineLvl w:val="9"/>
      </w:pPr>
      <w:bookmarkStart w:id="81" w:name="_Toc43299611"/>
      <w:r>
        <w:t>Lighting systems</w:t>
      </w:r>
      <w:bookmarkEnd w:id="81"/>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outlineLvl w:val="9"/>
      </w:pPr>
      <w:bookmarkStart w:id="82" w:name="_Toc43299612"/>
      <w:r>
        <w:t>Cooling systems</w:t>
      </w:r>
      <w:bookmarkEnd w:id="82"/>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outlineLvl w:val="9"/>
      </w:pPr>
      <w:bookmarkStart w:id="83" w:name="_Toc43299613"/>
      <w:r>
        <w:t>Moving components</w:t>
      </w:r>
      <w:bookmarkEnd w:id="83"/>
    </w:p>
    <w:p>
      <w:pPr>
        <w:pStyle w:val="ySubsection"/>
      </w:pPr>
      <w:r>
        <w:tab/>
        <w:t>27.</w:t>
      </w:r>
      <w:r>
        <w:tab/>
        <w:t>All moving components in a vehicle shall be adequately guarded against coming into accidental contact with any person.</w:t>
      </w:r>
    </w:p>
    <w:p>
      <w:pPr>
        <w:pStyle w:val="yHeading5"/>
        <w:outlineLvl w:val="9"/>
      </w:pPr>
      <w:bookmarkStart w:id="84" w:name="_Toc43299614"/>
      <w:r>
        <w:t>Electrical systems</w:t>
      </w:r>
      <w:bookmarkEnd w:id="84"/>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outlineLvl w:val="9"/>
      </w:pPr>
      <w:bookmarkStart w:id="85" w:name="_Toc43299615"/>
      <w:r>
        <w:t>Dangerous fittings</w:t>
      </w:r>
      <w:bookmarkEnd w:id="85"/>
    </w:p>
    <w:p>
      <w:pPr>
        <w:pStyle w:val="ySubsection"/>
      </w:pPr>
      <w:r>
        <w:tab/>
        <w:t>1.</w:t>
      </w:r>
      <w:r>
        <w:tab/>
        <w:t>All exposed components of a motor cycle shall be free of any sharp or jagged edges or projections likely to occasion danger or risk of bodily injury.</w:t>
      </w:r>
    </w:p>
    <w:p>
      <w:pPr>
        <w:pStyle w:val="yHeading5"/>
        <w:outlineLvl w:val="9"/>
      </w:pPr>
      <w:bookmarkStart w:id="86" w:name="_Toc43299616"/>
      <w:r>
        <w:t>Steering equipment</w:t>
      </w:r>
      <w:bookmarkEnd w:id="86"/>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outlineLvl w:val="9"/>
      </w:pPr>
      <w:bookmarkStart w:id="87" w:name="_Toc43299617"/>
      <w:r>
        <w:t>Braking equipment</w:t>
      </w:r>
      <w:bookmarkEnd w:id="87"/>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outlineLvl w:val="9"/>
      </w:pPr>
      <w:bookmarkStart w:id="88" w:name="_Toc43299618"/>
      <w:r>
        <w:t>Tyres and rims</w:t>
      </w:r>
      <w:bookmarkEnd w:id="88"/>
    </w:p>
    <w:p>
      <w:pPr>
        <w:pStyle w:val="ySubsection"/>
        <w:keepNext/>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outlineLvl w:val="9"/>
      </w:pPr>
      <w:bookmarkStart w:id="89" w:name="_Toc43299619"/>
      <w:r>
        <w:t>Mudguards</w:t>
      </w:r>
      <w:bookmarkEnd w:id="89"/>
    </w:p>
    <w:p>
      <w:pPr>
        <w:pStyle w:val="ySubsection"/>
      </w:pPr>
      <w:r>
        <w:tab/>
        <w:t>8.</w:t>
      </w:r>
      <w:r>
        <w:tab/>
        <w:t>Every mudguard fitted to a motor cycle shall be in good order and condition and free from tears and sharp or jagged edges.</w:t>
      </w:r>
    </w:p>
    <w:p>
      <w:pPr>
        <w:pStyle w:val="yHeading5"/>
        <w:outlineLvl w:val="9"/>
      </w:pPr>
      <w:bookmarkStart w:id="90" w:name="_Toc43299620"/>
      <w:r>
        <w:t>Exhaust systems</w:t>
      </w:r>
      <w:bookmarkEnd w:id="90"/>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outlineLvl w:val="9"/>
      </w:pPr>
      <w:bookmarkStart w:id="91" w:name="_Toc43299621"/>
      <w:r>
        <w:t>Fuel tanks, fuel lines and fuel caps</w:t>
      </w:r>
      <w:bookmarkEnd w:id="91"/>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outlineLvl w:val="9"/>
      </w:pPr>
      <w:bookmarkStart w:id="92" w:name="_Toc43299622"/>
      <w:r>
        <w:t>Lighting systems</w:t>
      </w:r>
      <w:bookmarkEnd w:id="92"/>
    </w:p>
    <w:p>
      <w:pPr>
        <w:pStyle w:val="ySubsection"/>
        <w:keepNext/>
      </w:pPr>
      <w:r>
        <w:tab/>
        <w:t>13.</w:t>
      </w:r>
      <w:r>
        <w:tab/>
        <w:t>When a motor cycle is ridden during the hours of darkness, it shall be provided with — </w:t>
      </w:r>
    </w:p>
    <w:p>
      <w:pPr>
        <w:pStyle w:val="yIndenta"/>
        <w:keepNext/>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Gazette 2 Feb 1982 p. 395; 8 Nov 1985 p. 4294; 31 Jan 1997 p. 673.]</w:t>
      </w:r>
    </w:p>
    <w:p>
      <w:pPr>
        <w:pStyle w:val="yScheduleHeading"/>
      </w:pPr>
      <w:bookmarkStart w:id="93" w:name="_Toc43282914"/>
      <w:bookmarkStart w:id="94" w:name="_Toc43283883"/>
      <w:bookmarkStart w:id="95" w:name="_Toc43299623"/>
      <w:r>
        <w:rPr>
          <w:rStyle w:val="CharSchNo"/>
        </w:rPr>
        <w:t>Third Schedule</w:t>
      </w:r>
      <w:bookmarkEnd w:id="93"/>
      <w:bookmarkEnd w:id="94"/>
      <w:bookmarkEnd w:id="95"/>
    </w:p>
    <w:p>
      <w:pPr>
        <w:pStyle w:val="yShoulderClause"/>
        <w:widowControl w:val="0"/>
        <w:suppressLineNumbers/>
        <w:suppressAutoHyphens/>
      </w:pPr>
      <w:r>
        <w:t>[Regulation 25]</w:t>
      </w:r>
    </w:p>
    <w:p>
      <w:pPr>
        <w:pStyle w:val="yMiscellaneousHeading"/>
        <w:spacing w:after="120"/>
      </w:pPr>
      <w:r>
        <w:rPr>
          <w:rStyle w:val="CharSchText"/>
          <w:b/>
          <w:sz w:val="28"/>
          <w:szCs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96" w:name="_Toc43282915"/>
      <w:bookmarkStart w:id="97" w:name="_Toc43283884"/>
      <w:bookmarkStart w:id="98" w:name="_Toc43299624"/>
      <w:r>
        <w:rPr>
          <w:rStyle w:val="CharSchNo"/>
        </w:rPr>
        <w:t>Fourth Schedule</w:t>
      </w:r>
      <w:bookmarkEnd w:id="96"/>
      <w:bookmarkEnd w:id="97"/>
      <w:bookmarkEnd w:id="98"/>
    </w:p>
    <w:p>
      <w:pPr>
        <w:pStyle w:val="yShoulderClause"/>
        <w:widowControl w:val="0"/>
      </w:pPr>
      <w:r>
        <w:t>[Regulation 34]</w:t>
      </w:r>
    </w:p>
    <w:p>
      <w:pPr>
        <w:pStyle w:val="yMiscellaneousHeading"/>
        <w:spacing w:after="120"/>
      </w:pPr>
      <w:r>
        <w:rPr>
          <w:rStyle w:val="CharSchText"/>
          <w:b/>
          <w:sz w:val="28"/>
          <w:szCs w:val="28"/>
        </w:rPr>
        <w:t>Vehicle testing methods</w:t>
      </w:r>
    </w:p>
    <w:p>
      <w:pPr>
        <w:pStyle w:val="yHeading5"/>
        <w:outlineLvl w:val="9"/>
      </w:pPr>
      <w:bookmarkStart w:id="99" w:name="_Toc43299625"/>
      <w:r>
        <w:t>1.</w:t>
      </w:r>
      <w:r>
        <w:tab/>
        <w:t>Testing vehicles other than motor cycles</w:t>
      </w:r>
      <w:bookmarkEnd w:id="99"/>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outlineLvl w:val="9"/>
      </w:pPr>
      <w:bookmarkStart w:id="100" w:name="_Toc43299626"/>
      <w:r>
        <w:t>2.</w:t>
      </w:r>
      <w:r>
        <w:tab/>
        <w:t>Testing motor cycles</w:t>
      </w:r>
      <w:bookmarkEnd w:id="100"/>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object w:dxaOrig="2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3pt" o:ole="">
            <v:imagedata r:id="rId25" o:title=""/>
          </v:shape>
          <o:OLEObject Type="Embed" ProgID="Equation.3" ShapeID="_x0000_i1025" DrawAspect="Content" ObjectID="_1655029621" r:id="rId26"/>
        </w:object>
      </w:r>
    </w:p>
    <w:p>
      <w:pPr>
        <w:pStyle w:val="yHeading5"/>
        <w:outlineLvl w:val="9"/>
      </w:pPr>
      <w:bookmarkStart w:id="101" w:name="_Toc43299627"/>
      <w:r>
        <w:t>3.</w:t>
      </w:r>
      <w:r>
        <w:tab/>
        <w:t>Tachometers</w:t>
      </w:r>
      <w:bookmarkEnd w:id="101"/>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pict>
          <v:shape id="_x0000_s1064" type="#_x0000_t75" style="position:absolute;left:0;text-align:left;margin-left:0;margin-top:0;width:8.65pt;height:8.65pt;z-index:251661824;mso-position-horizontal-relative:text;mso-position-vertical-relative:text" o:allowincell="f">
            <v:imagedata r:id="rId27" o:title=""/>
            <w10:wrap type="topAndBottom"/>
          </v:shape>
          <o:OLEObject Type="Embed" ProgID="Equation.3" ShapeID="_x0000_s1064" DrawAspect="Content" ObjectID="_1655029622" r:id="rId28"/>
        </w:pict>
      </w:r>
      <w:r>
        <w:t>Schedule.</w:t>
      </w:r>
    </w:p>
    <w:p>
      <w:pPr>
        <w:pStyle w:val="yHeading5"/>
        <w:outlineLvl w:val="9"/>
      </w:pPr>
      <w:bookmarkStart w:id="102" w:name="_Toc43299628"/>
      <w:r>
        <w:t>4.</w:t>
      </w:r>
      <w:r>
        <w:tab/>
        <w:t>Positioning and use of microphones</w:t>
      </w:r>
      <w:bookmarkEnd w:id="102"/>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outlineLvl w:val="9"/>
      </w:pPr>
      <w:bookmarkStart w:id="103" w:name="_Toc43299629"/>
      <w:r>
        <w:t>5.</w:t>
      </w:r>
      <w:r>
        <w:tab/>
        <w:t>Measurement of noise levels</w:t>
      </w:r>
      <w:bookmarkEnd w:id="103"/>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outlineLvl w:val="9"/>
      </w:pPr>
      <w:bookmarkStart w:id="104" w:name="_Toc43299630"/>
      <w:r>
        <w:t>6.</w:t>
      </w:r>
      <w:r>
        <w:tab/>
        <w:t>Contents of test reports</w:t>
      </w:r>
      <w:bookmarkEnd w:id="104"/>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105" w:name="_Toc43282922"/>
      <w:bookmarkStart w:id="106" w:name="_Toc43283891"/>
      <w:bookmarkStart w:id="107" w:name="_Toc43299631"/>
      <w:r>
        <w:rPr>
          <w:rStyle w:val="CharSchNo"/>
        </w:rPr>
        <w:t>Fifth Schedule</w:t>
      </w:r>
      <w:bookmarkEnd w:id="105"/>
      <w:bookmarkEnd w:id="106"/>
      <w:bookmarkEnd w:id="107"/>
    </w:p>
    <w:p>
      <w:pPr>
        <w:pStyle w:val="yShoulderClause"/>
        <w:widowControl w:val="0"/>
        <w:suppressLineNumbers/>
        <w:suppressAutoHyphens/>
      </w:pPr>
      <w:r>
        <w:t>[Regulation 35]</w:t>
      </w:r>
    </w:p>
    <w:p>
      <w:pPr>
        <w:pStyle w:val="yMiscellaneousHeading"/>
        <w:spacing w:after="120"/>
      </w:pPr>
      <w:r>
        <w:rPr>
          <w:rStyle w:val="CharSchText"/>
          <w:b/>
          <w:sz w:val="28"/>
          <w:szCs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vAlign w:val="bottom"/>
          </w:tcPr>
          <w:p>
            <w:pPr>
              <w:pStyle w:val="yTable"/>
              <w:tabs>
                <w:tab w:val="left" w:pos="317"/>
              </w:tabs>
              <w:spacing w:before="100"/>
              <w:jc w:val="center"/>
            </w:pPr>
            <w:r>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vAlign w:val="bottom"/>
          </w:tcPr>
          <w:p>
            <w:pPr>
              <w:pStyle w:val="yTable"/>
              <w:tabs>
                <w:tab w:val="left" w:pos="317"/>
              </w:tabs>
              <w:spacing w:before="100"/>
              <w:jc w:val="center"/>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vAlign w:val="bottom"/>
          </w:tcPr>
          <w:p>
            <w:pPr>
              <w:pStyle w:val="yTable"/>
              <w:tabs>
                <w:tab w:val="left" w:pos="317"/>
              </w:tabs>
              <w:spacing w:before="100"/>
              <w:jc w:val="center"/>
            </w:pPr>
            <w:r>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vAlign w:val="bottom"/>
          </w:tcPr>
          <w:p>
            <w:pPr>
              <w:pStyle w:val="yTable"/>
              <w:tabs>
                <w:tab w:val="left" w:pos="317"/>
              </w:tabs>
              <w:spacing w:before="100"/>
              <w:jc w:val="center"/>
            </w:pPr>
            <w:r>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vAlign w:val="bottom"/>
          </w:tcPr>
          <w:p>
            <w:pPr>
              <w:pStyle w:val="yTable"/>
              <w:tabs>
                <w:tab w:val="left" w:pos="317"/>
              </w:tabs>
              <w:spacing w:before="100"/>
              <w:jc w:val="center"/>
            </w:pPr>
            <w:r>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vAlign w:val="bottom"/>
          </w:tcPr>
          <w:p>
            <w:pPr>
              <w:pStyle w:val="yTable"/>
              <w:keepNext/>
              <w:keepLines/>
              <w:tabs>
                <w:tab w:val="left" w:pos="317"/>
              </w:tabs>
              <w:spacing w:before="100"/>
              <w:jc w:val="center"/>
            </w:pPr>
            <w:r>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vAlign w:val="bottom"/>
          </w:tcPr>
          <w:p>
            <w:pPr>
              <w:pStyle w:val="yTable"/>
              <w:tabs>
                <w:tab w:val="left" w:pos="317"/>
              </w:tabs>
              <w:spacing w:before="100"/>
              <w:jc w:val="center"/>
            </w:pPr>
            <w:r>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vAlign w:val="bottom"/>
          </w:tcPr>
          <w:p>
            <w:pPr>
              <w:pStyle w:val="yTable"/>
              <w:tabs>
                <w:tab w:val="left" w:pos="317"/>
              </w:tabs>
              <w:spacing w:before="100"/>
              <w:jc w:val="center"/>
            </w:pPr>
            <w:r>
              <w:t>50</w:t>
            </w:r>
          </w:p>
        </w:tc>
      </w:tr>
    </w:tbl>
    <w:p>
      <w:pPr>
        <w:pStyle w:val="yFootnotesection"/>
      </w:pPr>
      <w:r>
        <w:tab/>
        <w:t>[Fifth Schedule inserted: Gazette 17 Sep 1993 p. 5164</w:t>
      </w:r>
      <w:r>
        <w:noBreakHyphen/>
        <w:t>6; amended: Gazette 31 Jan 1997 p. 673; 18 Sep 2015 p. 3803.]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109" w:name="_Toc43282923"/>
      <w:bookmarkStart w:id="110" w:name="_Toc43283892"/>
      <w:bookmarkStart w:id="111" w:name="_Toc43299632"/>
      <w:r>
        <w:t>Notes</w:t>
      </w:r>
      <w:bookmarkEnd w:id="109"/>
      <w:bookmarkEnd w:id="110"/>
      <w:bookmarkEnd w:id="111"/>
    </w:p>
    <w:p>
      <w:pPr>
        <w:pStyle w:val="nStatement"/>
      </w:pPr>
      <w:r>
        <w:t xml:space="preserve">This is a compilation of the </w:t>
      </w:r>
      <w:r>
        <w:rPr>
          <w:i/>
          <w:noProof/>
        </w:rPr>
        <w:t>Control of Vehicles (Off-road Areas) Regulations 1979</w:t>
      </w:r>
      <w:r>
        <w:t xml:space="preserve"> and includes amendments made by other written laws. For provisions that have come into operation, and for information about any reprints, see the compilation table.</w:t>
      </w:r>
    </w:p>
    <w:p>
      <w:pPr>
        <w:pStyle w:val="nHeading3"/>
      </w:pPr>
      <w:bookmarkStart w:id="112" w:name="_Toc43299633"/>
      <w:r>
        <w:t>Compilation table</w:t>
      </w:r>
      <w:bookmarkEnd w:id="1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gridSpan w:val="2"/>
            <w:tcBorders>
              <w:top w:val="single" w:sz="4" w:space="0" w:color="auto"/>
            </w:tcBorders>
          </w:tcPr>
          <w:p>
            <w:pPr>
              <w:pStyle w:val="nTable"/>
              <w:spacing w:after="40"/>
            </w:pPr>
            <w:r>
              <w:t>5 Oct 1979 pp.3127</w:t>
            </w:r>
            <w:r>
              <w:noBreakHyphen/>
              <w:t>41</w:t>
            </w:r>
          </w:p>
        </w:tc>
        <w:tc>
          <w:tcPr>
            <w:tcW w:w="2693" w:type="dxa"/>
            <w:gridSpan w:val="2"/>
            <w:tcBorders>
              <w:top w:val="single" w:sz="4" w:space="0" w:color="auto"/>
            </w:tcBorders>
          </w:tcPr>
          <w:p>
            <w:pPr>
              <w:pStyle w:val="nTable"/>
              <w:spacing w:after="40"/>
            </w:pPr>
            <w:r>
              <w:t>5 Oct 1979</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1982</w:t>
            </w:r>
          </w:p>
        </w:tc>
        <w:tc>
          <w:tcPr>
            <w:tcW w:w="1276" w:type="dxa"/>
            <w:gridSpan w:val="2"/>
          </w:tcPr>
          <w:p>
            <w:pPr>
              <w:pStyle w:val="nTable"/>
              <w:spacing w:after="40"/>
            </w:pPr>
            <w:r>
              <w:t>2 Feb 1982 p.395</w:t>
            </w:r>
          </w:p>
        </w:tc>
        <w:tc>
          <w:tcPr>
            <w:tcW w:w="2693" w:type="dxa"/>
            <w:gridSpan w:val="2"/>
          </w:tcPr>
          <w:p>
            <w:pPr>
              <w:pStyle w:val="nTable"/>
              <w:spacing w:after="40"/>
            </w:pPr>
            <w:r>
              <w:t>2 Feb 1982</w:t>
            </w:r>
            <w:r>
              <w:br/>
              <w:t>(see regulation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1983</w:t>
            </w:r>
          </w:p>
        </w:tc>
        <w:tc>
          <w:tcPr>
            <w:tcW w:w="1276" w:type="dxa"/>
            <w:gridSpan w:val="2"/>
          </w:tcPr>
          <w:p>
            <w:pPr>
              <w:pStyle w:val="nTable"/>
              <w:spacing w:after="40"/>
            </w:pPr>
            <w:r>
              <w:t>8 Jul 1983 p.2510</w:t>
            </w:r>
          </w:p>
        </w:tc>
        <w:tc>
          <w:tcPr>
            <w:tcW w:w="2693" w:type="dxa"/>
            <w:gridSpan w:val="2"/>
          </w:tcPr>
          <w:p>
            <w:pPr>
              <w:pStyle w:val="nTable"/>
              <w:spacing w:after="40"/>
            </w:pPr>
            <w:r>
              <w:t>30 Sep 1983</w:t>
            </w:r>
            <w:r>
              <w:br/>
              <w:t>(see regulation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1985</w:t>
            </w:r>
          </w:p>
        </w:tc>
        <w:tc>
          <w:tcPr>
            <w:tcW w:w="1276" w:type="dxa"/>
            <w:gridSpan w:val="2"/>
          </w:tcPr>
          <w:p>
            <w:pPr>
              <w:pStyle w:val="nTable"/>
              <w:spacing w:after="40"/>
            </w:pPr>
            <w:r>
              <w:t>8 Nov 1985 p.4294</w:t>
            </w:r>
          </w:p>
        </w:tc>
        <w:tc>
          <w:tcPr>
            <w:tcW w:w="2693" w:type="dxa"/>
            <w:gridSpan w:val="2"/>
          </w:tcPr>
          <w:p>
            <w:pPr>
              <w:pStyle w:val="nTable"/>
              <w:spacing w:after="40"/>
            </w:pPr>
            <w:r>
              <w:t>1 Dec 1985</w:t>
            </w:r>
            <w:r>
              <w:br/>
              <w:t>(see regulation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w:t>
            </w:r>
            <w:r>
              <w:rPr>
                <w:i/>
              </w:rPr>
              <w:br/>
              <w:t>Regulations 1993</w:t>
            </w:r>
          </w:p>
        </w:tc>
        <w:tc>
          <w:tcPr>
            <w:tcW w:w="1276" w:type="dxa"/>
            <w:gridSpan w:val="2"/>
          </w:tcPr>
          <w:p>
            <w:pPr>
              <w:pStyle w:val="nTable"/>
              <w:spacing w:after="40"/>
            </w:pPr>
            <w:r>
              <w:t>17 Sep 1993 pp.5163</w:t>
            </w:r>
            <w:r>
              <w:noBreakHyphen/>
              <w:t>6</w:t>
            </w:r>
          </w:p>
        </w:tc>
        <w:tc>
          <w:tcPr>
            <w:tcW w:w="2693" w:type="dxa"/>
            <w:gridSpan w:val="2"/>
          </w:tcPr>
          <w:p>
            <w:pPr>
              <w:pStyle w:val="nTable"/>
              <w:spacing w:after="40"/>
            </w:pPr>
            <w:r>
              <w:t>17 Sep 1993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Control of Vehicles (Off</w:t>
            </w:r>
            <w:r>
              <w:rPr>
                <w:i/>
              </w:rPr>
              <w:noBreakHyphen/>
              <w:t xml:space="preserve">Road Areas) Amendment </w:t>
            </w:r>
            <w:r>
              <w:rPr>
                <w:i/>
              </w:rPr>
              <w:br/>
              <w:t>Regulations 1997</w:t>
            </w:r>
          </w:p>
        </w:tc>
        <w:tc>
          <w:tcPr>
            <w:tcW w:w="1276" w:type="dxa"/>
            <w:gridSpan w:val="2"/>
          </w:tcPr>
          <w:p>
            <w:pPr>
              <w:pStyle w:val="nTable"/>
              <w:spacing w:after="40"/>
            </w:pPr>
            <w:r>
              <w:t>31 Jan 1997 p.673</w:t>
            </w:r>
          </w:p>
        </w:tc>
        <w:tc>
          <w:tcPr>
            <w:tcW w:w="2693" w:type="dxa"/>
            <w:gridSpan w:val="2"/>
          </w:tcPr>
          <w:p>
            <w:pPr>
              <w:pStyle w:val="nTable"/>
              <w:spacing w:after="40"/>
            </w:pPr>
            <w:r>
              <w:t xml:space="preserve">1 Feb 1997 </w:t>
            </w:r>
            <w:r>
              <w:br/>
              <w:t xml:space="preserve">(see regulation 2 and </w:t>
            </w:r>
            <w:r>
              <w:rPr>
                <w:i/>
              </w:rPr>
              <w:t>Gazette</w:t>
            </w:r>
            <w:r>
              <w:t xml:space="preserve"> 31 Jan 1997 p.613)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rPr>
              <w:t xml:space="preserve">Reprint 1: The </w:t>
            </w:r>
            <w:r>
              <w:rPr>
                <w:b/>
                <w:i/>
              </w:rPr>
              <w:t>Control of Vehicles (Off-road Areas) Regulations 1979</w:t>
            </w:r>
            <w:r>
              <w:rPr>
                <w:b/>
              </w:rPr>
              <w:t xml:space="preserve"> as at 19 May 2000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(Off-road Areas) Amendment Regulations 2007</w:t>
            </w:r>
          </w:p>
        </w:tc>
        <w:tc>
          <w:tcPr>
            <w:tcW w:w="1276" w:type="dxa"/>
            <w:gridSpan w:val="2"/>
          </w:tcPr>
          <w:p>
            <w:pPr>
              <w:pStyle w:val="nTable"/>
              <w:spacing w:after="40"/>
            </w:pPr>
            <w:r>
              <w:t>26 Oct 2007 p. 5655</w:t>
            </w:r>
          </w:p>
        </w:tc>
        <w:tc>
          <w:tcPr>
            <w:tcW w:w="2693" w:type="dxa"/>
            <w:gridSpan w:val="2"/>
          </w:tcPr>
          <w:p>
            <w:pPr>
              <w:pStyle w:val="nTable"/>
              <w:spacing w:after="40"/>
            </w:pPr>
            <w:r>
              <w:t>r. 1 and 2: 26 Oct 2007 (see r. 2(a));</w:t>
            </w:r>
            <w:r>
              <w:br/>
              <w:t>Regulations other than r. 1 and 2: 27 Oct 2007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(Off-road Areas) Amendment Regulations 2014</w:t>
            </w:r>
          </w:p>
        </w:tc>
        <w:tc>
          <w:tcPr>
            <w:tcW w:w="1276" w:type="dxa"/>
            <w:gridSpan w:val="2"/>
          </w:tcPr>
          <w:p>
            <w:pPr>
              <w:pStyle w:val="nTable"/>
              <w:spacing w:after="40"/>
            </w:pPr>
            <w:r>
              <w:t>8 Jan 2015 p. 123</w:t>
            </w:r>
            <w:r>
              <w:noBreakHyphen/>
              <w:t>7</w:t>
            </w:r>
          </w:p>
        </w:tc>
        <w:tc>
          <w:tcPr>
            <w:tcW w:w="2693" w:type="dxa"/>
            <w:gridSpan w:val="2"/>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2015</w:t>
            </w:r>
          </w:p>
        </w:tc>
        <w:tc>
          <w:tcPr>
            <w:tcW w:w="1276" w:type="dxa"/>
            <w:gridSpan w:val="2"/>
          </w:tcPr>
          <w:p>
            <w:pPr>
              <w:pStyle w:val="nTable"/>
              <w:spacing w:after="40"/>
            </w:pPr>
            <w:r>
              <w:t>18 Sep 2015 p. 3801</w:t>
            </w:r>
            <w:r>
              <w:noBreakHyphen/>
              <w:t>3</w:t>
            </w:r>
          </w:p>
        </w:tc>
        <w:tc>
          <w:tcPr>
            <w:tcW w:w="2693" w:type="dxa"/>
            <w:gridSpan w:val="2"/>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Control of Vehicles (Off-road Areas) Amendment Regulations 2018</w:t>
            </w:r>
          </w:p>
        </w:tc>
        <w:tc>
          <w:tcPr>
            <w:tcW w:w="1276" w:type="dxa"/>
            <w:gridSpan w:val="2"/>
          </w:tcPr>
          <w:p>
            <w:pPr>
              <w:pStyle w:val="nTable"/>
              <w:spacing w:after="40"/>
            </w:pPr>
            <w:r>
              <w:t>15 Jun 2018 p. 1928</w:t>
            </w:r>
            <w:r>
              <w:noBreakHyphen/>
              <w:t>9</w:t>
            </w:r>
          </w:p>
        </w:tc>
        <w:tc>
          <w:tcPr>
            <w:tcW w:w="2693" w:type="dxa"/>
            <w:gridSpan w:val="2"/>
          </w:tcPr>
          <w:p>
            <w:pPr>
              <w:pStyle w:val="nTable"/>
              <w:spacing w:after="40"/>
            </w:pPr>
            <w:r>
              <w:rPr>
                <w:snapToGrid w:val="0"/>
                <w:spacing w:val="-2"/>
              </w:rPr>
              <w:t>r. 1 and 2: 15 Jun 2018 (see r. 2(a));</w:t>
            </w:r>
            <w:r>
              <w:rPr>
                <w:snapToGrid w:val="0"/>
                <w:spacing w:val="-2"/>
              </w:rPr>
              <w:br/>
              <w:t xml:space="preserve">Regulations other than r. 1 and 2: </w:t>
            </w:r>
            <w:r>
              <w:t>1 Jul 2018 (see r. 2(b))</w:t>
            </w:r>
          </w:p>
        </w:tc>
      </w:tr>
      <w:tr>
        <w:trPr>
          <w:gridBefore w:val="1"/>
          <w:wBefore w:w="8" w:type="dxa"/>
          <w:cantSplit/>
        </w:trPr>
        <w:tc>
          <w:tcPr>
            <w:tcW w:w="3119" w:type="dxa"/>
            <w:gridSpan w:val="2"/>
            <w:tcBorders>
              <w:bottom w:val="nil"/>
            </w:tcBorders>
          </w:tcPr>
          <w:p>
            <w:pPr>
              <w:pStyle w:val="nTable"/>
              <w:spacing w:after="40"/>
              <w:ind w:right="113"/>
              <w:rPr>
                <w:i/>
              </w:rPr>
            </w:pPr>
            <w:r>
              <w:rPr>
                <w:i/>
              </w:rPr>
              <w:t>Control of Vehicles (Off-road Areas) Amendment Regulations 2019</w:t>
            </w:r>
          </w:p>
        </w:tc>
        <w:tc>
          <w:tcPr>
            <w:tcW w:w="1276" w:type="dxa"/>
            <w:gridSpan w:val="2"/>
            <w:tcBorders>
              <w:bottom w:val="nil"/>
            </w:tcBorders>
          </w:tcPr>
          <w:p>
            <w:pPr>
              <w:pStyle w:val="nTable"/>
              <w:spacing w:after="40"/>
            </w:pPr>
            <w:r>
              <w:t>10 May 2019 p. 1403</w:t>
            </w:r>
            <w:r>
              <w:noBreakHyphen/>
              <w:t>4</w:t>
            </w:r>
          </w:p>
        </w:tc>
        <w:tc>
          <w:tcPr>
            <w:tcW w:w="2693" w:type="dxa"/>
            <w:gridSpan w:val="2"/>
            <w:tcBorders>
              <w:bottom w:val="nil"/>
            </w:tcBorders>
          </w:tcPr>
          <w:p>
            <w:pPr>
              <w:pStyle w:val="nTable"/>
              <w:spacing w:after="40"/>
              <w:rPr>
                <w:snapToGrid w:val="0"/>
                <w:spacing w:val="-2"/>
              </w:rPr>
            </w:pPr>
            <w:r>
              <w:rPr>
                <w:snapToGrid w:val="0"/>
                <w:spacing w:val="-2"/>
              </w:rPr>
              <w:t>r. 1 and 2: 10 May 2019 (see r. 2(a));</w:t>
            </w:r>
            <w:r>
              <w:rPr>
                <w:snapToGrid w:val="0"/>
                <w:spacing w:val="-2"/>
              </w:rPr>
              <w:br/>
              <w:t>Regulations other than r. 1 and 2: 1 Jul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Control of Vehicles (Off-road Areas) Amendment Regulations 2020</w:t>
            </w:r>
          </w:p>
        </w:tc>
        <w:tc>
          <w:tcPr>
            <w:tcW w:w="1276" w:type="dxa"/>
            <w:gridSpan w:val="2"/>
            <w:tcBorders>
              <w:bottom w:val="single" w:sz="4" w:space="0" w:color="auto"/>
            </w:tcBorders>
          </w:tcPr>
          <w:p>
            <w:pPr>
              <w:pStyle w:val="nTable"/>
              <w:spacing w:after="40"/>
            </w:pPr>
            <w:r>
              <w:t>SL 2020/41 17 Apr 2020</w:t>
            </w:r>
          </w:p>
        </w:tc>
        <w:tc>
          <w:tcPr>
            <w:tcW w:w="2693" w:type="dxa"/>
            <w:gridSpan w:val="2"/>
            <w:tcBorders>
              <w:bottom w:val="single" w:sz="4" w:space="0" w:color="auto"/>
            </w:tcBorders>
          </w:tcPr>
          <w:p>
            <w:pPr>
              <w:pStyle w:val="nTable"/>
              <w:spacing w:after="40"/>
              <w:rPr>
                <w:snapToGrid w:val="0"/>
                <w:spacing w:val="-2"/>
              </w:rPr>
            </w:pPr>
            <w:r>
              <w:t>r. 1 and 2: 17 Apr 2020 (see r. 2(a));</w:t>
            </w:r>
            <w:r>
              <w:br/>
              <w:t xml:space="preserve">Regulations other than r. 1 and 2: </w:t>
            </w:r>
            <w:r>
              <w:rPr>
                <w:snapToGrid w:val="0"/>
                <w:spacing w:val="-2"/>
              </w:rPr>
              <w:t>1 Jul 2020 (see r. 2(b))</w:t>
            </w:r>
          </w:p>
        </w:tc>
      </w:tr>
    </w:tbl>
    <w:p>
      <w:pPr>
        <w:pStyle w:val="nHeading3"/>
      </w:pPr>
      <w:bookmarkStart w:id="113" w:name="_Toc43299634"/>
      <w:r>
        <w:t>Other notes</w:t>
      </w:r>
      <w:bookmarkEnd w:id="113"/>
    </w:p>
    <w:p>
      <w:pPr>
        <w:pStyle w:val="nNote"/>
        <w:ind w:left="450" w:hanging="450"/>
      </w:pPr>
      <w:r>
        <w:rPr>
          <w:vertAlign w:val="superscript"/>
        </w:rPr>
        <w:t>1</w:t>
      </w:r>
      <w:r>
        <w:tab/>
        <w:t xml:space="preserve">Under the </w:t>
      </w:r>
      <w:r>
        <w:rPr>
          <w:i/>
        </w:rPr>
        <w:t>Alteration of Statutory Designations Order 1984</w:t>
      </w:r>
      <w:r>
        <w:t>, references to the Department of Public Health are to be read as references to the Health Department.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15" w:name="_Toc43282927"/>
      <w:bookmarkStart w:id="116" w:name="_Toc43283895"/>
      <w:bookmarkStart w:id="117" w:name="_Toc43299635"/>
      <w:r>
        <w:rPr>
          <w:sz w:val="28"/>
        </w:rPr>
        <w:t>Defined terms</w:t>
      </w:r>
      <w:bookmarkEnd w:id="115"/>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ambient noise</w:t>
      </w:r>
      <w:r>
        <w:rPr>
          <w:snapToGrid w:val="0"/>
        </w:rPr>
        <w:tab/>
        <w:t>23(1)</w:t>
      </w:r>
    </w:p>
    <w:p>
      <w:pPr>
        <w:pStyle w:val="DefinedTerms"/>
        <w:rPr>
          <w:snapToGrid w:val="0"/>
        </w:rPr>
      </w:pPr>
      <w:r>
        <w:rPr>
          <w:snapToGrid w:val="0"/>
        </w:rPr>
        <w:t>AS 1698</w:t>
      </w:r>
      <w:r>
        <w:rPr>
          <w:snapToGrid w:val="0"/>
        </w:rPr>
        <w:noBreakHyphen/>
        <w:t>1980</w:t>
      </w:r>
      <w:r>
        <w:rPr>
          <w:snapToGrid w:val="0"/>
        </w:rPr>
        <w:tab/>
        <w:t>22C</w:t>
      </w:r>
    </w:p>
    <w:p>
      <w:pPr>
        <w:pStyle w:val="DefinedTerms"/>
        <w:rPr>
          <w:snapToGrid w:val="0"/>
        </w:rPr>
      </w:pPr>
      <w:r>
        <w:rPr>
          <w:snapToGrid w:val="0"/>
        </w:rPr>
        <w:t>AS 2596</w:t>
      </w:r>
      <w:r>
        <w:rPr>
          <w:snapToGrid w:val="0"/>
        </w:rPr>
        <w:noBreakHyphen/>
        <w:t>1983</w:t>
      </w:r>
      <w:r>
        <w:rPr>
          <w:snapToGrid w:val="0"/>
        </w:rPr>
        <w:tab/>
        <w:t>22C</w:t>
      </w:r>
    </w:p>
    <w:p>
      <w:pPr>
        <w:pStyle w:val="DefinedTerms"/>
        <w:rPr>
          <w:snapToGrid w:val="0"/>
        </w:rPr>
      </w:pPr>
      <w:r>
        <w:rPr>
          <w:snapToGrid w:val="0"/>
        </w:rPr>
        <w:t>damaged</w:t>
      </w:r>
      <w:r>
        <w:rPr>
          <w:snapToGrid w:val="0"/>
        </w:rPr>
        <w:tab/>
        <w:t>8(3)</w:t>
      </w:r>
    </w:p>
    <w:p>
      <w:pPr>
        <w:pStyle w:val="DefinedTerms"/>
        <w:rPr>
          <w:snapToGrid w:val="0"/>
        </w:rPr>
      </w:pPr>
      <w:r>
        <w:rPr>
          <w:snapToGrid w:val="0"/>
        </w:rPr>
        <w:t>dB(A)</w:t>
      </w:r>
      <w:r>
        <w:rPr>
          <w:snapToGrid w:val="0"/>
        </w:rPr>
        <w:tab/>
        <w:t>23(1)</w:t>
      </w:r>
    </w:p>
    <w:p>
      <w:pPr>
        <w:pStyle w:val="DefinedTerms"/>
        <w:rPr>
          <w:snapToGrid w:val="0"/>
        </w:rPr>
      </w:pPr>
      <w:r>
        <w:rPr>
          <w:snapToGrid w:val="0"/>
        </w:rPr>
        <w:t>form</w:t>
      </w:r>
      <w:r>
        <w:rPr>
          <w:snapToGrid w:val="0"/>
        </w:rPr>
        <w:tab/>
        <w:t>2</w:t>
      </w:r>
    </w:p>
    <w:p>
      <w:pPr>
        <w:pStyle w:val="DefinedTerms"/>
        <w:rPr>
          <w:snapToGrid w:val="0"/>
        </w:rPr>
      </w:pPr>
      <w:r>
        <w:rPr>
          <w:snapToGrid w:val="0"/>
        </w:rPr>
        <w:t>identification mark</w:t>
      </w:r>
      <w:r>
        <w:rPr>
          <w:snapToGrid w:val="0"/>
        </w:rPr>
        <w:tab/>
        <w:t>2</w:t>
      </w:r>
    </w:p>
    <w:p>
      <w:pPr>
        <w:pStyle w:val="DefinedTerms"/>
        <w:rPr>
          <w:snapToGrid w:val="0"/>
        </w:rPr>
      </w:pPr>
      <w:r>
        <w:rPr>
          <w:snapToGrid w:val="0"/>
        </w:rPr>
        <w:t>motor cycle</w:t>
      </w:r>
      <w:r>
        <w:rPr>
          <w:snapToGrid w:val="0"/>
        </w:rPr>
        <w:tab/>
        <w:t>2</w:t>
      </w:r>
    </w:p>
    <w:p>
      <w:pPr>
        <w:pStyle w:val="DefinedTerms"/>
        <w:rPr>
          <w:snapToGrid w:val="0"/>
        </w:rPr>
      </w:pPr>
      <w:r>
        <w:rPr>
          <w:snapToGrid w:val="0"/>
        </w:rPr>
        <w:t>number plate</w:t>
      </w:r>
      <w:r>
        <w:rPr>
          <w:snapToGrid w:val="0"/>
        </w:rPr>
        <w:tab/>
        <w:t>2</w:t>
      </w:r>
    </w:p>
    <w:p>
      <w:pPr>
        <w:pStyle w:val="DefinedTerms"/>
        <w:rPr>
          <w:snapToGrid w:val="0"/>
        </w:rPr>
      </w:pPr>
      <w:r>
        <w:rPr>
          <w:snapToGrid w:val="0"/>
        </w:rPr>
        <w:t>registered vehicle</w:t>
      </w:r>
      <w:r>
        <w:rPr>
          <w:snapToGrid w:val="0"/>
        </w:rPr>
        <w:tab/>
        <w:t>2</w:t>
      </w:r>
    </w:p>
    <w:p>
      <w:pPr>
        <w:pStyle w:val="DefinedTerms"/>
        <w:rPr>
          <w:snapToGrid w:val="0"/>
        </w:rPr>
      </w:pPr>
      <w:r>
        <w:rPr>
          <w:snapToGrid w:val="0"/>
        </w:rPr>
        <w:t>registration certificate</w:t>
      </w:r>
      <w:r>
        <w:rPr>
          <w:snapToGrid w:val="0"/>
        </w:rPr>
        <w:tab/>
        <w:t>2</w:t>
      </w:r>
    </w:p>
    <w:p>
      <w:pPr>
        <w:pStyle w:val="DefinedTerms"/>
        <w:rPr>
          <w:snapToGrid w:val="0"/>
        </w:rPr>
      </w:pPr>
      <w:r>
        <w:rPr>
          <w:snapToGrid w:val="0"/>
        </w:rPr>
        <w:t>registration number</w:t>
      </w:r>
      <w:r>
        <w:rPr>
          <w:snapToGrid w:val="0"/>
        </w:rPr>
        <w:tab/>
        <w:t>2</w:t>
      </w:r>
    </w:p>
    <w:p>
      <w:pPr>
        <w:pStyle w:val="DefinedTerms"/>
        <w:rPr>
          <w:snapToGrid w:val="0"/>
        </w:rPr>
      </w:pPr>
      <w:r>
        <w:rPr>
          <w:snapToGrid w:val="0"/>
        </w:rPr>
        <w:t>regulation</w:t>
      </w:r>
      <w:r>
        <w:rPr>
          <w:snapToGrid w:val="0"/>
        </w:rPr>
        <w:tab/>
        <w:t>2</w:t>
      </w:r>
    </w:p>
    <w:p>
      <w:pPr>
        <w:pStyle w:val="DefinedTerms"/>
        <w:rPr>
          <w:snapToGrid w:val="0"/>
        </w:rPr>
      </w:pPr>
      <w:r>
        <w:rPr>
          <w:snapToGrid w:val="0"/>
        </w:rPr>
        <w:t>Schedule</w:t>
      </w:r>
      <w:r>
        <w:rPr>
          <w:snapToGrid w:val="0"/>
        </w:rPr>
        <w:tab/>
        <w:t>2</w:t>
      </w:r>
    </w:p>
    <w:p>
      <w:pPr>
        <w:pStyle w:val="DefinedTerms"/>
        <w:rPr>
          <w:snapToGrid w:val="0"/>
        </w:rPr>
      </w:pPr>
      <w:r>
        <w:rPr>
          <w:snapToGrid w:val="0"/>
        </w:rPr>
        <w:t>section</w:t>
      </w:r>
      <w:r>
        <w:rPr>
          <w:snapToGrid w:val="0"/>
        </w:rPr>
        <w:tab/>
        <w:t>2</w:t>
      </w:r>
    </w:p>
    <w:p>
      <w:pPr>
        <w:pStyle w:val="DefinedTerms"/>
        <w:rPr>
          <w:snapToGrid w:val="0"/>
        </w:rPr>
      </w:pPr>
      <w:r>
        <w:rPr>
          <w:snapToGrid w:val="0"/>
        </w:rPr>
        <w:t>standard A</w:t>
      </w:r>
      <w:r>
        <w:rPr>
          <w:snapToGrid w:val="0"/>
        </w:rPr>
        <w:tab/>
        <w:t>23(1)</w:t>
      </w:r>
    </w:p>
    <w:p>
      <w:pPr>
        <w:pStyle w:val="DefinedTerms"/>
        <w:rPr>
          <w:snapToGrid w:val="0"/>
        </w:rPr>
      </w:pPr>
      <w:r>
        <w:rPr>
          <w:snapToGrid w:val="0"/>
        </w:rPr>
        <w:t>standard B</w:t>
      </w:r>
      <w:r>
        <w:rPr>
          <w:snapToGrid w:val="0"/>
        </w:rPr>
        <w:tab/>
        <w:t>23(1)</w:t>
      </w:r>
    </w:p>
    <w:p>
      <w:pPr>
        <w:pStyle w:val="DefinedTerms"/>
        <w:rPr>
          <w:snapToGrid w:val="0"/>
        </w:rPr>
      </w:pPr>
      <w:r>
        <w:rPr>
          <w:snapToGrid w:val="0"/>
        </w:rPr>
        <w:t>subregulation</w:t>
      </w:r>
      <w:r>
        <w:rPr>
          <w:snapToGrid w:val="0"/>
        </w:rPr>
        <w:tab/>
        <w:t>2</w:t>
      </w:r>
    </w:p>
    <w:p>
      <w:pPr>
        <w:pStyle w:val="DefinedTerms"/>
        <w:rPr>
          <w:snapToGrid w:val="0"/>
        </w:rPr>
      </w:pPr>
      <w:r>
        <w:rPr>
          <w:snapToGrid w:val="0"/>
        </w:rPr>
        <w:t>the Act</w:t>
      </w:r>
      <w:r>
        <w:rPr>
          <w:snapToGrid w:val="0"/>
        </w:rPr>
        <w:tab/>
        <w:t>2</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348"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317" w:type="dxa"/>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317" w:type="dxa"/>
        </w:tcPr>
        <w:p>
          <w:pPr>
            <w:pStyle w:val="Header"/>
            <w:spacing w:before="40"/>
            <w:jc w:val="right"/>
          </w:pPr>
          <w:r>
            <w:fldChar w:fldCharType="begin"/>
          </w:r>
          <w:r>
            <w:instrText xml:space="preserve"> styleref CharSDivText </w:instrText>
          </w:r>
          <w:r>
            <w:fldChar w:fldCharType="end"/>
          </w: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4EED58"/>
    <w:lvl w:ilvl="0">
      <w:start w:val="1"/>
      <w:numFmt w:val="decimal"/>
      <w:lvlText w:val="%1."/>
      <w:lvlJc w:val="left"/>
      <w:pPr>
        <w:tabs>
          <w:tab w:val="num" w:pos="1800"/>
        </w:tabs>
        <w:ind w:left="1800" w:hanging="360"/>
      </w:pPr>
    </w:lvl>
  </w:abstractNum>
  <w:abstractNum w:abstractNumId="1">
    <w:nsid w:val="FFFFFF7D"/>
    <w:multiLevelType w:val="singleLevel"/>
    <w:tmpl w:val="12C0C788"/>
    <w:lvl w:ilvl="0">
      <w:start w:val="1"/>
      <w:numFmt w:val="decimal"/>
      <w:lvlText w:val="%1."/>
      <w:lvlJc w:val="left"/>
      <w:pPr>
        <w:tabs>
          <w:tab w:val="num" w:pos="1440"/>
        </w:tabs>
        <w:ind w:left="1440" w:hanging="360"/>
      </w:pPr>
    </w:lvl>
  </w:abstractNum>
  <w:abstractNum w:abstractNumId="2">
    <w:nsid w:val="FFFFFF7E"/>
    <w:multiLevelType w:val="singleLevel"/>
    <w:tmpl w:val="FA30AEA8"/>
    <w:lvl w:ilvl="0">
      <w:start w:val="1"/>
      <w:numFmt w:val="decimal"/>
      <w:lvlText w:val="%1."/>
      <w:lvlJc w:val="left"/>
      <w:pPr>
        <w:tabs>
          <w:tab w:val="num" w:pos="1080"/>
        </w:tabs>
        <w:ind w:left="1080" w:hanging="360"/>
      </w:pPr>
    </w:lvl>
  </w:abstractNum>
  <w:abstractNum w:abstractNumId="3">
    <w:nsid w:val="FFFFFF7F"/>
    <w:multiLevelType w:val="singleLevel"/>
    <w:tmpl w:val="761C80E2"/>
    <w:lvl w:ilvl="0">
      <w:start w:val="1"/>
      <w:numFmt w:val="decimal"/>
      <w:lvlText w:val="%1."/>
      <w:lvlJc w:val="left"/>
      <w:pPr>
        <w:tabs>
          <w:tab w:val="num" w:pos="720"/>
        </w:tabs>
        <w:ind w:left="720" w:hanging="360"/>
      </w:pPr>
    </w:lvl>
  </w:abstractNum>
  <w:abstractNum w:abstractNumId="4">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D883EC"/>
    <w:lvl w:ilvl="0">
      <w:start w:val="1"/>
      <w:numFmt w:val="decimal"/>
      <w:lvlText w:val="%1."/>
      <w:lvlJc w:val="left"/>
      <w:pPr>
        <w:tabs>
          <w:tab w:val="num" w:pos="360"/>
        </w:tabs>
        <w:ind w:left="360" w:hanging="360"/>
      </w:pPr>
    </w:lvl>
  </w:abstractNum>
  <w:abstractNum w:abstractNumId="9">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7103756"/>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 w:name="WAFER_20180614115115" w:val="RemoveTocBookmarks,RemoveUnusedBookmarks,RemoveLanguageTags,UsedStyles,ResetPageSize"/>
    <w:docVar w:name="WAFER_20180614115115_GUID" w:val="b5f948fb-648d-4ef9-bcda-98e3527a47bf"/>
    <w:docVar w:name="WAFER_20180628111423" w:val="RemoveTocBookmarks,RemoveUnusedBookmarks,RemoveLanguageTags,UsedStyles,ResetPageSize"/>
    <w:docVar w:name="WAFER_20180628111423_GUID" w:val="36a6794c-e507-4e5d-a64c-f3a1e36981b4"/>
    <w:docVar w:name="WAFER_20190510134935" w:val="RemoveTocBookmarks,RemoveUnusedBookmarks,RemoveLanguageTags,ResetPageSize,RunningHeaders,UpdateStyles,UsedStyles"/>
    <w:docVar w:name="WAFER_20190510134935_GUID" w:val="ab56816a-3452-4a9d-9627-c63aa01b3bcf"/>
    <w:docVar w:name="WAFER_20190617120431" w:val="RemoveTocBookmarks,RemoveUnusedBookmarks,RemoveLanguageTags,ResetPageSize,RunningHeaders,UpdateStyles,UsedStyles"/>
    <w:docVar w:name="WAFER_20190617120431_GUID" w:val="25ea5559-ef6e-4bb1-89c3-0fe6e01ce655"/>
    <w:docVar w:name="WAFER_2020041616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651_GUID" w:val="438532ef-0616-491a-9570-fb9768ae7d19"/>
    <w:docVar w:name="WAFER_20200617103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756_GUID" w:val="25ae817f-520d-43cd-8668-8792414843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3.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jp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3B07-7DFD-48F6-8452-7E69B166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9334</Words>
  <Characters>50591</Characters>
  <Application>Microsoft Office Word</Application>
  <DocSecurity>0</DocSecurity>
  <Lines>1405</Lines>
  <Paragraphs>982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1979 - 01-k0-01</dc:title>
  <dc:subject/>
  <dc:creator/>
  <cp:keywords/>
  <dc:description/>
  <cp:lastModifiedBy>svcMRProcess</cp:lastModifiedBy>
  <cp:revision>4</cp:revision>
  <cp:lastPrinted>2018-06-28T08:41:00Z</cp:lastPrinted>
  <dcterms:created xsi:type="dcterms:W3CDTF">2020-06-30T05:40:00Z</dcterms:created>
  <dcterms:modified xsi:type="dcterms:W3CDTF">2020-06-30T05:41:00Z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AsAtDate">
    <vt:lpwstr>01 Jul 2020</vt:lpwstr>
  </property>
  <property fmtid="{D5CDD505-2E9C-101B-9397-08002B2CF9AE}" pid="6" name="Suffix">
    <vt:lpwstr>01-k0-01</vt:lpwstr>
  </property>
  <property fmtid="{D5CDD505-2E9C-101B-9397-08002B2CF9AE}" pid="7" name="CommencementDate">
    <vt:lpwstr>20200701</vt:lpwstr>
  </property>
</Properties>
</file>