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_Toc43282754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_Toc43282755 \h </w:instrText>
      </w:r>
      <w:r>
        <w:fldChar w:fldCharType="separate"/>
      </w:r>
      <w:r>
        <w:t>1</w:t>
      </w:r>
      <w:r>
        <w:fldChar w:fldCharType="end"/>
      </w:r>
    </w:p>
    <w:p>
      <w:pPr>
        <w:pStyle w:val="TOC8"/>
        <w:rPr>
          <w:rFonts w:asciiTheme="minorHAnsi" w:eastAsiaTheme="minorEastAsia" w:hAnsiTheme="minorHAnsi" w:cstheme="minorBidi"/>
          <w:szCs w:val="22"/>
        </w:rPr>
      </w:pPr>
      <w:r>
        <w:t>3.</w:t>
      </w:r>
      <w:r>
        <w:tab/>
        <w:t>Areas to which regulations apply</w:t>
      </w:r>
      <w:r>
        <w:tab/>
      </w:r>
      <w:r>
        <w:fldChar w:fldCharType="begin"/>
      </w:r>
      <w:r>
        <w:instrText xml:space="preserve"> PAGEREF _Toc43282756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_Toc43282757 \h </w:instrText>
      </w:r>
      <w:r>
        <w:fldChar w:fldCharType="separate"/>
      </w:r>
      <w:r>
        <w:t>1</w:t>
      </w:r>
      <w:r>
        <w:fldChar w:fldCharType="end"/>
      </w:r>
    </w:p>
    <w:p>
      <w:pPr>
        <w:pStyle w:val="TOC8"/>
        <w:rPr>
          <w:rFonts w:asciiTheme="minorHAnsi" w:eastAsiaTheme="minorEastAsia" w:hAnsiTheme="minorHAnsi" w:cstheme="minorBidi"/>
          <w:szCs w:val="22"/>
        </w:rPr>
      </w:pPr>
      <w:r>
        <w:t>5.</w:t>
      </w:r>
      <w:r>
        <w:tab/>
        <w:t>Supplier to have at least one capped tariff</w:t>
      </w:r>
      <w:r>
        <w:tab/>
      </w:r>
      <w:r>
        <w:fldChar w:fldCharType="begin"/>
      </w:r>
      <w:r>
        <w:instrText xml:space="preserve"> PAGEREF _Toc43282758 \h </w:instrText>
      </w:r>
      <w:r>
        <w:fldChar w:fldCharType="separate"/>
      </w:r>
      <w:r>
        <w:t>2</w:t>
      </w:r>
      <w:r>
        <w:fldChar w:fldCharType="end"/>
      </w:r>
    </w:p>
    <w:p>
      <w:pPr>
        <w:pStyle w:val="TOC8"/>
        <w:rPr>
          <w:rFonts w:asciiTheme="minorHAnsi" w:eastAsiaTheme="minorEastAsia" w:hAnsiTheme="minorHAnsi" w:cstheme="minorBidi"/>
          <w:szCs w:val="22"/>
        </w:rPr>
      </w:pPr>
      <w:r>
        <w:t>6.</w:t>
      </w:r>
      <w:r>
        <w:tab/>
        <w:t>Gas to be offered to certain small use customers at capped tariff</w:t>
      </w:r>
      <w:r>
        <w:tab/>
      </w:r>
      <w:r>
        <w:fldChar w:fldCharType="begin"/>
      </w:r>
      <w:r>
        <w:instrText xml:space="preserve"> PAGEREF _Toc43282759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amounts</w:t>
      </w:r>
      <w:r>
        <w:tab/>
      </w:r>
      <w:r>
        <w:fldChar w:fldCharType="begin"/>
      </w:r>
      <w:r>
        <w:instrText xml:space="preserve"> PAGEREF _Toc43282760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Tariff caps</w:t>
      </w:r>
    </w:p>
    <w:p>
      <w:pPr>
        <w:pStyle w:val="TOC4"/>
        <w:tabs>
          <w:tab w:val="right" w:leader="dot" w:pos="7077"/>
        </w:tabs>
        <w:rPr>
          <w:rFonts w:asciiTheme="minorHAnsi" w:eastAsiaTheme="minorEastAsia" w:hAnsiTheme="minorHAnsi" w:cstheme="minorBidi"/>
          <w:b w:val="0"/>
          <w:szCs w:val="22"/>
        </w:rPr>
      </w:pPr>
      <w:r>
        <w:t>Part 1 — Mid</w:t>
      </w:r>
      <w:r>
        <w:noBreakHyphen/>
        <w:t>West/South</w:t>
      </w:r>
      <w:r>
        <w:noBreakHyphen/>
        <w:t>West area</w:t>
      </w:r>
    </w:p>
    <w:p>
      <w:pPr>
        <w:pStyle w:val="TOC8"/>
        <w:rPr>
          <w:rFonts w:asciiTheme="minorHAnsi" w:eastAsiaTheme="minorEastAsia" w:hAnsiTheme="minorHAnsi" w:cstheme="minorBidi"/>
          <w:szCs w:val="22"/>
        </w:rPr>
      </w:pPr>
      <w:r>
        <w:t>1.</w:t>
      </w:r>
      <w:r>
        <w:tab/>
        <w:t>Residential tariff</w:t>
      </w:r>
      <w:r>
        <w:tab/>
      </w:r>
      <w:r>
        <w:fldChar w:fldCharType="begin"/>
      </w:r>
      <w:r>
        <w:instrText xml:space="preserve"> PAGEREF _Toc43282763 \h </w:instrText>
      </w:r>
      <w:r>
        <w:fldChar w:fldCharType="separate"/>
      </w:r>
      <w:r>
        <w:t>5</w:t>
      </w:r>
      <w:r>
        <w:fldChar w:fldCharType="end"/>
      </w:r>
    </w:p>
    <w:p>
      <w:pPr>
        <w:pStyle w:val="TOC8"/>
        <w:rPr>
          <w:rFonts w:asciiTheme="minorHAnsi" w:eastAsiaTheme="minorEastAsia" w:hAnsiTheme="minorHAnsi" w:cstheme="minorBidi"/>
          <w:szCs w:val="22"/>
        </w:rPr>
      </w:pPr>
      <w:r>
        <w:t>2.</w:t>
      </w:r>
      <w:r>
        <w:tab/>
        <w:t>Non</w:t>
      </w:r>
      <w:r>
        <w:noBreakHyphen/>
        <w:t>residential tariff</w:t>
      </w:r>
      <w:r>
        <w:tab/>
      </w:r>
      <w:r>
        <w:fldChar w:fldCharType="begin"/>
      </w:r>
      <w:r>
        <w:instrText xml:space="preserve"> PAGEREF _Toc43282764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Part 2 — Albany area</w:t>
      </w:r>
    </w:p>
    <w:p>
      <w:pPr>
        <w:pStyle w:val="TOC8"/>
        <w:rPr>
          <w:rFonts w:asciiTheme="minorHAnsi" w:eastAsiaTheme="minorEastAsia" w:hAnsiTheme="minorHAnsi" w:cstheme="minorBidi"/>
          <w:szCs w:val="22"/>
        </w:rPr>
      </w:pPr>
      <w:r>
        <w:t>3.</w:t>
      </w:r>
      <w:r>
        <w:tab/>
        <w:t>Residential tariff</w:t>
      </w:r>
      <w:r>
        <w:tab/>
      </w:r>
      <w:r>
        <w:fldChar w:fldCharType="begin"/>
      </w:r>
      <w:r>
        <w:instrText xml:space="preserve"> PAGEREF _Toc43282766 \h </w:instrText>
      </w:r>
      <w:r>
        <w:fldChar w:fldCharType="separate"/>
      </w:r>
      <w:r>
        <w:t>7</w:t>
      </w:r>
      <w:r>
        <w:fldChar w:fldCharType="end"/>
      </w:r>
    </w:p>
    <w:p>
      <w:pPr>
        <w:pStyle w:val="TOC8"/>
        <w:rPr>
          <w:rFonts w:asciiTheme="minorHAnsi" w:eastAsiaTheme="minorEastAsia" w:hAnsiTheme="minorHAnsi" w:cstheme="minorBidi"/>
          <w:szCs w:val="22"/>
        </w:rPr>
      </w:pPr>
      <w:r>
        <w:t>4.</w:t>
      </w:r>
      <w:r>
        <w:tab/>
        <w:t>Non</w:t>
      </w:r>
      <w:r>
        <w:noBreakHyphen/>
        <w:t>residential tariff</w:t>
      </w:r>
      <w:r>
        <w:tab/>
      </w:r>
      <w:r>
        <w:fldChar w:fldCharType="begin"/>
      </w:r>
      <w:r>
        <w:instrText xml:space="preserve"> PAGEREF _Toc43282767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Part 3 — Kalgoorlie</w:t>
      </w:r>
      <w:r>
        <w:noBreakHyphen/>
        <w:t>Boulder area</w:t>
      </w:r>
    </w:p>
    <w:p>
      <w:pPr>
        <w:pStyle w:val="TOC8"/>
        <w:rPr>
          <w:rFonts w:asciiTheme="minorHAnsi" w:eastAsiaTheme="minorEastAsia" w:hAnsiTheme="minorHAnsi" w:cstheme="minorBidi"/>
          <w:szCs w:val="22"/>
        </w:rPr>
      </w:pPr>
      <w:r>
        <w:t>5.</w:t>
      </w:r>
      <w:r>
        <w:tab/>
        <w:t>Residential tariff</w:t>
      </w:r>
      <w:r>
        <w:tab/>
      </w:r>
      <w:r>
        <w:fldChar w:fldCharType="begin"/>
      </w:r>
      <w:r>
        <w:instrText xml:space="preserve"> PAGEREF _Toc43282769 \h </w:instrText>
      </w:r>
      <w:r>
        <w:fldChar w:fldCharType="separate"/>
      </w:r>
      <w:r>
        <w:t>8</w:t>
      </w:r>
      <w:r>
        <w:fldChar w:fldCharType="end"/>
      </w:r>
    </w:p>
    <w:p>
      <w:pPr>
        <w:pStyle w:val="TOC8"/>
        <w:rPr>
          <w:rFonts w:asciiTheme="minorHAnsi" w:eastAsiaTheme="minorEastAsia" w:hAnsiTheme="minorHAnsi" w:cstheme="minorBidi"/>
          <w:szCs w:val="22"/>
        </w:rPr>
      </w:pPr>
      <w:r>
        <w:t>6.</w:t>
      </w:r>
      <w:r>
        <w:tab/>
        <w:t>Non</w:t>
      </w:r>
      <w:r>
        <w:noBreakHyphen/>
        <w:t>residential tariff</w:t>
      </w:r>
      <w:r>
        <w:tab/>
      </w:r>
      <w:r>
        <w:fldChar w:fldCharType="begin"/>
      </w:r>
      <w:r>
        <w:instrText xml:space="preserve"> PAGEREF _Toc43282770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Part 4 — Adjustment of certain tariff caps</w:t>
      </w:r>
    </w:p>
    <w:p>
      <w:pPr>
        <w:pStyle w:val="TOC8"/>
        <w:rPr>
          <w:rFonts w:asciiTheme="minorHAnsi" w:eastAsiaTheme="minorEastAsia" w:hAnsiTheme="minorHAnsi" w:cstheme="minorBidi"/>
          <w:szCs w:val="22"/>
        </w:rPr>
      </w:pPr>
      <w:r>
        <w:t>7.</w:t>
      </w:r>
      <w:r>
        <w:tab/>
        <w:t>Term used: CPI number</w:t>
      </w:r>
      <w:r>
        <w:tab/>
      </w:r>
      <w:r>
        <w:fldChar w:fldCharType="begin"/>
      </w:r>
      <w:r>
        <w:instrText xml:space="preserve"> PAGEREF _Toc43282772 \h </w:instrText>
      </w:r>
      <w:r>
        <w:fldChar w:fldCharType="separate"/>
      </w:r>
      <w:r>
        <w:t>9</w:t>
      </w:r>
      <w:r>
        <w:fldChar w:fldCharType="end"/>
      </w:r>
    </w:p>
    <w:p>
      <w:pPr>
        <w:pStyle w:val="TOC8"/>
        <w:rPr>
          <w:rFonts w:asciiTheme="minorHAnsi" w:eastAsiaTheme="minorEastAsia" w:hAnsiTheme="minorHAnsi" w:cstheme="minorBidi"/>
          <w:szCs w:val="22"/>
        </w:rPr>
      </w:pPr>
      <w:r>
        <w:t>8.</w:t>
      </w:r>
      <w:r>
        <w:tab/>
        <w:t>General adjustment for 2021/22 financial year and subsequent financial years</w:t>
      </w:r>
      <w:r>
        <w:tab/>
      </w:r>
      <w:r>
        <w:fldChar w:fldCharType="begin"/>
      </w:r>
      <w:r>
        <w:instrText xml:space="preserve"> PAGEREF _Toc43282773 \h </w:instrText>
      </w:r>
      <w:r>
        <w:fldChar w:fldCharType="separate"/>
      </w:r>
      <w:r>
        <w:t>9</w:t>
      </w:r>
      <w:r>
        <w:fldChar w:fldCharType="end"/>
      </w:r>
    </w:p>
    <w:p>
      <w:pPr>
        <w:pStyle w:val="TOC8"/>
        <w:rPr>
          <w:rFonts w:asciiTheme="minorHAnsi" w:eastAsiaTheme="minorEastAsia" w:hAnsiTheme="minorHAnsi" w:cstheme="minorBidi"/>
          <w:szCs w:val="22"/>
        </w:rPr>
      </w:pPr>
      <w:r>
        <w:t>9.</w:t>
      </w:r>
      <w:r>
        <w:tab/>
        <w:t>Special adjustment for residential tariffs in Mid</w:t>
      </w:r>
      <w:r>
        <w:noBreakHyphen/>
        <w:t>West/South</w:t>
      </w:r>
      <w:r>
        <w:noBreakHyphen/>
        <w:t>West area</w:t>
      </w:r>
      <w:r>
        <w:tab/>
      </w:r>
      <w:r>
        <w:fldChar w:fldCharType="begin"/>
      </w:r>
      <w:r>
        <w:instrText xml:space="preserve"> PAGEREF _Toc43282774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_Toc43282776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720"/>
      </w:pPr>
      <w:r>
        <w:t>Energy Coordination Act 1994</w:t>
      </w:r>
    </w:p>
    <w:p>
      <w:pPr>
        <w:pStyle w:val="NameofActReg"/>
        <w:tabs>
          <w:tab w:val="left" w:pos="6804"/>
        </w:tabs>
        <w:spacing w:after="720"/>
        <w:ind w:right="294"/>
      </w:pPr>
      <w:r>
        <w:t>Energy Coordination (Gas Tariffs) Regulations 2000</w:t>
      </w:r>
    </w:p>
    <w:p>
      <w:pPr>
        <w:pStyle w:val="Footnoteheading"/>
      </w:pPr>
      <w:r>
        <w:tab/>
        <w:t>[Heading deleted: Gazette 24 Jul 2012 p. 3392.]</w:t>
      </w:r>
    </w:p>
    <w:p>
      <w:pPr>
        <w:pStyle w:val="Heading5"/>
      </w:pPr>
      <w:bookmarkStart w:id="3" w:name="_Toc43282754"/>
      <w:r>
        <w:rPr>
          <w:rStyle w:val="CharSectno"/>
        </w:rPr>
        <w:t>1</w:t>
      </w:r>
      <w:r>
        <w:t>.</w:t>
      </w:r>
      <w:r>
        <w:tab/>
      </w:r>
      <w:bookmarkStart w:id="4" w:name="Start_Cursor"/>
      <w:bookmarkEnd w:id="4"/>
      <w:r>
        <w:t>Citation</w:t>
      </w:r>
      <w:bookmarkEnd w:id="3"/>
    </w:p>
    <w:p>
      <w:pPr>
        <w:pStyle w:val="Subsection"/>
      </w:pPr>
      <w:r>
        <w:tab/>
      </w:r>
      <w:r>
        <w:tab/>
        <w:t xml:space="preserve">These regulations may be cited as the </w:t>
      </w:r>
      <w:r>
        <w:rPr>
          <w:i/>
        </w:rPr>
        <w:t>Energy Coordination (Gas Tariffs) Regulations 2000</w:t>
      </w:r>
      <w:r>
        <w:rPr>
          <w:iCs/>
        </w:rPr>
        <w:t>.</w:t>
      </w:r>
    </w:p>
    <w:p>
      <w:pPr>
        <w:pStyle w:val="Heading5"/>
      </w:pPr>
      <w:bookmarkStart w:id="5" w:name="_Toc43282755"/>
      <w:r>
        <w:rPr>
          <w:rStyle w:val="CharSectno"/>
        </w:rPr>
        <w:t>2</w:t>
      </w:r>
      <w:r>
        <w:t>.</w:t>
      </w:r>
      <w:r>
        <w:tab/>
        <w:t>Commencement</w:t>
      </w:r>
      <w:bookmarkEnd w:id="5"/>
    </w:p>
    <w:p>
      <w:pPr>
        <w:pStyle w:val="Subsection"/>
      </w:pPr>
      <w:r>
        <w:tab/>
      </w:r>
      <w:r>
        <w:tab/>
        <w:t xml:space="preserve">These regulations come into operation on the relevant day as defined in section 25(3) of the </w:t>
      </w:r>
      <w:r>
        <w:rPr>
          <w:i/>
        </w:rPr>
        <w:t>Gas Corporation (Business Disposal) Act 1999</w:t>
      </w:r>
      <w:r>
        <w:t>.</w:t>
      </w:r>
    </w:p>
    <w:p>
      <w:pPr>
        <w:pStyle w:val="Heading5"/>
      </w:pPr>
      <w:bookmarkStart w:id="6" w:name="_Toc43282756"/>
      <w:r>
        <w:rPr>
          <w:rStyle w:val="CharSectno"/>
        </w:rPr>
        <w:t>3</w:t>
      </w:r>
      <w:r>
        <w:t>.</w:t>
      </w:r>
      <w:r>
        <w:tab/>
        <w:t>Areas to which regulations apply</w:t>
      </w:r>
      <w:bookmarkEnd w:id="6"/>
    </w:p>
    <w:p>
      <w:pPr>
        <w:pStyle w:val="Subsection"/>
      </w:pPr>
      <w:r>
        <w:tab/>
      </w:r>
      <w:r>
        <w:tab/>
        <w:t>These regulations apply to the supply of gas in —</w:t>
      </w:r>
    </w:p>
    <w:p>
      <w:pPr>
        <w:pStyle w:val="Indenta"/>
      </w:pPr>
      <w:r>
        <w:tab/>
        <w:t>(a)</w:t>
      </w:r>
      <w:r>
        <w:tab/>
        <w:t>the Mid</w:t>
      </w:r>
      <w:r>
        <w:noBreakHyphen/>
        <w:t>West/South</w:t>
      </w:r>
      <w:r>
        <w:noBreakHyphen/>
        <w:t>West area; or</w:t>
      </w:r>
    </w:p>
    <w:p>
      <w:pPr>
        <w:pStyle w:val="Indenta"/>
      </w:pPr>
      <w:r>
        <w:tab/>
        <w:t>(b)</w:t>
      </w:r>
      <w:r>
        <w:tab/>
        <w:t>the Albany area; or</w:t>
      </w:r>
    </w:p>
    <w:p>
      <w:pPr>
        <w:pStyle w:val="Indenta"/>
      </w:pPr>
      <w:r>
        <w:tab/>
        <w:t>(c)</w:t>
      </w:r>
      <w:r>
        <w:tab/>
        <w:t>the Kalgoorlie</w:t>
      </w:r>
      <w:r>
        <w:noBreakHyphen/>
        <w:t>Boulder area.</w:t>
      </w:r>
    </w:p>
    <w:p>
      <w:pPr>
        <w:pStyle w:val="Heading5"/>
      </w:pPr>
      <w:bookmarkStart w:id="7" w:name="_Toc43282757"/>
      <w:r>
        <w:rPr>
          <w:rStyle w:val="CharSectno"/>
        </w:rPr>
        <w:t>4</w:t>
      </w:r>
      <w:r>
        <w:t>.</w:t>
      </w:r>
      <w:r>
        <w:tab/>
        <w:t>Terms used</w:t>
      </w:r>
      <w:bookmarkEnd w:id="7"/>
    </w:p>
    <w:p>
      <w:pPr>
        <w:pStyle w:val="Subsection"/>
        <w:keepNext/>
      </w:pPr>
      <w:r>
        <w:tab/>
        <w:t>(1)</w:t>
      </w:r>
      <w:r>
        <w:tab/>
        <w:t>In these regulations, unless the contrary intention appears —</w:t>
      </w:r>
    </w:p>
    <w:p>
      <w:pPr>
        <w:pStyle w:val="Defstart"/>
      </w:pPr>
      <w:r>
        <w:tab/>
      </w:r>
      <w:r>
        <w:rPr>
          <w:rStyle w:val="CharDefText"/>
        </w:rPr>
        <w:t>Albany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 Gazette 24 Jul 2012 p. 3392.]</w:t>
      </w:r>
    </w:p>
    <w:p>
      <w:pPr>
        <w:pStyle w:val="Heading5"/>
      </w:pPr>
      <w:bookmarkStart w:id="8" w:name="_Toc43282758"/>
      <w:r>
        <w:rPr>
          <w:rStyle w:val="CharSectno"/>
        </w:rPr>
        <w:t>5</w:t>
      </w:r>
      <w:r>
        <w:t>.</w:t>
      </w:r>
      <w:r>
        <w:tab/>
        <w:t>Supplier to have at least one capped tariff</w:t>
      </w:r>
      <w:bookmarkEnd w:id="8"/>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 Gazette 18 Oct 2002 p. 5224.]</w:t>
      </w:r>
    </w:p>
    <w:p>
      <w:pPr>
        <w:pStyle w:val="Heading5"/>
      </w:pPr>
      <w:bookmarkStart w:id="9" w:name="_Toc43282759"/>
      <w:r>
        <w:rPr>
          <w:rStyle w:val="CharSectno"/>
        </w:rPr>
        <w:t>6</w:t>
      </w:r>
      <w:r>
        <w:t>.</w:t>
      </w:r>
      <w:r>
        <w:tab/>
        <w:t>Gas to be offered to certain small use customers at capped tariff</w:t>
      </w:r>
      <w:bookmarkEnd w:id="9"/>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keepNext/>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Gazette 18 Oct 2002 p. 5224; 24 Jul 2012 p. 3393.]</w:t>
      </w:r>
    </w:p>
    <w:p>
      <w:pPr>
        <w:pStyle w:val="Heading5"/>
      </w:pPr>
      <w:bookmarkStart w:id="10" w:name="_Toc43282760"/>
      <w:r>
        <w:rPr>
          <w:rStyle w:val="CharSectno"/>
        </w:rPr>
        <w:t>7</w:t>
      </w:r>
      <w:r>
        <w:t>.</w:t>
      </w:r>
      <w:r>
        <w:tab/>
        <w:t>Calculation of amounts</w:t>
      </w:r>
      <w:bookmarkEnd w:id="10"/>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Gazette 30 Jun 2008 p. 3133.]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43210625"/>
      <w:bookmarkStart w:id="12" w:name="_Toc43211500"/>
      <w:bookmarkStart w:id="13" w:name="_Toc43282761"/>
      <w:r>
        <w:rPr>
          <w:rStyle w:val="CharSchNo"/>
        </w:rPr>
        <w:t>Schedule 1</w:t>
      </w:r>
      <w:r>
        <w:t xml:space="preserve"> — </w:t>
      </w:r>
      <w:r>
        <w:rPr>
          <w:rStyle w:val="CharSchText"/>
        </w:rPr>
        <w:t>Tariff caps</w:t>
      </w:r>
      <w:bookmarkEnd w:id="11"/>
      <w:bookmarkEnd w:id="12"/>
      <w:bookmarkEnd w:id="13"/>
    </w:p>
    <w:p>
      <w:pPr>
        <w:pStyle w:val="yShoulderClause"/>
        <w:spacing w:before="80"/>
      </w:pPr>
      <w:r>
        <w:t>[r. 5(2)]</w:t>
      </w:r>
    </w:p>
    <w:p>
      <w:pPr>
        <w:pStyle w:val="yHeading3"/>
        <w:rPr>
          <w:szCs w:val="24"/>
        </w:rPr>
      </w:pPr>
      <w:bookmarkStart w:id="14" w:name="_Toc43210626"/>
      <w:bookmarkStart w:id="15" w:name="_Toc43211501"/>
      <w:bookmarkStart w:id="16" w:name="_Toc43282762"/>
      <w:r>
        <w:rPr>
          <w:rStyle w:val="CharSDivNo"/>
          <w:szCs w:val="24"/>
        </w:rPr>
        <w:t>Part 1</w:t>
      </w:r>
      <w:r>
        <w:rPr>
          <w:rStyle w:val="CharDivNo"/>
          <w:szCs w:val="24"/>
        </w:rPr>
        <w:t xml:space="preserve"> </w:t>
      </w:r>
      <w:r>
        <w:rPr>
          <w:szCs w:val="24"/>
        </w:rPr>
        <w:t>—</w:t>
      </w:r>
      <w:r>
        <w:rPr>
          <w:rStyle w:val="CharDivText"/>
          <w:szCs w:val="24"/>
        </w:rPr>
        <w:t xml:space="preserve"> </w:t>
      </w:r>
      <w:r>
        <w:rPr>
          <w:rStyle w:val="CharSDivText"/>
          <w:szCs w:val="24"/>
        </w:rPr>
        <w:t>Mid</w:t>
      </w:r>
      <w:r>
        <w:rPr>
          <w:rStyle w:val="CharSDivText"/>
          <w:szCs w:val="24"/>
        </w:rPr>
        <w:noBreakHyphen/>
        <w:t>West/South</w:t>
      </w:r>
      <w:r>
        <w:rPr>
          <w:rStyle w:val="CharSDivText"/>
          <w:szCs w:val="24"/>
        </w:rPr>
        <w:noBreakHyphen/>
        <w:t>West area</w:t>
      </w:r>
      <w:bookmarkEnd w:id="14"/>
      <w:bookmarkEnd w:id="15"/>
      <w:bookmarkEnd w:id="16"/>
    </w:p>
    <w:p>
      <w:pPr>
        <w:pStyle w:val="yHeading5"/>
        <w:spacing w:before="180"/>
      </w:pPr>
      <w:bookmarkStart w:id="17" w:name="_Toc43282763"/>
      <w:r>
        <w:rPr>
          <w:rStyle w:val="CharSClsNo"/>
        </w:rPr>
        <w:t>1</w:t>
      </w:r>
      <w:r>
        <w:t>.</w:t>
      </w:r>
      <w:r>
        <w:tab/>
        <w:t>Residential tariff</w:t>
      </w:r>
      <w:bookmarkEnd w:id="17"/>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top w:val="single" w:sz="4" w:space="0" w:color="auto"/>
              <w:bottom w:val="single" w:sz="4" w:space="0" w:color="auto"/>
            </w:tcBorders>
          </w:tcPr>
          <w:p>
            <w:pPr>
              <w:pStyle w:val="yTableNAm"/>
            </w:pPr>
            <w:r>
              <w:t>Fixed component</w:t>
            </w:r>
          </w:p>
        </w:tc>
        <w:tc>
          <w:tcPr>
            <w:tcW w:w="3260" w:type="dxa"/>
            <w:tcBorders>
              <w:top w:val="single" w:sz="4" w:space="0" w:color="auto"/>
              <w:bottom w:val="single" w:sz="4" w:space="0" w:color="auto"/>
            </w:tcBorders>
          </w:tcPr>
          <w:p>
            <w:pPr>
              <w:pStyle w:val="yTableNAm"/>
            </w:pPr>
            <w:r>
              <w:rPr>
                <w:szCs w:val="22"/>
              </w:rPr>
              <w:t xml:space="preserve">21.98 </w:t>
            </w:r>
            <w:r>
              <w:t>cents per day</w:t>
            </w:r>
          </w:p>
        </w:tc>
      </w:tr>
      <w:tr>
        <w:tc>
          <w:tcPr>
            <w:tcW w:w="2977" w:type="dxa"/>
            <w:tcBorders>
              <w:top w:val="single" w:sz="4" w:space="0" w:color="auto"/>
            </w:tcBorders>
          </w:tcPr>
          <w:p>
            <w:pPr>
              <w:pStyle w:val="yTableNAm"/>
            </w:pPr>
            <w:r>
              <w:t>Usage components</w:t>
            </w:r>
          </w:p>
        </w:tc>
        <w:tc>
          <w:tcPr>
            <w:tcW w:w="3260" w:type="dxa"/>
            <w:tcBorders>
              <w:top w:val="single" w:sz="4" w:space="0" w:color="auto"/>
            </w:tcBorders>
          </w:tcPr>
          <w:p>
            <w:pPr>
              <w:pStyle w:val="zyTableNAm"/>
            </w:pPr>
          </w:p>
        </w:tc>
      </w:tr>
      <w:tr>
        <w:tc>
          <w:tcPr>
            <w:tcW w:w="2977" w:type="dxa"/>
          </w:tcPr>
          <w:p>
            <w:pPr>
              <w:pStyle w:val="yTableNAm"/>
              <w:numPr>
                <w:ilvl w:val="0"/>
                <w:numId w:val="2"/>
              </w:numPr>
              <w:tabs>
                <w:tab w:val="clear" w:pos="567"/>
                <w:tab w:val="clear" w:pos="720"/>
              </w:tabs>
              <w:ind w:left="317" w:hanging="283"/>
            </w:pPr>
            <w:r>
              <w:t>first usage component</w:t>
            </w:r>
          </w:p>
        </w:tc>
        <w:tc>
          <w:tcPr>
            <w:tcW w:w="3260" w:type="dxa"/>
          </w:tcPr>
          <w:p>
            <w:pPr>
              <w:pStyle w:val="yTableNAm"/>
            </w:pPr>
            <w:r>
              <w:rPr>
                <w:szCs w:val="22"/>
              </w:rPr>
              <w:t xml:space="preserve">15.18 </w:t>
            </w:r>
            <w:r>
              <w:t>cents per unit for the first L units</w:t>
            </w:r>
          </w:p>
        </w:tc>
      </w:tr>
      <w:tr>
        <w:tc>
          <w:tcPr>
            <w:tcW w:w="2977" w:type="dxa"/>
          </w:tcPr>
          <w:p>
            <w:pPr>
              <w:pStyle w:val="yTableNAm"/>
              <w:numPr>
                <w:ilvl w:val="0"/>
                <w:numId w:val="2"/>
              </w:numPr>
              <w:tabs>
                <w:tab w:val="clear" w:pos="567"/>
                <w:tab w:val="clear" w:pos="720"/>
              </w:tabs>
              <w:ind w:left="317" w:hanging="283"/>
            </w:pPr>
            <w:r>
              <w:t>second usage component</w:t>
            </w:r>
          </w:p>
        </w:tc>
        <w:tc>
          <w:tcPr>
            <w:tcW w:w="3260" w:type="dxa"/>
          </w:tcPr>
          <w:p>
            <w:pPr>
              <w:pStyle w:val="yTableNAm"/>
            </w:pPr>
            <w:r>
              <w:rPr>
                <w:szCs w:val="22"/>
              </w:rPr>
              <w:t xml:space="preserve">13.69 </w:t>
            </w:r>
            <w:r>
              <w:t>cents per unit for the next M units</w:t>
            </w:r>
          </w:p>
        </w:tc>
      </w:tr>
      <w:tr>
        <w:tc>
          <w:tcPr>
            <w:tcW w:w="2977" w:type="dxa"/>
          </w:tcPr>
          <w:p>
            <w:pPr>
              <w:pStyle w:val="yTableNAm"/>
              <w:numPr>
                <w:ilvl w:val="0"/>
                <w:numId w:val="2"/>
              </w:numPr>
              <w:tabs>
                <w:tab w:val="clear" w:pos="567"/>
                <w:tab w:val="clear" w:pos="720"/>
              </w:tabs>
              <w:ind w:left="317" w:hanging="283"/>
            </w:pPr>
            <w:r>
              <w:t>third usage component</w:t>
            </w:r>
          </w:p>
        </w:tc>
        <w:tc>
          <w:tcPr>
            <w:tcW w:w="3260" w:type="dxa"/>
          </w:tcPr>
          <w:p>
            <w:pPr>
              <w:pStyle w:val="yTableNAm"/>
            </w:pPr>
            <w:r>
              <w:rPr>
                <w:szCs w:val="22"/>
              </w:rPr>
              <w:t xml:space="preserve">13.69 </w:t>
            </w:r>
            <w:r>
              <w:t>cents per unit for each additional unit</w:t>
            </w:r>
          </w:p>
          <w:p>
            <w:pPr>
              <w:pStyle w:val="yTableNAm"/>
            </w:pPr>
            <w:r>
              <w:t>Where —</w:t>
            </w:r>
          </w:p>
          <w:p>
            <w:pPr>
              <w:pStyle w:val="yTableNAm"/>
              <w:tabs>
                <w:tab w:val="clear" w:pos="567"/>
                <w:tab w:val="left" w:pos="384"/>
              </w:tabs>
              <w:spacing w:before="80"/>
              <w:ind w:left="384" w:hanging="384"/>
            </w:pPr>
            <w:r>
              <w:t>(a)</w:t>
            </w:r>
            <w:r>
              <w:tab/>
              <w:t>for a single dwelling supplied through a separately metered supply point —</w:t>
            </w:r>
          </w:p>
          <w:p>
            <w:pPr>
              <w:pStyle w:val="yTableNAm"/>
              <w:tabs>
                <w:tab w:val="clear" w:pos="567"/>
                <w:tab w:val="left" w:pos="384"/>
                <w:tab w:val="left" w:pos="864"/>
              </w:tabs>
              <w:spacing w:before="80"/>
              <w:ind w:left="864" w:hanging="864"/>
            </w:pPr>
            <w:r>
              <w:tab/>
              <w:t>L =</w:t>
            </w:r>
            <w:r>
              <w:tab/>
              <w:t xml:space="preserve">12 </w:t>
            </w:r>
            <w:r>
              <w:sym w:font="Wingdings 2" w:char="F0CE"/>
            </w:r>
            <w:r>
              <w:t xml:space="preserve"> N</w:t>
            </w:r>
          </w:p>
          <w:p>
            <w:pPr>
              <w:pStyle w:val="yTableNAm"/>
              <w:tabs>
                <w:tab w:val="clear" w:pos="567"/>
                <w:tab w:val="left" w:pos="384"/>
                <w:tab w:val="left" w:pos="864"/>
              </w:tabs>
              <w:spacing w:before="80"/>
              <w:ind w:left="864" w:hanging="864"/>
            </w:pPr>
            <w:r>
              <w:tab/>
              <w:t>M =</w:t>
            </w:r>
            <w:r>
              <w:tab/>
              <w:t xml:space="preserve">24 </w:t>
            </w:r>
            <w:r>
              <w:sym w:font="Wingdings 2" w:char="F0CE"/>
            </w:r>
            <w:r>
              <w:t xml:space="preserve"> N</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keepNext/>
              <w:tabs>
                <w:tab w:val="clear" w:pos="567"/>
                <w:tab w:val="left" w:pos="384"/>
              </w:tabs>
              <w:spacing w:before="80"/>
              <w:ind w:left="386" w:hanging="386"/>
            </w:pPr>
            <w:r>
              <w:t>(b)</w:t>
            </w:r>
            <w:r>
              <w:tab/>
              <w:t>for multiple dwellings supplied through a commonly metered supply point —</w:t>
            </w:r>
          </w:p>
          <w:p>
            <w:pPr>
              <w:pStyle w:val="yTableNAm"/>
              <w:tabs>
                <w:tab w:val="clear" w:pos="567"/>
                <w:tab w:val="left" w:pos="384"/>
                <w:tab w:val="left" w:pos="864"/>
              </w:tabs>
              <w:spacing w:before="80"/>
              <w:ind w:left="864" w:hanging="864"/>
            </w:pPr>
            <w:r>
              <w:tab/>
              <w:t xml:space="preserve">L = </w:t>
            </w:r>
            <w:r>
              <w:tab/>
              <w:t xml:space="preserve">[12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 xml:space="preserve">M = </w:t>
            </w:r>
            <w:r>
              <w:tab/>
              <w:t xml:space="preserve">[24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tabs>
                <w:tab w:val="clear" w:pos="567"/>
                <w:tab w:val="left" w:pos="384"/>
                <w:tab w:val="left" w:pos="864"/>
              </w:tabs>
              <w:spacing w:before="80"/>
              <w:ind w:left="864" w:hanging="864"/>
            </w:pPr>
            <w:r>
              <w:tab/>
              <w:t xml:space="preserve">F = </w:t>
            </w:r>
            <w:r>
              <w:tab/>
              <w:t>the number of dwellings</w:t>
            </w:r>
          </w:p>
        </w:tc>
      </w:tr>
    </w:tbl>
    <w:p>
      <w:pPr>
        <w:pStyle w:val="yFootnotesection"/>
      </w:pPr>
      <w:r>
        <w:tab/>
        <w:t>[Clause 1 amended: Gazette 18 Oct 2002 p. 5224; 30 Jun 2008 p. 3133-4; 30 Jun 2009 p. 2669</w:t>
      </w:r>
      <w:r>
        <w:noBreakHyphen/>
        <w:t>70; 26 Mar 2010 p. 1143; 29 Jul 2011 p. 3130-1; 1 May 2012 p. 1841-2; 17 May 2013 p. 1980; SL 2020/80 r. 4(3).]</w:t>
      </w:r>
    </w:p>
    <w:p>
      <w:pPr>
        <w:pStyle w:val="yHeading5"/>
      </w:pPr>
      <w:bookmarkStart w:id="18" w:name="_Toc43282764"/>
      <w:r>
        <w:rPr>
          <w:rStyle w:val="CharSClsNo"/>
        </w:rPr>
        <w:t>2</w:t>
      </w:r>
      <w:r>
        <w:t>.</w:t>
      </w:r>
      <w:r>
        <w:tab/>
        <w:t>Non</w:t>
      </w:r>
      <w:r>
        <w:noBreakHyphen/>
        <w:t>residential tariff</w:t>
      </w:r>
      <w:bookmarkEnd w:id="18"/>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 xml:space="preserve">19.11 </w:t>
            </w:r>
            <w:r>
              <w:t>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
              </w:numPr>
              <w:tabs>
                <w:tab w:val="clear" w:pos="567"/>
                <w:tab w:val="clear" w:pos="720"/>
              </w:tabs>
              <w:ind w:left="317" w:hanging="283"/>
            </w:pPr>
            <w:r>
              <w:t>first usage component</w:t>
            </w:r>
          </w:p>
        </w:tc>
        <w:tc>
          <w:tcPr>
            <w:tcW w:w="3260" w:type="dxa"/>
            <w:tcBorders>
              <w:top w:val="nil"/>
              <w:bottom w:val="nil"/>
            </w:tcBorders>
          </w:tcPr>
          <w:p>
            <w:pPr>
              <w:pStyle w:val="yTableNAm"/>
            </w:pPr>
            <w:r>
              <w:rPr>
                <w:szCs w:val="22"/>
              </w:rPr>
              <w:t xml:space="preserve">13.82 </w:t>
            </w:r>
            <w:r>
              <w:t>cents per unit for the first L units</w:t>
            </w:r>
          </w:p>
        </w:tc>
      </w:tr>
      <w:tr>
        <w:tc>
          <w:tcPr>
            <w:tcW w:w="2977" w:type="dxa"/>
            <w:tcBorders>
              <w:top w:val="nil"/>
              <w:bottom w:val="single" w:sz="4" w:space="0" w:color="auto"/>
            </w:tcBorders>
          </w:tcPr>
          <w:p>
            <w:pPr>
              <w:pStyle w:val="yTableNAm"/>
              <w:numPr>
                <w:ilvl w:val="0"/>
                <w:numId w:val="1"/>
              </w:numPr>
              <w:tabs>
                <w:tab w:val="clear" w:pos="567"/>
                <w:tab w:val="clear" w:pos="720"/>
              </w:tabs>
              <w:ind w:left="317" w:hanging="283"/>
            </w:pPr>
            <w:r>
              <w:t>second usage component</w:t>
            </w:r>
          </w:p>
        </w:tc>
        <w:tc>
          <w:tcPr>
            <w:tcW w:w="3260" w:type="dxa"/>
            <w:tcBorders>
              <w:top w:val="nil"/>
              <w:bottom w:val="single" w:sz="4" w:space="0" w:color="auto"/>
            </w:tcBorders>
          </w:tcPr>
          <w:p>
            <w:pPr>
              <w:pStyle w:val="yTableNAm"/>
            </w:pPr>
            <w:r>
              <w:rPr>
                <w:szCs w:val="22"/>
              </w:rPr>
              <w:t xml:space="preserve">11.08 </w:t>
            </w:r>
            <w:r>
              <w:t>cents per unit for each additional unit</w:t>
            </w:r>
          </w:p>
          <w:p>
            <w:pPr>
              <w:pStyle w:val="yTableNAm"/>
            </w:pPr>
            <w:r>
              <w:t>Where —</w:t>
            </w:r>
          </w:p>
          <w:p>
            <w:pPr>
              <w:pStyle w:val="yTableNAm"/>
              <w:tabs>
                <w:tab w:val="clear" w:pos="567"/>
                <w:tab w:val="left" w:pos="459"/>
              </w:tabs>
              <w:ind w:left="459" w:hanging="459"/>
            </w:pPr>
            <w:r>
              <w:t>L =</w:t>
            </w:r>
            <w:r>
              <w:tab/>
              <w:t xml:space="preserve">100 </w:t>
            </w:r>
            <w:r>
              <w:sym w:font="Wingdings 2" w:char="F0CE"/>
            </w:r>
            <w:r>
              <w:t xml:space="preserve"> N</w:t>
            </w:r>
          </w:p>
          <w:p>
            <w:pPr>
              <w:pStyle w:val="yTableNAm"/>
              <w:tabs>
                <w:tab w:val="clear" w:pos="567"/>
                <w:tab w:val="left" w:pos="459"/>
              </w:tabs>
              <w:ind w:left="459" w:hanging="459"/>
            </w:pPr>
            <w:r>
              <w:t>N =</w:t>
            </w:r>
            <w:r>
              <w:tab/>
              <w:t>the number of days in the period for which the charge is calculated</w:t>
            </w:r>
          </w:p>
        </w:tc>
      </w:tr>
    </w:tbl>
    <w:p>
      <w:pPr>
        <w:pStyle w:val="yFootnotesection"/>
      </w:pPr>
      <w:r>
        <w:tab/>
        <w:t>[Clause 2 amended: Gazette 18 Oct 2002 p. 5224; 30 Jun 2008 p. 3134; 30 Jun 2009 p. 2671; 26 Mar 2010 p. 1144; 29 Jul 2011 p. 3131; 1 May 2012 p. 1842; 17 May 2013 p. 1980; SL 2020/80 r. 4(3).]</w:t>
      </w:r>
    </w:p>
    <w:p>
      <w:pPr>
        <w:pStyle w:val="yHeading3"/>
      </w:pPr>
      <w:bookmarkStart w:id="19" w:name="_Toc43210629"/>
      <w:bookmarkStart w:id="20" w:name="_Toc43211504"/>
      <w:bookmarkStart w:id="21" w:name="_Toc43282765"/>
      <w:r>
        <w:rPr>
          <w:rStyle w:val="CharSDivNo"/>
        </w:rPr>
        <w:t>Part 2</w:t>
      </w:r>
      <w:r>
        <w:rPr>
          <w:rStyle w:val="CharDivNo"/>
        </w:rPr>
        <w:t xml:space="preserve"> </w:t>
      </w:r>
      <w:r>
        <w:t>—</w:t>
      </w:r>
      <w:r>
        <w:rPr>
          <w:rStyle w:val="CharDivText"/>
        </w:rPr>
        <w:t xml:space="preserve"> </w:t>
      </w:r>
      <w:r>
        <w:rPr>
          <w:rStyle w:val="CharSDivText"/>
        </w:rPr>
        <w:t>Albany area</w:t>
      </w:r>
      <w:bookmarkEnd w:id="19"/>
      <w:bookmarkEnd w:id="20"/>
      <w:bookmarkEnd w:id="21"/>
    </w:p>
    <w:p>
      <w:pPr>
        <w:pStyle w:val="yHeading5"/>
      </w:pPr>
      <w:bookmarkStart w:id="22" w:name="_Toc43282766"/>
      <w:r>
        <w:rPr>
          <w:rStyle w:val="CharSClsNo"/>
        </w:rPr>
        <w:t>3</w:t>
      </w:r>
      <w:r>
        <w:t>.</w:t>
      </w:r>
      <w:r>
        <w:tab/>
        <w:t>Residential tariff</w:t>
      </w:r>
      <w:bookmarkEnd w:id="22"/>
    </w:p>
    <w:p>
      <w:pPr>
        <w:pStyle w:val="ySubsection"/>
        <w:spacing w:before="140"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nil"/>
            </w:tcBorders>
          </w:tcPr>
          <w:p>
            <w:pPr>
              <w:pStyle w:val="yTableNAm"/>
              <w:spacing w:before="80"/>
            </w:pPr>
            <w:r>
              <w:t>Fixed component</w:t>
            </w:r>
          </w:p>
        </w:tc>
        <w:tc>
          <w:tcPr>
            <w:tcW w:w="4394" w:type="dxa"/>
            <w:tcBorders>
              <w:bottom w:val="nil"/>
            </w:tcBorders>
          </w:tcPr>
          <w:p>
            <w:pPr>
              <w:pStyle w:val="yTableNAm"/>
              <w:tabs>
                <w:tab w:val="clear" w:pos="567"/>
                <w:tab w:val="left" w:pos="438"/>
              </w:tabs>
              <w:spacing w:before="80"/>
              <w:ind w:left="438" w:hanging="438"/>
            </w:pPr>
            <w:r>
              <w:t>(a)</w:t>
            </w:r>
            <w:r>
              <w:tab/>
              <w:t xml:space="preserve">for premises other than those described in paragraph (b) — </w:t>
            </w:r>
            <w:r>
              <w:rPr>
                <w:szCs w:val="22"/>
              </w:rPr>
              <w:t xml:space="preserve">23.73 </w:t>
            </w:r>
            <w:r>
              <w:t>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spacing w:before="60"/>
              <w:ind w:left="438" w:hanging="438"/>
            </w:pPr>
            <w:r>
              <w:t>(b)</w:t>
            </w:r>
            <w:r>
              <w:tab/>
              <w:t xml:space="preserve">for multiple dwellings supplied through a commonly metered supply point — </w:t>
            </w:r>
          </w:p>
          <w:p>
            <w:pPr>
              <w:pStyle w:val="yTableNAm"/>
              <w:tabs>
                <w:tab w:val="clear" w:pos="567"/>
                <w:tab w:val="left" w:pos="438"/>
                <w:tab w:val="left" w:pos="678"/>
              </w:tabs>
              <w:spacing w:before="80"/>
              <w:ind w:left="678" w:hanging="678"/>
            </w:pPr>
            <w:r>
              <w:tab/>
              <w:t>•</w:t>
            </w:r>
            <w:r>
              <w:tab/>
            </w:r>
            <w:r>
              <w:rPr>
                <w:szCs w:val="22"/>
              </w:rPr>
              <w:t xml:space="preserve">23.73 </w:t>
            </w:r>
            <w:r>
              <w:t>cents per day for the first dwelling</w:t>
            </w:r>
          </w:p>
          <w:p>
            <w:pPr>
              <w:pStyle w:val="yTableNAm"/>
              <w:tabs>
                <w:tab w:val="clear" w:pos="567"/>
                <w:tab w:val="left" w:pos="438"/>
                <w:tab w:val="left" w:pos="678"/>
              </w:tabs>
              <w:spacing w:before="80"/>
              <w:ind w:left="678" w:hanging="678"/>
            </w:pPr>
            <w:r>
              <w:tab/>
              <w:t>•</w:t>
            </w:r>
            <w:r>
              <w:tab/>
            </w:r>
            <w:r>
              <w:rPr>
                <w:szCs w:val="22"/>
              </w:rPr>
              <w:t xml:space="preserve">11.86 </w:t>
            </w:r>
            <w:r>
              <w:t>cents per day for each additional dwelling</w:t>
            </w:r>
          </w:p>
        </w:tc>
      </w:tr>
      <w:tr>
        <w:tc>
          <w:tcPr>
            <w:tcW w:w="1843" w:type="dxa"/>
            <w:tcBorders>
              <w:bottom w:val="single" w:sz="4" w:space="0" w:color="auto"/>
            </w:tcBorders>
          </w:tcPr>
          <w:p>
            <w:pPr>
              <w:pStyle w:val="yTableNAm"/>
              <w:spacing w:before="80"/>
            </w:pPr>
            <w:r>
              <w:t>Usage component</w:t>
            </w:r>
          </w:p>
        </w:tc>
        <w:tc>
          <w:tcPr>
            <w:tcW w:w="4394" w:type="dxa"/>
            <w:tcBorders>
              <w:bottom w:val="single" w:sz="4" w:space="0" w:color="auto"/>
            </w:tcBorders>
          </w:tcPr>
          <w:p>
            <w:pPr>
              <w:pStyle w:val="yTableNAm"/>
              <w:spacing w:before="80"/>
            </w:pPr>
            <w:r>
              <w:rPr>
                <w:szCs w:val="22"/>
              </w:rPr>
              <w:t xml:space="preserve">17.26 </w:t>
            </w:r>
            <w:r>
              <w:t>cents per unit</w:t>
            </w:r>
          </w:p>
        </w:tc>
      </w:tr>
    </w:tbl>
    <w:p>
      <w:pPr>
        <w:pStyle w:val="yFootnotesection"/>
        <w:spacing w:before="100"/>
      </w:pPr>
      <w:r>
        <w:tab/>
        <w:t>[Clause 3 amended: Gazette 18 Oct 2002 p. 5224; 30 Jun 2008 p. 3134; 30 Jun 2009 p. 2672; 26 Mar 2010 p. 1144; 29 Jul 2011 p. 3131; 1 May 2012 p. 1842-3; 17 May 2013 p. 1980; SL 2020/80 r. 4(3).]</w:t>
      </w:r>
    </w:p>
    <w:p>
      <w:pPr>
        <w:pStyle w:val="yHeading5"/>
      </w:pPr>
      <w:bookmarkStart w:id="23" w:name="_Toc43282767"/>
      <w:r>
        <w:rPr>
          <w:rStyle w:val="CharSClsNo"/>
        </w:rPr>
        <w:t>4</w:t>
      </w:r>
      <w:r>
        <w:t>.</w:t>
      </w:r>
      <w:r>
        <w:tab/>
        <w:t>Non</w:t>
      </w:r>
      <w:r>
        <w:noBreakHyphen/>
        <w:t>residential tariff</w:t>
      </w:r>
      <w:bookmarkEnd w:id="23"/>
    </w:p>
    <w:p>
      <w:pPr>
        <w:pStyle w:val="ySubsection"/>
        <w:spacing w:before="140"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spacing w:before="100"/>
            </w:pPr>
            <w:r>
              <w:t>Fixed component</w:t>
            </w:r>
          </w:p>
        </w:tc>
        <w:tc>
          <w:tcPr>
            <w:tcW w:w="4394" w:type="dxa"/>
            <w:tcBorders>
              <w:bottom w:val="single" w:sz="4" w:space="0" w:color="auto"/>
            </w:tcBorders>
          </w:tcPr>
          <w:p>
            <w:pPr>
              <w:pStyle w:val="yTableNAm"/>
              <w:spacing w:before="100"/>
            </w:pPr>
            <w:r>
              <w:rPr>
                <w:szCs w:val="22"/>
              </w:rPr>
              <w:t xml:space="preserve">23.73 </w:t>
            </w:r>
            <w:r>
              <w:t>cents per day</w:t>
            </w:r>
          </w:p>
        </w:tc>
      </w:tr>
      <w:tr>
        <w:tc>
          <w:tcPr>
            <w:tcW w:w="1843" w:type="dxa"/>
            <w:tcBorders>
              <w:bottom w:val="single" w:sz="4" w:space="0" w:color="auto"/>
            </w:tcBorders>
          </w:tcPr>
          <w:p>
            <w:pPr>
              <w:pStyle w:val="yTableNAm"/>
              <w:spacing w:before="100"/>
            </w:pPr>
            <w:r>
              <w:t>Usage component</w:t>
            </w:r>
          </w:p>
        </w:tc>
        <w:tc>
          <w:tcPr>
            <w:tcW w:w="4394" w:type="dxa"/>
            <w:tcBorders>
              <w:bottom w:val="single" w:sz="4" w:space="0" w:color="auto"/>
            </w:tcBorders>
          </w:tcPr>
          <w:p>
            <w:pPr>
              <w:pStyle w:val="yTableNAm"/>
              <w:spacing w:before="100"/>
            </w:pPr>
            <w:r>
              <w:rPr>
                <w:szCs w:val="22"/>
              </w:rPr>
              <w:t xml:space="preserve">17.26 </w:t>
            </w:r>
            <w:r>
              <w:t>cents per unit</w:t>
            </w:r>
          </w:p>
        </w:tc>
      </w:tr>
    </w:tbl>
    <w:p>
      <w:pPr>
        <w:pStyle w:val="yFootnotesection"/>
        <w:spacing w:before="100"/>
      </w:pPr>
      <w:r>
        <w:tab/>
        <w:t>[Clause 4 amended: Gazette 18 Oct 2002 p. 5224; 30 Jun 2008 p. 3135; 30 Jun 2009 p. 2672; 26 Mar 2010 p. 1144; 29 Jul 2011 p. 3132; 1 May 2012 p. 1843; 17 May 2013 p. 1980; SL 2020/80 r. 4(3).]</w:t>
      </w:r>
    </w:p>
    <w:p>
      <w:pPr>
        <w:pStyle w:val="yHeading3"/>
        <w:rPr>
          <w:rStyle w:val="CharPartText"/>
          <w:szCs w:val="24"/>
        </w:rPr>
      </w:pPr>
      <w:bookmarkStart w:id="24" w:name="_Toc43210632"/>
      <w:bookmarkStart w:id="25" w:name="_Toc43211507"/>
      <w:bookmarkStart w:id="26" w:name="_Toc43282768"/>
      <w:r>
        <w:rPr>
          <w:rStyle w:val="CharSDivNo"/>
          <w:szCs w:val="24"/>
        </w:rPr>
        <w:t>Part 3</w:t>
      </w:r>
      <w:r>
        <w:rPr>
          <w:szCs w:val="24"/>
        </w:rPr>
        <w:t xml:space="preserve"> — </w:t>
      </w:r>
      <w:r>
        <w:rPr>
          <w:rStyle w:val="CharSDivText"/>
          <w:szCs w:val="24"/>
        </w:rPr>
        <w:t>Kalgoorlie</w:t>
      </w:r>
      <w:r>
        <w:rPr>
          <w:rStyle w:val="CharSDivText"/>
          <w:szCs w:val="24"/>
        </w:rPr>
        <w:noBreakHyphen/>
        <w:t>Boulder area</w:t>
      </w:r>
      <w:bookmarkEnd w:id="24"/>
      <w:bookmarkEnd w:id="25"/>
      <w:bookmarkEnd w:id="26"/>
    </w:p>
    <w:p>
      <w:pPr>
        <w:pStyle w:val="yHeading5"/>
      </w:pPr>
      <w:bookmarkStart w:id="27" w:name="_Toc43282769"/>
      <w:r>
        <w:rPr>
          <w:rStyle w:val="CharSClsNo"/>
        </w:rPr>
        <w:t>5</w:t>
      </w:r>
      <w:r>
        <w:t>.</w:t>
      </w:r>
      <w:r>
        <w:tab/>
        <w:t>Residential tariff</w:t>
      </w:r>
      <w:bookmarkEnd w:id="27"/>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 xml:space="preserve">49.43 </w:t>
            </w:r>
            <w:r>
              <w:t>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rPr>
                <w:szCs w:val="22"/>
              </w:rPr>
              <w:t xml:space="preserve">14.09 </w:t>
            </w:r>
            <w:r>
              <w:t>cents per unit</w:t>
            </w:r>
          </w:p>
        </w:tc>
      </w:tr>
    </w:tbl>
    <w:p>
      <w:pPr>
        <w:pStyle w:val="yFootnotesection"/>
      </w:pPr>
      <w:r>
        <w:tab/>
        <w:t>[Clause 5 amended: Gazette 18 Oct 2002 p. 5224</w:t>
      </w:r>
      <w:r>
        <w:noBreakHyphen/>
        <w:t>5; 30 Jun 2008 p. 3135; 30 Jun 2009 p. 2672; 26 Mar 2010 p. 1144; 29 Jul 2011 p. 3132; 1 May 2012 p. 1843; 17 May 2013 p. 1980; SL 2020/80 r. 4(3).]</w:t>
      </w:r>
    </w:p>
    <w:p>
      <w:pPr>
        <w:pStyle w:val="yHeading5"/>
      </w:pPr>
      <w:bookmarkStart w:id="28" w:name="_Toc43282770"/>
      <w:r>
        <w:rPr>
          <w:rStyle w:val="CharSClsNo"/>
        </w:rPr>
        <w:t>6</w:t>
      </w:r>
      <w:r>
        <w:t>.</w:t>
      </w:r>
      <w:r>
        <w:tab/>
        <w:t>Non</w:t>
      </w:r>
      <w:r>
        <w:noBreakHyphen/>
        <w:t>residential tariff</w:t>
      </w:r>
      <w:bookmarkEnd w:id="2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bookmarkStart w:id="29" w:name="endcomma"/>
      <w:bookmarkStart w:id="30" w:name="comma"/>
      <w:bookmarkEnd w:id="29"/>
      <w:bookmarkEnd w:id="30"/>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 xml:space="preserve">49.19 </w:t>
            </w:r>
            <w:r>
              <w:t>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 xml:space="preserve">12.54 </w:t>
            </w:r>
            <w:r>
              <w:t>cents per unit</w:t>
            </w:r>
          </w:p>
        </w:tc>
      </w:tr>
    </w:tbl>
    <w:p>
      <w:pPr>
        <w:pStyle w:val="yFootnotesection"/>
      </w:pPr>
      <w:r>
        <w:tab/>
        <w:t>[Clause 6 amended: Gazette 18 Oct 2002 p. 5224</w:t>
      </w:r>
      <w:r>
        <w:noBreakHyphen/>
        <w:t>5; 30 Jun 2008 p. 3135; 30 Jun 2009 p. 2673; 26 Mar 2010 p. 1145; 29 Jul 2011 p. 3132; 1 May 2012 p. 1844; 17 May 2013 p. 1980; SL 2020/80 r. 4(3).]</w:t>
      </w:r>
    </w:p>
    <w:p>
      <w:pPr>
        <w:pStyle w:val="yHeading3"/>
      </w:pPr>
      <w:bookmarkStart w:id="31" w:name="_Toc43210635"/>
      <w:bookmarkStart w:id="32" w:name="_Toc43211510"/>
      <w:bookmarkStart w:id="33" w:name="_Toc43282771"/>
      <w:r>
        <w:rPr>
          <w:rStyle w:val="CharSDivNo"/>
        </w:rPr>
        <w:t>Part 4</w:t>
      </w:r>
      <w:r>
        <w:t> — </w:t>
      </w:r>
      <w:r>
        <w:rPr>
          <w:rStyle w:val="CharSDivText"/>
        </w:rPr>
        <w:t>Adjustment of certain tariff caps</w:t>
      </w:r>
      <w:bookmarkEnd w:id="31"/>
      <w:bookmarkEnd w:id="32"/>
      <w:bookmarkEnd w:id="33"/>
    </w:p>
    <w:p>
      <w:pPr>
        <w:pStyle w:val="yFootnoteheading"/>
        <w:keepNext/>
      </w:pPr>
      <w:r>
        <w:tab/>
        <w:t>[Heading inserted: Gazette 18 Oct 2002 p. 5225.]</w:t>
      </w:r>
    </w:p>
    <w:p>
      <w:pPr>
        <w:pStyle w:val="yHeading5"/>
      </w:pPr>
      <w:bookmarkStart w:id="34" w:name="_Toc43282772"/>
      <w:r>
        <w:rPr>
          <w:rStyle w:val="CharSClsNo"/>
        </w:rPr>
        <w:t>7</w:t>
      </w:r>
      <w:r>
        <w:t>.</w:t>
      </w:r>
      <w:r>
        <w:tab/>
        <w:t>Term used: CPI number</w:t>
      </w:r>
      <w:bookmarkEnd w:id="34"/>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 Gazette 18 Oct 2002 p. 5225.]</w:t>
      </w:r>
    </w:p>
    <w:p>
      <w:pPr>
        <w:pStyle w:val="yHeading5"/>
      </w:pPr>
      <w:bookmarkStart w:id="35" w:name="_Toc43282773"/>
      <w:r>
        <w:rPr>
          <w:rStyle w:val="CharSClsNo"/>
        </w:rPr>
        <w:t>8</w:t>
      </w:r>
      <w:r>
        <w:t>.</w:t>
      </w:r>
      <w:r>
        <w:tab/>
        <w:t>General adjustment for 2021/22 financial year and subsequent financial years</w:t>
      </w:r>
      <w:bookmarkEnd w:id="35"/>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r>
        <w:rPr>
          <w:szCs w:val="22"/>
        </w:rPr>
        <w:t xml:space="preserve">2021/22 </w:t>
      </w:r>
      <w:r>
        <w:t xml:space="preserve">financial year or a subsequent financial year (in this clause called the </w:t>
      </w:r>
      <w:r>
        <w:rPr>
          <w:rStyle w:val="CharDefText"/>
        </w:rPr>
        <w:t>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9pt" o:ole="">
            <v:imagedata r:id="rId25" o:title=""/>
          </v:shape>
          <o:OLEObject Type="Embed" ProgID="Equation.3" ShapeID="_x0000_i1025" DrawAspect="Content" ObjectID="_1655026868" r:id="rId26"/>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spacing w:before="80"/>
      </w:pPr>
      <w:r>
        <w:tab/>
        <w:t>[Clause 8 inserted: Gazette 18 Oct 2002 p. 5225</w:t>
      </w:r>
      <w:r>
        <w:noBreakHyphen/>
        <w:t>6; amended: Gazette 30 Jun 2008 p. 3135; 30 Jun 2009 p. 2673; 26 Mar 2010 p. 1145; 29 Jul 2011 p. 3132; 1 May 2012 p. 1844; 17 May 2013 p. 1979; SL 2020/80 r. 4(1).]</w:t>
      </w:r>
    </w:p>
    <w:p>
      <w:pPr>
        <w:pStyle w:val="yHeading5"/>
        <w:spacing w:before="180"/>
      </w:pPr>
      <w:bookmarkStart w:id="36" w:name="_Toc43282774"/>
      <w:r>
        <w:rPr>
          <w:rStyle w:val="CharSClsNo"/>
        </w:rPr>
        <w:t>9</w:t>
      </w:r>
      <w:r>
        <w:t>.</w:t>
      </w:r>
      <w:r>
        <w:tab/>
        <w:t>Special adjustment for residential tariffs in Mid</w:t>
      </w:r>
      <w:r>
        <w:noBreakHyphen/>
        <w:t>West/South</w:t>
      </w:r>
      <w:r>
        <w:noBreakHyphen/>
        <w:t>West area</w:t>
      </w:r>
      <w:bookmarkEnd w:id="36"/>
    </w:p>
    <w:p>
      <w:pPr>
        <w:pStyle w:val="ySubsection"/>
        <w:spacing w:before="120"/>
      </w:pPr>
      <w:r>
        <w:tab/>
        <w:t>(1)</w:t>
      </w:r>
      <w:r>
        <w:tab/>
        <w:t xml:space="preserve">This clause applies to the calculation of the third usage component (the </w:t>
      </w:r>
      <w:r>
        <w:rPr>
          <w:rStyle w:val="CharDefText"/>
        </w:rPr>
        <w:t>relevant component</w:t>
      </w:r>
      <w:r>
        <w:t>) of a charge under this Schedule for the supply of gas for residential purposes in the Mid</w:t>
      </w:r>
      <w:r>
        <w:noBreakHyphen/>
        <w:t>West/South</w:t>
      </w:r>
      <w:r>
        <w:noBreakHyphen/>
        <w:t xml:space="preserve">West area in the </w:t>
      </w:r>
      <w:r>
        <w:rPr>
          <w:szCs w:val="22"/>
        </w:rPr>
        <w:t xml:space="preserve">2021/22 </w:t>
      </w:r>
      <w:r>
        <w:t xml:space="preserve">financial year or a subsequent financial year (in this clause called the </w:t>
      </w:r>
      <w:r>
        <w:rPr>
          <w:rStyle w:val="CharDefText"/>
        </w:rPr>
        <w:t>relevant year</w:t>
      </w:r>
      <w:r>
        <w:t>).</w:t>
      </w:r>
    </w:p>
    <w:p>
      <w:pPr>
        <w:pStyle w:val="ySubsection"/>
        <w:spacing w:before="120"/>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40"/>
        <w:jc w:val="center"/>
      </w:pPr>
      <w:r>
        <w:rPr>
          <w:position w:val="-32"/>
        </w:rPr>
        <w:object w:dxaOrig="2720" w:dyaOrig="760">
          <v:shape id="_x0000_i1026" type="#_x0000_t75" style="width:135.75pt;height:39pt" o:ole="">
            <v:imagedata r:id="rId27" o:title=""/>
          </v:shape>
          <o:OLEObject Type="Embed" ProgID="Equation.3" ShapeID="_x0000_i1026" DrawAspect="Content" ObjectID="_1655026869" r:id="rId28"/>
        </w:object>
      </w:r>
    </w:p>
    <w:p>
      <w:pPr>
        <w:pStyle w:val="ySubsection"/>
        <w:spacing w:before="0"/>
      </w:pPr>
      <w:r>
        <w:tab/>
      </w:r>
      <w:r>
        <w:tab/>
        <w:t xml:space="preserve">where — </w:t>
      </w:r>
    </w:p>
    <w:p>
      <w:pPr>
        <w:pStyle w:val="yIndenta"/>
        <w:spacing w:before="60"/>
      </w:pPr>
      <w:r>
        <w:tab/>
        <w:t>R</w:t>
      </w:r>
      <w:r>
        <w:rPr>
          <w:vertAlign w:val="subscript"/>
        </w:rPr>
        <w:t>n</w:t>
      </w:r>
      <w:r>
        <w:tab/>
        <w:t>is the number of cents per unit for the relevant year;</w:t>
      </w:r>
    </w:p>
    <w:p>
      <w:pPr>
        <w:pStyle w:val="yIndenta"/>
        <w:spacing w:before="60"/>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Lines/>
        <w:spacing w:before="120"/>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spacing w:before="80"/>
      </w:pPr>
      <w:r>
        <w:tab/>
        <w:t>[Clause 9 inserted: Gazette 18 Oct 2002 p. 5226; amended: Gazette 30 Jun 2008 p. 3136; 30 Jun 2009 p. 2673; 26 Mar 2010 p. 1145; 29 Jul 2011 p. 3132; 1 May 2012 p. 1844; 17 May 2013 p. 1980; SL 2020/80 r. 4(2).]</w:t>
      </w:r>
    </w:p>
    <w:p>
      <w:pPr>
        <w:pStyle w:val="CentredBaseLine"/>
        <w:spacing w:before="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38" w:name="_Toc43210639"/>
      <w:bookmarkStart w:id="39" w:name="_Toc43211514"/>
      <w:bookmarkStart w:id="40" w:name="_Toc43282775"/>
      <w:r>
        <w:t>Notes</w:t>
      </w:r>
      <w:bookmarkEnd w:id="38"/>
      <w:bookmarkEnd w:id="39"/>
      <w:bookmarkEnd w:id="40"/>
    </w:p>
    <w:p>
      <w:pPr>
        <w:pStyle w:val="nStatement"/>
      </w:pPr>
      <w:r>
        <w:t xml:space="preserve">This is a compilation of the </w:t>
      </w:r>
      <w:r>
        <w:rPr>
          <w:i/>
          <w:noProof/>
        </w:rPr>
        <w:t>Energy Coordination (Gas Tariffs) Regulations 2000</w:t>
      </w:r>
      <w:r>
        <w:t xml:space="preserve"> and includes amendments made by other written laws. For provisions that have come into operation, and for information about any reprints, see the compilation table. </w:t>
      </w:r>
    </w:p>
    <w:p>
      <w:pPr>
        <w:pStyle w:val="nHeading3"/>
      </w:pPr>
      <w:bookmarkStart w:id="41" w:name="_Toc43282776"/>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551"/>
      </w:tblGrid>
      <w:tr>
        <w:trPr>
          <w:tblHeader/>
        </w:trPr>
        <w:tc>
          <w:tcPr>
            <w:tcW w:w="3147" w:type="dxa"/>
          </w:tcPr>
          <w:p>
            <w:pPr>
              <w:pStyle w:val="nTable"/>
              <w:spacing w:after="40"/>
              <w:rPr>
                <w:b/>
              </w:rPr>
            </w:pPr>
            <w:r>
              <w:rPr>
                <w:b/>
              </w:rPr>
              <w:t>Citation</w:t>
            </w:r>
          </w:p>
        </w:tc>
        <w:tc>
          <w:tcPr>
            <w:tcW w:w="1276" w:type="dxa"/>
          </w:tcPr>
          <w:p>
            <w:pPr>
              <w:pStyle w:val="nTable"/>
              <w:spacing w:after="40"/>
              <w:rPr>
                <w:b/>
              </w:rPr>
            </w:pPr>
            <w:r>
              <w:rPr>
                <w:b/>
              </w:rPr>
              <w:t>Published</w:t>
            </w:r>
          </w:p>
        </w:tc>
        <w:tc>
          <w:tcPr>
            <w:tcW w:w="255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47" w:type="dxa"/>
          </w:tcPr>
          <w:p>
            <w:pPr>
              <w:pStyle w:val="nTable"/>
              <w:spacing w:after="40"/>
            </w:pPr>
            <w:r>
              <w:rPr>
                <w:i/>
              </w:rPr>
              <w:t>Energy Coordination (Gas Tariffs) Regulations 2000</w:t>
            </w:r>
          </w:p>
        </w:tc>
        <w:tc>
          <w:tcPr>
            <w:tcW w:w="1276" w:type="dxa"/>
          </w:tcPr>
          <w:p>
            <w:pPr>
              <w:pStyle w:val="nTable"/>
              <w:spacing w:after="40"/>
            </w:pPr>
            <w:r>
              <w:t>28 Jun 2000 p. 3300</w:t>
            </w:r>
            <w:r>
              <w:noBreakHyphen/>
              <w:t>12</w:t>
            </w:r>
          </w:p>
        </w:tc>
        <w:tc>
          <w:tcPr>
            <w:tcW w:w="2551" w:type="dxa"/>
          </w:tcPr>
          <w:p>
            <w:pPr>
              <w:pStyle w:val="nTable"/>
              <w:spacing w:after="40"/>
            </w:pPr>
            <w:r>
              <w:t xml:space="preserve">2 Jul 2000 (see r. 2 and </w:t>
            </w:r>
            <w:r>
              <w:rPr>
                <w:i/>
              </w:rPr>
              <w:t>Gazette</w:t>
            </w:r>
            <w:r>
              <w:t xml:space="preserve"> 28 Jun 2000 p. 3285)</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2002</w:t>
            </w:r>
          </w:p>
        </w:tc>
        <w:tc>
          <w:tcPr>
            <w:tcW w:w="1276" w:type="dxa"/>
          </w:tcPr>
          <w:p>
            <w:pPr>
              <w:pStyle w:val="nTable"/>
              <w:spacing w:after="40"/>
            </w:pPr>
            <w:r>
              <w:t>18 Oct 2002 p. 5223</w:t>
            </w:r>
            <w:r>
              <w:noBreakHyphen/>
              <w:t>6</w:t>
            </w:r>
          </w:p>
        </w:tc>
        <w:tc>
          <w:tcPr>
            <w:tcW w:w="2551" w:type="dxa"/>
          </w:tcPr>
          <w:p>
            <w:pPr>
              <w:pStyle w:val="nTable"/>
              <w:spacing w:after="40"/>
            </w:pPr>
            <w:r>
              <w:t>18 Oct 2002 (see r. 2)</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2008</w:t>
            </w:r>
          </w:p>
        </w:tc>
        <w:tc>
          <w:tcPr>
            <w:tcW w:w="1276" w:type="dxa"/>
          </w:tcPr>
          <w:p>
            <w:pPr>
              <w:pStyle w:val="nTable"/>
              <w:spacing w:after="40"/>
            </w:pPr>
            <w:r>
              <w:t>30 Jun 2008 p. 3131-6</w:t>
            </w:r>
          </w:p>
        </w:tc>
        <w:tc>
          <w:tcPr>
            <w:tcW w:w="2551" w:type="dxa"/>
          </w:tcPr>
          <w:p>
            <w:pPr>
              <w:pStyle w:val="nTable"/>
              <w:spacing w:after="40"/>
            </w:pPr>
            <w:r>
              <w:t>1 Jul 2008 (see r. 2)</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2009</w:t>
            </w:r>
          </w:p>
        </w:tc>
        <w:tc>
          <w:tcPr>
            <w:tcW w:w="1276" w:type="dxa"/>
          </w:tcPr>
          <w:p>
            <w:pPr>
              <w:pStyle w:val="nTable"/>
              <w:spacing w:after="40"/>
            </w:pPr>
            <w:r>
              <w:t>30 Jun 2009 p. 2667</w:t>
            </w:r>
            <w:r>
              <w:noBreakHyphen/>
              <w:t>73</w:t>
            </w:r>
          </w:p>
        </w:tc>
        <w:tc>
          <w:tcPr>
            <w:tcW w:w="2551" w:type="dxa"/>
          </w:tcPr>
          <w:p>
            <w:pPr>
              <w:pStyle w:val="nTable"/>
              <w:spacing w:after="40"/>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6974" w:type="dxa"/>
            <w:gridSpan w:val="3"/>
          </w:tcPr>
          <w:p>
            <w:pPr>
              <w:pStyle w:val="nTable"/>
              <w:spacing w:after="40"/>
              <w:rPr>
                <w:snapToGrid w:val="0"/>
              </w:rPr>
            </w:pPr>
            <w:r>
              <w:rPr>
                <w:b/>
                <w:bCs/>
                <w:snapToGrid w:val="0"/>
              </w:rPr>
              <w:t xml:space="preserve">Reprint 1: The </w:t>
            </w:r>
            <w:r>
              <w:rPr>
                <w:b/>
                <w:bCs/>
                <w:i/>
              </w:rPr>
              <w:t>Energy Coordination (Gas Tariffs) Regulations 2000</w:t>
            </w:r>
            <w:r>
              <w:rPr>
                <w:b/>
                <w:bCs/>
                <w:snapToGrid w:val="0"/>
              </w:rPr>
              <w:t xml:space="preserve"> as at 18 Sep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2010</w:t>
            </w:r>
          </w:p>
        </w:tc>
        <w:tc>
          <w:tcPr>
            <w:tcW w:w="1276" w:type="dxa"/>
          </w:tcPr>
          <w:p>
            <w:pPr>
              <w:pStyle w:val="nTable"/>
              <w:spacing w:after="40"/>
            </w:pPr>
            <w:r>
              <w:t>26 Mar 2010 p. 1142-5</w:t>
            </w:r>
          </w:p>
        </w:tc>
        <w:tc>
          <w:tcPr>
            <w:tcW w:w="2551" w:type="dxa"/>
          </w:tcPr>
          <w:p>
            <w:pPr>
              <w:pStyle w:val="nTable"/>
              <w:spacing w:after="40"/>
            </w:pPr>
            <w:r>
              <w:t>r. 1 and 2: 26 Mar 2010 (see r. 2(a));</w:t>
            </w:r>
            <w:r>
              <w:br/>
              <w:t>Regulations other than r. 1 and 2: 1 Apr 2010 (see r. 2(b))</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2011</w:t>
            </w:r>
          </w:p>
        </w:tc>
        <w:tc>
          <w:tcPr>
            <w:tcW w:w="1276" w:type="dxa"/>
          </w:tcPr>
          <w:p>
            <w:pPr>
              <w:pStyle w:val="nTable"/>
              <w:spacing w:after="40"/>
            </w:pPr>
            <w:r>
              <w:t>29 Jul 2011 p. 3130-2</w:t>
            </w:r>
          </w:p>
        </w:tc>
        <w:tc>
          <w:tcPr>
            <w:tcW w:w="2551" w:type="dxa"/>
          </w:tcPr>
          <w:p>
            <w:pPr>
              <w:pStyle w:val="nTable"/>
              <w:spacing w:after="40"/>
            </w:pPr>
            <w:r>
              <w:t>r. 1 and 2: 29 Jul 2011 (see r. 2(a));</w:t>
            </w:r>
            <w:r>
              <w:br/>
              <w:t>Regulations other than r. 1 and 2: 1 Aug 2011 (see r. 2(b)(i))</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(No. 2) 2012</w:t>
            </w:r>
          </w:p>
        </w:tc>
        <w:tc>
          <w:tcPr>
            <w:tcW w:w="1276" w:type="dxa"/>
          </w:tcPr>
          <w:p>
            <w:pPr>
              <w:pStyle w:val="nTable"/>
              <w:spacing w:after="40"/>
            </w:pPr>
            <w:r>
              <w:t>1 May 2012 p. 1841-4</w:t>
            </w:r>
          </w:p>
        </w:tc>
        <w:tc>
          <w:tcPr>
            <w:tcW w:w="2551" w:type="dxa"/>
          </w:tcPr>
          <w:p>
            <w:pPr>
              <w:pStyle w:val="nTable"/>
              <w:spacing w:after="40"/>
            </w:pPr>
            <w:r>
              <w:t>r. 1 and 2: 1 May 2012 (see r. 2(a));</w:t>
            </w:r>
            <w:r>
              <w:br/>
              <w:t>Regulations other than r. 1 and 2: 1 May 2012 (see r. 2(b))</w:t>
            </w:r>
          </w:p>
        </w:tc>
      </w:tr>
      <w:tr>
        <w:tblPrEx>
          <w:tblBorders>
            <w:top w:val="none" w:sz="0" w:space="0" w:color="auto"/>
            <w:bottom w:val="none" w:sz="0" w:space="0" w:color="auto"/>
            <w:insideH w:val="none" w:sz="0" w:space="0" w:color="auto"/>
          </w:tblBorders>
        </w:tblPrEx>
        <w:tc>
          <w:tcPr>
            <w:tcW w:w="3147" w:type="dxa"/>
          </w:tcPr>
          <w:p>
            <w:pPr>
              <w:pStyle w:val="nTable"/>
              <w:spacing w:after="40"/>
              <w:rPr>
                <w:i/>
              </w:rPr>
            </w:pPr>
            <w:r>
              <w:rPr>
                <w:i/>
              </w:rPr>
              <w:t>Energy Coordination (Gas Tariffs) Amendment Regulations 2012</w:t>
            </w:r>
          </w:p>
        </w:tc>
        <w:tc>
          <w:tcPr>
            <w:tcW w:w="1276" w:type="dxa"/>
          </w:tcPr>
          <w:p>
            <w:pPr>
              <w:pStyle w:val="nTable"/>
              <w:spacing w:after="40"/>
            </w:pPr>
            <w:r>
              <w:t>24 Jul 2012 p. 3392</w:t>
            </w:r>
            <w:r>
              <w:noBreakHyphen/>
              <w:t>3</w:t>
            </w:r>
          </w:p>
        </w:tc>
        <w:tc>
          <w:tcPr>
            <w:tcW w:w="2551" w:type="dxa"/>
          </w:tcPr>
          <w:p>
            <w:pPr>
              <w:pStyle w:val="nTable"/>
              <w:spacing w:after="40"/>
            </w:pPr>
            <w:r>
              <w:t>r. 1 and 2: 24 Jul 2012 (see r. 2(a));</w:t>
            </w:r>
            <w:r>
              <w:br/>
              <w:t>Regulations other than r. 1 and 2: 25 Jul 2012 (see r. 2(b))</w:t>
            </w:r>
          </w:p>
        </w:tc>
      </w:tr>
      <w:tr>
        <w:tblPrEx>
          <w:tblBorders>
            <w:top w:val="none" w:sz="0" w:space="0" w:color="auto"/>
            <w:bottom w:val="none" w:sz="0" w:space="0" w:color="auto"/>
            <w:insideH w:val="none" w:sz="0" w:space="0" w:color="auto"/>
          </w:tblBorders>
        </w:tblPrEx>
        <w:tc>
          <w:tcPr>
            <w:tcW w:w="3147" w:type="dxa"/>
            <w:shd w:val="clear" w:color="auto" w:fill="auto"/>
          </w:tcPr>
          <w:p>
            <w:pPr>
              <w:pStyle w:val="nTable"/>
              <w:spacing w:after="40"/>
              <w:rPr>
                <w:i/>
              </w:rPr>
            </w:pPr>
            <w:r>
              <w:rPr>
                <w:i/>
              </w:rPr>
              <w:t>Energy Coordination (Gas Tariffs) Amendment Regulations 2013</w:t>
            </w:r>
          </w:p>
        </w:tc>
        <w:tc>
          <w:tcPr>
            <w:tcW w:w="1276" w:type="dxa"/>
            <w:shd w:val="clear" w:color="auto" w:fill="auto"/>
          </w:tcPr>
          <w:p>
            <w:pPr>
              <w:pStyle w:val="nTable"/>
              <w:spacing w:after="40"/>
            </w:pPr>
            <w:r>
              <w:t>17 May 2013 p. 1979</w:t>
            </w:r>
            <w:r>
              <w:noBreakHyphen/>
              <w:t>80</w:t>
            </w:r>
          </w:p>
        </w:tc>
        <w:tc>
          <w:tcPr>
            <w:tcW w:w="2551" w:type="dxa"/>
            <w:shd w:val="clear" w:color="auto" w:fill="auto"/>
          </w:tcPr>
          <w:p>
            <w:pPr>
              <w:pStyle w:val="nTable"/>
              <w:spacing w:after="40"/>
            </w:pPr>
            <w:r>
              <w:rPr>
                <w:snapToGrid w:val="0"/>
              </w:rPr>
              <w:t>r. 1 and 2: 17 May 2013 (see r. 2(a));</w:t>
            </w:r>
            <w:r>
              <w:rPr>
                <w:snapToGrid w:val="0"/>
              </w:rPr>
              <w:br/>
              <w:t>Regulations other than r. 1 and 2: 21 May 2013 (see r. 2(b))</w:t>
            </w:r>
          </w:p>
        </w:tc>
      </w:tr>
      <w:tr>
        <w:tblPrEx>
          <w:tblBorders>
            <w:top w:val="none" w:sz="0" w:space="0" w:color="auto"/>
            <w:bottom w:val="none" w:sz="0" w:space="0" w:color="auto"/>
            <w:insideH w:val="none" w:sz="0" w:space="0" w:color="auto"/>
          </w:tblBorders>
        </w:tblPrEx>
        <w:tc>
          <w:tcPr>
            <w:tcW w:w="6974" w:type="dxa"/>
            <w:gridSpan w:val="3"/>
            <w:shd w:val="clear" w:color="auto" w:fill="auto"/>
          </w:tcPr>
          <w:p>
            <w:pPr>
              <w:pStyle w:val="nTable"/>
              <w:keepNext/>
              <w:keepLines/>
              <w:spacing w:after="40"/>
              <w:rPr>
                <w:i/>
                <w:snapToGrid w:val="0"/>
              </w:rPr>
            </w:pPr>
            <w:r>
              <w:rPr>
                <w:b/>
                <w:bCs/>
                <w:snapToGrid w:val="0"/>
              </w:rPr>
              <w:t xml:space="preserve">Reprint 2: The </w:t>
            </w:r>
            <w:r>
              <w:rPr>
                <w:b/>
                <w:bCs/>
                <w:i/>
              </w:rPr>
              <w:t>Energy Coordination (Gas Tariffs) Regulations 2000</w:t>
            </w:r>
            <w:r>
              <w:rPr>
                <w:b/>
                <w:bCs/>
                <w:snapToGrid w:val="0"/>
              </w:rPr>
              <w:t xml:space="preserve"> as at 4 Apr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tcBorders>
              <w:bottom w:val="single" w:sz="4" w:space="0" w:color="auto"/>
            </w:tcBorders>
            <w:shd w:val="clear" w:color="auto" w:fill="auto"/>
          </w:tcPr>
          <w:p>
            <w:pPr>
              <w:pStyle w:val="nTable"/>
              <w:spacing w:after="40"/>
              <w:rPr>
                <w:b/>
                <w:bCs/>
                <w:snapToGrid w:val="0"/>
              </w:rPr>
            </w:pPr>
            <w:r>
              <w:rPr>
                <w:i/>
              </w:rPr>
              <w:t>Energy Coordination (Gas Tariffs) Amendment Regulations 2020</w:t>
            </w:r>
          </w:p>
        </w:tc>
        <w:tc>
          <w:tcPr>
            <w:tcW w:w="1276" w:type="dxa"/>
            <w:tcBorders>
              <w:bottom w:val="single" w:sz="4" w:space="0" w:color="auto"/>
            </w:tcBorders>
            <w:shd w:val="clear" w:color="auto" w:fill="auto"/>
          </w:tcPr>
          <w:p>
            <w:pPr>
              <w:pStyle w:val="nTable"/>
              <w:spacing w:after="40"/>
              <w:rPr>
                <w:b/>
                <w:bCs/>
                <w:snapToGrid w:val="0"/>
              </w:rPr>
            </w:pPr>
            <w:r>
              <w:t>SL 2020/80 12 Jun 2020</w:t>
            </w:r>
          </w:p>
        </w:tc>
        <w:tc>
          <w:tcPr>
            <w:tcW w:w="2551" w:type="dxa"/>
            <w:tcBorders>
              <w:bottom w:val="single" w:sz="4" w:space="0" w:color="auto"/>
            </w:tcBorders>
            <w:shd w:val="clear" w:color="auto" w:fill="auto"/>
          </w:tcPr>
          <w:p>
            <w:pPr>
              <w:pStyle w:val="nTable"/>
              <w:spacing w:after="40"/>
              <w:rPr>
                <w:b/>
                <w:bCs/>
                <w:snapToGrid w:val="0"/>
              </w:rPr>
            </w:pPr>
            <w:r>
              <w:t>r. 1 and 2: 12 Jun 2020 (see r. 2(a));</w:t>
            </w:r>
            <w:r>
              <w:br/>
              <w:t>Regulations other than r. 1 and 2: 1 Jul 2020 (see r. 2(b))</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43" w:name="_Toc43210642"/>
      <w:bookmarkStart w:id="44" w:name="_Toc43211516"/>
      <w:bookmarkStart w:id="45" w:name="_Toc43282777"/>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Albany area</w:t>
      </w:r>
      <w:r>
        <w:tab/>
        <w:t>4(1)</w:t>
      </w:r>
    </w:p>
    <w:p>
      <w:pPr>
        <w:pStyle w:val="DefinedTerms"/>
      </w:pPr>
      <w:r>
        <w:t>capped tariff</w:t>
      </w:r>
      <w:r>
        <w:tab/>
        <w:t>4(1), 5(2)</w:t>
      </w:r>
    </w:p>
    <w:p>
      <w:pPr>
        <w:pStyle w:val="DefinedTerms"/>
      </w:pPr>
      <w:r>
        <w:t>CPI number</w:t>
      </w:r>
      <w:r>
        <w:tab/>
        <w:t>Sch. 1 cl. 7</w:t>
      </w:r>
    </w:p>
    <w:p>
      <w:pPr>
        <w:pStyle w:val="DefinedTerms"/>
      </w:pPr>
      <w:r>
        <w:t>CPIr</w:t>
      </w:r>
      <w:r>
        <w:tab/>
        <w:t>Sch. 1 cl. 8(2), Sch. 1 cl. 9(2)</w:t>
      </w:r>
    </w:p>
    <w:p>
      <w:pPr>
        <w:pStyle w:val="DefinedTerms"/>
      </w:pPr>
      <w:r>
        <w:t>CPIr</w:t>
      </w:r>
      <w:r>
        <w:noBreakHyphen/>
        <w:t>1</w:t>
      </w:r>
      <w:r>
        <w:tab/>
        <w:t>Sch. 1 cl. 8(2), Sch. 1 cl.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relevant component</w:t>
      </w:r>
      <w:r>
        <w:tab/>
        <w:t>Sch. 1 cl. 9(1)</w:t>
      </w:r>
    </w:p>
    <w:p>
      <w:pPr>
        <w:pStyle w:val="DefinedTerms"/>
      </w:pPr>
      <w:r>
        <w:t>relevant year</w:t>
      </w:r>
      <w:r>
        <w:tab/>
        <w:t>Sch. 1 cl. 8(1), Sch. 1 cl. 9(1)</w:t>
      </w:r>
    </w:p>
    <w:p>
      <w:pPr>
        <w:pStyle w:val="DefinedTerms"/>
      </w:pPr>
      <w:r>
        <w:t>standard form contract</w:t>
      </w:r>
      <w:r>
        <w:tab/>
        <w:t>6(5)</w:t>
      </w:r>
    </w:p>
    <w:p>
      <w:pPr>
        <w:pStyle w:val="DefinedTerms"/>
      </w:pPr>
      <w:r>
        <w:t>supplier</w:t>
      </w:r>
      <w:r>
        <w:tab/>
        <w:t>4(1)</w:t>
      </w:r>
    </w:p>
    <w:p>
      <w:pPr>
        <w:pStyle w:val="DefinedTerms"/>
      </w:pPr>
      <w:r>
        <w:t>supply</w:t>
      </w:r>
      <w:r>
        <w:tab/>
        <w:t>4(1)</w:t>
      </w:r>
    </w:p>
    <w:p>
      <w:pPr>
        <w:pStyle w:val="DefinedTerms"/>
      </w:pPr>
      <w:r>
        <w:t>unit</w:t>
      </w:r>
      <w:r>
        <w:tab/>
        <w:t>4(1)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iCs/>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(Gas Tariffs)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lvlText w:val="%1."/>
      <w:lvlJc w:val="left"/>
      <w:pPr>
        <w:tabs>
          <w:tab w:val="num" w:pos="1492"/>
        </w:tabs>
        <w:ind w:left="1492" w:hanging="360"/>
      </w:pPr>
    </w:lvl>
  </w:abstractNum>
  <w:abstractNum w:abstractNumId="1">
    <w:nsid w:val="FFFFFF7D"/>
    <w:multiLevelType w:val="singleLevel"/>
    <w:tmpl w:val="7E7C021E"/>
    <w:lvl w:ilvl="0">
      <w:start w:val="1"/>
      <w:numFmt w:val="decimal"/>
      <w:lvlText w:val="%1."/>
      <w:lvlJc w:val="left"/>
      <w:pPr>
        <w:tabs>
          <w:tab w:val="num" w:pos="1209"/>
        </w:tabs>
        <w:ind w:left="1209" w:hanging="360"/>
      </w:pPr>
    </w:lvl>
  </w:abstractNum>
  <w:abstractNum w:abstractNumId="2">
    <w:nsid w:val="FFFFFF7E"/>
    <w:multiLevelType w:val="singleLevel"/>
    <w:tmpl w:val="19CC0CA6"/>
    <w:lvl w:ilvl="0">
      <w:start w:val="1"/>
      <w:numFmt w:val="decimal"/>
      <w:lvlText w:val="%1."/>
      <w:lvlJc w:val="left"/>
      <w:pPr>
        <w:tabs>
          <w:tab w:val="num" w:pos="926"/>
        </w:tabs>
        <w:ind w:left="926" w:hanging="360"/>
      </w:pPr>
    </w:lvl>
  </w:abstractNum>
  <w:abstractNum w:abstractNumId="3">
    <w:nsid w:val="FFFFFF7F"/>
    <w:multiLevelType w:val="singleLevel"/>
    <w:tmpl w:val="4BD6B108"/>
    <w:lvl w:ilvl="0">
      <w:start w:val="1"/>
      <w:numFmt w:val="decimal"/>
      <w:lvlText w:val="%1."/>
      <w:lvlJc w:val="left"/>
      <w:pPr>
        <w:tabs>
          <w:tab w:val="num" w:pos="643"/>
        </w:tabs>
        <w:ind w:left="643" w:hanging="360"/>
      </w:pPr>
    </w:lvl>
  </w:abstractNum>
  <w:abstractNum w:abstractNumId="4">
    <w:nsid w:val="FFFFFF80"/>
    <w:multiLevelType w:val="singleLevel"/>
    <w:tmpl w:val="1CC62E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lvlText w:val="%1."/>
      <w:lvlJc w:val="left"/>
      <w:pPr>
        <w:tabs>
          <w:tab w:val="num" w:pos="360"/>
        </w:tabs>
        <w:ind w:left="360" w:hanging="360"/>
      </w:pPr>
    </w:lvl>
  </w:abstractNum>
  <w:abstractNum w:abstractNumId="9">
    <w:nsid w:val="FFFFFF89"/>
    <w:multiLevelType w:val="singleLevel"/>
    <w:tmpl w:val="5F1A066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98475F3"/>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F58C228"/>
    <w:lvl w:ilvl="0">
      <w:start w:val="1"/>
      <w:numFmt w:val="bullet"/>
      <w:lvlText w:val=""/>
      <w:lvlJc w:val="left"/>
      <w:pPr>
        <w:tabs>
          <w:tab w:val="num" w:pos="1446"/>
        </w:tabs>
        <w:ind w:left="1446" w:hanging="567"/>
      </w:pPr>
      <w:rPr>
        <w:rFonts w:ascii="Symbol" w:hAnsi="Symbol" w:hint="default"/>
      </w:rPr>
    </w:lvl>
  </w:abstractNum>
  <w:abstractNum w:abstractNumId="18">
    <w:nsid w:val="3DA761ED"/>
    <w:multiLevelType w:val="multilevel"/>
    <w:tmpl w:val="3EDAB0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43540"/>
    <w:docVar w:name="WAFER_20131219153656" w:val="RemoveTocBookmarks,RemoveUnusedBookmarks,RemoveLanguageTags,UsedStyles,ResetPageSize,UpdateArrangement"/>
    <w:docVar w:name="WAFER_20131219153656_GUID" w:val="e13a1bd8-fa3b-4f8c-adf8-b41312ec985b"/>
    <w:docVar w:name="WAFER_20140331103352" w:val="RemoveTocBookmarks,RemoveUnusedBookmarks,RemoveLanguageTags,UsedStyles,RemoveTrackChanges"/>
    <w:docVar w:name="WAFER_20140331103352_GUID" w:val="b3a32b07-3c6f-4028-83e7-74dccc73ee9a"/>
    <w:docVar w:name="WAFER_20140331103410" w:val="RemoveTocBookmarks,RemoveLanguageTags,RemoveTrackChanges,RunningHeaders"/>
    <w:docVar w:name="WAFER_20140331103410_GUID" w:val="6567bf4b-867f-4b5b-a9c3-e7c58a24b101"/>
    <w:docVar w:name="WAFER_20150414165753" w:val="ResetPageSize,UpdateArrangement,UpdateNTable"/>
    <w:docVar w:name="WAFER_20150414165753_GUID" w:val="897b4a59-1e3c-453d-ac37-4a19d3333ced"/>
    <w:docVar w:name="WAFER_20151105120247" w:val="UpdateStyles,UsedStyles"/>
    <w:docVar w:name="WAFER_20151105120247_GUID" w:val="e07070ea-5118-412c-9f60-ef447ebabad7"/>
    <w:docVar w:name="WAFER_20151112110823" w:val="UpdateStyles,UsedStyles"/>
    <w:docVar w:name="WAFER_20151112110823_GUID" w:val="0eaa9583-e587-4943-86f3-525b17378fce"/>
    <w:docVar w:name="WAFER_20200612090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0552_GUID" w:val="e9b9e08d-50be-4261-9cf2-e6f000674ef8"/>
    <w:docVar w:name="WAFER_2020061614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43540_GUID" w:val="1dd40aa2-3885-4401-bec8-d586b2d69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2B2E-C577-43D5-815D-7445AF9A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3153</Words>
  <Characters>14567</Characters>
  <Application>Microsoft Office Word</Application>
  <DocSecurity>0</DocSecurity>
  <Lines>502</Lines>
  <Paragraphs>310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2000 - 02-c0-00</dc:title>
  <dc:subject/>
  <dc:creator/>
  <cp:keywords/>
  <dc:description/>
  <cp:lastModifiedBy>svcMRProcess</cp:lastModifiedBy>
  <cp:revision>4</cp:revision>
  <cp:lastPrinted>2014-03-31T02:59:00Z</cp:lastPrinted>
  <dcterms:created xsi:type="dcterms:W3CDTF">2020-06-30T04:54:00Z</dcterms:created>
  <dcterms:modified xsi:type="dcterms:W3CDTF">2020-06-30T04:55:00Z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DocumentType">
    <vt:lpwstr>Reg</vt:lpwstr>
  </property>
  <property fmtid="{D5CDD505-2E9C-101B-9397-08002B2CF9AE}" pid="4" name="OwlsUID">
    <vt:i4>1369</vt:i4>
  </property>
  <property fmtid="{D5CDD505-2E9C-101B-9397-08002B2CF9AE}" pid="5" name="ReprintNo">
    <vt:lpwstr>2</vt:lpwstr>
  </property>
  <property fmtid="{D5CDD505-2E9C-101B-9397-08002B2CF9AE}" pid="6" name="ReprintedAsAt">
    <vt:filetime>2014-04-03T16:00:00Z</vt:filetime>
  </property>
  <property fmtid="{D5CDD505-2E9C-101B-9397-08002B2CF9AE}" pid="7" name="AsAtDate">
    <vt:lpwstr>01 Jul 2020</vt:lpwstr>
  </property>
  <property fmtid="{D5CDD505-2E9C-101B-9397-08002B2CF9AE}" pid="8" name="Suffix">
    <vt:lpwstr>02-c0-00</vt:lpwstr>
  </property>
  <property fmtid="{D5CDD505-2E9C-101B-9397-08002B2CF9AE}" pid="9" name="CommencementDate">
    <vt:lpwstr>20200701</vt:lpwstr>
  </property>
</Properties>
</file>