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  <w:ind w:left="284" w:right="576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and Geothermal Energy Resources (Registration Fees) Act 1967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_Toc44315312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_Toc44315313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_Toc44315314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_Toc44315316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_Toc44315317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3" w:name="_Toc4431531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4" w:name="_Toc4431531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4431531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$9 140.00.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$9 140.00.</w:t>
      </w:r>
    </w:p>
    <w:p>
      <w:pPr>
        <w:pStyle w:val="Footnotesection"/>
      </w:pPr>
      <w:r>
        <w:tab/>
        <w:t xml:space="preserve">[Regulation 3 amended: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2333; 23 Jun 2017 p. 3303; 25 Jun 2018 p. 2318; 18 Jun 2019 p. 2052</w:t>
      </w:r>
      <w:r>
        <w:noBreakHyphen/>
        <w:t>3; SL 2020/93 r. 12.]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44055291"/>
      <w:bookmarkStart w:id="7" w:name="_Toc44059853"/>
      <w:bookmarkStart w:id="8" w:name="_Toc44315315"/>
      <w:r>
        <w:t>Notes</w:t>
      </w:r>
      <w:bookmarkEnd w:id="6"/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and Geothermal Energy Resources (Registration Fees) Regulations 1990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9" w:name="_Toc44315316"/>
      <w:r>
        <w:t>Compilation table</w:t>
      </w:r>
      <w:bookmarkEnd w:id="9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  <w:vertAlign w:val="superscript"/>
              </w:rPr>
              <w:t xml:space="preserve"> 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 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snapToGrid w:val="0"/>
              </w:rPr>
              <w:t>r. 1 and 2: 12 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17 Jun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30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 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7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3: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Petroleum and Geothermal Energy Resources (Registration Fees) Regulations 1990</w:t>
            </w:r>
            <w:r>
              <w:rPr>
                <w:b/>
                <w:bCs/>
                <w:snapToGrid w:val="0"/>
                <w:spacing w:val="-2"/>
              </w:rPr>
              <w:t xml:space="preserve"> as at 13 Jul 2018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</w:tbl>
    <w:p>
      <w:pPr>
        <w:pStyle w:val="nHeading3"/>
      </w:pPr>
      <w:bookmarkStart w:id="10" w:name="_Toc44315317"/>
      <w:r>
        <w:t>Other notes</w:t>
      </w:r>
      <w:bookmarkEnd w:id="10"/>
    </w:p>
    <w:p>
      <w:pPr>
        <w:pStyle w:val="nNote"/>
      </w:pPr>
      <w:r>
        <w:rPr>
          <w:vertAlign w:val="superscript"/>
        </w:rPr>
        <w:t>1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626091031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  <w:docVar w:name="WAFER_20180319140359" w:val="RemoveTocBookmarks,RemoveUnusedBookmarks,RemoveLanguageTags,UsedStyles,ResetPageSize,RemoveCustomizations"/>
    <w:docVar w:name="WAFER_20180319140359_GUID" w:val="2ad7fd08-a9c8-472b-89b4-02e295771b07"/>
    <w:docVar w:name="WAFER_202006260910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1031_GUID" w:val="b8a64424-239a-4861-af25-2c8f6697244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995</Words>
  <Characters>4841</Characters>
  <Application>Microsoft Office Word</Application>
  <DocSecurity>0</DocSecurity>
  <Lines>220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1990 - 03-d0-00</dc:title>
  <dc:subject/>
  <dc:creator/>
  <cp:keywords/>
  <dc:description/>
  <cp:lastModifiedBy>svcMRProcess</cp:lastModifiedBy>
  <cp:revision>4</cp:revision>
  <cp:lastPrinted>2018-05-07T01:56:00Z</cp:lastPrinted>
  <dcterms:created xsi:type="dcterms:W3CDTF">2020-06-30T05:38:00Z</dcterms:created>
  <dcterms:modified xsi:type="dcterms:W3CDTF">2020-06-30T05:38:00Z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2018-07-12T16:00:00Z</vt:filetime>
  </property>
  <property fmtid="{D5CDD505-2E9C-101B-9397-08002B2CF9AE}" pid="6" name="ReprintNo">
    <vt:lpwstr>3</vt:lpwstr>
  </property>
  <property fmtid="{D5CDD505-2E9C-101B-9397-08002B2CF9AE}" pid="7" name="AsAtDate">
    <vt:lpwstr>01 Jul 2020</vt:lpwstr>
  </property>
  <property fmtid="{D5CDD505-2E9C-101B-9397-08002B2CF9AE}" pid="8" name="Suffix">
    <vt:lpwstr>03-d0-00</vt:lpwstr>
  </property>
  <property fmtid="{D5CDD505-2E9C-101B-9397-08002B2CF9AE}" pid="9" name="CommencementDate">
    <vt:lpwstr>20200701</vt:lpwstr>
  </property>
</Properties>
</file>