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_Toc44415112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_Toc44415113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_Toc44415114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_Toc44415115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_Toc44415116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_Toc44415117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_Toc44415118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_Toc44415119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_Toc44415120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_Toc44415121 \h </w:instrText>
      </w:r>
      <w:r>
        <w:fldChar w:fldCharType="separate"/>
      </w:r>
      <w:r>
        <w:t>5</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_Toc44415122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_Toc44415123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_Toc44415124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_Toc44415125 \h </w:instrText>
      </w:r>
      <w:r>
        <w:fldChar w:fldCharType="separate"/>
      </w:r>
      <w:r>
        <w:t>6</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_Toc44415126 \h </w:instrText>
      </w:r>
      <w:r>
        <w:fldChar w:fldCharType="separate"/>
      </w:r>
      <w:r>
        <w:t>6</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_Toc44415127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_Toc44415128 \h </w:instrText>
      </w:r>
      <w:r>
        <w:fldChar w:fldCharType="separate"/>
      </w:r>
      <w:r>
        <w:t>7</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_Toc44415129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_Toc44415130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_Toc44415131 \h </w:instrText>
      </w:r>
      <w:r>
        <w:fldChar w:fldCharType="separate"/>
      </w:r>
      <w:r>
        <w:t>10</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_Toc44415132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_Toc44415133 \h </w:instrText>
      </w:r>
      <w:r>
        <w:fldChar w:fldCharType="separate"/>
      </w:r>
      <w:r>
        <w:t>11</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_Toc44415134 \h </w:instrText>
      </w:r>
      <w:r>
        <w:fldChar w:fldCharType="separate"/>
      </w:r>
      <w:r>
        <w:t>11</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_Toc44415135 \h </w:instrText>
      </w:r>
      <w:r>
        <w:fldChar w:fldCharType="separate"/>
      </w:r>
      <w:r>
        <w:t>11</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_Toc44415136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_Toc44415137 \h </w:instrText>
      </w:r>
      <w:r>
        <w:fldChar w:fldCharType="separate"/>
      </w:r>
      <w:r>
        <w:t>12</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_Toc44415138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_Toc44415139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_Toc44415140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_Toc44415141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_Toc44415142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_Toc44415143 \h </w:instrText>
      </w:r>
      <w:r>
        <w:fldChar w:fldCharType="separate"/>
      </w:r>
      <w:r>
        <w:t>15</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_Toc44415144 \h </w:instrText>
      </w:r>
      <w:r>
        <w:fldChar w:fldCharType="separate"/>
      </w:r>
      <w:r>
        <w:t>15</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_Toc44415145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_Toc44415146 \h </w:instrText>
      </w:r>
      <w:r>
        <w:fldChar w:fldCharType="separate"/>
      </w:r>
      <w:r>
        <w:t>25</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_Toc44415147 \h </w:instrText>
      </w:r>
      <w:r>
        <w:fldChar w:fldCharType="separate"/>
      </w:r>
      <w:r>
        <w:t>26</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_Toc44415148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_Toc44415151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Dog Act 1976</w:t>
      </w:r>
    </w:p>
    <w:p>
      <w:pPr>
        <w:pStyle w:val="NameofActReg"/>
      </w:pPr>
      <w:r>
        <w:t>Dog Regulations 2013</w:t>
      </w:r>
    </w:p>
    <w:p>
      <w:pPr>
        <w:pStyle w:val="Heading5"/>
      </w:pPr>
      <w:bookmarkStart w:id="3" w:name="_Toc4441511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4441511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44415114"/>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7" w:name="_Toc44415115"/>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44415116"/>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9" w:name="_Toc44415117"/>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44415118"/>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1" w:name="_Toc44415119"/>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44415120"/>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13" w:name="_Toc44415121"/>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44415122"/>
      <w:r>
        <w:rPr>
          <w:rStyle w:val="CharSectno"/>
        </w:rPr>
        <w:t>11</w:t>
      </w:r>
      <w:r>
        <w:t>.</w:t>
      </w:r>
      <w:r>
        <w:tab/>
        <w:t>Bodies having custody of dogs for which registration not required</w:t>
      </w:r>
      <w:bookmarkEnd w:id="1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15" w:name="_Toc44415123"/>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16" w:name="_Toc44415124"/>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44415125"/>
      <w:r>
        <w:rPr>
          <w:rStyle w:val="CharSectno"/>
        </w:rPr>
        <w:t>14</w:t>
      </w:r>
      <w:r>
        <w:t>.</w:t>
      </w:r>
      <w:r>
        <w:tab/>
        <w:t>Form of certificate for authorised persons</w:t>
      </w:r>
      <w:bookmarkEnd w:id="17"/>
    </w:p>
    <w:p>
      <w:pPr>
        <w:pStyle w:val="Subsection"/>
      </w:pPr>
      <w:r>
        <w:tab/>
      </w:r>
      <w:r>
        <w:tab/>
        <w:t>The certificate required by section 11(3) is to be in the form of Form 1.</w:t>
      </w:r>
    </w:p>
    <w:p>
      <w:pPr>
        <w:pStyle w:val="Heading5"/>
      </w:pPr>
      <w:bookmarkStart w:id="18" w:name="_Toc44415126"/>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44415127"/>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44415128"/>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44415129"/>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44415130"/>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23" w:name="_Toc44415131"/>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44415132"/>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44415133"/>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44415134"/>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44415135"/>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44415136"/>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44415137"/>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44415138"/>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44415139"/>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32" w:name="_Toc44415140"/>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33" w:name="_Toc44415141"/>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44415142"/>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keepNext/>
      </w:pPr>
      <w:r>
        <w:tab/>
        <w:t>(2)</w:t>
      </w:r>
      <w:r>
        <w:tab/>
        <w:t>The amount of the fixed charge for section 33M(1)(b)(ii) is $100.</w:t>
      </w:r>
    </w:p>
    <w:p>
      <w:pPr>
        <w:pStyle w:val="Heading5"/>
      </w:pPr>
      <w:bookmarkStart w:id="35" w:name="_Toc44415143"/>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44415144"/>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37" w:name="_Toc44415145"/>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38" w:name="_Toc44415146"/>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44415147"/>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40" w:name="_Toc44415148"/>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41" w:name="_Toc44408096"/>
      <w:bookmarkStart w:id="42" w:name="_Toc44408888"/>
      <w:bookmarkStart w:id="43" w:name="_Toc44408933"/>
      <w:bookmarkStart w:id="44" w:name="_Toc44415149"/>
      <w:r>
        <w:rPr>
          <w:rStyle w:val="CharSchNo"/>
        </w:rPr>
        <w:t>Schedule 1</w:t>
      </w:r>
      <w:r>
        <w:rPr>
          <w:rStyle w:val="CharSDivNo"/>
        </w:rPr>
        <w:t> </w:t>
      </w:r>
      <w:r>
        <w:t>—</w:t>
      </w:r>
      <w:r>
        <w:rPr>
          <w:rStyle w:val="CharSDivText"/>
        </w:rPr>
        <w:t> </w:t>
      </w:r>
      <w:r>
        <w:rPr>
          <w:rStyle w:val="CharSchText"/>
        </w:rPr>
        <w:t>Forms</w:t>
      </w:r>
      <w:bookmarkEnd w:id="41"/>
      <w:bookmarkEnd w:id="42"/>
      <w:bookmarkEnd w:id="43"/>
      <w:bookmarkEnd w:id="44"/>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 8.]</w:t>
      </w:r>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6" w:name="_Toc44408097"/>
      <w:bookmarkStart w:id="47" w:name="_Toc44408889"/>
      <w:bookmarkStart w:id="48" w:name="_Toc44408934"/>
      <w:bookmarkStart w:id="49" w:name="_Toc44415150"/>
      <w:r>
        <w:t>Notes</w:t>
      </w:r>
      <w:bookmarkEnd w:id="46"/>
      <w:bookmarkEnd w:id="47"/>
      <w:bookmarkEnd w:id="48"/>
      <w:bookmarkEnd w:id="49"/>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50" w:name="_Toc44415151"/>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single" w:sz="4" w:space="0" w:color="auto"/>
            </w:tcBorders>
          </w:tcPr>
          <w:p>
            <w:pPr>
              <w:pStyle w:val="nTable"/>
              <w:spacing w:after="40"/>
              <w:rPr>
                <w:i/>
              </w:rPr>
            </w:pPr>
            <w:r>
              <w:rPr>
                <w:i/>
              </w:rPr>
              <w:t>Local Government Regulations Amendment (Payment Method) Regulations 2020</w:t>
            </w:r>
            <w:r>
              <w:t xml:space="preserve"> Pt. 4</w:t>
            </w:r>
          </w:p>
        </w:tc>
        <w:tc>
          <w:tcPr>
            <w:tcW w:w="1276" w:type="dxa"/>
            <w:tcBorders>
              <w:top w:val="nil"/>
              <w:bottom w:val="single" w:sz="4" w:space="0" w:color="auto"/>
            </w:tcBorders>
          </w:tcPr>
          <w:p>
            <w:pPr>
              <w:pStyle w:val="nTable"/>
              <w:spacing w:after="40"/>
            </w:pPr>
            <w:r>
              <w:t>SL 2020/99</w:t>
            </w:r>
            <w:r>
              <w:br/>
              <w:t>30 Jun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2" w:name="_Toc44408099"/>
      <w:bookmarkStart w:id="53" w:name="_Toc44408891"/>
      <w:bookmarkStart w:id="54" w:name="_Toc44408936"/>
      <w:bookmarkStart w:id="55" w:name="_Toc44415152"/>
      <w:r>
        <w:rPr>
          <w:sz w:val="28"/>
        </w:rPr>
        <w:t>Defined terms</w:t>
      </w:r>
      <w:bookmarkEnd w:id="52"/>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3011003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89BA-3284-48F6-8584-8E26F059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7990</Words>
  <Characters>43312</Characters>
  <Application>Microsoft Office Word</Application>
  <DocSecurity>0</DocSecurity>
  <Lines>1804</Lines>
  <Paragraphs>1091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2013 - 01-e0-01</dc:title>
  <dc:subject/>
  <dc:creator/>
  <cp:keywords/>
  <dc:description/>
  <cp:lastModifiedBy>svcMRProcess</cp:lastModifiedBy>
  <cp:revision>4</cp:revision>
  <cp:lastPrinted>2017-09-05T01:09:00Z</cp:lastPrinted>
  <dcterms:created xsi:type="dcterms:W3CDTF">2020-07-01T03:33:00Z</dcterms:created>
  <dcterms:modified xsi:type="dcterms:W3CDTF">2020-07-01T03:33:00Z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AsAtDate">
    <vt:lpwstr>01 Jul 2020</vt:lpwstr>
  </property>
  <property fmtid="{D5CDD505-2E9C-101B-9397-08002B2CF9AE}" pid="8" name="Suffix">
    <vt:lpwstr>01-e0-01</vt:lpwstr>
  </property>
  <property fmtid="{D5CDD505-2E9C-101B-9397-08002B2CF9AE}" pid="9" name="CommencementDate">
    <vt:lpwstr>20200701</vt:lpwstr>
  </property>
</Properties>
</file>