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rPr>
          <w:vertAlign w:val="superscript"/>
        </w:rPr>
        <w:t> 1</w:t>
      </w:r>
    </w:p>
    <w:p>
      <w:pPr>
        <w:pStyle w:val="NameofActRegPage1"/>
        <w:spacing w:before="1800" w:after="42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_Toc45205930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_Toc45205931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_Toc45205932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_Toc45205933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_Toc45205934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_Toc45205935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_Toc45205936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_Toc45205937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_Toc45205938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_Toc45205939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_Toc45205940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_Toc45205943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_Toc45205944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Private Hospitals and Health Services Act 1927</w:t>
      </w:r>
    </w:p>
    <w:p>
      <w:pPr>
        <w:pStyle w:val="NameofActReg"/>
      </w:pPr>
      <w:r>
        <w:t>Private Hospitals (Licensing and Conduct of Private Hospitals) Regulations 1987</w:t>
      </w:r>
    </w:p>
    <w:p>
      <w:pPr>
        <w:pStyle w:val="Heading5"/>
      </w:pPr>
      <w:bookmarkStart w:id="3" w:name="_Toc45205930"/>
      <w:r>
        <w:rPr>
          <w:rStyle w:val="CharSectno"/>
        </w:rPr>
        <w:t>1</w:t>
      </w:r>
      <w:r>
        <w:t>.</w:t>
      </w:r>
      <w:r>
        <w:tab/>
        <w:t>Citation</w:t>
      </w:r>
      <w:bookmarkEnd w:id="3"/>
    </w:p>
    <w:p>
      <w:pPr>
        <w:pStyle w:val="Subsection"/>
        <w:rPr>
          <w:snapToGrid w:val="0"/>
        </w:rPr>
      </w:pPr>
      <w:r>
        <w:tab/>
      </w:r>
      <w:r>
        <w:tab/>
      </w:r>
      <w:r>
        <w:rPr>
          <w:snapToGrid w:val="0"/>
        </w:rPr>
        <w:t xml:space="preserve">These regulations are the </w:t>
      </w:r>
      <w:r>
        <w:rPr>
          <w:i/>
          <w:snapToGrid w:val="0"/>
        </w:rPr>
        <w:t>Private Hospitals (Licensing and Conduct of Private Hospitals) Regulations 1987</w:t>
      </w:r>
      <w:r>
        <w:rPr>
          <w:snapToGrid w:val="0"/>
        </w:rPr>
        <w:t>.</w:t>
      </w:r>
    </w:p>
    <w:p>
      <w:pPr>
        <w:pStyle w:val="Footnotesection"/>
      </w:pPr>
      <w:r>
        <w:tab/>
        <w:t>[Regulation 1 inserted: SL 2020/115 r. 4.]</w:t>
      </w:r>
    </w:p>
    <w:p>
      <w:pPr>
        <w:pStyle w:val="Heading5"/>
        <w:rPr>
          <w:snapToGrid w:val="0"/>
        </w:rPr>
      </w:pPr>
      <w:bookmarkStart w:id="4" w:name="_Toc4520593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p>
    <w:p>
      <w:pPr>
        <w:pStyle w:val="Heading5"/>
        <w:rPr>
          <w:snapToGrid w:val="0"/>
        </w:rPr>
      </w:pPr>
      <w:bookmarkStart w:id="5" w:name="_Toc45205932"/>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5205933"/>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45205934"/>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45205935"/>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9" w:name="_Toc45205936"/>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pPr>
      <w:r>
        <w:tab/>
        <w:t>(b)</w:t>
      </w:r>
      <w:r>
        <w:tab/>
        <w:t xml:space="preserve">if the licence holder permits a person to bring an animal onto the premises of the private hospital, the animal — </w:t>
      </w:r>
    </w:p>
    <w:p>
      <w:pPr>
        <w:pStyle w:val="Indenti"/>
      </w:pPr>
      <w:r>
        <w:tab/>
        <w:t>(i)</w:t>
      </w:r>
      <w:r>
        <w:tab/>
        <w:t>is effectively managed; and</w:t>
      </w:r>
    </w:p>
    <w:p>
      <w:pPr>
        <w:pStyle w:val="Indenti"/>
      </w:pPr>
      <w:r>
        <w:tab/>
        <w:t>(ii)</w:t>
      </w:r>
      <w:r>
        <w:tab/>
        <w:t>does not constitute a nuisance or health risk to the patients in the private hospital;</w:t>
      </w:r>
    </w:p>
    <w:p>
      <w:pPr>
        <w:pStyle w:val="Indenta"/>
      </w:pPr>
      <w:r>
        <w:tab/>
      </w:r>
      <w:r>
        <w:tab/>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vertAlign w:val="superscript"/>
        </w:rPr>
        <w:t> 2</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SL 2020/115 r. 5.] </w:t>
      </w:r>
    </w:p>
    <w:p>
      <w:pPr>
        <w:pStyle w:val="Heading5"/>
        <w:rPr>
          <w:snapToGrid w:val="0"/>
        </w:rPr>
      </w:pPr>
      <w:bookmarkStart w:id="10" w:name="_Toc45205937"/>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5205938"/>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5205939"/>
      <w:r>
        <w:rPr>
          <w:rStyle w:val="CharSectno"/>
        </w:rPr>
        <w:t>9</w:t>
      </w:r>
      <w:r>
        <w:rPr>
          <w:snapToGrid w:val="0"/>
        </w:rPr>
        <w:t>.</w:t>
      </w:r>
      <w:r>
        <w:rPr>
          <w:snapToGrid w:val="0"/>
        </w:rPr>
        <w:tab/>
        <w:t>Information to be recorded</w:t>
      </w:r>
      <w:bookmarkEnd w:id="12"/>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45205940"/>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5186411"/>
      <w:bookmarkStart w:id="16" w:name="_Toc45188303"/>
      <w:bookmarkStart w:id="17" w:name="_Toc45188346"/>
      <w:bookmarkStart w:id="18" w:name="_Toc45188362"/>
      <w:bookmarkStart w:id="19" w:name="_Toc45188417"/>
      <w:bookmarkStart w:id="20" w:name="_Toc45205875"/>
      <w:bookmarkStart w:id="21" w:name="_Toc45205941"/>
      <w:r>
        <w:rPr>
          <w:rStyle w:val="CharSchNo"/>
        </w:rPr>
        <w:t>Schedule 1</w:t>
      </w:r>
      <w:r>
        <w:rPr>
          <w:rStyle w:val="CharSDivNo"/>
        </w:rPr>
        <w:t> </w:t>
      </w:r>
      <w:r>
        <w:t>—</w:t>
      </w:r>
      <w:r>
        <w:rPr>
          <w:rStyle w:val="CharSDivText"/>
        </w:rPr>
        <w:t> </w:t>
      </w:r>
      <w:r>
        <w:rPr>
          <w:rStyle w:val="CharSchText"/>
        </w:rPr>
        <w:t>Fees</w:t>
      </w:r>
      <w:bookmarkEnd w:id="15"/>
      <w:bookmarkEnd w:id="16"/>
      <w:bookmarkEnd w:id="17"/>
      <w:bookmarkEnd w:id="18"/>
      <w:bookmarkEnd w:id="19"/>
      <w:bookmarkEnd w:id="20"/>
      <w:bookmarkEnd w:id="21"/>
    </w:p>
    <w:p>
      <w:pPr>
        <w:pStyle w:val="yShoulderClause"/>
      </w:pPr>
      <w:r>
        <w:t>[r. 4 and 5]</w:t>
      </w:r>
    </w:p>
    <w:p>
      <w:pPr>
        <w:pStyle w:val="yFootnoteheading"/>
        <w:spacing w:after="120"/>
      </w:pPr>
      <w:r>
        <w:tab/>
        <w:t>[Heading inserted: Gazette 14 Jun 2019 p. 1886.]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tcPr>
          <w:p>
            <w:pPr>
              <w:pStyle w:val="yTableNAm"/>
            </w:pPr>
            <w:r>
              <w:rPr>
                <w:b/>
                <w:bCs/>
              </w:rPr>
              <w:t>Item</w:t>
            </w:r>
          </w:p>
        </w:tc>
        <w:tc>
          <w:tcPr>
            <w:tcW w:w="4961" w:type="dxa"/>
            <w:gridSpan w:val="2"/>
          </w:tcPr>
          <w:p>
            <w:pPr>
              <w:pStyle w:val="yTableNAm"/>
            </w:pPr>
            <w:r>
              <w:rPr>
                <w:b/>
                <w:bCs/>
              </w:rPr>
              <w:t>Description</w:t>
            </w:r>
          </w:p>
        </w:tc>
        <w:tc>
          <w:tcPr>
            <w:tcW w:w="992" w:type="dxa"/>
          </w:tcPr>
          <w:p>
            <w:pPr>
              <w:pStyle w:val="yTableNAm"/>
            </w:pPr>
            <w:r>
              <w:rPr>
                <w:b/>
                <w:bCs/>
              </w:rPr>
              <w:t>Fee ($)</w:t>
            </w:r>
          </w:p>
        </w:tc>
      </w:tr>
      <w:tr>
        <w:tc>
          <w:tcPr>
            <w:tcW w:w="851" w:type="dxa"/>
          </w:tcPr>
          <w:p>
            <w:pPr>
              <w:pStyle w:val="yTableNAm"/>
            </w:pPr>
            <w:r>
              <w:rPr>
                <w:sz w:val="24"/>
              </w:rPr>
              <w:br w:type="page"/>
            </w:r>
            <w:r>
              <w:t>1.</w:t>
            </w:r>
          </w:p>
        </w:tc>
        <w:tc>
          <w:tcPr>
            <w:tcW w:w="2551" w:type="dxa"/>
          </w:tcPr>
          <w:p>
            <w:pPr>
              <w:pStyle w:val="yTableNAm"/>
            </w:pPr>
            <w:r>
              <w:t>Grant of licence (r. 4(1))</w:t>
            </w:r>
          </w:p>
        </w:tc>
        <w:tc>
          <w:tcPr>
            <w:tcW w:w="2410" w:type="dxa"/>
          </w:tcPr>
          <w:p>
            <w:pPr>
              <w:pStyle w:val="zyTableNAm"/>
            </w:pPr>
          </w:p>
        </w:tc>
        <w:tc>
          <w:tcPr>
            <w:tcW w:w="992" w:type="dxa"/>
          </w:tcPr>
          <w:p>
            <w:pPr>
              <w:pStyle w:val="yTableNAm"/>
            </w:pPr>
            <w:r>
              <w:rPr>
                <w:szCs w:val="22"/>
              </w:rPr>
              <w:t>1 360</w:t>
            </w:r>
          </w:p>
        </w:tc>
      </w:tr>
      <w:tr>
        <w:tc>
          <w:tcPr>
            <w:tcW w:w="851" w:type="dxa"/>
          </w:tcPr>
          <w:p>
            <w:pPr>
              <w:pStyle w:val="yTableNAm"/>
            </w:pPr>
            <w:r>
              <w:t>2.</w:t>
            </w:r>
          </w:p>
        </w:tc>
        <w:tc>
          <w:tcPr>
            <w:tcW w:w="2551" w:type="dxa"/>
          </w:tcPr>
          <w:p>
            <w:pPr>
              <w:pStyle w:val="yTableNAm"/>
            </w:pPr>
            <w:r>
              <w:t>Renewal of licence (r. 4(3))</w:t>
            </w:r>
          </w:p>
        </w:tc>
        <w:tc>
          <w:tcPr>
            <w:tcW w:w="2410" w:type="dxa"/>
          </w:tcPr>
          <w:p>
            <w:pPr>
              <w:pStyle w:val="yTableNAm"/>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1 350</w:t>
            </w:r>
          </w:p>
          <w:p>
            <w:pPr>
              <w:pStyle w:val="yTableNAm"/>
            </w:pPr>
            <w:r>
              <w:rPr>
                <w:szCs w:val="22"/>
              </w:rPr>
              <w:t>1 400</w:t>
            </w:r>
          </w:p>
          <w:p>
            <w:pPr>
              <w:pStyle w:val="yTableNAm"/>
            </w:pPr>
            <w:r>
              <w:rPr>
                <w:szCs w:val="22"/>
              </w:rPr>
              <w:t>1 625</w:t>
            </w:r>
          </w:p>
          <w:p>
            <w:pPr>
              <w:pStyle w:val="yTableNAm"/>
            </w:pPr>
            <w:r>
              <w:rPr>
                <w:szCs w:val="22"/>
              </w:rPr>
              <w:t>2 225</w:t>
            </w:r>
          </w:p>
        </w:tc>
      </w:tr>
      <w:tr>
        <w:tc>
          <w:tcPr>
            <w:tcW w:w="851" w:type="dxa"/>
          </w:tcPr>
          <w:p>
            <w:pPr>
              <w:pStyle w:val="yTableNAm"/>
            </w:pPr>
            <w:r>
              <w:t>3.</w:t>
            </w:r>
          </w:p>
        </w:tc>
        <w:tc>
          <w:tcPr>
            <w:tcW w:w="2551" w:type="dxa"/>
          </w:tcPr>
          <w:p>
            <w:pPr>
              <w:pStyle w:val="yTableNAm"/>
            </w:pPr>
            <w:r>
              <w:t>Replacement licence (r. 4(6))</w:t>
            </w:r>
          </w:p>
        </w:tc>
        <w:tc>
          <w:tcPr>
            <w:tcW w:w="2410" w:type="dxa"/>
          </w:tcPr>
          <w:p>
            <w:pPr>
              <w:pStyle w:val="zyTableNAm"/>
            </w:pPr>
          </w:p>
        </w:tc>
        <w:tc>
          <w:tcPr>
            <w:tcW w:w="992"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hospital (r. 5)</w:t>
            </w:r>
          </w:p>
        </w:tc>
        <w:tc>
          <w:tcPr>
            <w:tcW w:w="2410" w:type="dxa"/>
          </w:tcPr>
          <w:p>
            <w:pPr>
              <w:pStyle w:val="yTableNAm"/>
              <w:tabs>
                <w:tab w:val="clear" w:pos="567"/>
                <w:tab w:val="right" w:pos="2108"/>
              </w:tabs>
            </w:pPr>
            <w:r>
              <w:t xml:space="preserve">Number of persons licensed to be accommodated — </w:t>
            </w:r>
          </w:p>
          <w:p>
            <w:pPr>
              <w:pStyle w:val="yTableNAm"/>
              <w:tabs>
                <w:tab w:val="clear" w:pos="567"/>
                <w:tab w:val="right" w:leader="dot" w:pos="2108"/>
              </w:tabs>
            </w:pPr>
            <w:r>
              <w:t>Fewer than 25</w:t>
            </w:r>
            <w:r>
              <w:tab/>
            </w:r>
          </w:p>
          <w:p>
            <w:pPr>
              <w:pStyle w:val="yTableNAm"/>
              <w:tabs>
                <w:tab w:val="clear" w:pos="567"/>
                <w:tab w:val="right" w:leader="dot" w:pos="2108"/>
              </w:tabs>
            </w:pPr>
            <w:r>
              <w:t>25</w:t>
            </w:r>
            <w:r>
              <w:noBreakHyphen/>
              <w:t>100</w:t>
            </w:r>
            <w:r>
              <w:tab/>
            </w:r>
          </w:p>
          <w:p>
            <w:pPr>
              <w:pStyle w:val="yTableNAm"/>
              <w:tabs>
                <w:tab w:val="clear" w:pos="567"/>
                <w:tab w:val="right" w:leader="dot" w:pos="2108"/>
              </w:tabs>
            </w:pPr>
            <w:r>
              <w:t>101</w:t>
            </w:r>
            <w:r>
              <w:noBreakHyphen/>
              <w:t>200</w:t>
            </w:r>
            <w:r>
              <w:tab/>
            </w:r>
          </w:p>
          <w:p>
            <w:pPr>
              <w:pStyle w:val="yTableNAm"/>
              <w:tabs>
                <w:tab w:val="clear" w:pos="567"/>
                <w:tab w:val="right" w:leader="dot" w:pos="2108"/>
              </w:tabs>
            </w:pPr>
            <w:r>
              <w:t>more than 201</w:t>
            </w:r>
            <w:r>
              <w:tab/>
            </w:r>
          </w:p>
        </w:tc>
        <w:tc>
          <w:tcPr>
            <w:tcW w:w="992" w:type="dxa"/>
          </w:tcPr>
          <w:p>
            <w:pPr>
              <w:pStyle w:val="yTableNAm"/>
            </w:pPr>
            <w:r>
              <w:br/>
            </w:r>
            <w:r>
              <w:br/>
            </w:r>
          </w:p>
          <w:p>
            <w:pPr>
              <w:pStyle w:val="yTableNAm"/>
            </w:pPr>
            <w:r>
              <w:rPr>
                <w:szCs w:val="22"/>
              </w:rPr>
              <w:t>7 600</w:t>
            </w:r>
          </w:p>
          <w:p>
            <w:pPr>
              <w:pStyle w:val="yTableNAm"/>
            </w:pPr>
            <w:r>
              <w:rPr>
                <w:szCs w:val="22"/>
              </w:rPr>
              <w:t>8 750</w:t>
            </w:r>
          </w:p>
          <w:p>
            <w:pPr>
              <w:pStyle w:val="yTableNAm"/>
            </w:pPr>
            <w:r>
              <w:rPr>
                <w:szCs w:val="22"/>
              </w:rPr>
              <w:t>11 750</w:t>
            </w:r>
          </w:p>
          <w:p>
            <w:pPr>
              <w:pStyle w:val="yTableNAm"/>
            </w:pPr>
            <w:r>
              <w:rPr>
                <w:szCs w:val="22"/>
              </w:rPr>
              <w:t>14 750</w:t>
            </w:r>
          </w:p>
        </w:tc>
      </w:tr>
    </w:tbl>
    <w:p>
      <w:pPr>
        <w:pStyle w:val="yFootnotesection"/>
      </w:pPr>
      <w:r>
        <w:tab/>
        <w:t>[Schedule 1 inserted: Gazette 14 Jun 2019 p. 1886</w:t>
      </w:r>
      <w:r>
        <w:noBreakHyphen/>
        <w:t>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22" w:name="_Toc45186412"/>
      <w:bookmarkStart w:id="23" w:name="_Toc45188304"/>
      <w:bookmarkStart w:id="24" w:name="_Toc45188347"/>
      <w:bookmarkStart w:id="25" w:name="_Toc45188363"/>
      <w:bookmarkStart w:id="26" w:name="_Toc45188418"/>
      <w:bookmarkStart w:id="27" w:name="_Toc45205876"/>
      <w:bookmarkStart w:id="28" w:name="_Toc45205942"/>
      <w:r>
        <w:t>Notes</w:t>
      </w:r>
      <w:bookmarkEnd w:id="22"/>
      <w:bookmarkEnd w:id="23"/>
      <w:bookmarkEnd w:id="24"/>
      <w:bookmarkEnd w:id="25"/>
      <w:bookmarkEnd w:id="26"/>
      <w:bookmarkEnd w:id="27"/>
      <w:bookmarkEnd w:id="28"/>
    </w:p>
    <w:p>
      <w:pPr>
        <w:pStyle w:val="nStatement"/>
      </w:pPr>
      <w:r>
        <w:t xml:space="preserve">This is a compilation of the </w:t>
      </w:r>
      <w:r>
        <w:rPr>
          <w:i/>
        </w:rPr>
        <w:t>Private Hospitals (Licensing and Conduct of Private Hospitals) Regulations 1987</w:t>
      </w:r>
      <w:r>
        <w:t xml:space="preserve"> and includes amendments made by other written laws. For provisions that have come into operation, and for information about any reprints, see the compilation table.</w:t>
      </w:r>
    </w:p>
    <w:p>
      <w:pPr>
        <w:pStyle w:val="nHeading3"/>
      </w:pPr>
      <w:bookmarkStart w:id="29" w:name="_Toc45205943"/>
      <w:r>
        <w:t>Compilation table</w:t>
      </w:r>
      <w:bookmarkEnd w:id="2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r>
              <w:rPr>
                <w:vertAlign w:val="superscript"/>
              </w:rPr>
              <w:t> 3</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Hospitals (Licensing and Conduct of Private Hospitals) Amendment Regulations 2020</w:t>
            </w:r>
          </w:p>
        </w:tc>
        <w:tc>
          <w:tcPr>
            <w:tcW w:w="1276" w:type="dxa"/>
            <w:tcBorders>
              <w:bottom w:val="single" w:sz="8" w:space="0" w:color="auto"/>
            </w:tcBorders>
            <w:shd w:val="clear" w:color="auto" w:fill="auto"/>
          </w:tcPr>
          <w:p>
            <w:pPr>
              <w:pStyle w:val="nTable"/>
              <w:spacing w:after="40"/>
            </w:pPr>
            <w:r>
              <w:t>SL 2020/115 10 Jul 2020</w:t>
            </w:r>
          </w:p>
        </w:tc>
        <w:tc>
          <w:tcPr>
            <w:tcW w:w="2693" w:type="dxa"/>
            <w:tcBorders>
              <w:bottom w:val="single" w:sz="8" w:space="0" w:color="auto"/>
            </w:tcBorders>
            <w:shd w:val="clear" w:color="auto" w:fill="auto"/>
          </w:tcPr>
          <w:p>
            <w:pPr>
              <w:pStyle w:val="nTable"/>
              <w:spacing w:after="40"/>
            </w:pPr>
            <w:r>
              <w:t>r. 1 and 2: 10 Jul 2020 (see r. 2(a));</w:t>
            </w:r>
            <w:r>
              <w:br/>
              <w:t>Regulations other than r. 1 and 2: 11 Jul 2020 (see r. 2(b))</w:t>
            </w:r>
          </w:p>
        </w:tc>
      </w:tr>
    </w:tbl>
    <w:p>
      <w:pPr>
        <w:pStyle w:val="nHeading3"/>
      </w:pPr>
      <w:bookmarkStart w:id="30" w:name="_Toc45205944"/>
      <w:r>
        <w:t>Other notes</w:t>
      </w:r>
      <w:bookmarkEnd w:id="30"/>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tab/>
        <w:t xml:space="preserve">Repealed by the </w:t>
      </w:r>
      <w:r>
        <w:rPr>
          <w:i/>
        </w:rPr>
        <w:t>National Health and Medical Research Council Act 1992</w:t>
      </w:r>
      <w:r>
        <w:t xml:space="preserve"> s. 54 (No. 225 of 1992) of the Commonwealth.</w:t>
      </w:r>
    </w:p>
    <w:p>
      <w:pPr>
        <w:pStyle w:val="nNote"/>
        <w:spacing w:before="160"/>
      </w:pPr>
      <w:r>
        <w:rPr>
          <w:vertAlign w:val="superscript"/>
        </w:rPr>
        <w:t>3</w:t>
      </w:r>
      <w:r>
        <w:tab/>
        <w:t xml:space="preserve">Now known as the </w:t>
      </w:r>
      <w:r>
        <w:rPr>
          <w:i/>
        </w:rPr>
        <w:t>Private Hospitals (Licensing and Conduct of Private Hospitals) Regulations 1987</w:t>
      </w:r>
      <w:r>
        <w:t>; citation changed (see note under r.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2" w:name="_Toc45186415"/>
      <w:bookmarkStart w:id="33" w:name="_Toc45188307"/>
      <w:bookmarkStart w:id="34" w:name="_Toc45188350"/>
      <w:bookmarkStart w:id="35" w:name="_Toc45188366"/>
      <w:bookmarkStart w:id="36" w:name="_Toc45188421"/>
      <w:bookmarkStart w:id="37" w:name="_Toc45205879"/>
      <w:bookmarkStart w:id="38" w:name="_Toc45205945"/>
      <w:r>
        <w:rPr>
          <w:sz w:val="28"/>
        </w:rPr>
        <w:t>Defined terms</w:t>
      </w:r>
      <w:bookmarkEnd w:id="32"/>
      <w:bookmarkEnd w:id="33"/>
      <w:bookmarkEnd w:id="34"/>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9112138"/>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2212</Words>
  <Characters>10578</Characters>
  <Application>Microsoft Office Word</Application>
  <DocSecurity>0</DocSecurity>
  <Lines>406</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1987 - 02-g0-00</dc:title>
  <dc:subject/>
  <dc:creator/>
  <cp:keywords/>
  <dc:description/>
  <cp:lastModifiedBy>svcMRProcess</cp:lastModifiedBy>
  <cp:revision>4</cp:revision>
  <cp:lastPrinted>2017-06-30T06:36:00Z</cp:lastPrinted>
  <dcterms:created xsi:type="dcterms:W3CDTF">2020-07-10T08:23:00Z</dcterms:created>
  <dcterms:modified xsi:type="dcterms:W3CDTF">2020-07-10T08:23:00Z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11 Jul 2020</vt:lpwstr>
  </property>
  <property fmtid="{D5CDD505-2E9C-101B-9397-08002B2CF9AE}" pid="8" name="Suffix">
    <vt:lpwstr>02-g0-00</vt:lpwstr>
  </property>
  <property fmtid="{D5CDD505-2E9C-101B-9397-08002B2CF9AE}" pid="9" name="CommencementDate">
    <vt:lpwstr>20200711</vt:lpwstr>
  </property>
</Properties>
</file>