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 Risk Serious Offenders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High Risk Serious Offenders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_Toc48306928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_Toc48306929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_Toc48306930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community</w:t>
      </w:r>
      <w:r>
        <w:tab/>
      </w:r>
      <w:r>
        <w:fldChar w:fldCharType="begin"/>
      </w:r>
      <w:r>
        <w:instrText xml:space="preserve"> PAGEREF _Toc48306931 \h </w:instrText>
      </w:r>
      <w:r>
        <w:fldChar w:fldCharType="separate"/>
      </w:r>
      <w:r>
        <w:t>6</w:t>
      </w:r>
      <w:r>
        <w:fldChar w:fldCharType="end"/>
      </w:r>
    </w:p>
    <w:p>
      <w:pPr>
        <w:pStyle w:val="TOC8"/>
        <w:rPr>
          <w:rFonts w:asciiTheme="minorHAnsi" w:eastAsiaTheme="minorEastAsia" w:hAnsiTheme="minorHAnsi" w:cstheme="minorBidi"/>
          <w:szCs w:val="22"/>
        </w:rPr>
      </w:pPr>
      <w:r>
        <w:t>5.</w:t>
      </w:r>
      <w:r>
        <w:tab/>
      </w:r>
      <w:r>
        <w:rPr>
          <w:snapToGrid w:val="0"/>
        </w:rPr>
        <w:t>Term used: serious offence</w:t>
      </w:r>
      <w:r>
        <w:tab/>
      </w:r>
      <w:r>
        <w:fldChar w:fldCharType="begin"/>
      </w:r>
      <w:r>
        <w:instrText xml:space="preserve"> PAGEREF _Toc48306932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committing a serious offence</w:t>
      </w:r>
      <w:r>
        <w:tab/>
      </w:r>
      <w:r>
        <w:fldChar w:fldCharType="begin"/>
      </w:r>
      <w:r>
        <w:instrText xml:space="preserve"> PAGEREF _Toc48306933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high risk serious offender</w:t>
      </w:r>
      <w:r>
        <w:tab/>
      </w:r>
      <w:r>
        <w:fldChar w:fldCharType="begin"/>
      </w:r>
      <w:r>
        <w:instrText xml:space="preserve"> PAGEREF _Toc48306934 \h </w:instrText>
      </w:r>
      <w:r>
        <w:fldChar w:fldCharType="separate"/>
      </w:r>
      <w:r>
        <w:t>7</w:t>
      </w:r>
      <w:r>
        <w:fldChar w:fldCharType="end"/>
      </w:r>
    </w:p>
    <w:p>
      <w:pPr>
        <w:pStyle w:val="TOC8"/>
        <w:rPr>
          <w:rFonts w:asciiTheme="minorHAnsi" w:eastAsiaTheme="minorEastAsia" w:hAnsiTheme="minorHAnsi" w:cstheme="minorBidi"/>
          <w:szCs w:val="22"/>
        </w:rPr>
      </w:pPr>
      <w:r>
        <w:t>8.</w:t>
      </w:r>
      <w:r>
        <w:tab/>
        <w:t>Objects of this Act</w:t>
      </w:r>
      <w:r>
        <w:tab/>
      </w:r>
      <w:r>
        <w:fldChar w:fldCharType="begin"/>
      </w:r>
      <w:r>
        <w:instrText xml:space="preserve"> PAGEREF _Toc48306935 \h </w:instrText>
      </w:r>
      <w:r>
        <w:fldChar w:fldCharType="separate"/>
      </w:r>
      <w:r>
        <w:t>8</w:t>
      </w:r>
      <w:r>
        <w:fldChar w:fldCharType="end"/>
      </w:r>
    </w:p>
    <w:p>
      <w:pPr>
        <w:pStyle w:val="TOC8"/>
        <w:rPr>
          <w:rFonts w:asciiTheme="minorHAnsi" w:eastAsiaTheme="minorEastAsia" w:hAnsiTheme="minorHAnsi" w:cstheme="minorBidi"/>
          <w:szCs w:val="22"/>
        </w:rPr>
      </w:pPr>
      <w:r>
        <w:t>9.</w:t>
      </w:r>
      <w:r>
        <w:tab/>
        <w:t>Act binds Crown</w:t>
      </w:r>
      <w:r>
        <w:tab/>
      </w:r>
      <w:r>
        <w:fldChar w:fldCharType="begin"/>
      </w:r>
      <w:r>
        <w:instrText xml:space="preserve"> PAGEREF _Toc48306936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Application of </w:t>
      </w:r>
      <w:r>
        <w:rPr>
          <w:i/>
        </w:rPr>
        <w:t>Bail Act 1982</w:t>
      </w:r>
      <w:r>
        <w:tab/>
      </w:r>
      <w:r>
        <w:fldChar w:fldCharType="begin"/>
      </w:r>
      <w:r>
        <w:instrText xml:space="preserve"> PAGEREF _Toc48306937 \h </w:instrText>
      </w:r>
      <w:r>
        <w:fldChar w:fldCharType="separate"/>
      </w:r>
      <w:r>
        <w:t>9</w:t>
      </w:r>
      <w:r>
        <w:fldChar w:fldCharType="end"/>
      </w:r>
    </w:p>
    <w:p>
      <w:pPr>
        <w:pStyle w:val="TOC8"/>
        <w:rPr>
          <w:rFonts w:asciiTheme="minorHAnsi" w:eastAsiaTheme="minorEastAsia" w:hAnsiTheme="minorHAnsi" w:cstheme="minorBidi"/>
          <w:szCs w:val="22"/>
        </w:rPr>
      </w:pPr>
      <w:r>
        <w:t>11.</w:t>
      </w:r>
      <w:r>
        <w:tab/>
        <w:t>Proceedings under this Act</w:t>
      </w:r>
      <w:r>
        <w:tab/>
      </w:r>
      <w:r>
        <w:fldChar w:fldCharType="begin"/>
      </w:r>
      <w:r>
        <w:instrText xml:space="preserve"> PAGEREF _Toc48306938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i/>
        </w:rPr>
        <w:t>Courts and Tribunals (Electronic Processes Facilitation) Act 2013</w:t>
      </w:r>
      <w:r>
        <w:t xml:space="preserve"> Part 2 applies</w:t>
      </w:r>
      <w:r>
        <w:tab/>
      </w:r>
      <w:r>
        <w:fldChar w:fldCharType="begin"/>
      </w:r>
      <w:r>
        <w:instrText xml:space="preserve"> PAGEREF _Toc48306939 \h </w:instrText>
      </w:r>
      <w:r>
        <w:fldChar w:fldCharType="separate"/>
      </w:r>
      <w:r>
        <w:t>10</w:t>
      </w:r>
      <w:r>
        <w:fldChar w:fldCharType="end"/>
      </w:r>
    </w:p>
    <w:p>
      <w:pPr>
        <w:pStyle w:val="TOC8"/>
        <w:rPr>
          <w:rFonts w:asciiTheme="minorHAnsi" w:eastAsiaTheme="minorEastAsia" w:hAnsiTheme="minorHAnsi" w:cstheme="minorBidi"/>
          <w:szCs w:val="22"/>
        </w:rPr>
      </w:pPr>
      <w:r>
        <w:t>13.</w:t>
      </w:r>
      <w:r>
        <w:tab/>
        <w:t xml:space="preserve">Application of </w:t>
      </w:r>
      <w:r>
        <w:rPr>
          <w:i/>
        </w:rPr>
        <w:t>Freedom of Information Act 1992</w:t>
      </w:r>
      <w:r>
        <w:t xml:space="preserve"> limited</w:t>
      </w:r>
      <w:r>
        <w:tab/>
      </w:r>
      <w:r>
        <w:fldChar w:fldCharType="begin"/>
      </w:r>
      <w:r>
        <w:instrText xml:space="preserve"> PAGEREF _Toc48306940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91.</w:t>
      </w:r>
      <w:r>
        <w:tab/>
        <w:t>Review of this Act</w:t>
      </w:r>
      <w:r>
        <w:tab/>
      </w:r>
      <w:r>
        <w:fldChar w:fldCharType="begin"/>
      </w:r>
      <w:r>
        <w:instrText xml:space="preserve"> PAGEREF _Toc48306942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_Toc48306944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_Toc48306945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High Risk Serious Offenders Act 2020</w:t>
      </w:r>
    </w:p>
    <w:p>
      <w:pPr>
        <w:pStyle w:val="LongTitle"/>
        <w:suppressLineNumbers/>
      </w:pPr>
      <w:r>
        <w:t xml:space="preserve">An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48121799"/>
      <w:bookmarkStart w:id="4" w:name="_Toc48306927"/>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8306928"/>
      <w:r>
        <w:rPr>
          <w:rStyle w:val="CharSectno"/>
        </w:rPr>
        <w:t>1</w:t>
      </w:r>
      <w:r>
        <w:t>.</w:t>
      </w:r>
      <w:r>
        <w:tab/>
        <w:t>Short title</w:t>
      </w:r>
      <w:bookmarkEnd w:id="5"/>
    </w:p>
    <w:p>
      <w:pPr>
        <w:pStyle w:val="Subsection"/>
      </w:pPr>
      <w:r>
        <w:tab/>
      </w:r>
      <w:r>
        <w:tab/>
        <w:t>This is the</w:t>
      </w:r>
      <w:r>
        <w:rPr>
          <w:i/>
        </w:rPr>
        <w:t xml:space="preserve"> High Risk Serious Offenders Act 2020</w:t>
      </w:r>
      <w:r>
        <w:t>.</w:t>
      </w:r>
    </w:p>
    <w:p>
      <w:pPr>
        <w:pStyle w:val="Heading5"/>
      </w:pPr>
      <w:bookmarkStart w:id="6" w:name="_Toc48306929"/>
      <w:r>
        <w:rPr>
          <w:rStyle w:val="CharSectno"/>
        </w:rPr>
        <w:t>2</w:t>
      </w:r>
      <w:r>
        <w:t>.</w:t>
      </w:r>
      <w:r>
        <w:tab/>
        <w:t>Commencement</w:t>
      </w:r>
      <w:bookmarkEnd w:id="6"/>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7" w:name="_Toc48306930"/>
      <w:r>
        <w:rPr>
          <w:rStyle w:val="CharSectno"/>
        </w:rPr>
        <w:t>3</w:t>
      </w:r>
      <w:r>
        <w:t>.</w:t>
      </w:r>
      <w:r>
        <w:tab/>
      </w:r>
      <w:r>
        <w:rPr>
          <w:snapToGrid w:val="0"/>
        </w:rPr>
        <w:t>Terms used</w:t>
      </w:r>
      <w:bookmarkEnd w:id="7"/>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8" w:name="_Toc48306931"/>
      <w:r>
        <w:rPr>
          <w:rStyle w:val="CharSectno"/>
        </w:rPr>
        <w:t>4</w:t>
      </w:r>
      <w:r>
        <w:t>.</w:t>
      </w:r>
      <w:r>
        <w:tab/>
        <w:t>Term used: community</w:t>
      </w:r>
      <w:bookmarkEnd w:id="8"/>
    </w:p>
    <w:p>
      <w:pPr>
        <w:pStyle w:val="Subsection"/>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9" w:name="_Toc48306932"/>
      <w:r>
        <w:rPr>
          <w:rStyle w:val="CharSectno"/>
        </w:rPr>
        <w:t>5</w:t>
      </w:r>
      <w:r>
        <w:t>.</w:t>
      </w:r>
      <w:r>
        <w:tab/>
      </w:r>
      <w:r>
        <w:rPr>
          <w:snapToGrid w:val="0"/>
        </w:rPr>
        <w:t>Term used: serious offence</w:t>
      </w:r>
      <w:bookmarkEnd w:id="9"/>
    </w:p>
    <w:p>
      <w:pPr>
        <w:pStyle w:val="Subsection"/>
      </w:pPr>
      <w:r>
        <w:tab/>
        <w:t>(1)</w:t>
      </w:r>
      <w:r>
        <w:tab/>
        <w:t xml:space="preserve">An offence is a </w:t>
      </w:r>
      <w:r>
        <w:rPr>
          <w:rStyle w:val="CharDefText"/>
        </w:rPr>
        <w:t>serious offence</w:t>
      </w:r>
      <w:r>
        <w:t xml:space="preserve"> if — </w:t>
      </w:r>
    </w:p>
    <w:p>
      <w:pPr>
        <w:pStyle w:val="Indenta"/>
      </w:pPr>
      <w:r>
        <w:tab/>
        <w:t>(a)</w:t>
      </w:r>
      <w:r>
        <w:tab/>
        <w:t>it is specified in Schedule 1 Division 1; or</w:t>
      </w:r>
    </w:p>
    <w:p>
      <w:pPr>
        <w:pStyle w:val="Indenta"/>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0" w:name="_Toc48306933"/>
      <w:r>
        <w:rPr>
          <w:rStyle w:val="CharSectno"/>
        </w:rPr>
        <w:t>6</w:t>
      </w:r>
      <w:r>
        <w:t>.</w:t>
      </w:r>
      <w:r>
        <w:tab/>
        <w:t>Term used: committing a serious offence</w:t>
      </w:r>
      <w:bookmarkEnd w:id="10"/>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11" w:name="_Toc48306934"/>
      <w:r>
        <w:rPr>
          <w:rStyle w:val="CharSectno"/>
        </w:rPr>
        <w:t>7</w:t>
      </w:r>
      <w:r>
        <w:t>.</w:t>
      </w:r>
      <w:r>
        <w:tab/>
        <w:t>Term used: high risk serious offender</w:t>
      </w:r>
      <w:bookmarkEnd w:id="11"/>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12" w:name="_Toc48306935"/>
      <w:r>
        <w:rPr>
          <w:rStyle w:val="CharSectno"/>
        </w:rPr>
        <w:t>8</w:t>
      </w:r>
      <w:r>
        <w:t>.</w:t>
      </w:r>
      <w:r>
        <w:tab/>
        <w:t>Objects of this Act</w:t>
      </w:r>
      <w:bookmarkEnd w:id="12"/>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tab/>
        <w:t>(b)</w:t>
      </w:r>
      <w:r>
        <w:tab/>
        <w:t>to provide for continuing control, care or treatment of high risk serious offenders.</w:t>
      </w:r>
    </w:p>
    <w:p>
      <w:pPr>
        <w:pStyle w:val="Heading5"/>
      </w:pPr>
      <w:bookmarkStart w:id="13" w:name="_Toc48306936"/>
      <w:r>
        <w:rPr>
          <w:rStyle w:val="CharSectno"/>
        </w:rPr>
        <w:t>9</w:t>
      </w:r>
      <w:r>
        <w:t>.</w:t>
      </w:r>
      <w:r>
        <w:tab/>
        <w:t>Act binds Crown</w:t>
      </w:r>
      <w:bookmarkEnd w:id="13"/>
    </w:p>
    <w:p>
      <w:pPr>
        <w:pStyle w:val="Subsection"/>
      </w:pPr>
      <w:r>
        <w:tab/>
      </w:r>
      <w:r>
        <w:tab/>
        <w:t>This Act binds the Crown in right of Western Australia and, so far as the legislative power of the Parliament permits, the Crown in all its other capacities.</w:t>
      </w:r>
    </w:p>
    <w:p>
      <w:pPr>
        <w:pStyle w:val="Heading5"/>
      </w:pPr>
      <w:bookmarkStart w:id="14" w:name="_Toc48306937"/>
      <w:r>
        <w:rPr>
          <w:rStyle w:val="CharSectno"/>
        </w:rPr>
        <w:t>10</w:t>
      </w:r>
      <w:r>
        <w:t>.</w:t>
      </w:r>
      <w:r>
        <w:tab/>
        <w:t xml:space="preserve">Application of </w:t>
      </w:r>
      <w:r>
        <w:rPr>
          <w:i/>
        </w:rPr>
        <w:t>Bail Act 1982</w:t>
      </w:r>
      <w:bookmarkEnd w:id="14"/>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15" w:name="_Toc48306938"/>
      <w:r>
        <w:rPr>
          <w:rStyle w:val="CharSectno"/>
        </w:rPr>
        <w:t>11</w:t>
      </w:r>
      <w:r>
        <w:t>.</w:t>
      </w:r>
      <w:r>
        <w:tab/>
        <w:t>Proceedings under this Act</w:t>
      </w:r>
      <w:bookmarkEnd w:id="15"/>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16" w:name="_Toc48306939"/>
      <w:r>
        <w:rPr>
          <w:rStyle w:val="CharSectno"/>
        </w:rPr>
        <w:t>12</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17" w:name="_Toc48306940"/>
      <w:r>
        <w:rPr>
          <w:rStyle w:val="CharSectno"/>
        </w:rPr>
        <w:t>13</w:t>
      </w:r>
      <w:r>
        <w:t>.</w:t>
      </w:r>
      <w:r>
        <w:tab/>
        <w:t xml:space="preserve">Application of </w:t>
      </w:r>
      <w:r>
        <w:rPr>
          <w:i/>
        </w:rPr>
        <w:t>Freedom of Information Act 1992</w:t>
      </w:r>
      <w:r>
        <w:t xml:space="preserve"> limited</w:t>
      </w:r>
      <w:bookmarkEnd w:id="17"/>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tab/>
        <w:t>(b)</w:t>
      </w:r>
      <w:r>
        <w:tab/>
        <w:t>any application or other proceedings under this Act.</w:t>
      </w:r>
    </w:p>
    <w:p>
      <w:pPr>
        <w:pStyle w:val="Ednotepart"/>
      </w:pPr>
      <w:r>
        <w:t>[Parts 2-7</w:t>
      </w:r>
      <w:r>
        <w:tab/>
        <w:t>have not come into operation.]</w:t>
      </w:r>
    </w:p>
    <w:p>
      <w:pPr>
        <w:pStyle w:val="Heading2"/>
      </w:pPr>
      <w:bookmarkStart w:id="18" w:name="_Toc48121813"/>
      <w:bookmarkStart w:id="19" w:name="_Toc48306941"/>
      <w:r>
        <w:rPr>
          <w:rStyle w:val="CharPartNo"/>
        </w:rPr>
        <w:t>Part 8</w:t>
      </w:r>
      <w:r>
        <w:rPr>
          <w:rStyle w:val="CharDivNo"/>
        </w:rPr>
        <w:t> </w:t>
      </w:r>
      <w:r>
        <w:t>—</w:t>
      </w:r>
      <w:r>
        <w:rPr>
          <w:rStyle w:val="CharDivText"/>
        </w:rPr>
        <w:t> </w:t>
      </w:r>
      <w:r>
        <w:rPr>
          <w:rStyle w:val="CharPartText"/>
        </w:rPr>
        <w:t>General</w:t>
      </w:r>
      <w:bookmarkEnd w:id="18"/>
      <w:bookmarkEnd w:id="19"/>
    </w:p>
    <w:p>
      <w:pPr>
        <w:pStyle w:val="Ednotesection"/>
      </w:pPr>
      <w:r>
        <w:t>[</w:t>
      </w:r>
      <w:r>
        <w:rPr>
          <w:b/>
        </w:rPr>
        <w:t>79</w:t>
      </w:r>
      <w:r>
        <w:t>-</w:t>
      </w:r>
      <w:r>
        <w:rPr>
          <w:b/>
        </w:rPr>
        <w:t>90.</w:t>
      </w:r>
      <w:r>
        <w:tab/>
        <w:t>Have not come into operation.]</w:t>
      </w:r>
    </w:p>
    <w:p>
      <w:pPr>
        <w:pStyle w:val="Heading5"/>
      </w:pPr>
      <w:bookmarkStart w:id="20" w:name="_Toc48306942"/>
      <w:r>
        <w:rPr>
          <w:rStyle w:val="CharSectno"/>
        </w:rPr>
        <w:t>91</w:t>
      </w:r>
      <w:r>
        <w:t>.</w:t>
      </w:r>
      <w:r>
        <w:tab/>
        <w:t>Review of this Act</w:t>
      </w:r>
      <w:bookmarkEnd w:id="20"/>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Ednotepart"/>
      </w:pPr>
      <w:r>
        <w:t>[Parts 9 and 10 have not come into operation.]</w:t>
      </w:r>
    </w:p>
    <w:p>
      <w:pPr>
        <w:pStyle w:val="yEdnoteschedule"/>
      </w:pPr>
      <w:r>
        <w:t>[Schedule 1 has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pP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21" w:name="_Toc48121815"/>
      <w:bookmarkStart w:id="22" w:name="_Toc48306943"/>
      <w:r>
        <w:t>Notes</w:t>
      </w:r>
      <w:bookmarkEnd w:id="21"/>
      <w:bookmarkEnd w:id="22"/>
    </w:p>
    <w:p>
      <w:pPr>
        <w:pStyle w:val="nStatement"/>
      </w:pPr>
      <w:r>
        <w:t xml:space="preserve">This is a compilation of the </w:t>
      </w:r>
      <w:r>
        <w:rPr>
          <w:i/>
          <w:noProof/>
        </w:rPr>
        <w:t>High Risk Serious Offenders Act 2020</w:t>
      </w:r>
      <w:r>
        <w:t>. For provisions that have come into operation see the compilation table. For provisions that have not yet come into operation see the uncommenced provisions table.</w:t>
      </w:r>
    </w:p>
    <w:p>
      <w:pPr>
        <w:pStyle w:val="nHeading3"/>
      </w:pPr>
      <w:bookmarkStart w:id="23" w:name="_Toc48306944"/>
      <w: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t xml:space="preserve"> Pt. 1 and s. 91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Pt. 1: 9 Jul 2020 (see s. 2(1)(a));</w:t>
            </w:r>
            <w:r>
              <w:br/>
              <w:t>s. 91: 10 Jul 2020 (see s. 2(1)(b))</w:t>
            </w:r>
          </w:p>
        </w:tc>
      </w:tr>
    </w:tbl>
    <w:p>
      <w:pPr>
        <w:pStyle w:val="nHeading3"/>
      </w:pPr>
      <w:bookmarkStart w:id="24" w:name="_Toc48306945"/>
      <w:r>
        <w:t>Uncommenced provisions table</w:t>
      </w:r>
      <w:bookmarkEnd w:id="2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rPr>
                <w:noProof/>
              </w:rPr>
              <w:t xml:space="preserve"> Pt. 2-7, Pt. 8 (other than s. 91), Pt. 9 and 10 and Sch. 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Act other than Pt. 1, s. 91 and Sch. 1 Div. 1 Subdiv. 1 it. 1: 26 Aug 2020 (see s. 2(1)(c) and SL 2020/131 cl. 2);</w:t>
            </w:r>
            <w:r>
              <w:br/>
              <w:t>Sch. 1 Div. 1 Subdiv. 1 it. 1: To be proclaimed (see s. 2(1)(c))</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6" w:name="_Toc48121818"/>
      <w:bookmarkStart w:id="27" w:name="_Toc48306946"/>
      <w:r>
        <w:rPr>
          <w:sz w:val="28"/>
        </w:rPr>
        <w:t>Defined terms</w:t>
      </w:r>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CEO</w:t>
      </w:r>
      <w:r>
        <w:tab/>
        <w:t>3</w:t>
      </w:r>
    </w:p>
    <w:p>
      <w:pPr>
        <w:pStyle w:val="DefinedTerms"/>
      </w:pPr>
      <w:r>
        <w:t>committing</w:t>
      </w:r>
      <w:r>
        <w:tab/>
        <w:t>3, 6</w:t>
      </w:r>
    </w:p>
    <w:p>
      <w:pPr>
        <w:pStyle w:val="DefinedTerms"/>
      </w:pPr>
      <w:r>
        <w:t>community</w:t>
      </w:r>
      <w:r>
        <w:tab/>
        <w:t>3, 4</w:t>
      </w:r>
    </w:p>
    <w:p>
      <w:pPr>
        <w:pStyle w:val="DefinedTerms"/>
      </w:pPr>
      <w:r>
        <w:t>community corrections officer</w:t>
      </w:r>
      <w:r>
        <w:tab/>
        <w:t>3</w:t>
      </w:r>
    </w:p>
    <w:p>
      <w:pPr>
        <w:pStyle w:val="DefinedTerms"/>
      </w:pPr>
      <w:r>
        <w:t>continuing detention order</w:t>
      </w:r>
      <w:r>
        <w:tab/>
        <w:t>3</w:t>
      </w:r>
    </w:p>
    <w:p>
      <w:pPr>
        <w:pStyle w:val="DefinedTerms"/>
      </w:pPr>
      <w:r>
        <w:t>criminal record</w:t>
      </w:r>
      <w:r>
        <w:tab/>
        <w:t>3</w:t>
      </w:r>
    </w:p>
    <w:p>
      <w:pPr>
        <w:pStyle w:val="DefinedTerms"/>
      </w:pPr>
      <w:r>
        <w:t>Department</w:t>
      </w:r>
      <w:r>
        <w:tab/>
        <w:t>3</w:t>
      </w:r>
    </w:p>
    <w:p>
      <w:pPr>
        <w:pStyle w:val="DefinedTerms"/>
      </w:pPr>
      <w:r>
        <w:t>high risk serious offender</w:t>
      </w:r>
      <w:r>
        <w:tab/>
        <w:t>3, 7(1)</w:t>
      </w:r>
    </w:p>
    <w:p>
      <w:pPr>
        <w:pStyle w:val="DefinedTerms"/>
      </w:pPr>
      <w:r>
        <w:t>interim supervision order</w:t>
      </w:r>
      <w:r>
        <w:tab/>
        <w:t>3</w:t>
      </w:r>
    </w:p>
    <w:p>
      <w:pPr>
        <w:pStyle w:val="DefinedTerms"/>
      </w:pPr>
      <w:r>
        <w:t>offender</w:t>
      </w:r>
      <w:r>
        <w:tab/>
        <w:t>3</w:t>
      </w:r>
    </w:p>
    <w:p>
      <w:pPr>
        <w:pStyle w:val="DefinedTerms"/>
      </w:pPr>
      <w:r>
        <w:t>preliminary hearing</w:t>
      </w:r>
      <w:r>
        <w:tab/>
        <w:t>3</w:t>
      </w:r>
    </w:p>
    <w:p>
      <w:pPr>
        <w:pStyle w:val="DefinedTerms"/>
      </w:pPr>
      <w:r>
        <w:t>psychiatrist</w:t>
      </w:r>
      <w:r>
        <w:tab/>
        <w:t>3</w:t>
      </w:r>
    </w:p>
    <w:p>
      <w:pPr>
        <w:pStyle w:val="DefinedTerms"/>
      </w:pPr>
      <w:r>
        <w:t>public sector body</w:t>
      </w:r>
      <w:r>
        <w:tab/>
        <w:t>3</w:t>
      </w:r>
    </w:p>
    <w:p>
      <w:pPr>
        <w:pStyle w:val="DefinedTerms"/>
      </w:pPr>
      <w:r>
        <w:t>qualified expert</w:t>
      </w:r>
      <w:r>
        <w:tab/>
        <w:t>3</w:t>
      </w:r>
    </w:p>
    <w:p>
      <w:pPr>
        <w:pStyle w:val="DefinedTerms"/>
      </w:pPr>
      <w:r>
        <w:t>qualified psychologist</w:t>
      </w:r>
      <w:r>
        <w:tab/>
        <w:t>3</w:t>
      </w:r>
    </w:p>
    <w:p>
      <w:pPr>
        <w:pStyle w:val="DefinedTerms"/>
      </w:pPr>
      <w:r>
        <w:t>relevant agency</w:t>
      </w:r>
      <w:r>
        <w:tab/>
        <w:t>3</w:t>
      </w:r>
    </w:p>
    <w:p>
      <w:pPr>
        <w:pStyle w:val="DefinedTerms"/>
      </w:pPr>
      <w:r>
        <w:t>restriction order</w:t>
      </w:r>
      <w:r>
        <w:tab/>
        <w:t>3</w:t>
      </w:r>
    </w:p>
    <w:p>
      <w:pPr>
        <w:pStyle w:val="DefinedTerms"/>
      </w:pPr>
      <w:r>
        <w:t>restriction order application</w:t>
      </w:r>
      <w:r>
        <w:tab/>
        <w:t>3</w:t>
      </w:r>
    </w:p>
    <w:p>
      <w:pPr>
        <w:pStyle w:val="DefinedTerms"/>
      </w:pPr>
      <w:r>
        <w:t>serious offence</w:t>
      </w:r>
      <w:r>
        <w:tab/>
        <w:t>3, 5(1), 5(2), 5(3), 5(4), 5(5), 5(6)</w:t>
      </w:r>
    </w:p>
    <w:p>
      <w:pPr>
        <w:pStyle w:val="DefinedTerms"/>
      </w:pPr>
      <w:r>
        <w:t>serious offender functions</w:t>
      </w:r>
      <w:r>
        <w:tab/>
        <w:t>3</w:t>
      </w:r>
    </w:p>
    <w:p>
      <w:pPr>
        <w:pStyle w:val="DefinedTerms"/>
      </w:pPr>
      <w:r>
        <w:t>serious offender under custodial sentence</w:t>
      </w:r>
      <w:r>
        <w:tab/>
        <w:t>3</w:t>
      </w:r>
    </w:p>
    <w:p>
      <w:pPr>
        <w:pStyle w:val="DefinedTerms"/>
      </w:pPr>
      <w:r>
        <w:t>serious offender under restriction</w:t>
      </w:r>
      <w:r>
        <w:tab/>
        <w:t>3</w:t>
      </w:r>
    </w:p>
    <w:p>
      <w:pPr>
        <w:pStyle w:val="DefinedTerms"/>
      </w:pPr>
      <w:r>
        <w:t>standard condition</w:t>
      </w:r>
      <w:r>
        <w:tab/>
        <w:t>3</w:t>
      </w:r>
    </w:p>
    <w:p>
      <w:pPr>
        <w:pStyle w:val="DefinedTerms"/>
      </w:pPr>
      <w:r>
        <w:t>supervision order</w:t>
      </w:r>
      <w:r>
        <w:tab/>
        <w:t>3</w:t>
      </w:r>
    </w:p>
    <w:p>
      <w:pPr>
        <w:pStyle w:val="DefinedTerms"/>
      </w:pPr>
      <w:r>
        <w:t>supporting agency</w:t>
      </w:r>
      <w:r>
        <w:tab/>
        <w:t>3</w:t>
      </w:r>
    </w:p>
    <w:p>
      <w:pPr>
        <w:pStyle w:val="DefinedTerms"/>
      </w:pPr>
      <w:r>
        <w:t>under a custodial sentence</w:t>
      </w:r>
      <w:r>
        <w:tab/>
        <w:t>3</w:t>
      </w:r>
    </w:p>
    <w:p>
      <w:pPr>
        <w:pStyle w:val="DefinedTerms"/>
      </w:pPr>
      <w:r>
        <w:t>victim</w:t>
      </w:r>
      <w:r>
        <w:tab/>
        <w:t>3</w:t>
      </w:r>
    </w:p>
    <w:p>
      <w:pPr>
        <w:pStyle w:val="DefinedTerms"/>
      </w:pPr>
      <w:r>
        <w:t>victim submission</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 w:name="DefinedTerms"/>
    <w:bookmarkEnd w:id="2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0452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D75E-71C8-4FB3-8020-C259BA7F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2985</Words>
  <Characters>14567</Characters>
  <Application>Microsoft Office Word</Application>
  <DocSecurity>0</DocSecurity>
  <Lines>455</Lines>
  <Paragraphs>297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17255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2020 - 00-a0-02</dc:title>
  <dc:subject/>
  <dc:creator/>
  <cp:keywords/>
  <dc:description/>
  <cp:lastModifiedBy>svcMRProcess</cp:lastModifiedBy>
  <cp:revision>4</cp:revision>
  <cp:lastPrinted>2020-07-10T02:49:00Z</cp:lastPrinted>
  <dcterms:created xsi:type="dcterms:W3CDTF">2020-08-14T06:34:00Z</dcterms:created>
  <dcterms:modified xsi:type="dcterms:W3CDTF">2020-08-14T06:34:00Z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AsAtDate">
    <vt:lpwstr>09 Jul 2020</vt:lpwstr>
  </property>
  <property fmtid="{D5CDD505-2E9C-101B-9397-08002B2CF9AE}" pid="6" name="Suffix">
    <vt:lpwstr>00-a0-02</vt:lpwstr>
  </property>
  <property fmtid="{D5CDD505-2E9C-101B-9397-08002B2CF9AE}" pid="7" name="CommencementDate">
    <vt:lpwstr>20200709</vt:lpwstr>
  </property>
</Properties>
</file>