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Sentencing Act 1995</w:t>
      </w:r>
      <w:r>
        <w:fldChar w:fldCharType="end"/>
      </w:r>
    </w:p>
    <w:p>
      <w:pPr>
        <w:jc w:val="center"/>
        <w:sectPr>
          <w:headerReference w:type="even" r:id="rId11"/>
          <w:headerReference w:type="default" r:id="rId12"/>
          <w:footerReference w:type="even" r:id="rId13"/>
          <w:footerReference w:type="default" r:id="rId14"/>
          <w:headerReference w:type="first" r:id="rId15"/>
          <w:footerReference w:type="first" r:id="rId16"/>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_Toc45288563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_Toc45288564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this Act</w:t>
      </w:r>
      <w:r>
        <w:tab/>
      </w:r>
      <w:r>
        <w:fldChar w:fldCharType="begin"/>
      </w:r>
      <w:r>
        <w:instrText xml:space="preserve"> PAGEREF _Toc45288565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_Toc45288566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_Toc45288567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Civil liability not affected</w:t>
      </w:r>
      <w:r>
        <w:tab/>
      </w:r>
      <w:r>
        <w:fldChar w:fldCharType="begin"/>
      </w:r>
      <w:r>
        <w:instrText xml:space="preserve"> PAGEREF _Toc45288568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Sentencing principles</w:t>
      </w:r>
    </w:p>
    <w:p>
      <w:pPr>
        <w:pStyle w:val="TOC8"/>
        <w:rPr>
          <w:rFonts w:asciiTheme="minorHAnsi" w:eastAsiaTheme="minorEastAsia" w:hAnsiTheme="minorHAnsi" w:cstheme="minorBidi"/>
          <w:szCs w:val="22"/>
        </w:rPr>
      </w:pPr>
      <w:r>
        <w:t>6</w:t>
      </w:r>
      <w:r>
        <w:rPr>
          <w:snapToGrid w:val="0"/>
        </w:rPr>
        <w:t>.</w:t>
      </w:r>
      <w:r>
        <w:rPr>
          <w:snapToGrid w:val="0"/>
        </w:rPr>
        <w:tab/>
        <w:t>Principles of sentencing</w:t>
      </w:r>
      <w:r>
        <w:tab/>
      </w:r>
      <w:r>
        <w:fldChar w:fldCharType="begin"/>
      </w:r>
      <w:r>
        <w:instrText xml:space="preserve"> PAGEREF _Toc45288571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Aggravating factors</w:t>
      </w:r>
      <w:r>
        <w:tab/>
      </w:r>
      <w:r>
        <w:fldChar w:fldCharType="begin"/>
      </w:r>
      <w:r>
        <w:instrText xml:space="preserve"> PAGEREF _Toc45288572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Mitigating factors</w:t>
      </w:r>
      <w:r>
        <w:tab/>
      </w:r>
      <w:r>
        <w:fldChar w:fldCharType="begin"/>
      </w:r>
      <w:r>
        <w:instrText xml:space="preserve"> PAGEREF _Toc45288573 \h </w:instrText>
      </w:r>
      <w:r>
        <w:fldChar w:fldCharType="separate"/>
      </w:r>
      <w:r>
        <w:t>7</w:t>
      </w:r>
      <w:r>
        <w:fldChar w:fldCharType="end"/>
      </w:r>
    </w:p>
    <w:p>
      <w:pPr>
        <w:pStyle w:val="TOC8"/>
        <w:rPr>
          <w:rFonts w:asciiTheme="minorHAnsi" w:eastAsiaTheme="minorEastAsia" w:hAnsiTheme="minorHAnsi" w:cstheme="minorBidi"/>
          <w:szCs w:val="22"/>
        </w:rPr>
      </w:pPr>
      <w:r>
        <w:t>9AA.</w:t>
      </w:r>
      <w:r>
        <w:tab/>
        <w:t>Plea of guilty, sentence may be reduced in case of</w:t>
      </w:r>
      <w:r>
        <w:tab/>
      </w:r>
      <w:r>
        <w:fldChar w:fldCharType="begin"/>
      </w:r>
      <w:r>
        <w:instrText xml:space="preserve"> PAGEREF _Toc45288574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2A — Sentencing where declared criminal organisations involved</w:t>
      </w:r>
    </w:p>
    <w:p>
      <w:pPr>
        <w:pStyle w:val="TOC8"/>
        <w:rPr>
          <w:rFonts w:asciiTheme="minorHAnsi" w:eastAsiaTheme="minorEastAsia" w:hAnsiTheme="minorHAnsi" w:cstheme="minorBidi"/>
          <w:szCs w:val="22"/>
        </w:rPr>
      </w:pPr>
      <w:r>
        <w:t>9A.</w:t>
      </w:r>
      <w:r>
        <w:tab/>
        <w:t>Terms used</w:t>
      </w:r>
      <w:r>
        <w:tab/>
      </w:r>
      <w:r>
        <w:fldChar w:fldCharType="begin"/>
      </w:r>
      <w:r>
        <w:instrText xml:space="preserve"> PAGEREF _Toc45288576 \h </w:instrText>
      </w:r>
      <w:r>
        <w:fldChar w:fldCharType="separate"/>
      </w:r>
      <w:r>
        <w:t>9</w:t>
      </w:r>
      <w:r>
        <w:fldChar w:fldCharType="end"/>
      </w:r>
    </w:p>
    <w:p>
      <w:pPr>
        <w:pStyle w:val="TOC8"/>
        <w:rPr>
          <w:rFonts w:asciiTheme="minorHAnsi" w:eastAsiaTheme="minorEastAsia" w:hAnsiTheme="minorHAnsi" w:cstheme="minorBidi"/>
          <w:szCs w:val="22"/>
        </w:rPr>
      </w:pPr>
      <w:r>
        <w:t>9B.</w:t>
      </w:r>
      <w:r>
        <w:tab/>
        <w:t>Application of this Division</w:t>
      </w:r>
      <w:r>
        <w:tab/>
      </w:r>
      <w:r>
        <w:fldChar w:fldCharType="begin"/>
      </w:r>
      <w:r>
        <w:instrText xml:space="preserve"> PAGEREF _Toc45288577 \h </w:instrText>
      </w:r>
      <w:r>
        <w:fldChar w:fldCharType="separate"/>
      </w:r>
      <w:r>
        <w:t>10</w:t>
      </w:r>
      <w:r>
        <w:fldChar w:fldCharType="end"/>
      </w:r>
    </w:p>
    <w:p>
      <w:pPr>
        <w:pStyle w:val="TOC8"/>
        <w:rPr>
          <w:rFonts w:asciiTheme="minorHAnsi" w:eastAsiaTheme="minorEastAsia" w:hAnsiTheme="minorHAnsi" w:cstheme="minorBidi"/>
          <w:szCs w:val="22"/>
        </w:rPr>
      </w:pPr>
      <w:r>
        <w:t>9C.</w:t>
      </w:r>
      <w:r>
        <w:tab/>
        <w:t>Principal objectives of sentencing for offences where declared criminal organisation involved</w:t>
      </w:r>
      <w:r>
        <w:tab/>
      </w:r>
      <w:r>
        <w:fldChar w:fldCharType="begin"/>
      </w:r>
      <w:r>
        <w:instrText xml:space="preserve"> PAGEREF _Toc45288578 \h </w:instrText>
      </w:r>
      <w:r>
        <w:fldChar w:fldCharType="separate"/>
      </w:r>
      <w:r>
        <w:t>10</w:t>
      </w:r>
      <w:r>
        <w:fldChar w:fldCharType="end"/>
      </w:r>
    </w:p>
    <w:p>
      <w:pPr>
        <w:pStyle w:val="TOC8"/>
        <w:rPr>
          <w:rFonts w:asciiTheme="minorHAnsi" w:eastAsiaTheme="minorEastAsia" w:hAnsiTheme="minorHAnsi" w:cstheme="minorBidi"/>
          <w:szCs w:val="22"/>
        </w:rPr>
      </w:pPr>
      <w:r>
        <w:t>9D.</w:t>
      </w:r>
      <w:r>
        <w:tab/>
        <w:t>Mandatory minimum sentences where declared criminal organisation involved</w:t>
      </w:r>
      <w:r>
        <w:tab/>
      </w:r>
      <w:r>
        <w:fldChar w:fldCharType="begin"/>
      </w:r>
      <w:r>
        <w:instrText xml:space="preserve"> PAGEREF _Toc45288579 \h </w:instrText>
      </w:r>
      <w:r>
        <w:fldChar w:fldCharType="separate"/>
      </w:r>
      <w:r>
        <w:t>10</w:t>
      </w:r>
      <w:r>
        <w:fldChar w:fldCharType="end"/>
      </w:r>
    </w:p>
    <w:p>
      <w:pPr>
        <w:pStyle w:val="TOC8"/>
        <w:rPr>
          <w:rFonts w:asciiTheme="minorHAnsi" w:eastAsiaTheme="minorEastAsia" w:hAnsiTheme="minorHAnsi" w:cstheme="minorBidi"/>
          <w:szCs w:val="22"/>
        </w:rPr>
      </w:pPr>
      <w:r>
        <w:t>9E.</w:t>
      </w:r>
      <w:r>
        <w:tab/>
        <w:t>Section 9D not applicable to persons aged under 18</w:t>
      </w:r>
      <w:r>
        <w:tab/>
      </w:r>
      <w:r>
        <w:fldChar w:fldCharType="begin"/>
      </w:r>
      <w:r>
        <w:instrText xml:space="preserve"> PAGEREF _Toc45288580 \h </w:instrText>
      </w:r>
      <w:r>
        <w:fldChar w:fldCharType="separate"/>
      </w:r>
      <w:r>
        <w:t>12</w:t>
      </w:r>
      <w:r>
        <w:fldChar w:fldCharType="end"/>
      </w:r>
    </w:p>
    <w:p>
      <w:pPr>
        <w:pStyle w:val="TOC8"/>
        <w:rPr>
          <w:rFonts w:asciiTheme="minorHAnsi" w:eastAsiaTheme="minorEastAsia" w:hAnsiTheme="minorHAnsi" w:cstheme="minorBidi"/>
          <w:szCs w:val="22"/>
        </w:rPr>
      </w:pPr>
      <w:r>
        <w:t>9F.</w:t>
      </w:r>
      <w:r>
        <w:tab/>
        <w:t>Further provisions relating to mandatory minimum sentences imposed under section 9D</w:t>
      </w:r>
      <w:r>
        <w:tab/>
      </w:r>
      <w:r>
        <w:fldChar w:fldCharType="begin"/>
      </w:r>
      <w:r>
        <w:instrText xml:space="preserve"> PAGEREF _Toc45288581 \h </w:instrText>
      </w:r>
      <w:r>
        <w:fldChar w:fldCharType="separate"/>
      </w:r>
      <w:r>
        <w:t>12</w:t>
      </w:r>
      <w:r>
        <w:fldChar w:fldCharType="end"/>
      </w:r>
    </w:p>
    <w:p>
      <w:pPr>
        <w:pStyle w:val="TOC8"/>
        <w:rPr>
          <w:rFonts w:asciiTheme="minorHAnsi" w:eastAsiaTheme="minorEastAsia" w:hAnsiTheme="minorHAnsi" w:cstheme="minorBidi"/>
          <w:szCs w:val="22"/>
        </w:rPr>
      </w:pPr>
      <w:r>
        <w:t>9G.</w:t>
      </w:r>
      <w:r>
        <w:tab/>
        <w:t>Eligibility for parole</w:t>
      </w:r>
      <w:r>
        <w:tab/>
      </w:r>
      <w:r>
        <w:fldChar w:fldCharType="begin"/>
      </w:r>
      <w:r>
        <w:instrText xml:space="preserve"> PAGEREF _Toc45288582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Miscellaneous</w:t>
      </w:r>
    </w:p>
    <w:p>
      <w:pPr>
        <w:pStyle w:val="TOC8"/>
        <w:rPr>
          <w:rFonts w:asciiTheme="minorHAnsi" w:eastAsiaTheme="minorEastAsia" w:hAnsiTheme="minorHAnsi" w:cstheme="minorBidi"/>
          <w:szCs w:val="22"/>
        </w:rPr>
      </w:pPr>
      <w:r>
        <w:t>9</w:t>
      </w:r>
      <w:r>
        <w:rPr>
          <w:snapToGrid w:val="0"/>
        </w:rPr>
        <w:t>.</w:t>
      </w:r>
      <w:r>
        <w:rPr>
          <w:snapToGrid w:val="0"/>
        </w:rPr>
        <w:tab/>
        <w:t>Statutory penalty, effect of</w:t>
      </w:r>
      <w:r>
        <w:tab/>
      </w:r>
      <w:r>
        <w:fldChar w:fldCharType="begin"/>
      </w:r>
      <w:r>
        <w:instrText xml:space="preserve"> PAGEREF _Toc45288584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Change of statutory penalty, effect of</w:t>
      </w:r>
      <w:r>
        <w:tab/>
      </w:r>
      <w:r>
        <w:fldChar w:fldCharType="begin"/>
      </w:r>
      <w:r>
        <w:instrText xml:space="preserve"> PAGEREF _Toc45288585 \h </w:instrText>
      </w:r>
      <w:r>
        <w:fldChar w:fldCharType="separate"/>
      </w:r>
      <w:r>
        <w:t>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 not to be sentenced twice on same evidence</w:t>
      </w:r>
      <w:r>
        <w:tab/>
      </w:r>
      <w:r>
        <w:fldChar w:fldCharType="begin"/>
      </w:r>
      <w:r>
        <w:instrText xml:space="preserve"> PAGEREF _Toc45288586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Common law bonds abolished</w:t>
      </w:r>
      <w:r>
        <w:tab/>
      </w:r>
      <w:r>
        <w:fldChar w:fldCharType="begin"/>
      </w:r>
      <w:r>
        <w:instrText xml:space="preserve"> PAGEREF _Toc45288587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Matters preliminary to sentencing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13</w:t>
      </w:r>
      <w:r>
        <w:rPr>
          <w:snapToGrid w:val="0"/>
        </w:rPr>
        <w:t>.</w:t>
      </w:r>
      <w:r>
        <w:rPr>
          <w:snapToGrid w:val="0"/>
        </w:rPr>
        <w:tab/>
        <w:t>Term used: victim</w:t>
      </w:r>
      <w:r>
        <w:tab/>
      </w:r>
      <w:r>
        <w:fldChar w:fldCharType="begin"/>
      </w:r>
      <w:r>
        <w:instrText xml:space="preserve"> PAGEREF _Toc45288590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14</w:t>
      </w:r>
      <w:r>
        <w:rPr>
          <w:snapToGrid w:val="0"/>
        </w:rPr>
        <w:t>.</w:t>
      </w:r>
      <w:r>
        <w:rPr>
          <w:snapToGrid w:val="0"/>
        </w:rPr>
        <w:tab/>
        <w:t>Offender to be present for sentencing</w:t>
      </w:r>
      <w:r>
        <w:tab/>
      </w:r>
      <w:r>
        <w:fldChar w:fldCharType="begin"/>
      </w:r>
      <w:r>
        <w:instrText xml:space="preserve"> PAGEREF _Toc45288592 \h </w:instrText>
      </w:r>
      <w:r>
        <w:fldChar w:fldCharType="separate"/>
      </w:r>
      <w:r>
        <w:t>17</w:t>
      </w:r>
      <w:r>
        <w:fldChar w:fldCharType="end"/>
      </w:r>
    </w:p>
    <w:p>
      <w:pPr>
        <w:pStyle w:val="TOC8"/>
        <w:rPr>
          <w:rFonts w:asciiTheme="minorHAnsi" w:eastAsiaTheme="minorEastAsia" w:hAnsiTheme="minorHAnsi" w:cstheme="minorBidi"/>
          <w:szCs w:val="22"/>
        </w:rPr>
      </w:pPr>
      <w:r>
        <w:t>14A.</w:t>
      </w:r>
      <w:r>
        <w:tab/>
        <w:t>Video link, use of for sentencing</w:t>
      </w:r>
      <w:r>
        <w:tab/>
      </w:r>
      <w:r>
        <w:fldChar w:fldCharType="begin"/>
      </w:r>
      <w:r>
        <w:instrText xml:space="preserve"> PAGEREF _Toc45288593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Court may inform itself as it thinks fit</w:t>
      </w:r>
      <w:r>
        <w:tab/>
      </w:r>
      <w:r>
        <w:fldChar w:fldCharType="begin"/>
      </w:r>
      <w:r>
        <w:instrText xml:space="preserve"> PAGEREF _Toc45288594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Adjourning sentencing</w:t>
      </w:r>
      <w:r>
        <w:tab/>
      </w:r>
      <w:r>
        <w:fldChar w:fldCharType="begin"/>
      </w:r>
      <w:r>
        <w:instrText xml:space="preserve"> PAGEREF _Toc45288595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Court’s powers on adjourning</w:t>
      </w:r>
      <w:r>
        <w:tab/>
      </w:r>
      <w:r>
        <w:fldChar w:fldCharType="begin"/>
      </w:r>
      <w:r>
        <w:instrText xml:space="preserve"> PAGEREF _Toc45288596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Committal for sentence</w:t>
      </w:r>
      <w:r>
        <w:tab/>
      </w:r>
      <w:r>
        <w:fldChar w:fldCharType="begin"/>
      </w:r>
      <w:r>
        <w:instrText xml:space="preserve"> PAGEREF _Toc45288597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Information about the offender</w:t>
      </w:r>
    </w:p>
    <w:p>
      <w:pPr>
        <w:pStyle w:val="TOC8"/>
        <w:rPr>
          <w:rFonts w:asciiTheme="minorHAnsi" w:eastAsiaTheme="minorEastAsia" w:hAnsiTheme="minorHAnsi" w:cstheme="minorBidi"/>
          <w:szCs w:val="22"/>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_Toc45288599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Pre</w:t>
      </w:r>
      <w:r>
        <w:rPr>
          <w:snapToGrid w:val="0"/>
        </w:rPr>
        <w:noBreakHyphen/>
        <w:t>sentence report, content of</w:t>
      </w:r>
      <w:r>
        <w:tab/>
      </w:r>
      <w:r>
        <w:fldChar w:fldCharType="begin"/>
      </w:r>
      <w:r>
        <w:instrText xml:space="preserve"> PAGEREF _Toc45288600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w:t>
      </w:r>
      <w:r>
        <w:rPr>
          <w:snapToGrid w:val="0"/>
        </w:rPr>
        <w:noBreakHyphen/>
        <w:t>sentence report, preparation of</w:t>
      </w:r>
      <w:r>
        <w:tab/>
      </w:r>
      <w:r>
        <w:fldChar w:fldCharType="begin"/>
      </w:r>
      <w:r>
        <w:instrText xml:space="preserve"> PAGEREF _Toc45288601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Offender’s time in custody etc., information about</w:t>
      </w:r>
      <w:r>
        <w:tab/>
      </w:r>
      <w:r>
        <w:fldChar w:fldCharType="begin"/>
      </w:r>
      <w:r>
        <w:instrText xml:space="preserve"> PAGEREF _Toc45288602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Information about victims etc.</w:t>
      </w:r>
    </w:p>
    <w:p>
      <w:pPr>
        <w:pStyle w:val="TOC8"/>
        <w:rPr>
          <w:rFonts w:asciiTheme="minorHAnsi" w:eastAsiaTheme="minorEastAsia" w:hAnsiTheme="minorHAnsi" w:cstheme="minorBidi"/>
          <w:szCs w:val="22"/>
        </w:rPr>
      </w:pPr>
      <w:r>
        <w:t>23A.</w:t>
      </w:r>
      <w:r>
        <w:tab/>
        <w:t>Terms used</w:t>
      </w:r>
      <w:r>
        <w:tab/>
      </w:r>
      <w:r>
        <w:fldChar w:fldCharType="begin"/>
      </w:r>
      <w:r>
        <w:instrText xml:space="preserve"> PAGEREF _Toc45288604 \h </w:instrText>
      </w:r>
      <w:r>
        <w:fldChar w:fldCharType="separate"/>
      </w:r>
      <w:r>
        <w:t>23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Victim impact statement, who may give</w:t>
      </w:r>
      <w:r>
        <w:tab/>
      </w:r>
      <w:r>
        <w:fldChar w:fldCharType="begin"/>
      </w:r>
      <w:r>
        <w:instrText xml:space="preserve"> PAGEREF _Toc45288605 \h </w:instrText>
      </w:r>
      <w:r>
        <w:fldChar w:fldCharType="separate"/>
      </w:r>
      <w:r>
        <w:t>24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Victim impact statement, content of</w:t>
      </w:r>
      <w:r>
        <w:tab/>
      </w:r>
      <w:r>
        <w:fldChar w:fldCharType="begin"/>
      </w:r>
      <w:r>
        <w:instrText xml:space="preserve"> PAGEREF _Toc45288606 \h </w:instrText>
      </w:r>
      <w:r>
        <w:fldChar w:fldCharType="separate"/>
      </w:r>
      <w:r>
        <w:t>25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Court’s functions in relation to victim impact statement</w:t>
      </w:r>
      <w:r>
        <w:tab/>
      </w:r>
      <w:r>
        <w:fldChar w:fldCharType="begin"/>
      </w:r>
      <w:r>
        <w:instrText xml:space="preserve"> PAGEREF _Toc45288607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Mediation</w:t>
      </w:r>
    </w:p>
    <w:p>
      <w:pPr>
        <w:pStyle w:val="TOC8"/>
        <w:rPr>
          <w:rFonts w:asciiTheme="minorHAnsi" w:eastAsiaTheme="minorEastAsia" w:hAnsiTheme="minorHAnsi" w:cstheme="minorBidi"/>
          <w:szCs w:val="22"/>
        </w:rPr>
      </w:pPr>
      <w:r>
        <w:t>27</w:t>
      </w:r>
      <w:r>
        <w:rPr>
          <w:snapToGrid w:val="0"/>
        </w:rPr>
        <w:t>.</w:t>
      </w:r>
      <w:r>
        <w:rPr>
          <w:snapToGrid w:val="0"/>
        </w:rPr>
        <w:tab/>
        <w:t>Mediation report, court may order and receive</w:t>
      </w:r>
      <w:r>
        <w:tab/>
      </w:r>
      <w:r>
        <w:fldChar w:fldCharType="begin"/>
      </w:r>
      <w:r>
        <w:instrText xml:space="preserve"> PAGEREF _Toc45288609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Mediation report, content of</w:t>
      </w:r>
      <w:r>
        <w:tab/>
      </w:r>
      <w:r>
        <w:fldChar w:fldCharType="begin"/>
      </w:r>
      <w:r>
        <w:instrText xml:space="preserve"> PAGEREF _Toc45288610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Mediation report, preparation of</w:t>
      </w:r>
      <w:r>
        <w:tab/>
      </w:r>
      <w:r>
        <w:fldChar w:fldCharType="begin"/>
      </w:r>
      <w:r>
        <w:instrText xml:space="preserve"> PAGEREF _Toc45288611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Mediation report, court’s powers as to</w:t>
      </w:r>
      <w:r>
        <w:tab/>
      </w:r>
      <w:r>
        <w:fldChar w:fldCharType="begin"/>
      </w:r>
      <w:r>
        <w:instrText xml:space="preserve"> PAGEREF _Toc45288612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Other pending charges</w:t>
      </w:r>
    </w:p>
    <w:p>
      <w:pPr>
        <w:pStyle w:val="TOC8"/>
        <w:rPr>
          <w:rFonts w:asciiTheme="minorHAnsi" w:eastAsiaTheme="minorEastAsia" w:hAnsiTheme="minorHAnsi" w:cstheme="minorBidi"/>
          <w:szCs w:val="22"/>
        </w:rPr>
      </w:pPr>
      <w:r>
        <w:t>31</w:t>
      </w:r>
      <w:r>
        <w:rPr>
          <w:snapToGrid w:val="0"/>
        </w:rPr>
        <w:t>.</w:t>
      </w:r>
      <w:r>
        <w:rPr>
          <w:snapToGrid w:val="0"/>
        </w:rPr>
        <w:tab/>
        <w:t>Term used: pending charge</w:t>
      </w:r>
      <w:r>
        <w:tab/>
      </w:r>
      <w:r>
        <w:fldChar w:fldCharType="begin"/>
      </w:r>
      <w:r>
        <w:instrText xml:space="preserve"> PAGEREF _Toc45288614 \h </w:instrText>
      </w:r>
      <w:r>
        <w:fldChar w:fldCharType="separate"/>
      </w:r>
      <w:r>
        <w:t>26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Pending charges, offender may request court to deal with</w:t>
      </w:r>
      <w:r>
        <w:tab/>
      </w:r>
      <w:r>
        <w:fldChar w:fldCharType="begin"/>
      </w:r>
      <w:r>
        <w:instrText xml:space="preserve"> PAGEREF _Toc45288615 \h </w:instrText>
      </w:r>
      <w:r>
        <w:fldChar w:fldCharType="separate"/>
      </w:r>
      <w:r>
        <w:t>27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Pending charges, court may deal with</w:t>
      </w:r>
      <w:r>
        <w:tab/>
      </w:r>
      <w:r>
        <w:fldChar w:fldCharType="begin"/>
      </w:r>
      <w:r>
        <w:instrText xml:space="preserve"> PAGEREF _Toc45288616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3A — Pre</w:t>
      </w:r>
      <w:r>
        <w:noBreakHyphen/>
        <w:t>sentence order</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33A.</w:t>
      </w:r>
      <w:r>
        <w:tab/>
        <w:t>When PSO may be made</w:t>
      </w:r>
      <w:r>
        <w:tab/>
      </w:r>
      <w:r>
        <w:fldChar w:fldCharType="begin"/>
      </w:r>
      <w:r>
        <w:instrText xml:space="preserve"> PAGEREF _Toc45288619 \h </w:instrText>
      </w:r>
      <w:r>
        <w:fldChar w:fldCharType="separate"/>
      </w:r>
      <w:r>
        <w:t>29</w:t>
      </w:r>
      <w:r>
        <w:fldChar w:fldCharType="end"/>
      </w:r>
    </w:p>
    <w:p>
      <w:pPr>
        <w:pStyle w:val="TOC8"/>
        <w:rPr>
          <w:rFonts w:asciiTheme="minorHAnsi" w:eastAsiaTheme="minorEastAsia" w:hAnsiTheme="minorHAnsi" w:cstheme="minorBidi"/>
          <w:szCs w:val="22"/>
        </w:rPr>
      </w:pPr>
      <w:r>
        <w:t>33B.</w:t>
      </w:r>
      <w:r>
        <w:tab/>
        <w:t>PSO, nature of</w:t>
      </w:r>
      <w:r>
        <w:tab/>
      </w:r>
      <w:r>
        <w:fldChar w:fldCharType="begin"/>
      </w:r>
      <w:r>
        <w:instrText xml:space="preserve"> PAGEREF _Toc45288620 \h </w:instrText>
      </w:r>
      <w:r>
        <w:fldChar w:fldCharType="separate"/>
      </w:r>
      <w:r>
        <w:t>30</w:t>
      </w:r>
      <w:r>
        <w:fldChar w:fldCharType="end"/>
      </w:r>
    </w:p>
    <w:p>
      <w:pPr>
        <w:pStyle w:val="TOC8"/>
        <w:rPr>
          <w:rFonts w:asciiTheme="minorHAnsi" w:eastAsiaTheme="minorEastAsia" w:hAnsiTheme="minorHAnsi" w:cstheme="minorBidi"/>
          <w:szCs w:val="22"/>
        </w:rPr>
      </w:pPr>
      <w:r>
        <w:t>33C.</w:t>
      </w:r>
      <w:r>
        <w:tab/>
        <w:t>Making a PSO</w:t>
      </w:r>
      <w:r>
        <w:tab/>
      </w:r>
      <w:r>
        <w:fldChar w:fldCharType="begin"/>
      </w:r>
      <w:r>
        <w:instrText xml:space="preserve"> PAGEREF _Toc45288621 \h </w:instrText>
      </w:r>
      <w:r>
        <w:fldChar w:fldCharType="separate"/>
      </w:r>
      <w:r>
        <w:t>31</w:t>
      </w:r>
      <w:r>
        <w:fldChar w:fldCharType="end"/>
      </w:r>
    </w:p>
    <w:p>
      <w:pPr>
        <w:pStyle w:val="TOC8"/>
        <w:rPr>
          <w:rFonts w:asciiTheme="minorHAnsi" w:eastAsiaTheme="minorEastAsia" w:hAnsiTheme="minorHAnsi" w:cstheme="minorBidi"/>
          <w:szCs w:val="22"/>
        </w:rPr>
      </w:pPr>
      <w:r>
        <w:t>33D.</w:t>
      </w:r>
      <w:r>
        <w:tab/>
        <w:t>PSO, standard obligations of</w:t>
      </w:r>
      <w:r>
        <w:tab/>
      </w:r>
      <w:r>
        <w:fldChar w:fldCharType="begin"/>
      </w:r>
      <w:r>
        <w:instrText xml:space="preserve"> PAGEREF _Toc45288622 \h </w:instrText>
      </w:r>
      <w:r>
        <w:fldChar w:fldCharType="separate"/>
      </w:r>
      <w:r>
        <w:t>32</w:t>
      </w:r>
      <w:r>
        <w:fldChar w:fldCharType="end"/>
      </w:r>
    </w:p>
    <w:p>
      <w:pPr>
        <w:pStyle w:val="TOC8"/>
        <w:rPr>
          <w:rFonts w:asciiTheme="minorHAnsi" w:eastAsiaTheme="minorEastAsia" w:hAnsiTheme="minorHAnsi" w:cstheme="minorBidi"/>
          <w:szCs w:val="22"/>
        </w:rPr>
      </w:pPr>
      <w:r>
        <w:t>33E.</w:t>
      </w:r>
      <w:r>
        <w:tab/>
        <w:t>PSO, primary requirements of</w:t>
      </w:r>
      <w:r>
        <w:tab/>
      </w:r>
      <w:r>
        <w:fldChar w:fldCharType="begin"/>
      </w:r>
      <w:r>
        <w:instrText xml:space="preserve"> PAGEREF _Toc45288623 \h </w:instrText>
      </w:r>
      <w:r>
        <w:fldChar w:fldCharType="separate"/>
      </w:r>
      <w:r>
        <w:t>32</w:t>
      </w:r>
      <w:r>
        <w:fldChar w:fldCharType="end"/>
      </w:r>
    </w:p>
    <w:p>
      <w:pPr>
        <w:pStyle w:val="TOC8"/>
        <w:rPr>
          <w:rFonts w:asciiTheme="minorHAnsi" w:eastAsiaTheme="minorEastAsia" w:hAnsiTheme="minorHAnsi" w:cstheme="minorBidi"/>
          <w:szCs w:val="22"/>
        </w:rPr>
      </w:pPr>
      <w:r>
        <w:t>33F.</w:t>
      </w:r>
      <w:r>
        <w:tab/>
        <w:t>Supervision requirement</w:t>
      </w:r>
      <w:r>
        <w:tab/>
      </w:r>
      <w:r>
        <w:fldChar w:fldCharType="begin"/>
      </w:r>
      <w:r>
        <w:instrText xml:space="preserve"> PAGEREF _Toc45288624 \h </w:instrText>
      </w:r>
      <w:r>
        <w:fldChar w:fldCharType="separate"/>
      </w:r>
      <w:r>
        <w:t>33</w:t>
      </w:r>
      <w:r>
        <w:fldChar w:fldCharType="end"/>
      </w:r>
    </w:p>
    <w:p>
      <w:pPr>
        <w:pStyle w:val="TOC8"/>
        <w:rPr>
          <w:rFonts w:asciiTheme="minorHAnsi" w:eastAsiaTheme="minorEastAsia" w:hAnsiTheme="minorHAnsi" w:cstheme="minorBidi"/>
          <w:szCs w:val="22"/>
        </w:rPr>
      </w:pPr>
      <w:r>
        <w:t>33G.</w:t>
      </w:r>
      <w:r>
        <w:tab/>
        <w:t>Programme requirement</w:t>
      </w:r>
      <w:r>
        <w:tab/>
      </w:r>
      <w:r>
        <w:fldChar w:fldCharType="begin"/>
      </w:r>
      <w:r>
        <w:instrText xml:space="preserve"> PAGEREF _Toc45288625 \h </w:instrText>
      </w:r>
      <w:r>
        <w:fldChar w:fldCharType="separate"/>
      </w:r>
      <w:r>
        <w:t>34</w:t>
      </w:r>
      <w:r>
        <w:fldChar w:fldCharType="end"/>
      </w:r>
    </w:p>
    <w:p>
      <w:pPr>
        <w:pStyle w:val="TOC8"/>
        <w:rPr>
          <w:rFonts w:asciiTheme="minorHAnsi" w:eastAsiaTheme="minorEastAsia" w:hAnsiTheme="minorHAnsi" w:cstheme="minorBidi"/>
          <w:szCs w:val="22"/>
        </w:rPr>
      </w:pPr>
      <w:r>
        <w:t>33H.</w:t>
      </w:r>
      <w:r>
        <w:tab/>
        <w:t>Curfew requirement</w:t>
      </w:r>
      <w:r>
        <w:tab/>
      </w:r>
      <w:r>
        <w:fldChar w:fldCharType="begin"/>
      </w:r>
      <w:r>
        <w:instrText xml:space="preserve"> PAGEREF _Toc45288626 \h </w:instrText>
      </w:r>
      <w:r>
        <w:fldChar w:fldCharType="separate"/>
      </w:r>
      <w:r>
        <w:t>35</w:t>
      </w:r>
      <w:r>
        <w:fldChar w:fldCharType="end"/>
      </w:r>
    </w:p>
    <w:p>
      <w:pPr>
        <w:pStyle w:val="TOC8"/>
        <w:rPr>
          <w:rFonts w:asciiTheme="minorHAnsi" w:eastAsiaTheme="minorEastAsia" w:hAnsiTheme="minorHAnsi" w:cstheme="minorBidi"/>
          <w:szCs w:val="22"/>
        </w:rPr>
      </w:pPr>
      <w:r>
        <w:t>33I.</w:t>
      </w:r>
      <w:r>
        <w:tab/>
        <w:t>Performance reports about offenders on PSOs</w:t>
      </w:r>
      <w:r>
        <w:tab/>
      </w:r>
      <w:r>
        <w:fldChar w:fldCharType="begin"/>
      </w:r>
      <w:r>
        <w:instrText xml:space="preserve"> PAGEREF _Toc45288627 \h </w:instrText>
      </w:r>
      <w:r>
        <w:fldChar w:fldCharType="separate"/>
      </w:r>
      <w:r>
        <w:t>38</w:t>
      </w:r>
      <w:r>
        <w:fldChar w:fldCharType="end"/>
      </w:r>
    </w:p>
    <w:p>
      <w:pPr>
        <w:pStyle w:val="TOC8"/>
        <w:rPr>
          <w:rFonts w:asciiTheme="minorHAnsi" w:eastAsiaTheme="minorEastAsia" w:hAnsiTheme="minorHAnsi" w:cstheme="minorBidi"/>
          <w:szCs w:val="22"/>
        </w:rPr>
      </w:pPr>
      <w:r>
        <w:t>33J.</w:t>
      </w:r>
      <w:r>
        <w:tab/>
        <w:t>Sentencing day, offender to be sentenced on etc.</w:t>
      </w:r>
      <w:r>
        <w:tab/>
      </w:r>
      <w:r>
        <w:fldChar w:fldCharType="begin"/>
      </w:r>
      <w:r>
        <w:instrText xml:space="preserve"> PAGEREF _Toc45288628 \h </w:instrText>
      </w:r>
      <w:r>
        <w:fldChar w:fldCharType="separate"/>
      </w:r>
      <w:r>
        <w:t>39</w:t>
      </w:r>
      <w:r>
        <w:fldChar w:fldCharType="end"/>
      </w:r>
    </w:p>
    <w:p>
      <w:pPr>
        <w:pStyle w:val="TOC8"/>
        <w:rPr>
          <w:rFonts w:asciiTheme="minorHAnsi" w:eastAsiaTheme="minorEastAsia" w:hAnsiTheme="minorHAnsi" w:cstheme="minorBidi"/>
          <w:szCs w:val="22"/>
        </w:rPr>
      </w:pPr>
      <w:r>
        <w:t>33K.</w:t>
      </w:r>
      <w:r>
        <w:tab/>
        <w:t>Sentencing offender after PSO</w:t>
      </w:r>
      <w:r>
        <w:tab/>
      </w:r>
      <w:r>
        <w:fldChar w:fldCharType="begin"/>
      </w:r>
      <w:r>
        <w:instrText xml:space="preserve"> PAGEREF _Toc45288629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Amending and enforcing PSOs</w:t>
      </w:r>
    </w:p>
    <w:p>
      <w:pPr>
        <w:pStyle w:val="TOC8"/>
        <w:rPr>
          <w:rFonts w:asciiTheme="minorHAnsi" w:eastAsiaTheme="minorEastAsia" w:hAnsiTheme="minorHAnsi" w:cstheme="minorBidi"/>
          <w:szCs w:val="22"/>
        </w:rPr>
      </w:pPr>
      <w:r>
        <w:t>33L.</w:t>
      </w:r>
      <w:r>
        <w:tab/>
        <w:t>Term used: requirement</w:t>
      </w:r>
      <w:r>
        <w:tab/>
      </w:r>
      <w:r>
        <w:fldChar w:fldCharType="begin"/>
      </w:r>
      <w:r>
        <w:instrText xml:space="preserve"> PAGEREF _Toc45288631 \h </w:instrText>
      </w:r>
      <w:r>
        <w:fldChar w:fldCharType="separate"/>
      </w:r>
      <w:r>
        <w:t>40</w:t>
      </w:r>
      <w:r>
        <w:fldChar w:fldCharType="end"/>
      </w:r>
    </w:p>
    <w:p>
      <w:pPr>
        <w:pStyle w:val="TOC8"/>
        <w:rPr>
          <w:rFonts w:asciiTheme="minorHAnsi" w:eastAsiaTheme="minorEastAsia" w:hAnsiTheme="minorHAnsi" w:cstheme="minorBidi"/>
          <w:szCs w:val="22"/>
        </w:rPr>
      </w:pPr>
      <w:r>
        <w:t>33M.</w:t>
      </w:r>
      <w:r>
        <w:tab/>
        <w:t>Application to amend or cancel PSO</w:t>
      </w:r>
      <w:r>
        <w:tab/>
      </w:r>
      <w:r>
        <w:fldChar w:fldCharType="begin"/>
      </w:r>
      <w:r>
        <w:instrText xml:space="preserve"> PAGEREF _Toc45288632 \h </w:instrText>
      </w:r>
      <w:r>
        <w:fldChar w:fldCharType="separate"/>
      </w:r>
      <w:r>
        <w:t>40</w:t>
      </w:r>
      <w:r>
        <w:fldChar w:fldCharType="end"/>
      </w:r>
    </w:p>
    <w:p>
      <w:pPr>
        <w:pStyle w:val="TOC8"/>
        <w:rPr>
          <w:rFonts w:asciiTheme="minorHAnsi" w:eastAsiaTheme="minorEastAsia" w:hAnsiTheme="minorHAnsi" w:cstheme="minorBidi"/>
          <w:szCs w:val="22"/>
        </w:rPr>
      </w:pPr>
      <w:r>
        <w:t>33N.</w:t>
      </w:r>
      <w:r>
        <w:tab/>
        <w:t>Court may confirm, amend or cancel PSO</w:t>
      </w:r>
      <w:r>
        <w:tab/>
      </w:r>
      <w:r>
        <w:fldChar w:fldCharType="begin"/>
      </w:r>
      <w:r>
        <w:instrText xml:space="preserve"> PAGEREF _Toc45288633 \h </w:instrText>
      </w:r>
      <w:r>
        <w:fldChar w:fldCharType="separate"/>
      </w:r>
      <w:r>
        <w:t>40</w:t>
      </w:r>
      <w:r>
        <w:fldChar w:fldCharType="end"/>
      </w:r>
    </w:p>
    <w:p>
      <w:pPr>
        <w:pStyle w:val="TOC8"/>
        <w:rPr>
          <w:rFonts w:asciiTheme="minorHAnsi" w:eastAsiaTheme="minorEastAsia" w:hAnsiTheme="minorHAnsi" w:cstheme="minorBidi"/>
          <w:szCs w:val="22"/>
        </w:rPr>
      </w:pPr>
      <w:r>
        <w:t>33O.</w:t>
      </w:r>
      <w:r>
        <w:tab/>
        <w:t>Re</w:t>
      </w:r>
      <w:r>
        <w:noBreakHyphen/>
        <w:t>offending while subject to PSO, consequences of</w:t>
      </w:r>
      <w:r>
        <w:tab/>
      </w:r>
      <w:r>
        <w:fldChar w:fldCharType="begin"/>
      </w:r>
      <w:r>
        <w:instrText xml:space="preserve"> PAGEREF _Toc45288634 \h </w:instrText>
      </w:r>
      <w:r>
        <w:fldChar w:fldCharType="separate"/>
      </w:r>
      <w:r>
        <w:t>42</w:t>
      </w:r>
      <w:r>
        <w:fldChar w:fldCharType="end"/>
      </w:r>
    </w:p>
    <w:p>
      <w:pPr>
        <w:pStyle w:val="TOC8"/>
        <w:rPr>
          <w:rFonts w:asciiTheme="minorHAnsi" w:eastAsiaTheme="minorEastAsia" w:hAnsiTheme="minorHAnsi" w:cstheme="minorBidi"/>
          <w:szCs w:val="22"/>
        </w:rPr>
      </w:pPr>
      <w:r>
        <w:t>33P.</w:t>
      </w:r>
      <w:r>
        <w:tab/>
        <w:t>Breach etc. of PSO, powers of CEO (corrections) and court</w:t>
      </w:r>
      <w:r>
        <w:tab/>
      </w:r>
      <w:r>
        <w:fldChar w:fldCharType="begin"/>
      </w:r>
      <w:r>
        <w:instrText xml:space="preserve"> PAGEREF _Toc45288635 \h </w:instrText>
      </w:r>
      <w:r>
        <w:fldChar w:fldCharType="separate"/>
      </w:r>
      <w:r>
        <w:t>44</w:t>
      </w:r>
      <w:r>
        <w:fldChar w:fldCharType="end"/>
      </w:r>
    </w:p>
    <w:p>
      <w:pPr>
        <w:pStyle w:val="TOC8"/>
        <w:rPr>
          <w:rFonts w:asciiTheme="minorHAnsi" w:eastAsiaTheme="minorEastAsia" w:hAnsiTheme="minorHAnsi" w:cstheme="minorBidi"/>
          <w:szCs w:val="22"/>
        </w:rPr>
      </w:pPr>
      <w:r>
        <w:t>33Q.</w:t>
      </w:r>
      <w:r>
        <w:tab/>
        <w:t>Facilitation of proof</w:t>
      </w:r>
      <w:r>
        <w:tab/>
      </w:r>
      <w:r>
        <w:fldChar w:fldCharType="begin"/>
      </w:r>
      <w:r>
        <w:instrText xml:space="preserve"> PAGEREF _Toc45288636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4 — The sentencing process</w:t>
      </w:r>
    </w:p>
    <w:p>
      <w:pPr>
        <w:pStyle w:val="TOC8"/>
        <w:rPr>
          <w:rFonts w:asciiTheme="minorHAnsi" w:eastAsiaTheme="minorEastAsia" w:hAnsiTheme="minorHAnsi" w:cstheme="minorBidi"/>
          <w:szCs w:val="22"/>
        </w:rPr>
      </w:pPr>
      <w:r>
        <w:t>34</w:t>
      </w:r>
      <w:r>
        <w:rPr>
          <w:snapToGrid w:val="0"/>
        </w:rPr>
        <w:t>.</w:t>
      </w:r>
      <w:r>
        <w:rPr>
          <w:snapToGrid w:val="0"/>
        </w:rPr>
        <w:tab/>
        <w:t>Explanation of sentence</w:t>
      </w:r>
      <w:r>
        <w:tab/>
      </w:r>
      <w:r>
        <w:fldChar w:fldCharType="begin"/>
      </w:r>
      <w:r>
        <w:instrText xml:space="preserve"> PAGEREF _Toc45288638 \h </w:instrText>
      </w:r>
      <w:r>
        <w:fldChar w:fldCharType="separate"/>
      </w:r>
      <w:r>
        <w:t>46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Reasons for imprisonment to be given in some cases</w:t>
      </w:r>
      <w:r>
        <w:tab/>
      </w:r>
      <w:r>
        <w:fldChar w:fldCharType="begin"/>
      </w:r>
      <w:r>
        <w:instrText xml:space="preserve"> PAGEREF _Toc45288639 \h </w:instrText>
      </w:r>
      <w:r>
        <w:fldChar w:fldCharType="separate"/>
      </w:r>
      <w:r>
        <w:t>46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Warrant of commitment to be issued if imprisonment imposed</w:t>
      </w:r>
      <w:r>
        <w:tab/>
      </w:r>
      <w:r>
        <w:fldChar w:fldCharType="begin"/>
      </w:r>
      <w:r>
        <w:instrText xml:space="preserve"> PAGEREF _Toc45288640 \h </w:instrText>
      </w:r>
      <w:r>
        <w:fldChar w:fldCharType="separate"/>
      </w:r>
      <w:r>
        <w:t>47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Correction of sentence</w:t>
      </w:r>
      <w:r>
        <w:tab/>
      </w:r>
      <w:r>
        <w:fldChar w:fldCharType="begin"/>
      </w:r>
      <w:r>
        <w:instrText xml:space="preserve"> PAGEREF _Toc45288641 \h </w:instrText>
      </w:r>
      <w:r>
        <w:fldChar w:fldCharType="separate"/>
      </w:r>
      <w:r>
        <w:t>47</w:t>
      </w:r>
      <w:r>
        <w:fldChar w:fldCharType="end"/>
      </w:r>
    </w:p>
    <w:p>
      <w:pPr>
        <w:pStyle w:val="TOC8"/>
        <w:rPr>
          <w:rFonts w:asciiTheme="minorHAnsi" w:eastAsiaTheme="minorEastAsia" w:hAnsiTheme="minorHAnsi" w:cstheme="minorBidi"/>
          <w:szCs w:val="22"/>
        </w:rPr>
      </w:pPr>
      <w:r>
        <w:t>37A.</w:t>
      </w:r>
      <w:r>
        <w:tab/>
        <w:t>Offender reneging on promise to assist authorities may be re</w:t>
      </w:r>
      <w:r>
        <w:noBreakHyphen/>
        <w:t>sentenced</w:t>
      </w:r>
      <w:r>
        <w:tab/>
      </w:r>
      <w:r>
        <w:fldChar w:fldCharType="begin"/>
      </w:r>
      <w:r>
        <w:instrText xml:space="preserve"> PAGEREF _Toc45288642 \h </w:instrText>
      </w:r>
      <w:r>
        <w:fldChar w:fldCharType="separate"/>
      </w:r>
      <w:r>
        <w:t>48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Imprisonment by JPs, magistrate to review</w:t>
      </w:r>
      <w:r>
        <w:tab/>
      </w:r>
      <w:r>
        <w:fldChar w:fldCharType="begin"/>
      </w:r>
      <w:r>
        <w:instrText xml:space="preserve"> PAGEREF _Toc45288643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5 — Sentencing options</w:t>
      </w:r>
    </w:p>
    <w:p>
      <w:pPr>
        <w:pStyle w:val="TOC8"/>
        <w:rPr>
          <w:rFonts w:asciiTheme="minorHAnsi" w:eastAsiaTheme="minorEastAsia" w:hAnsiTheme="minorHAnsi" w:cstheme="minorBidi"/>
          <w:szCs w:val="22"/>
        </w:rPr>
      </w:pPr>
      <w:r>
        <w:t>39</w:t>
      </w:r>
      <w:r>
        <w:rPr>
          <w:snapToGrid w:val="0"/>
        </w:rPr>
        <w:t>.</w:t>
      </w:r>
      <w:r>
        <w:rPr>
          <w:snapToGrid w:val="0"/>
        </w:rPr>
        <w:tab/>
        <w:t>Natural person, sentences for</w:t>
      </w:r>
      <w:r>
        <w:tab/>
      </w:r>
      <w:r>
        <w:fldChar w:fldCharType="begin"/>
      </w:r>
      <w:r>
        <w:instrText xml:space="preserve"> PAGEREF _Toc45288645 \h </w:instrText>
      </w:r>
      <w:r>
        <w:fldChar w:fldCharType="separate"/>
      </w:r>
      <w:r>
        <w:t>51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Body corporate, sentences for</w:t>
      </w:r>
      <w:r>
        <w:tab/>
      </w:r>
      <w:r>
        <w:fldChar w:fldCharType="begin"/>
      </w:r>
      <w:r>
        <w:instrText xml:space="preserve"> PAGEREF _Toc45288646 \h </w:instrText>
      </w:r>
      <w:r>
        <w:fldChar w:fldCharType="separate"/>
      </w:r>
      <w:r>
        <w:t>52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statutory penalty is imprisonment only: sentencing options</w:t>
      </w:r>
      <w:r>
        <w:tab/>
      </w:r>
      <w:r>
        <w:fldChar w:fldCharType="begin"/>
      </w:r>
      <w:r>
        <w:instrText xml:space="preserve"> PAGEREF _Toc45288647 \h </w:instrText>
      </w:r>
      <w:r>
        <w:fldChar w:fldCharType="separate"/>
      </w:r>
      <w:r>
        <w:t>53</w:t>
      </w:r>
      <w:r>
        <w:fldChar w:fldCharType="end"/>
      </w:r>
    </w:p>
    <w:p>
      <w:pPr>
        <w:pStyle w:val="TOC8"/>
        <w:rPr>
          <w:rFonts w:asciiTheme="minorHAnsi" w:eastAsiaTheme="minorEastAsia" w:hAnsiTheme="minorHAnsi" w:cstheme="minorBidi"/>
          <w:szCs w:val="22"/>
        </w:rPr>
      </w:pPr>
      <w:r>
        <w:lastRenderedPageBreak/>
        <w:t>42</w:t>
      </w:r>
      <w:r>
        <w:rPr>
          <w:snapToGrid w:val="0"/>
        </w:rPr>
        <w:t>.</w:t>
      </w:r>
      <w:r>
        <w:rPr>
          <w:snapToGrid w:val="0"/>
        </w:rPr>
        <w:tab/>
        <w:t>If statutory penalty is imprisonment and fine: sentencing options</w:t>
      </w:r>
      <w:r>
        <w:tab/>
      </w:r>
      <w:r>
        <w:fldChar w:fldCharType="begin"/>
      </w:r>
      <w:r>
        <w:instrText xml:space="preserve"> PAGEREF _Toc45288648 \h </w:instrText>
      </w:r>
      <w:r>
        <w:fldChar w:fldCharType="separate"/>
      </w:r>
      <w:r>
        <w:t>54</w:t>
      </w:r>
      <w:r>
        <w:fldChar w:fldCharType="end"/>
      </w:r>
    </w:p>
    <w:p>
      <w:pPr>
        <w:pStyle w:val="TOC8"/>
        <w:rPr>
          <w:rFonts w:asciiTheme="minorHAnsi" w:eastAsiaTheme="minorEastAsia" w:hAnsiTheme="minorHAnsi" w:cstheme="minorBidi"/>
          <w:szCs w:val="22"/>
        </w:rPr>
      </w:pPr>
      <w:r>
        <w:t>43.</w:t>
      </w:r>
      <w:r>
        <w:tab/>
        <w:t>If statutory penalty is imprisonment or fine: sentencing options</w:t>
      </w:r>
      <w:r>
        <w:tab/>
      </w:r>
      <w:r>
        <w:fldChar w:fldCharType="begin"/>
      </w:r>
      <w:r>
        <w:instrText xml:space="preserve"> PAGEREF _Toc45288649 \h </w:instrText>
      </w:r>
      <w:r>
        <w:fldChar w:fldCharType="separate"/>
      </w:r>
      <w:r>
        <w:t>55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If statutory penalty is fine only: sentencing options</w:t>
      </w:r>
      <w:r>
        <w:tab/>
      </w:r>
      <w:r>
        <w:fldChar w:fldCharType="begin"/>
      </w:r>
      <w:r>
        <w:instrText xml:space="preserve"> PAGEREF _Toc45288650 \h </w:instrText>
      </w:r>
      <w:r>
        <w:fldChar w:fldCharType="separate"/>
      </w:r>
      <w:r>
        <w:t>56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Spent conviction order, making and effect of</w:t>
      </w:r>
      <w:r>
        <w:tab/>
      </w:r>
      <w:r>
        <w:fldChar w:fldCharType="begin"/>
      </w:r>
      <w:r>
        <w:instrText xml:space="preserve"> PAGEREF _Toc45288651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6 — Release of offender without sentence</w:t>
      </w:r>
    </w:p>
    <w:p>
      <w:pPr>
        <w:pStyle w:val="TOC8"/>
        <w:rPr>
          <w:rFonts w:asciiTheme="minorHAnsi" w:eastAsiaTheme="minorEastAsia" w:hAnsiTheme="minorHAnsi" w:cstheme="minorBidi"/>
          <w:szCs w:val="22"/>
        </w:rPr>
      </w:pPr>
      <w:r>
        <w:t>46</w:t>
      </w:r>
      <w:r>
        <w:rPr>
          <w:snapToGrid w:val="0"/>
        </w:rPr>
        <w:t>.</w:t>
      </w:r>
      <w:r>
        <w:rPr>
          <w:snapToGrid w:val="0"/>
        </w:rPr>
        <w:tab/>
        <w:t>Release without sentence</w:t>
      </w:r>
      <w:r>
        <w:tab/>
      </w:r>
      <w:r>
        <w:fldChar w:fldCharType="begin"/>
      </w:r>
      <w:r>
        <w:instrText xml:space="preserve"> PAGEREF _Toc45288653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7 — Conditional release order</w:t>
      </w:r>
    </w:p>
    <w:p>
      <w:pPr>
        <w:pStyle w:val="TOC8"/>
        <w:rPr>
          <w:rFonts w:asciiTheme="minorHAnsi" w:eastAsiaTheme="minorEastAsia" w:hAnsiTheme="minorHAnsi" w:cstheme="minorBidi"/>
          <w:szCs w:val="22"/>
        </w:rPr>
      </w:pPr>
      <w:r>
        <w:t>47</w:t>
      </w:r>
      <w:r>
        <w:rPr>
          <w:snapToGrid w:val="0"/>
        </w:rPr>
        <w:t>.</w:t>
      </w:r>
      <w:r>
        <w:rPr>
          <w:snapToGrid w:val="0"/>
        </w:rPr>
        <w:tab/>
        <w:t>When CRO may be imposed</w:t>
      </w:r>
      <w:r>
        <w:tab/>
      </w:r>
      <w:r>
        <w:fldChar w:fldCharType="begin"/>
      </w:r>
      <w:r>
        <w:instrText xml:space="preserve"> PAGEREF _Toc45288655 \h </w:instrText>
      </w:r>
      <w:r>
        <w:fldChar w:fldCharType="separate"/>
      </w:r>
      <w:r>
        <w:t>60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CRO, nature of</w:t>
      </w:r>
      <w:r>
        <w:tab/>
      </w:r>
      <w:r>
        <w:fldChar w:fldCharType="begin"/>
      </w:r>
      <w:r>
        <w:instrText xml:space="preserve"> PAGEREF _Toc45288656 \h </w:instrText>
      </w:r>
      <w:r>
        <w:fldChar w:fldCharType="separate"/>
      </w:r>
      <w:r>
        <w:t>60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CRO, requirements of</w:t>
      </w:r>
      <w:r>
        <w:tab/>
      </w:r>
      <w:r>
        <w:fldChar w:fldCharType="begin"/>
      </w:r>
      <w:r>
        <w:instrText xml:space="preserve"> PAGEREF _Toc45288657 \h </w:instrText>
      </w:r>
      <w:r>
        <w:fldChar w:fldCharType="separate"/>
      </w:r>
      <w:r>
        <w:t>60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_Toc45288658 \h </w:instrText>
      </w:r>
      <w:r>
        <w:fldChar w:fldCharType="separate"/>
      </w:r>
      <w:r>
        <w:t>61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Ensuring compliance with CRO</w:t>
      </w:r>
      <w:r>
        <w:tab/>
      </w:r>
      <w:r>
        <w:fldChar w:fldCharType="begin"/>
      </w:r>
      <w:r>
        <w:instrText xml:space="preserve"> PAGEREF _Toc45288659 \h </w:instrText>
      </w:r>
      <w:r>
        <w:fldChar w:fldCharType="separate"/>
      </w:r>
      <w:r>
        <w:t>61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Enforcing CRO</w:t>
      </w:r>
      <w:r>
        <w:tab/>
      </w:r>
      <w:r>
        <w:fldChar w:fldCharType="begin"/>
      </w:r>
      <w:r>
        <w:instrText xml:space="preserve"> PAGEREF _Toc45288660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8 — Fine</w:t>
      </w:r>
    </w:p>
    <w:p>
      <w:pPr>
        <w:pStyle w:val="TOC8"/>
        <w:rPr>
          <w:rFonts w:asciiTheme="minorHAnsi" w:eastAsiaTheme="minorEastAsia" w:hAnsiTheme="minorHAnsi" w:cstheme="minorBidi"/>
          <w:szCs w:val="22"/>
        </w:rPr>
      </w:pPr>
      <w:r>
        <w:t>53</w:t>
      </w:r>
      <w:r>
        <w:rPr>
          <w:snapToGrid w:val="0"/>
        </w:rPr>
        <w:t>.</w:t>
      </w:r>
      <w:r>
        <w:rPr>
          <w:snapToGrid w:val="0"/>
        </w:rPr>
        <w:tab/>
        <w:t>Considerations when imposing fine</w:t>
      </w:r>
      <w:r>
        <w:tab/>
      </w:r>
      <w:r>
        <w:fldChar w:fldCharType="begin"/>
      </w:r>
      <w:r>
        <w:instrText xml:space="preserve"> PAGEREF _Toc45288662 \h </w:instrText>
      </w:r>
      <w:r>
        <w:fldChar w:fldCharType="separate"/>
      </w:r>
      <w:r>
        <w:t>65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One fine for 2 or more offences</w:t>
      </w:r>
      <w:r>
        <w:tab/>
      </w:r>
      <w:r>
        <w:fldChar w:fldCharType="begin"/>
      </w:r>
      <w:r>
        <w:instrText xml:space="preserve"> PAGEREF _Toc45288663 \h </w:instrText>
      </w:r>
      <w:r>
        <w:fldChar w:fldCharType="separate"/>
      </w:r>
      <w:r>
        <w:t>65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Apportionment of fine between joint offenders</w:t>
      </w:r>
      <w:r>
        <w:tab/>
      </w:r>
      <w:r>
        <w:fldChar w:fldCharType="begin"/>
      </w:r>
      <w:r>
        <w:instrText xml:space="preserve"> PAGEREF _Toc45288664 \h </w:instrText>
      </w:r>
      <w:r>
        <w:fldChar w:fldCharType="separate"/>
      </w:r>
      <w:r>
        <w:t>65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Assault victim may be awarded fine</w:t>
      </w:r>
      <w:r>
        <w:tab/>
      </w:r>
      <w:r>
        <w:fldChar w:fldCharType="begin"/>
      </w:r>
      <w:r>
        <w:instrText xml:space="preserve"> PAGEREF _Toc45288665 \h </w:instrText>
      </w:r>
      <w:r>
        <w:fldChar w:fldCharType="separate"/>
      </w:r>
      <w:r>
        <w:t>66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Enforcement of fine</w:t>
      </w:r>
      <w:r>
        <w:tab/>
      </w:r>
      <w:r>
        <w:fldChar w:fldCharType="begin"/>
      </w:r>
      <w:r>
        <w:instrText xml:space="preserve"> PAGEREF _Toc45288666 \h </w:instrText>
      </w:r>
      <w:r>
        <w:fldChar w:fldCharType="separate"/>
      </w:r>
      <w:r>
        <w:t>66</w:t>
      </w:r>
      <w:r>
        <w:fldChar w:fldCharType="end"/>
      </w:r>
    </w:p>
    <w:p>
      <w:pPr>
        <w:pStyle w:val="TOC8"/>
        <w:rPr>
          <w:rFonts w:asciiTheme="minorHAnsi" w:eastAsiaTheme="minorEastAsia" w:hAnsiTheme="minorHAnsi" w:cstheme="minorBidi"/>
          <w:szCs w:val="22"/>
        </w:rPr>
      </w:pPr>
      <w:r>
        <w:t>57A.</w:t>
      </w:r>
      <w:r>
        <w:tab/>
        <w:t>Enforcement of fine by means of WDO</w:t>
      </w:r>
      <w:r>
        <w:tab/>
      </w:r>
      <w:r>
        <w:fldChar w:fldCharType="begin"/>
      </w:r>
      <w:r>
        <w:instrText xml:space="preserve"> PAGEREF _Toc45288667 \h </w:instrText>
      </w:r>
      <w:r>
        <w:fldChar w:fldCharType="separate"/>
      </w:r>
      <w:r>
        <w:t>66</w:t>
      </w:r>
      <w:r>
        <w:fldChar w:fldCharType="end"/>
      </w:r>
    </w:p>
    <w:p>
      <w:pPr>
        <w:pStyle w:val="TOC8"/>
        <w:rPr>
          <w:rFonts w:asciiTheme="minorHAnsi" w:eastAsiaTheme="minorEastAsia" w:hAnsiTheme="minorHAnsi" w:cstheme="minorBidi"/>
          <w:szCs w:val="22"/>
        </w:rPr>
      </w:pPr>
      <w:r>
        <w:t>57B.</w:t>
      </w:r>
      <w:r>
        <w:tab/>
        <w:t>Court may cancel s. 57A order on application of Fines Enforcement Registrar</w:t>
      </w:r>
      <w:r>
        <w:tab/>
      </w:r>
      <w:r>
        <w:fldChar w:fldCharType="begin"/>
      </w:r>
      <w:r>
        <w:instrText xml:space="preserve"> PAGEREF _Toc45288668 \h </w:instrText>
      </w:r>
      <w:r>
        <w:fldChar w:fldCharType="separate"/>
      </w:r>
      <w:r>
        <w:t>68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Imprisonment until fine paid</w:t>
      </w:r>
      <w:r>
        <w:tab/>
      </w:r>
      <w:r>
        <w:fldChar w:fldCharType="begin"/>
      </w:r>
      <w:r>
        <w:instrText xml:space="preserve"> PAGEREF _Toc45288669 \h </w:instrText>
      </w:r>
      <w:r>
        <w:fldChar w:fldCharType="separate"/>
      </w:r>
      <w:r>
        <w:t>69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Imprisonment if fine not paid</w:t>
      </w:r>
      <w:r>
        <w:tab/>
      </w:r>
      <w:r>
        <w:fldChar w:fldCharType="begin"/>
      </w:r>
      <w:r>
        <w:instrText xml:space="preserve"> PAGEREF _Toc45288670 \h </w:instrText>
      </w:r>
      <w:r>
        <w:fldChar w:fldCharType="separate"/>
      </w:r>
      <w:r>
        <w:t>70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Application of fine etc.</w:t>
      </w:r>
      <w:r>
        <w:tab/>
      </w:r>
      <w:r>
        <w:fldChar w:fldCharType="begin"/>
      </w:r>
      <w:r>
        <w:instrText xml:space="preserve"> PAGEREF _Toc45288671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8A — Suspended fine</w:t>
      </w:r>
    </w:p>
    <w:p>
      <w:pPr>
        <w:pStyle w:val="TOC8"/>
        <w:rPr>
          <w:rFonts w:asciiTheme="minorHAnsi" w:eastAsiaTheme="minorEastAsia" w:hAnsiTheme="minorHAnsi" w:cstheme="minorBidi"/>
          <w:szCs w:val="22"/>
        </w:rPr>
      </w:pPr>
      <w:r>
        <w:t>60A.</w:t>
      </w:r>
      <w:r>
        <w:tab/>
        <w:t>When fine may be suspended</w:t>
      </w:r>
      <w:r>
        <w:tab/>
      </w:r>
      <w:r>
        <w:fldChar w:fldCharType="begin"/>
      </w:r>
      <w:r>
        <w:instrText xml:space="preserve"> PAGEREF _Toc45288673 \h </w:instrText>
      </w:r>
      <w:r>
        <w:fldChar w:fldCharType="separate"/>
      </w:r>
      <w:r>
        <w:t>74</w:t>
      </w:r>
      <w:r>
        <w:fldChar w:fldCharType="end"/>
      </w:r>
    </w:p>
    <w:p>
      <w:pPr>
        <w:pStyle w:val="TOC8"/>
        <w:rPr>
          <w:rFonts w:asciiTheme="minorHAnsi" w:eastAsiaTheme="minorEastAsia" w:hAnsiTheme="minorHAnsi" w:cstheme="minorBidi"/>
          <w:szCs w:val="22"/>
        </w:rPr>
      </w:pPr>
      <w:r>
        <w:t>60B.</w:t>
      </w:r>
      <w:r>
        <w:tab/>
        <w:t>Effect of suspending fine</w:t>
      </w:r>
      <w:r>
        <w:tab/>
      </w:r>
      <w:r>
        <w:fldChar w:fldCharType="begin"/>
      </w:r>
      <w:r>
        <w:instrText xml:space="preserve"> PAGEREF _Toc45288674 \h </w:instrText>
      </w:r>
      <w:r>
        <w:fldChar w:fldCharType="separate"/>
      </w:r>
      <w:r>
        <w:t>74</w:t>
      </w:r>
      <w:r>
        <w:fldChar w:fldCharType="end"/>
      </w:r>
    </w:p>
    <w:p>
      <w:pPr>
        <w:pStyle w:val="TOC8"/>
        <w:rPr>
          <w:rFonts w:asciiTheme="minorHAnsi" w:eastAsiaTheme="minorEastAsia" w:hAnsiTheme="minorHAnsi" w:cstheme="minorBidi"/>
          <w:szCs w:val="22"/>
        </w:rPr>
      </w:pPr>
      <w:r>
        <w:t>60C.</w:t>
      </w:r>
      <w:r>
        <w:tab/>
        <w:t>Re</w:t>
      </w:r>
      <w:r>
        <w:noBreakHyphen/>
        <w:t>offender may be dealt with or committed</w:t>
      </w:r>
      <w:r>
        <w:tab/>
      </w:r>
      <w:r>
        <w:fldChar w:fldCharType="begin"/>
      </w:r>
      <w:r>
        <w:instrText xml:space="preserve"> PAGEREF _Toc45288675 \h </w:instrText>
      </w:r>
      <w:r>
        <w:fldChar w:fldCharType="separate"/>
      </w:r>
      <w:r>
        <w:t>75</w:t>
      </w:r>
      <w:r>
        <w:fldChar w:fldCharType="end"/>
      </w:r>
    </w:p>
    <w:p>
      <w:pPr>
        <w:pStyle w:val="TOC8"/>
        <w:rPr>
          <w:rFonts w:asciiTheme="minorHAnsi" w:eastAsiaTheme="minorEastAsia" w:hAnsiTheme="minorHAnsi" w:cstheme="minorBidi"/>
          <w:szCs w:val="22"/>
        </w:rPr>
      </w:pPr>
      <w:r>
        <w:t>60D.</w:t>
      </w:r>
      <w:r>
        <w:tab/>
        <w:t>Alleging re</w:t>
      </w:r>
      <w:r>
        <w:noBreakHyphen/>
        <w:t>offending in court</w:t>
      </w:r>
      <w:r>
        <w:tab/>
      </w:r>
      <w:r>
        <w:fldChar w:fldCharType="begin"/>
      </w:r>
      <w:r>
        <w:instrText xml:space="preserve"> PAGEREF _Toc45288676 \h </w:instrText>
      </w:r>
      <w:r>
        <w:fldChar w:fldCharType="separate"/>
      </w:r>
      <w:r>
        <w:t>76</w:t>
      </w:r>
      <w:r>
        <w:fldChar w:fldCharType="end"/>
      </w:r>
    </w:p>
    <w:p>
      <w:pPr>
        <w:pStyle w:val="TOC8"/>
        <w:rPr>
          <w:rFonts w:asciiTheme="minorHAnsi" w:eastAsiaTheme="minorEastAsia" w:hAnsiTheme="minorHAnsi" w:cstheme="minorBidi"/>
          <w:szCs w:val="22"/>
        </w:rPr>
      </w:pPr>
      <w:r>
        <w:t>60E.</w:t>
      </w:r>
      <w:r>
        <w:tab/>
        <w:t>How re</w:t>
      </w:r>
      <w:r>
        <w:noBreakHyphen/>
        <w:t>offender to be dealt with</w:t>
      </w:r>
      <w:r>
        <w:tab/>
      </w:r>
      <w:r>
        <w:fldChar w:fldCharType="begin"/>
      </w:r>
      <w:r>
        <w:instrText xml:space="preserve"> PAGEREF _Toc45288677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Community based order</w:t>
      </w:r>
    </w:p>
    <w:p>
      <w:pPr>
        <w:pStyle w:val="TOC8"/>
        <w:rPr>
          <w:rFonts w:asciiTheme="minorHAnsi" w:eastAsiaTheme="minorEastAsia" w:hAnsiTheme="minorHAnsi" w:cstheme="minorBidi"/>
          <w:szCs w:val="22"/>
        </w:rPr>
      </w:pPr>
      <w:r>
        <w:t>61</w:t>
      </w:r>
      <w:r>
        <w:rPr>
          <w:snapToGrid w:val="0"/>
        </w:rPr>
        <w:t>.</w:t>
      </w:r>
      <w:r>
        <w:rPr>
          <w:snapToGrid w:val="0"/>
        </w:rPr>
        <w:tab/>
        <w:t>Pre</w:t>
      </w:r>
      <w:r>
        <w:rPr>
          <w:snapToGrid w:val="0"/>
        </w:rPr>
        <w:noBreakHyphen/>
        <w:t>sentence report optional before imposing CBO</w:t>
      </w:r>
      <w:r>
        <w:tab/>
      </w:r>
      <w:r>
        <w:fldChar w:fldCharType="begin"/>
      </w:r>
      <w:r>
        <w:instrText xml:space="preserve"> PAGEREF _Toc45288679 \h </w:instrText>
      </w:r>
      <w:r>
        <w:fldChar w:fldCharType="separate"/>
      </w:r>
      <w:r>
        <w:t>79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CBO, nature of</w:t>
      </w:r>
      <w:r>
        <w:tab/>
      </w:r>
      <w:r>
        <w:fldChar w:fldCharType="begin"/>
      </w:r>
      <w:r>
        <w:instrText xml:space="preserve"> PAGEREF _Toc45288680 \h </w:instrText>
      </w:r>
      <w:r>
        <w:fldChar w:fldCharType="separate"/>
      </w:r>
      <w:r>
        <w:t>79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CBO, standard obligations of</w:t>
      </w:r>
      <w:r>
        <w:tab/>
      </w:r>
      <w:r>
        <w:fldChar w:fldCharType="begin"/>
      </w:r>
      <w:r>
        <w:instrText xml:space="preserve"> PAGEREF _Toc45288681 \h </w:instrText>
      </w:r>
      <w:r>
        <w:fldChar w:fldCharType="separate"/>
      </w:r>
      <w:r>
        <w:t>80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CBO, primary requirements of</w:t>
      </w:r>
      <w:r>
        <w:tab/>
      </w:r>
      <w:r>
        <w:fldChar w:fldCharType="begin"/>
      </w:r>
      <w:r>
        <w:instrText xml:space="preserve"> PAGEREF _Toc45288682 \h </w:instrText>
      </w:r>
      <w:r>
        <w:fldChar w:fldCharType="separate"/>
      </w:r>
      <w:r>
        <w:t>80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Supervision requirement</w:t>
      </w:r>
      <w:r>
        <w:tab/>
      </w:r>
      <w:r>
        <w:fldChar w:fldCharType="begin"/>
      </w:r>
      <w:r>
        <w:instrText xml:space="preserve"> PAGEREF _Toc45288683 \h </w:instrText>
      </w:r>
      <w:r>
        <w:fldChar w:fldCharType="separate"/>
      </w:r>
      <w:r>
        <w:t>80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Programme requirement</w:t>
      </w:r>
      <w:r>
        <w:tab/>
      </w:r>
      <w:r>
        <w:fldChar w:fldCharType="begin"/>
      </w:r>
      <w:r>
        <w:instrText xml:space="preserve"> PAGEREF _Toc45288684 \h </w:instrText>
      </w:r>
      <w:r>
        <w:fldChar w:fldCharType="separate"/>
      </w:r>
      <w:r>
        <w:t>81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Community service requirement</w:t>
      </w:r>
      <w:r>
        <w:tab/>
      </w:r>
      <w:r>
        <w:fldChar w:fldCharType="begin"/>
      </w:r>
      <w:r>
        <w:instrText xml:space="preserve"> PAGEREF _Toc45288685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10 — Intensive supervision order</w:t>
      </w:r>
    </w:p>
    <w:p>
      <w:pPr>
        <w:pStyle w:val="TOC8"/>
        <w:rPr>
          <w:rFonts w:asciiTheme="minorHAnsi" w:eastAsiaTheme="minorEastAsia" w:hAnsiTheme="minorHAnsi" w:cstheme="minorBidi"/>
          <w:szCs w:val="22"/>
        </w:rPr>
      </w:pPr>
      <w:r>
        <w:t>68</w:t>
      </w:r>
      <w:r>
        <w:rPr>
          <w:snapToGrid w:val="0"/>
        </w:rPr>
        <w:t>.</w:t>
      </w:r>
      <w:r>
        <w:rPr>
          <w:snapToGrid w:val="0"/>
        </w:rPr>
        <w:tab/>
        <w:t>Pre</w:t>
      </w:r>
      <w:r>
        <w:rPr>
          <w:snapToGrid w:val="0"/>
        </w:rPr>
        <w:noBreakHyphen/>
        <w:t>sentence report mandatory before imposing ISO</w:t>
      </w:r>
      <w:r>
        <w:tab/>
      </w:r>
      <w:r>
        <w:fldChar w:fldCharType="begin"/>
      </w:r>
      <w:r>
        <w:instrText xml:space="preserve"> PAGEREF _Toc45288687 \h </w:instrText>
      </w:r>
      <w:r>
        <w:fldChar w:fldCharType="separate"/>
      </w:r>
      <w:r>
        <w:t>84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ISO, nature of</w:t>
      </w:r>
      <w:r>
        <w:tab/>
      </w:r>
      <w:r>
        <w:fldChar w:fldCharType="begin"/>
      </w:r>
      <w:r>
        <w:instrText xml:space="preserve"> PAGEREF _Toc45288688 \h </w:instrText>
      </w:r>
      <w:r>
        <w:fldChar w:fldCharType="separate"/>
      </w:r>
      <w:r>
        <w:t>84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ISO, standard obligations of</w:t>
      </w:r>
      <w:r>
        <w:tab/>
      </w:r>
      <w:r>
        <w:fldChar w:fldCharType="begin"/>
      </w:r>
      <w:r>
        <w:instrText xml:space="preserve"> PAGEREF _Toc45288689 \h </w:instrText>
      </w:r>
      <w:r>
        <w:fldChar w:fldCharType="separate"/>
      </w:r>
      <w:r>
        <w:t>85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Supervision requirement</w:t>
      </w:r>
      <w:r>
        <w:tab/>
      </w:r>
      <w:r>
        <w:fldChar w:fldCharType="begin"/>
      </w:r>
      <w:r>
        <w:instrText xml:space="preserve"> PAGEREF _Toc45288690 \h </w:instrText>
      </w:r>
      <w:r>
        <w:fldChar w:fldCharType="separate"/>
      </w:r>
      <w:r>
        <w:t>85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ISO, primary requirements of</w:t>
      </w:r>
      <w:r>
        <w:tab/>
      </w:r>
      <w:r>
        <w:fldChar w:fldCharType="begin"/>
      </w:r>
      <w:r>
        <w:instrText xml:space="preserve"> PAGEREF _Toc45288691 \h </w:instrText>
      </w:r>
      <w:r>
        <w:fldChar w:fldCharType="separate"/>
      </w:r>
      <w:r>
        <w:t>86</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Programme requirement</w:t>
      </w:r>
      <w:r>
        <w:tab/>
      </w:r>
      <w:r>
        <w:fldChar w:fldCharType="begin"/>
      </w:r>
      <w:r>
        <w:instrText xml:space="preserve"> PAGEREF _Toc45288692 \h </w:instrText>
      </w:r>
      <w:r>
        <w:fldChar w:fldCharType="separate"/>
      </w:r>
      <w:r>
        <w:t>86</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Community service requirement</w:t>
      </w:r>
      <w:r>
        <w:tab/>
      </w:r>
      <w:r>
        <w:fldChar w:fldCharType="begin"/>
      </w:r>
      <w:r>
        <w:instrText xml:space="preserve"> PAGEREF _Toc45288693 \h </w:instrText>
      </w:r>
      <w:r>
        <w:fldChar w:fldCharType="separate"/>
      </w:r>
      <w:r>
        <w:t>88</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Curfew requirement</w:t>
      </w:r>
      <w:r>
        <w:tab/>
      </w:r>
      <w:r>
        <w:fldChar w:fldCharType="begin"/>
      </w:r>
      <w:r>
        <w:instrText xml:space="preserve"> PAGEREF _Toc45288694 \h </w:instrText>
      </w:r>
      <w:r>
        <w:fldChar w:fldCharType="separate"/>
      </w:r>
      <w:r>
        <w:t>89</w:t>
      </w:r>
      <w:r>
        <w:fldChar w:fldCharType="end"/>
      </w:r>
    </w:p>
    <w:p>
      <w:pPr>
        <w:pStyle w:val="TOC8"/>
        <w:rPr>
          <w:rFonts w:asciiTheme="minorHAnsi" w:eastAsiaTheme="minorEastAsia" w:hAnsiTheme="minorHAnsi" w:cstheme="minorBidi"/>
          <w:szCs w:val="22"/>
        </w:rPr>
      </w:pPr>
      <w:r>
        <w:t>76A.</w:t>
      </w:r>
      <w:r>
        <w:tab/>
        <w:t>Electronic monitoring requirement</w:t>
      </w:r>
      <w:r>
        <w:tab/>
      </w:r>
      <w:r>
        <w:fldChar w:fldCharType="begin"/>
      </w:r>
      <w:r>
        <w:instrText xml:space="preserve"> PAGEREF _Toc45288695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11 — Suspended imprisonment</w:t>
      </w:r>
    </w:p>
    <w:p>
      <w:pPr>
        <w:pStyle w:val="TOC8"/>
        <w:rPr>
          <w:rFonts w:asciiTheme="minorHAnsi" w:eastAsiaTheme="minorEastAsia" w:hAnsiTheme="minorHAnsi" w:cstheme="minorBidi"/>
          <w:szCs w:val="22"/>
        </w:rPr>
      </w:pPr>
      <w:r>
        <w:t>76</w:t>
      </w:r>
      <w:r>
        <w:rPr>
          <w:snapToGrid w:val="0"/>
        </w:rPr>
        <w:t>.</w:t>
      </w:r>
      <w:r>
        <w:rPr>
          <w:snapToGrid w:val="0"/>
        </w:rPr>
        <w:tab/>
        <w:t>When imprisonment may be suspended</w:t>
      </w:r>
      <w:r>
        <w:tab/>
      </w:r>
      <w:r>
        <w:fldChar w:fldCharType="begin"/>
      </w:r>
      <w:r>
        <w:instrText xml:space="preserve"> PAGEREF _Toc45288697 \h </w:instrText>
      </w:r>
      <w:r>
        <w:fldChar w:fldCharType="separate"/>
      </w:r>
      <w:r>
        <w:t>93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suspending imprisonment</w:t>
      </w:r>
      <w:r>
        <w:tab/>
      </w:r>
      <w:r>
        <w:fldChar w:fldCharType="begin"/>
      </w:r>
      <w:r>
        <w:instrText xml:space="preserve"> PAGEREF _Toc45288698 \h </w:instrText>
      </w:r>
      <w:r>
        <w:fldChar w:fldCharType="separate"/>
      </w:r>
      <w:r>
        <w:t>93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_Toc45288699 \h </w:instrText>
      </w:r>
      <w:r>
        <w:fldChar w:fldCharType="separate"/>
      </w:r>
      <w:r>
        <w:t>94</w:t>
      </w:r>
      <w:r>
        <w:fldChar w:fldCharType="end"/>
      </w:r>
    </w:p>
    <w:p>
      <w:pPr>
        <w:pStyle w:val="TOC8"/>
        <w:rPr>
          <w:rFonts w:asciiTheme="minorHAnsi" w:eastAsiaTheme="minorEastAsia" w:hAnsiTheme="minorHAnsi" w:cstheme="minorBidi"/>
          <w:szCs w:val="22"/>
        </w:rPr>
      </w:pPr>
      <w:r>
        <w:t>79.</w:t>
      </w:r>
      <w:r>
        <w:tab/>
        <w:t>Re</w:t>
      </w:r>
      <w:r>
        <w:noBreakHyphen/>
        <w:t>offending, alleging in court</w:t>
      </w:r>
      <w:r>
        <w:tab/>
      </w:r>
      <w:r>
        <w:fldChar w:fldCharType="begin"/>
      </w:r>
      <w:r>
        <w:instrText xml:space="preserve"> PAGEREF _Toc45288700 \h </w:instrText>
      </w:r>
      <w:r>
        <w:fldChar w:fldCharType="separate"/>
      </w:r>
      <w:r>
        <w:t>95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How re</w:t>
      </w:r>
      <w:r>
        <w:rPr>
          <w:snapToGrid w:val="0"/>
        </w:rPr>
        <w:noBreakHyphen/>
        <w:t>offender to be dealt with</w:t>
      </w:r>
      <w:r>
        <w:tab/>
      </w:r>
      <w:r>
        <w:fldChar w:fldCharType="begin"/>
      </w:r>
      <w:r>
        <w:instrText xml:space="preserve"> PAGEREF _Toc45288701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Conditional suspended imprisonment</w:t>
      </w:r>
    </w:p>
    <w:p>
      <w:pPr>
        <w:pStyle w:val="TOC4"/>
        <w:tabs>
          <w:tab w:val="right" w:leader="dot" w:pos="7077"/>
        </w:tabs>
        <w:rPr>
          <w:rFonts w:asciiTheme="minorHAnsi" w:eastAsiaTheme="minorEastAsia" w:hAnsiTheme="minorHAnsi" w:cstheme="minorBidi"/>
          <w:b w:val="0"/>
          <w:szCs w:val="22"/>
        </w:rPr>
      </w:pPr>
      <w:r>
        <w:t>Division 1 — Imposition and effect of CSI</w:t>
      </w:r>
    </w:p>
    <w:p>
      <w:pPr>
        <w:pStyle w:val="TOC8"/>
        <w:rPr>
          <w:rFonts w:asciiTheme="minorHAnsi" w:eastAsiaTheme="minorEastAsia" w:hAnsiTheme="minorHAnsi" w:cstheme="minorBidi"/>
          <w:szCs w:val="22"/>
        </w:rPr>
      </w:pPr>
      <w:r>
        <w:t>81.</w:t>
      </w:r>
      <w:r>
        <w:tab/>
        <w:t>Certain courts may suspend imprisonment conditionally</w:t>
      </w:r>
      <w:r>
        <w:tab/>
      </w:r>
      <w:r>
        <w:fldChar w:fldCharType="begin"/>
      </w:r>
      <w:r>
        <w:instrText xml:space="preserve"> PAGEREF _Toc45288704 \h </w:instrText>
      </w:r>
      <w:r>
        <w:fldChar w:fldCharType="separate"/>
      </w:r>
      <w:r>
        <w:t>99</w:t>
      </w:r>
      <w:r>
        <w:fldChar w:fldCharType="end"/>
      </w:r>
    </w:p>
    <w:p>
      <w:pPr>
        <w:pStyle w:val="TOC8"/>
        <w:rPr>
          <w:rFonts w:asciiTheme="minorHAnsi" w:eastAsiaTheme="minorEastAsia" w:hAnsiTheme="minorHAnsi" w:cstheme="minorBidi"/>
          <w:szCs w:val="22"/>
        </w:rPr>
      </w:pPr>
      <w:r>
        <w:t>82.</w:t>
      </w:r>
      <w:r>
        <w:tab/>
        <w:t>Effect of CSI</w:t>
      </w:r>
      <w:r>
        <w:tab/>
      </w:r>
      <w:r>
        <w:fldChar w:fldCharType="begin"/>
      </w:r>
      <w:r>
        <w:instrText xml:space="preserve"> PAGEREF _Toc45288705 \h </w:instrText>
      </w:r>
      <w:r>
        <w:fldChar w:fldCharType="separate"/>
      </w:r>
      <w:r>
        <w:t>100</w:t>
      </w:r>
      <w:r>
        <w:fldChar w:fldCharType="end"/>
      </w:r>
    </w:p>
    <w:p>
      <w:pPr>
        <w:pStyle w:val="TOC8"/>
        <w:rPr>
          <w:rFonts w:asciiTheme="minorHAnsi" w:eastAsiaTheme="minorEastAsia" w:hAnsiTheme="minorHAnsi" w:cstheme="minorBidi"/>
          <w:szCs w:val="22"/>
        </w:rPr>
      </w:pPr>
      <w:r>
        <w:t>83.</w:t>
      </w:r>
      <w:r>
        <w:tab/>
        <w:t>CSI, standard obligations of</w:t>
      </w:r>
      <w:r>
        <w:tab/>
      </w:r>
      <w:r>
        <w:fldChar w:fldCharType="begin"/>
      </w:r>
      <w:r>
        <w:instrText xml:space="preserve"> PAGEREF _Toc45288706 \h </w:instrText>
      </w:r>
      <w:r>
        <w:fldChar w:fldCharType="separate"/>
      </w:r>
      <w:r>
        <w:t>100</w:t>
      </w:r>
      <w:r>
        <w:fldChar w:fldCharType="end"/>
      </w:r>
    </w:p>
    <w:p>
      <w:pPr>
        <w:pStyle w:val="TOC8"/>
        <w:rPr>
          <w:rFonts w:asciiTheme="minorHAnsi" w:eastAsiaTheme="minorEastAsia" w:hAnsiTheme="minorHAnsi" w:cstheme="minorBidi"/>
          <w:szCs w:val="22"/>
        </w:rPr>
      </w:pPr>
      <w:r>
        <w:t>84.</w:t>
      </w:r>
      <w:r>
        <w:tab/>
        <w:t>CSI, primary requirements of</w:t>
      </w:r>
      <w:r>
        <w:tab/>
      </w:r>
      <w:r>
        <w:fldChar w:fldCharType="begin"/>
      </w:r>
      <w:r>
        <w:instrText xml:space="preserve"> PAGEREF _Toc45288707 \h </w:instrText>
      </w:r>
      <w:r>
        <w:fldChar w:fldCharType="separate"/>
      </w:r>
      <w:r>
        <w:t>101</w:t>
      </w:r>
      <w:r>
        <w:fldChar w:fldCharType="end"/>
      </w:r>
    </w:p>
    <w:p>
      <w:pPr>
        <w:pStyle w:val="TOC8"/>
        <w:rPr>
          <w:rFonts w:asciiTheme="minorHAnsi" w:eastAsiaTheme="minorEastAsia" w:hAnsiTheme="minorHAnsi" w:cstheme="minorBidi"/>
          <w:szCs w:val="22"/>
        </w:rPr>
      </w:pPr>
      <w:r>
        <w:t>84A.</w:t>
      </w:r>
      <w:r>
        <w:tab/>
        <w:t>Programme requirement</w:t>
      </w:r>
      <w:r>
        <w:tab/>
      </w:r>
      <w:r>
        <w:fldChar w:fldCharType="begin"/>
      </w:r>
      <w:r>
        <w:instrText xml:space="preserve"> PAGEREF _Toc45288708 \h </w:instrText>
      </w:r>
      <w:r>
        <w:fldChar w:fldCharType="separate"/>
      </w:r>
      <w:r>
        <w:t>101</w:t>
      </w:r>
      <w:r>
        <w:fldChar w:fldCharType="end"/>
      </w:r>
    </w:p>
    <w:p>
      <w:pPr>
        <w:pStyle w:val="TOC8"/>
        <w:rPr>
          <w:rFonts w:asciiTheme="minorHAnsi" w:eastAsiaTheme="minorEastAsia" w:hAnsiTheme="minorHAnsi" w:cstheme="minorBidi"/>
          <w:szCs w:val="22"/>
        </w:rPr>
      </w:pPr>
      <w:r>
        <w:t>84B.</w:t>
      </w:r>
      <w:r>
        <w:tab/>
        <w:t>Supervision requirement</w:t>
      </w:r>
      <w:r>
        <w:tab/>
      </w:r>
      <w:r>
        <w:fldChar w:fldCharType="begin"/>
      </w:r>
      <w:r>
        <w:instrText xml:space="preserve"> PAGEREF _Toc45288709 \h </w:instrText>
      </w:r>
      <w:r>
        <w:fldChar w:fldCharType="separate"/>
      </w:r>
      <w:r>
        <w:t>103</w:t>
      </w:r>
      <w:r>
        <w:fldChar w:fldCharType="end"/>
      </w:r>
    </w:p>
    <w:p>
      <w:pPr>
        <w:pStyle w:val="TOC8"/>
        <w:rPr>
          <w:rFonts w:asciiTheme="minorHAnsi" w:eastAsiaTheme="minorEastAsia" w:hAnsiTheme="minorHAnsi" w:cstheme="minorBidi"/>
          <w:szCs w:val="22"/>
        </w:rPr>
      </w:pPr>
      <w:r>
        <w:t>84C.</w:t>
      </w:r>
      <w:r>
        <w:tab/>
        <w:t>Curfew requirement</w:t>
      </w:r>
      <w:r>
        <w:tab/>
      </w:r>
      <w:r>
        <w:fldChar w:fldCharType="begin"/>
      </w:r>
      <w:r>
        <w:instrText xml:space="preserve"> PAGEREF _Toc45288710 \h </w:instrText>
      </w:r>
      <w:r>
        <w:fldChar w:fldCharType="separate"/>
      </w:r>
      <w:r>
        <w:t>104</w:t>
      </w:r>
      <w:r>
        <w:fldChar w:fldCharType="end"/>
      </w:r>
    </w:p>
    <w:p>
      <w:pPr>
        <w:pStyle w:val="TOC8"/>
        <w:rPr>
          <w:rFonts w:asciiTheme="minorHAnsi" w:eastAsiaTheme="minorEastAsia" w:hAnsiTheme="minorHAnsi" w:cstheme="minorBidi"/>
          <w:szCs w:val="22"/>
        </w:rPr>
      </w:pPr>
      <w:r>
        <w:t>84CA.</w:t>
      </w:r>
      <w:r>
        <w:tab/>
        <w:t>Electronic monitoring requirement</w:t>
      </w:r>
      <w:r>
        <w:tab/>
      </w:r>
      <w:r>
        <w:fldChar w:fldCharType="begin"/>
      </w:r>
      <w:r>
        <w:instrText xml:space="preserve"> PAGEREF _Toc45288711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re</w:t>
      </w:r>
      <w:r>
        <w:noBreakHyphen/>
        <w:t>offending</w:t>
      </w:r>
    </w:p>
    <w:p>
      <w:pPr>
        <w:pStyle w:val="TOC8"/>
        <w:rPr>
          <w:rFonts w:asciiTheme="minorHAnsi" w:eastAsiaTheme="minorEastAsia" w:hAnsiTheme="minorHAnsi" w:cstheme="minorBidi"/>
          <w:szCs w:val="22"/>
        </w:rPr>
      </w:pPr>
      <w:r>
        <w:t>84D.</w:t>
      </w:r>
      <w:r>
        <w:tab/>
        <w:t>Re</w:t>
      </w:r>
      <w:r>
        <w:noBreakHyphen/>
        <w:t>offender may be dealt with or committed</w:t>
      </w:r>
      <w:r>
        <w:tab/>
      </w:r>
      <w:r>
        <w:fldChar w:fldCharType="begin"/>
      </w:r>
      <w:r>
        <w:instrText xml:space="preserve"> PAGEREF _Toc45288713 \h </w:instrText>
      </w:r>
      <w:r>
        <w:fldChar w:fldCharType="separate"/>
      </w:r>
      <w:r>
        <w:t>107</w:t>
      </w:r>
      <w:r>
        <w:fldChar w:fldCharType="end"/>
      </w:r>
    </w:p>
    <w:p>
      <w:pPr>
        <w:pStyle w:val="TOC8"/>
        <w:rPr>
          <w:rFonts w:asciiTheme="minorHAnsi" w:eastAsiaTheme="minorEastAsia" w:hAnsiTheme="minorHAnsi" w:cstheme="minorBidi"/>
          <w:szCs w:val="22"/>
        </w:rPr>
      </w:pPr>
      <w:r>
        <w:t>84E.</w:t>
      </w:r>
      <w:r>
        <w:tab/>
        <w:t>Re</w:t>
      </w:r>
      <w:r>
        <w:noBreakHyphen/>
        <w:t>offending, alleging in court</w:t>
      </w:r>
      <w:r>
        <w:tab/>
      </w:r>
      <w:r>
        <w:fldChar w:fldCharType="begin"/>
      </w:r>
      <w:r>
        <w:instrText xml:space="preserve"> PAGEREF _Toc45288714 \h </w:instrText>
      </w:r>
      <w:r>
        <w:fldChar w:fldCharType="separate"/>
      </w:r>
      <w:r>
        <w:t>109</w:t>
      </w:r>
      <w:r>
        <w:fldChar w:fldCharType="end"/>
      </w:r>
    </w:p>
    <w:p>
      <w:pPr>
        <w:pStyle w:val="TOC8"/>
        <w:rPr>
          <w:rFonts w:asciiTheme="minorHAnsi" w:eastAsiaTheme="minorEastAsia" w:hAnsiTheme="minorHAnsi" w:cstheme="minorBidi"/>
          <w:szCs w:val="22"/>
        </w:rPr>
      </w:pPr>
      <w:r>
        <w:t>84F.</w:t>
      </w:r>
      <w:r>
        <w:tab/>
        <w:t>How re</w:t>
      </w:r>
      <w:r>
        <w:noBreakHyphen/>
        <w:t>offender to be dealt with</w:t>
      </w:r>
      <w:r>
        <w:tab/>
      </w:r>
      <w:r>
        <w:fldChar w:fldCharType="begin"/>
      </w:r>
      <w:r>
        <w:instrText xml:space="preserve"> PAGEREF _Toc45288715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3 — Amending, cancelling and enforcing CSI requirements</w:t>
      </w:r>
    </w:p>
    <w:p>
      <w:pPr>
        <w:pStyle w:val="TOC8"/>
        <w:rPr>
          <w:rFonts w:asciiTheme="minorHAnsi" w:eastAsiaTheme="minorEastAsia" w:hAnsiTheme="minorHAnsi" w:cstheme="minorBidi"/>
          <w:szCs w:val="22"/>
        </w:rPr>
      </w:pPr>
      <w:r>
        <w:t>84G.</w:t>
      </w:r>
      <w:r>
        <w:tab/>
        <w:t>Term used: CSI requirement</w:t>
      </w:r>
      <w:r>
        <w:tab/>
      </w:r>
      <w:r>
        <w:fldChar w:fldCharType="begin"/>
      </w:r>
      <w:r>
        <w:instrText xml:space="preserve"> PAGEREF _Toc45288717 \h </w:instrText>
      </w:r>
      <w:r>
        <w:fldChar w:fldCharType="separate"/>
      </w:r>
      <w:r>
        <w:t>112</w:t>
      </w:r>
      <w:r>
        <w:fldChar w:fldCharType="end"/>
      </w:r>
    </w:p>
    <w:p>
      <w:pPr>
        <w:pStyle w:val="TOC8"/>
        <w:rPr>
          <w:rFonts w:asciiTheme="minorHAnsi" w:eastAsiaTheme="minorEastAsia" w:hAnsiTheme="minorHAnsi" w:cstheme="minorBidi"/>
          <w:szCs w:val="22"/>
        </w:rPr>
      </w:pPr>
      <w:r>
        <w:t>84H.</w:t>
      </w:r>
      <w:r>
        <w:tab/>
        <w:t>Application to amend or cancel CSI requirement</w:t>
      </w:r>
      <w:r>
        <w:tab/>
      </w:r>
      <w:r>
        <w:fldChar w:fldCharType="begin"/>
      </w:r>
      <w:r>
        <w:instrText xml:space="preserve"> PAGEREF _Toc45288718 \h </w:instrText>
      </w:r>
      <w:r>
        <w:fldChar w:fldCharType="separate"/>
      </w:r>
      <w:r>
        <w:t>112</w:t>
      </w:r>
      <w:r>
        <w:fldChar w:fldCharType="end"/>
      </w:r>
    </w:p>
    <w:p>
      <w:pPr>
        <w:pStyle w:val="TOC8"/>
        <w:rPr>
          <w:rFonts w:asciiTheme="minorHAnsi" w:eastAsiaTheme="minorEastAsia" w:hAnsiTheme="minorHAnsi" w:cstheme="minorBidi"/>
          <w:szCs w:val="22"/>
        </w:rPr>
      </w:pPr>
      <w:r>
        <w:t>84I.</w:t>
      </w:r>
      <w:r>
        <w:tab/>
        <w:t>Court may confirm, amend or cancel CSI requirement</w:t>
      </w:r>
      <w:r>
        <w:tab/>
      </w:r>
      <w:r>
        <w:fldChar w:fldCharType="begin"/>
      </w:r>
      <w:r>
        <w:instrText xml:space="preserve"> PAGEREF _Toc45288719 \h </w:instrText>
      </w:r>
      <w:r>
        <w:fldChar w:fldCharType="separate"/>
      </w:r>
      <w:r>
        <w:t>112</w:t>
      </w:r>
      <w:r>
        <w:fldChar w:fldCharType="end"/>
      </w:r>
    </w:p>
    <w:p>
      <w:pPr>
        <w:pStyle w:val="TOC8"/>
        <w:rPr>
          <w:rFonts w:asciiTheme="minorHAnsi" w:eastAsiaTheme="minorEastAsia" w:hAnsiTheme="minorHAnsi" w:cstheme="minorBidi"/>
          <w:szCs w:val="22"/>
        </w:rPr>
      </w:pPr>
      <w:r>
        <w:t>84J.</w:t>
      </w:r>
      <w:r>
        <w:tab/>
        <w:t>Breach of CSI requirement, offence</w:t>
      </w:r>
      <w:r>
        <w:tab/>
      </w:r>
      <w:r>
        <w:fldChar w:fldCharType="begin"/>
      </w:r>
      <w:r>
        <w:instrText xml:space="preserve"> PAGEREF _Toc45288720 \h </w:instrText>
      </w:r>
      <w:r>
        <w:fldChar w:fldCharType="separate"/>
      </w:r>
      <w:r>
        <w:t>113</w:t>
      </w:r>
      <w:r>
        <w:fldChar w:fldCharType="end"/>
      </w:r>
    </w:p>
    <w:p>
      <w:pPr>
        <w:pStyle w:val="TOC8"/>
        <w:rPr>
          <w:rFonts w:asciiTheme="minorHAnsi" w:eastAsiaTheme="minorEastAsia" w:hAnsiTheme="minorHAnsi" w:cstheme="minorBidi"/>
          <w:szCs w:val="22"/>
        </w:rPr>
      </w:pPr>
      <w:r>
        <w:t>84K.</w:t>
      </w:r>
      <w:r>
        <w:tab/>
        <w:t>Offence under s. 84J, procedure and penalty for</w:t>
      </w:r>
      <w:r>
        <w:tab/>
      </w:r>
      <w:r>
        <w:fldChar w:fldCharType="begin"/>
      </w:r>
      <w:r>
        <w:instrText xml:space="preserve"> PAGEREF _Toc45288721 \h </w:instrText>
      </w:r>
      <w:r>
        <w:fldChar w:fldCharType="separate"/>
      </w:r>
      <w:r>
        <w:t>113</w:t>
      </w:r>
      <w:r>
        <w:fldChar w:fldCharType="end"/>
      </w:r>
    </w:p>
    <w:p>
      <w:pPr>
        <w:pStyle w:val="TOC8"/>
        <w:rPr>
          <w:rFonts w:asciiTheme="minorHAnsi" w:eastAsiaTheme="minorEastAsia" w:hAnsiTheme="minorHAnsi" w:cstheme="minorBidi"/>
          <w:szCs w:val="22"/>
        </w:rPr>
      </w:pPr>
      <w:r>
        <w:t>84L.</w:t>
      </w:r>
      <w:r>
        <w:tab/>
        <w:t>Additional powers to deal with s. 84J offender</w:t>
      </w:r>
      <w:r>
        <w:tab/>
      </w:r>
      <w:r>
        <w:fldChar w:fldCharType="begin"/>
      </w:r>
      <w:r>
        <w:instrText xml:space="preserve"> PAGEREF _Toc45288722 \h </w:instrText>
      </w:r>
      <w:r>
        <w:fldChar w:fldCharType="separate"/>
      </w:r>
      <w:r>
        <w:t>114</w:t>
      </w:r>
      <w:r>
        <w:fldChar w:fldCharType="end"/>
      </w:r>
    </w:p>
    <w:p>
      <w:pPr>
        <w:pStyle w:val="TOC8"/>
        <w:rPr>
          <w:rFonts w:asciiTheme="minorHAnsi" w:eastAsiaTheme="minorEastAsia" w:hAnsiTheme="minorHAnsi" w:cstheme="minorBidi"/>
          <w:szCs w:val="22"/>
        </w:rPr>
      </w:pPr>
      <w:r>
        <w:t>84M.</w:t>
      </w:r>
      <w:r>
        <w:tab/>
        <w:t>Facilitation of proof</w:t>
      </w:r>
      <w:r>
        <w:tab/>
      </w:r>
      <w:r>
        <w:fldChar w:fldCharType="begin"/>
      </w:r>
      <w:r>
        <w:instrText xml:space="preserve"> PAGEREF _Toc45288723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4 — Functions of speciality courts as to CSI</w:t>
      </w:r>
    </w:p>
    <w:p>
      <w:pPr>
        <w:pStyle w:val="TOC8"/>
        <w:rPr>
          <w:rFonts w:asciiTheme="minorHAnsi" w:eastAsiaTheme="minorEastAsia" w:hAnsiTheme="minorHAnsi" w:cstheme="minorBidi"/>
          <w:szCs w:val="22"/>
        </w:rPr>
      </w:pPr>
      <w:r>
        <w:t>84N.</w:t>
      </w:r>
      <w:r>
        <w:tab/>
        <w:t>Application of this Division</w:t>
      </w:r>
      <w:r>
        <w:tab/>
      </w:r>
      <w:r>
        <w:fldChar w:fldCharType="begin"/>
      </w:r>
      <w:r>
        <w:instrText xml:space="preserve"> PAGEREF _Toc45288725 \h </w:instrText>
      </w:r>
      <w:r>
        <w:fldChar w:fldCharType="separate"/>
      </w:r>
      <w:r>
        <w:t>116</w:t>
      </w:r>
      <w:r>
        <w:fldChar w:fldCharType="end"/>
      </w:r>
    </w:p>
    <w:p>
      <w:pPr>
        <w:pStyle w:val="TOC8"/>
        <w:rPr>
          <w:rFonts w:asciiTheme="minorHAnsi" w:eastAsiaTheme="minorEastAsia" w:hAnsiTheme="minorHAnsi" w:cstheme="minorBidi"/>
          <w:szCs w:val="22"/>
        </w:rPr>
      </w:pPr>
      <w:r>
        <w:t>84O.</w:t>
      </w:r>
      <w:r>
        <w:tab/>
        <w:t>Speciality court may direct offender on CSI to appear</w:t>
      </w:r>
      <w:r>
        <w:tab/>
      </w:r>
      <w:r>
        <w:fldChar w:fldCharType="begin"/>
      </w:r>
      <w:r>
        <w:instrText xml:space="preserve"> PAGEREF _Toc45288726 \h </w:instrText>
      </w:r>
      <w:r>
        <w:fldChar w:fldCharType="separate"/>
      </w:r>
      <w:r>
        <w:t>116</w:t>
      </w:r>
      <w:r>
        <w:fldChar w:fldCharType="end"/>
      </w:r>
    </w:p>
    <w:p>
      <w:pPr>
        <w:pStyle w:val="TOC8"/>
        <w:rPr>
          <w:rFonts w:asciiTheme="minorHAnsi" w:eastAsiaTheme="minorEastAsia" w:hAnsiTheme="minorHAnsi" w:cstheme="minorBidi"/>
          <w:szCs w:val="22"/>
        </w:rPr>
      </w:pPr>
      <w:r>
        <w:t>84P.</w:t>
      </w:r>
      <w:r>
        <w:tab/>
        <w:t>Speciality court to deal with re</w:t>
      </w:r>
      <w:r>
        <w:noBreakHyphen/>
        <w:t>offender</w:t>
      </w:r>
      <w:r>
        <w:tab/>
      </w:r>
      <w:r>
        <w:fldChar w:fldCharType="begin"/>
      </w:r>
      <w:r>
        <w:instrText xml:space="preserve"> PAGEREF _Toc45288727 \h </w:instrText>
      </w:r>
      <w:r>
        <w:fldChar w:fldCharType="separate"/>
      </w:r>
      <w:r>
        <w:t>117</w:t>
      </w:r>
      <w:r>
        <w:fldChar w:fldCharType="end"/>
      </w:r>
    </w:p>
    <w:p>
      <w:pPr>
        <w:pStyle w:val="TOC8"/>
        <w:rPr>
          <w:rFonts w:asciiTheme="minorHAnsi" w:eastAsiaTheme="minorEastAsia" w:hAnsiTheme="minorHAnsi" w:cstheme="minorBidi"/>
          <w:szCs w:val="22"/>
        </w:rPr>
      </w:pPr>
      <w:r>
        <w:t>84Q.</w:t>
      </w:r>
      <w:r>
        <w:tab/>
        <w:t>Speciality court to deal with application to amend or cancel CSI</w:t>
      </w:r>
      <w:r>
        <w:tab/>
      </w:r>
      <w:r>
        <w:fldChar w:fldCharType="begin"/>
      </w:r>
      <w:r>
        <w:instrText xml:space="preserve"> PAGEREF _Toc45288728 \h </w:instrText>
      </w:r>
      <w:r>
        <w:fldChar w:fldCharType="separate"/>
      </w:r>
      <w:r>
        <w:t>118</w:t>
      </w:r>
      <w:r>
        <w:fldChar w:fldCharType="end"/>
      </w:r>
    </w:p>
    <w:p>
      <w:pPr>
        <w:pStyle w:val="TOC8"/>
        <w:rPr>
          <w:rFonts w:asciiTheme="minorHAnsi" w:eastAsiaTheme="minorEastAsia" w:hAnsiTheme="minorHAnsi" w:cstheme="minorBidi"/>
          <w:szCs w:val="22"/>
        </w:rPr>
      </w:pPr>
      <w:r>
        <w:t>84R.</w:t>
      </w:r>
      <w:r>
        <w:tab/>
        <w:t>Speciality court to deal with proceedings for breaches</w:t>
      </w:r>
      <w:r>
        <w:tab/>
      </w:r>
      <w:r>
        <w:fldChar w:fldCharType="begin"/>
      </w:r>
      <w:r>
        <w:instrText xml:space="preserve"> PAGEREF _Toc45288729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Part 13 — Imprisonment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85</w:t>
      </w:r>
      <w:r>
        <w:rPr>
          <w:snapToGrid w:val="0"/>
        </w:rPr>
        <w:t>.</w:t>
      </w:r>
      <w:r>
        <w:rPr>
          <w:snapToGrid w:val="0"/>
        </w:rPr>
        <w:tab/>
        <w:t>Terms used and calculations</w:t>
      </w:r>
      <w:r>
        <w:tab/>
      </w:r>
      <w:r>
        <w:fldChar w:fldCharType="begin"/>
      </w:r>
      <w:r>
        <w:instrText xml:space="preserve"> PAGEREF _Toc45288732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Imposing imprisonment</w:t>
      </w:r>
    </w:p>
    <w:p>
      <w:pPr>
        <w:pStyle w:val="TOC8"/>
        <w:rPr>
          <w:rFonts w:asciiTheme="minorHAnsi" w:eastAsiaTheme="minorEastAsia" w:hAnsiTheme="minorHAnsi" w:cstheme="minorBidi"/>
          <w:szCs w:val="22"/>
        </w:rPr>
      </w:pPr>
      <w:r>
        <w:t>86</w:t>
      </w:r>
      <w:r>
        <w:rPr>
          <w:snapToGrid w:val="0"/>
        </w:rPr>
        <w:t>.</w:t>
      </w:r>
      <w:r>
        <w:rPr>
          <w:snapToGrid w:val="0"/>
        </w:rPr>
        <w:tab/>
        <w:t>Term of 6 months or less not to be imposed</w:t>
      </w:r>
      <w:r>
        <w:tab/>
      </w:r>
      <w:r>
        <w:fldChar w:fldCharType="begin"/>
      </w:r>
      <w:r>
        <w:instrText xml:space="preserve"> PAGEREF _Toc45288734 \h </w:instrText>
      </w:r>
      <w:r>
        <w:fldChar w:fldCharType="separate"/>
      </w:r>
      <w:r>
        <w:t>121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on remand may be taken into account</w:t>
      </w:r>
      <w:r>
        <w:tab/>
      </w:r>
      <w:r>
        <w:fldChar w:fldCharType="begin"/>
      </w:r>
      <w:r>
        <w:instrText xml:space="preserve"> PAGEREF _Toc45288735 \h </w:instrText>
      </w:r>
      <w:r>
        <w:fldChar w:fldCharType="separate"/>
      </w:r>
      <w:r>
        <w:t>122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Concurrent, cumulative or partly cumulative terms</w:t>
      </w:r>
      <w:r>
        <w:tab/>
      </w:r>
      <w:r>
        <w:fldChar w:fldCharType="begin"/>
      </w:r>
      <w:r>
        <w:instrText xml:space="preserve"> PAGEREF _Toc45288736 \h </w:instrText>
      </w:r>
      <w:r>
        <w:fldChar w:fldCharType="separate"/>
      </w:r>
      <w:r>
        <w:t>122</w:t>
      </w:r>
      <w:r>
        <w:fldChar w:fldCharType="end"/>
      </w:r>
    </w:p>
    <w:p>
      <w:pPr>
        <w:pStyle w:val="TOC8"/>
        <w:rPr>
          <w:rFonts w:asciiTheme="minorHAnsi" w:eastAsiaTheme="minorEastAsia" w:hAnsiTheme="minorHAnsi" w:cstheme="minorBidi"/>
          <w:szCs w:val="22"/>
        </w:rPr>
      </w:pPr>
      <w:r>
        <w:t>89.</w:t>
      </w:r>
      <w:r>
        <w:tab/>
        <w:t>Parole eligibility order, court may make</w:t>
      </w:r>
      <w:r>
        <w:tab/>
      </w:r>
      <w:r>
        <w:fldChar w:fldCharType="begin"/>
      </w:r>
      <w:r>
        <w:instrText xml:space="preserve"> PAGEREF _Toc45288737 \h </w:instrText>
      </w:r>
      <w:r>
        <w:fldChar w:fldCharType="separate"/>
      </w:r>
      <w:r>
        <w:t>124</w:t>
      </w:r>
      <w:r>
        <w:fldChar w:fldCharType="end"/>
      </w:r>
    </w:p>
    <w:p>
      <w:pPr>
        <w:pStyle w:val="TOC8"/>
        <w:rPr>
          <w:rFonts w:asciiTheme="minorHAnsi" w:eastAsiaTheme="minorEastAsia" w:hAnsiTheme="minorHAnsi" w:cstheme="minorBidi"/>
          <w:szCs w:val="22"/>
        </w:rPr>
      </w:pPr>
      <w:r>
        <w:t>90.</w:t>
      </w:r>
      <w:r>
        <w:tab/>
        <w:t>Life imprisonment for murder, imposing</w:t>
      </w:r>
      <w:r>
        <w:tab/>
      </w:r>
      <w:r>
        <w:fldChar w:fldCharType="begin"/>
      </w:r>
      <w:r>
        <w:instrText xml:space="preserve"> PAGEREF _Toc45288738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Release from imprisonment</w:t>
      </w:r>
    </w:p>
    <w:p>
      <w:pPr>
        <w:pStyle w:val="TOC8"/>
        <w:rPr>
          <w:rFonts w:asciiTheme="minorHAnsi" w:eastAsiaTheme="minorEastAsia" w:hAnsiTheme="minorHAnsi" w:cstheme="minorBidi"/>
          <w:szCs w:val="22"/>
        </w:rPr>
      </w:pPr>
      <w:r>
        <w:t>93.</w:t>
      </w:r>
      <w:r>
        <w:tab/>
        <w:t>Release from parole term</w:t>
      </w:r>
      <w:r>
        <w:tab/>
      </w:r>
      <w:r>
        <w:fldChar w:fldCharType="begin"/>
      </w:r>
      <w:r>
        <w:instrText xml:space="preserve"> PAGEREF _Toc45288740 \h </w:instrText>
      </w:r>
      <w:r>
        <w:fldChar w:fldCharType="separate"/>
      </w:r>
      <w:r>
        <w:t>127</w:t>
      </w:r>
      <w:r>
        <w:fldChar w:fldCharType="end"/>
      </w:r>
    </w:p>
    <w:p>
      <w:pPr>
        <w:pStyle w:val="TOC8"/>
        <w:rPr>
          <w:rFonts w:asciiTheme="minorHAnsi" w:eastAsiaTheme="minorEastAsia" w:hAnsiTheme="minorHAnsi" w:cstheme="minorBidi"/>
          <w:szCs w:val="22"/>
        </w:rPr>
      </w:pPr>
      <w:r>
        <w:t>94A.</w:t>
      </w:r>
      <w:r>
        <w:tab/>
        <w:t xml:space="preserve">Release on parole of prisoners subject to </w:t>
      </w:r>
      <w:r>
        <w:rPr>
          <w:i/>
        </w:rPr>
        <w:t>Prisoners (Interstate Transfer) Act 1983</w:t>
      </w:r>
      <w:r>
        <w:tab/>
      </w:r>
      <w:r>
        <w:fldChar w:fldCharType="begin"/>
      </w:r>
      <w:r>
        <w:instrText xml:space="preserve"> PAGEREF _Toc45288741 \h </w:instrText>
      </w:r>
      <w:r>
        <w:fldChar w:fldCharType="separate"/>
      </w:r>
      <w:r>
        <w:t>127</w:t>
      </w:r>
      <w:r>
        <w:fldChar w:fldCharType="end"/>
      </w:r>
    </w:p>
    <w:p>
      <w:pPr>
        <w:pStyle w:val="TOC8"/>
        <w:rPr>
          <w:rFonts w:asciiTheme="minorHAnsi" w:eastAsiaTheme="minorEastAsia" w:hAnsiTheme="minorHAnsi" w:cstheme="minorBidi"/>
          <w:szCs w:val="22"/>
        </w:rPr>
      </w:pPr>
      <w:r>
        <w:t>94.</w:t>
      </w:r>
      <w:r>
        <w:tab/>
        <w:t>Aggregation of parole terms for certain purposes</w:t>
      </w:r>
      <w:r>
        <w:tab/>
      </w:r>
      <w:r>
        <w:fldChar w:fldCharType="begin"/>
      </w:r>
      <w:r>
        <w:instrText xml:space="preserve"> PAGEREF _Toc45288742 \h </w:instrText>
      </w:r>
      <w:r>
        <w:fldChar w:fldCharType="separate"/>
      </w:r>
      <w:r>
        <w:t>128</w:t>
      </w:r>
      <w:r>
        <w:fldChar w:fldCharType="end"/>
      </w:r>
    </w:p>
    <w:p>
      <w:pPr>
        <w:pStyle w:val="TOC8"/>
        <w:rPr>
          <w:rFonts w:asciiTheme="minorHAnsi" w:eastAsiaTheme="minorEastAsia" w:hAnsiTheme="minorHAnsi" w:cstheme="minorBidi"/>
          <w:szCs w:val="22"/>
        </w:rPr>
      </w:pPr>
      <w:r>
        <w:t>95A.</w:t>
      </w:r>
      <w:r>
        <w:tab/>
        <w:t>Eligibility for parole where certain mandatory minimum sentences imposed</w:t>
      </w:r>
      <w:r>
        <w:tab/>
      </w:r>
      <w:r>
        <w:fldChar w:fldCharType="begin"/>
      </w:r>
      <w:r>
        <w:instrText xml:space="preserve"> PAGEREF _Toc45288743 \h </w:instrText>
      </w:r>
      <w:r>
        <w:fldChar w:fldCharType="separate"/>
      </w:r>
      <w:r>
        <w:t>130</w:t>
      </w:r>
      <w:r>
        <w:fldChar w:fldCharType="end"/>
      </w:r>
    </w:p>
    <w:p>
      <w:pPr>
        <w:pStyle w:val="TOC8"/>
        <w:rPr>
          <w:rFonts w:asciiTheme="minorHAnsi" w:eastAsiaTheme="minorEastAsia" w:hAnsiTheme="minorHAnsi" w:cstheme="minorBidi"/>
          <w:szCs w:val="22"/>
        </w:rPr>
      </w:pPr>
      <w:r>
        <w:t>95.</w:t>
      </w:r>
      <w:r>
        <w:tab/>
        <w:t>Release from fixed term that is not parole term</w:t>
      </w:r>
      <w:r>
        <w:tab/>
      </w:r>
      <w:r>
        <w:fldChar w:fldCharType="begin"/>
      </w:r>
      <w:r>
        <w:instrText xml:space="preserve"> PAGEREF _Toc45288744 \h </w:instrText>
      </w:r>
      <w:r>
        <w:fldChar w:fldCharType="separate"/>
      </w:r>
      <w:r>
        <w:t>131</w:t>
      </w:r>
      <w:r>
        <w:fldChar w:fldCharType="end"/>
      </w:r>
    </w:p>
    <w:p>
      <w:pPr>
        <w:pStyle w:val="TOC8"/>
        <w:rPr>
          <w:rFonts w:asciiTheme="minorHAnsi" w:eastAsiaTheme="minorEastAsia" w:hAnsiTheme="minorHAnsi" w:cstheme="minorBidi"/>
          <w:szCs w:val="22"/>
        </w:rPr>
      </w:pPr>
      <w:r>
        <w:t>96.</w:t>
      </w:r>
      <w:r>
        <w:tab/>
        <w:t>Release from life imprisonment</w:t>
      </w:r>
      <w:r>
        <w:tab/>
      </w:r>
      <w:r>
        <w:fldChar w:fldCharType="begin"/>
      </w:r>
      <w:r>
        <w:instrText xml:space="preserve"> PAGEREF _Toc45288745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97</w:t>
      </w:r>
      <w:r>
        <w:rPr>
          <w:snapToGrid w:val="0"/>
        </w:rPr>
        <w:t>.</w:t>
      </w:r>
      <w:r>
        <w:rPr>
          <w:snapToGrid w:val="0"/>
        </w:rPr>
        <w:tab/>
      </w:r>
      <w:r>
        <w:rPr>
          <w:i/>
          <w:snapToGrid w:val="0"/>
        </w:rPr>
        <w:t>Sentence Administration Act 2003</w:t>
      </w:r>
      <w:r>
        <w:rPr>
          <w:snapToGrid w:val="0"/>
        </w:rPr>
        <w:t>, operation of</w:t>
      </w:r>
      <w:r>
        <w:tab/>
      </w:r>
      <w:r>
        <w:fldChar w:fldCharType="begin"/>
      </w:r>
      <w:r>
        <w:instrText xml:space="preserve"> PAGEREF _Toc45288747 \h </w:instrText>
      </w:r>
      <w:r>
        <w:fldChar w:fldCharType="separate"/>
      </w:r>
      <w:r>
        <w:t>132</w:t>
      </w:r>
      <w:r>
        <w:fldChar w:fldCharType="end"/>
      </w:r>
    </w:p>
    <w:p>
      <w:pPr>
        <w:pStyle w:val="TOC8"/>
        <w:rPr>
          <w:rFonts w:asciiTheme="minorHAnsi" w:eastAsiaTheme="minorEastAsia" w:hAnsiTheme="minorHAnsi" w:cstheme="minorBidi"/>
          <w:szCs w:val="22"/>
        </w:rPr>
      </w:pPr>
      <w:r>
        <w:t>97A.</w:t>
      </w:r>
      <w:r>
        <w:tab/>
        <w:t xml:space="preserve">Declaration of serious violent offence for purposes of </w:t>
      </w:r>
      <w:r>
        <w:rPr>
          <w:i/>
        </w:rPr>
        <w:t>Sentence Administration Act 2003</w:t>
      </w:r>
      <w:r>
        <w:t xml:space="preserve"> Part 5A</w:t>
      </w:r>
      <w:r>
        <w:tab/>
      </w:r>
      <w:r>
        <w:fldChar w:fldCharType="begin"/>
      </w:r>
      <w:r>
        <w:instrText xml:space="preserve"> PAGEREF _Toc45288748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Part 14 — Indefinite imprisonment</w:t>
      </w:r>
    </w:p>
    <w:p>
      <w:pPr>
        <w:pStyle w:val="TOC8"/>
        <w:rPr>
          <w:rFonts w:asciiTheme="minorHAnsi" w:eastAsiaTheme="minorEastAsia" w:hAnsiTheme="minorHAnsi" w:cstheme="minorBidi"/>
          <w:szCs w:val="22"/>
        </w:rPr>
      </w:pPr>
      <w:r>
        <w:t>98</w:t>
      </w:r>
      <w:r>
        <w:rPr>
          <w:snapToGrid w:val="0"/>
        </w:rPr>
        <w:t>.</w:t>
      </w:r>
      <w:r>
        <w:rPr>
          <w:snapToGrid w:val="0"/>
        </w:rPr>
        <w:tab/>
        <w:t>Indefinite imprisonment, superior court may impose</w:t>
      </w:r>
      <w:r>
        <w:tab/>
      </w:r>
      <w:r>
        <w:fldChar w:fldCharType="begin"/>
      </w:r>
      <w:r>
        <w:instrText xml:space="preserve"> PAGEREF _Toc45288750 \h </w:instrText>
      </w:r>
      <w:r>
        <w:fldChar w:fldCharType="separate"/>
      </w:r>
      <w:r>
        <w:t>134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Other terms not precluded by indefinite imprisonment</w:t>
      </w:r>
      <w:r>
        <w:tab/>
      </w:r>
      <w:r>
        <w:fldChar w:fldCharType="begin"/>
      </w:r>
      <w:r>
        <w:instrText xml:space="preserve"> PAGEREF _Toc45288751 \h </w:instrText>
      </w:r>
      <w:r>
        <w:fldChar w:fldCharType="separate"/>
      </w:r>
      <w:r>
        <w:t>135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When indefinite imprisonment commences</w:t>
      </w:r>
      <w:r>
        <w:tab/>
      </w:r>
      <w:r>
        <w:fldChar w:fldCharType="begin"/>
      </w:r>
      <w:r>
        <w:instrText xml:space="preserve"> PAGEREF _Toc45288752 \h </w:instrText>
      </w:r>
      <w:r>
        <w:fldChar w:fldCharType="separate"/>
      </w:r>
      <w:r>
        <w:t>135</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Release from indefinite imprisonment</w:t>
      </w:r>
      <w:r>
        <w:tab/>
      </w:r>
      <w:r>
        <w:fldChar w:fldCharType="begin"/>
      </w:r>
      <w:r>
        <w:instrText xml:space="preserve"> PAGEREF _Toc45288753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Part 15 — Other orders forming part of a sentence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102</w:t>
      </w:r>
      <w:r>
        <w:rPr>
          <w:snapToGrid w:val="0"/>
        </w:rPr>
        <w:t>.</w:t>
      </w:r>
      <w:r>
        <w:rPr>
          <w:snapToGrid w:val="0"/>
        </w:rPr>
        <w:tab/>
        <w:t>General provisions</w:t>
      </w:r>
      <w:r>
        <w:tab/>
      </w:r>
      <w:r>
        <w:fldChar w:fldCharType="begin"/>
      </w:r>
      <w:r>
        <w:instrText xml:space="preserve"> PAGEREF _Toc45288756 \h </w:instrText>
      </w:r>
      <w:r>
        <w:fldChar w:fldCharType="separate"/>
      </w:r>
      <w:r>
        <w:t>136</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Disqualification order, calculation of term of</w:t>
      </w:r>
      <w:r>
        <w:tab/>
      </w:r>
      <w:r>
        <w:fldChar w:fldCharType="begin"/>
      </w:r>
      <w:r>
        <w:instrText xml:space="preserve"> PAGEREF _Toc45288757 \h </w:instrText>
      </w:r>
      <w:r>
        <w:fldChar w:fldCharType="separate"/>
      </w:r>
      <w:r>
        <w:t>136</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Disqualification may be for life</w:t>
      </w:r>
      <w:r>
        <w:tab/>
      </w:r>
      <w:r>
        <w:fldChar w:fldCharType="begin"/>
      </w:r>
      <w:r>
        <w:instrText xml:space="preserve"> PAGEREF _Toc45288758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Disqualification orders</w:t>
      </w:r>
    </w:p>
    <w:p>
      <w:pPr>
        <w:pStyle w:val="TOC8"/>
        <w:rPr>
          <w:rFonts w:asciiTheme="minorHAnsi" w:eastAsiaTheme="minorEastAsia" w:hAnsiTheme="minorHAnsi" w:cstheme="minorBidi"/>
          <w:szCs w:val="22"/>
        </w:rPr>
      </w:pPr>
      <w:r>
        <w:t>105</w:t>
      </w:r>
      <w:r>
        <w:rPr>
          <w:snapToGrid w:val="0"/>
        </w:rPr>
        <w:t>.</w:t>
      </w:r>
      <w:r>
        <w:rPr>
          <w:snapToGrid w:val="0"/>
        </w:rPr>
        <w:tab/>
        <w:t>Driver’s licence disqualification</w:t>
      </w:r>
      <w:r>
        <w:tab/>
      </w:r>
      <w:r>
        <w:fldChar w:fldCharType="begin"/>
      </w:r>
      <w:r>
        <w:instrText xml:space="preserve"> PAGEREF _Toc45288760 \h </w:instrText>
      </w:r>
      <w:r>
        <w:fldChar w:fldCharType="separate"/>
      </w:r>
      <w:r>
        <w:t>136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Firearms licence etc. disqualification</w:t>
      </w:r>
      <w:r>
        <w:tab/>
      </w:r>
      <w:r>
        <w:fldChar w:fldCharType="begin"/>
      </w:r>
      <w:r>
        <w:instrText xml:space="preserve"> PAGEREF _Toc45288761 \h </w:instrText>
      </w:r>
      <w:r>
        <w:fldChar w:fldCharType="separate"/>
      </w:r>
      <w:r>
        <w:t>138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Marine qualification disqualification</w:t>
      </w:r>
      <w:r>
        <w:tab/>
      </w:r>
      <w:r>
        <w:fldChar w:fldCharType="begin"/>
      </w:r>
      <w:r>
        <w:instrText xml:space="preserve"> PAGEREF _Toc45288762 \h </w:instrText>
      </w:r>
      <w:r>
        <w:fldChar w:fldCharType="separate"/>
      </w:r>
      <w:r>
        <w:t>139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Passport, surrender of etc.</w:t>
      </w:r>
      <w:r>
        <w:tab/>
      </w:r>
      <w:r>
        <w:fldChar w:fldCharType="begin"/>
      </w:r>
      <w:r>
        <w:instrText xml:space="preserve"> PAGEREF _Toc45288763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16 — Reparation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109</w:t>
      </w:r>
      <w:r>
        <w:rPr>
          <w:snapToGrid w:val="0"/>
        </w:rPr>
        <w:t>.</w:t>
      </w:r>
      <w:r>
        <w:rPr>
          <w:snapToGrid w:val="0"/>
        </w:rPr>
        <w:tab/>
        <w:t>Term used: reparation order</w:t>
      </w:r>
      <w:r>
        <w:tab/>
      </w:r>
      <w:r>
        <w:fldChar w:fldCharType="begin"/>
      </w:r>
      <w:r>
        <w:instrText xml:space="preserve"> PAGEREF _Toc45288766 \h </w:instrText>
      </w:r>
      <w:r>
        <w:fldChar w:fldCharType="separate"/>
      </w:r>
      <w:r>
        <w:t>143</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General provisions</w:t>
      </w:r>
      <w:r>
        <w:tab/>
      </w:r>
      <w:r>
        <w:fldChar w:fldCharType="begin"/>
      </w:r>
      <w:r>
        <w:instrText xml:space="preserve"> PAGEREF _Toc45288767 \h </w:instrText>
      </w:r>
      <w:r>
        <w:fldChar w:fldCharType="separate"/>
      </w:r>
      <w:r>
        <w:t>143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Making a reparation order</w:t>
      </w:r>
      <w:r>
        <w:tab/>
      </w:r>
      <w:r>
        <w:fldChar w:fldCharType="begin"/>
      </w:r>
      <w:r>
        <w:instrText xml:space="preserve"> PAGEREF _Toc45288768 \h </w:instrText>
      </w:r>
      <w:r>
        <w:fldChar w:fldCharType="separate"/>
      </w:r>
      <w:r>
        <w:t>143</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Facts relevant to making reparation order</w:t>
      </w:r>
      <w:r>
        <w:tab/>
      </w:r>
      <w:r>
        <w:fldChar w:fldCharType="begin"/>
      </w:r>
      <w:r>
        <w:instrText xml:space="preserve"> PAGEREF _Toc45288769 \h </w:instrText>
      </w:r>
      <w:r>
        <w:fldChar w:fldCharType="separate"/>
      </w:r>
      <w:r>
        <w:t>144</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Victim’s behaviour and relationship relevant</w:t>
      </w:r>
      <w:r>
        <w:tab/>
      </w:r>
      <w:r>
        <w:fldChar w:fldCharType="begin"/>
      </w:r>
      <w:r>
        <w:instrText xml:space="preserve"> PAGEREF _Toc45288770 \h </w:instrText>
      </w:r>
      <w:r>
        <w:fldChar w:fldCharType="separate"/>
      </w:r>
      <w:r>
        <w:t>145</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Civil standard of proof applies</w:t>
      </w:r>
      <w:r>
        <w:tab/>
      </w:r>
      <w:r>
        <w:fldChar w:fldCharType="begin"/>
      </w:r>
      <w:r>
        <w:instrText xml:space="preserve"> PAGEREF _Toc45288771 \h </w:instrText>
      </w:r>
      <w:r>
        <w:fldChar w:fldCharType="separate"/>
      </w:r>
      <w:r>
        <w:t>145</w:t>
      </w:r>
      <w:r>
        <w:fldChar w:fldCharType="end"/>
      </w:r>
    </w:p>
    <w:p>
      <w:pPr>
        <w:pStyle w:val="TOC8"/>
        <w:rPr>
          <w:rFonts w:asciiTheme="minorHAnsi" w:eastAsiaTheme="minorEastAsia" w:hAnsiTheme="minorHAnsi" w:cstheme="minorBidi"/>
          <w:szCs w:val="22"/>
        </w:rPr>
      </w:pPr>
      <w:r>
        <w:t>114A.</w:t>
      </w:r>
      <w:r>
        <w:tab/>
        <w:t>Victim may appeal against refusal of reparation order</w:t>
      </w:r>
      <w:r>
        <w:tab/>
      </w:r>
      <w:r>
        <w:fldChar w:fldCharType="begin"/>
      </w:r>
      <w:r>
        <w:instrText xml:space="preserve"> PAGEREF _Toc45288772 \h </w:instrText>
      </w:r>
      <w:r>
        <w:fldChar w:fldCharType="separate"/>
      </w:r>
      <w:r>
        <w:t>145</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Effect of reparation order on civil proceedings etc.</w:t>
      </w:r>
      <w:r>
        <w:tab/>
      </w:r>
      <w:r>
        <w:fldChar w:fldCharType="begin"/>
      </w:r>
      <w:r>
        <w:instrText xml:space="preserve"> PAGEREF _Toc45288773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Compensation order</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_Toc45288775 \h </w:instrText>
      </w:r>
      <w:r>
        <w:fldChar w:fldCharType="separate"/>
      </w:r>
      <w:r>
        <w:t>146</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Compensation order in favour of victim</w:t>
      </w:r>
      <w:r>
        <w:tab/>
      </w:r>
      <w:r>
        <w:fldChar w:fldCharType="begin"/>
      </w:r>
      <w:r>
        <w:instrText xml:space="preserve"> PAGEREF _Toc45288776 \h </w:instrText>
      </w:r>
      <w:r>
        <w:fldChar w:fldCharType="separate"/>
      </w:r>
      <w:r>
        <w:t>147</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Compensation order in favour of third party</w:t>
      </w:r>
      <w:r>
        <w:tab/>
      </w:r>
      <w:r>
        <w:fldChar w:fldCharType="begin"/>
      </w:r>
      <w:r>
        <w:instrText xml:space="preserve"> PAGEREF _Toc45288777 \h </w:instrText>
      </w:r>
      <w:r>
        <w:fldChar w:fldCharType="separate"/>
      </w:r>
      <w:r>
        <w:t>147</w:t>
      </w:r>
      <w:r>
        <w:fldChar w:fldCharType="end"/>
      </w:r>
    </w:p>
    <w:p>
      <w:pPr>
        <w:pStyle w:val="TOC8"/>
        <w:rPr>
          <w:rFonts w:asciiTheme="minorHAnsi" w:eastAsiaTheme="minorEastAsia" w:hAnsiTheme="minorHAnsi" w:cstheme="minorBidi"/>
          <w:szCs w:val="22"/>
        </w:rPr>
      </w:pPr>
      <w:r>
        <w:t>119.</w:t>
      </w:r>
      <w:r>
        <w:tab/>
        <w:t>Enforcing compensation order</w:t>
      </w:r>
      <w:r>
        <w:tab/>
      </w:r>
      <w:r>
        <w:fldChar w:fldCharType="begin"/>
      </w:r>
      <w:r>
        <w:instrText xml:space="preserve"> PAGEREF _Toc45288778 \h </w:instrText>
      </w:r>
      <w:r>
        <w:fldChar w:fldCharType="separate"/>
      </w:r>
      <w:r>
        <w:t>148</w:t>
      </w:r>
      <w:r>
        <w:fldChar w:fldCharType="end"/>
      </w:r>
    </w:p>
    <w:p>
      <w:pPr>
        <w:pStyle w:val="TOC8"/>
        <w:rPr>
          <w:rFonts w:asciiTheme="minorHAnsi" w:eastAsiaTheme="minorEastAsia" w:hAnsiTheme="minorHAnsi" w:cstheme="minorBidi"/>
          <w:szCs w:val="22"/>
        </w:rPr>
      </w:pPr>
      <w:r>
        <w:t>119A.</w:t>
      </w:r>
      <w:r>
        <w:tab/>
        <w:t>Imprisonment until compensation paid, court may order</w:t>
      </w:r>
      <w:r>
        <w:tab/>
      </w:r>
      <w:r>
        <w:fldChar w:fldCharType="begin"/>
      </w:r>
      <w:r>
        <w:instrText xml:space="preserve"> PAGEREF _Toc45288779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Restitution order</w:t>
      </w:r>
    </w:p>
    <w:p>
      <w:pPr>
        <w:pStyle w:val="TOC8"/>
        <w:rPr>
          <w:rFonts w:asciiTheme="minorHAnsi" w:eastAsiaTheme="minorEastAsia" w:hAnsiTheme="minorHAnsi" w:cstheme="minorBidi"/>
          <w:szCs w:val="22"/>
        </w:rPr>
      </w:pPr>
      <w:r>
        <w:t>120</w:t>
      </w:r>
      <w:r>
        <w:rPr>
          <w:snapToGrid w:val="0"/>
        </w:rPr>
        <w:t>.</w:t>
      </w:r>
      <w:r>
        <w:rPr>
          <w:snapToGrid w:val="0"/>
        </w:rPr>
        <w:tab/>
        <w:t>Making restitution order</w:t>
      </w:r>
      <w:r>
        <w:tab/>
      </w:r>
      <w:r>
        <w:fldChar w:fldCharType="begin"/>
      </w:r>
      <w:r>
        <w:instrText xml:space="preserve"> PAGEREF _Toc45288781 \h </w:instrText>
      </w:r>
      <w:r>
        <w:fldChar w:fldCharType="separate"/>
      </w:r>
      <w:r>
        <w:t>149</w:t>
      </w:r>
      <w:r>
        <w:fldChar w:fldCharType="end"/>
      </w:r>
    </w:p>
    <w:p>
      <w:pPr>
        <w:pStyle w:val="TOC8"/>
        <w:rPr>
          <w:rFonts w:asciiTheme="minorHAnsi" w:eastAsiaTheme="minorEastAsia" w:hAnsiTheme="minorHAnsi" w:cstheme="minorBidi"/>
          <w:szCs w:val="22"/>
        </w:rPr>
      </w:pPr>
      <w:r>
        <w:t>120A.</w:t>
      </w:r>
      <w:r>
        <w:tab/>
        <w:t>Enforcing restitution order, Sheriff’s powers for</w:t>
      </w:r>
      <w:r>
        <w:tab/>
      </w:r>
      <w:r>
        <w:fldChar w:fldCharType="begin"/>
      </w:r>
      <w:r>
        <w:instrText xml:space="preserve"> PAGEREF _Toc45288782 \h </w:instrText>
      </w:r>
      <w:r>
        <w:fldChar w:fldCharType="separate"/>
      </w:r>
      <w:r>
        <w:t>150</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Enforcing restitution order, court’s powers for</w:t>
      </w:r>
      <w:r>
        <w:tab/>
      </w:r>
      <w:r>
        <w:fldChar w:fldCharType="begin"/>
      </w:r>
      <w:r>
        <w:instrText xml:space="preserve"> PAGEREF _Toc45288783 \h </w:instrText>
      </w:r>
      <w:r>
        <w:fldChar w:fldCharType="separate"/>
      </w:r>
      <w:r>
        <w:t>150</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Non</w:t>
      </w:r>
      <w:r>
        <w:rPr>
          <w:snapToGrid w:val="0"/>
        </w:rPr>
        <w:noBreakHyphen/>
        <w:t>compliance with restitution order, offence</w:t>
      </w:r>
      <w:r>
        <w:tab/>
      </w:r>
      <w:r>
        <w:fldChar w:fldCharType="begin"/>
      </w:r>
      <w:r>
        <w:instrText xml:space="preserve"> PAGEREF _Toc45288784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Part 17 — Other orders not forming part of a sentence</w:t>
      </w:r>
    </w:p>
    <w:p>
      <w:pPr>
        <w:pStyle w:val="TOC8"/>
        <w:rPr>
          <w:rFonts w:asciiTheme="minorHAnsi" w:eastAsiaTheme="minorEastAsia" w:hAnsiTheme="minorHAnsi" w:cstheme="minorBidi"/>
          <w:szCs w:val="22"/>
        </w:rPr>
      </w:pPr>
      <w:r>
        <w:t>123</w:t>
      </w:r>
      <w:r>
        <w:rPr>
          <w:snapToGrid w:val="0"/>
        </w:rPr>
        <w:t>.</w:t>
      </w:r>
      <w:r>
        <w:rPr>
          <w:snapToGrid w:val="0"/>
        </w:rPr>
        <w:tab/>
        <w:t>General provisions</w:t>
      </w:r>
      <w:r>
        <w:tab/>
      </w:r>
      <w:r>
        <w:fldChar w:fldCharType="begin"/>
      </w:r>
      <w:r>
        <w:instrText xml:space="preserve"> PAGEREF _Toc45288786 \h </w:instrText>
      </w:r>
      <w:r>
        <w:fldChar w:fldCharType="separate"/>
      </w:r>
      <w:r>
        <w:t>152</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r>
      <w:r>
        <w:rPr>
          <w:i/>
          <w:snapToGrid w:val="0"/>
        </w:rPr>
        <w:t>Restraining Orders Act 1997</w:t>
      </w:r>
      <w:r>
        <w:rPr>
          <w:snapToGrid w:val="0"/>
        </w:rPr>
        <w:t xml:space="preserve"> s. 63 restraining order, s. 123 applies to</w:t>
      </w:r>
      <w:r>
        <w:tab/>
      </w:r>
      <w:r>
        <w:fldChar w:fldCharType="begin"/>
      </w:r>
      <w:r>
        <w:instrText xml:space="preserve"> PAGEREF _Toc45288787 \h </w:instrText>
      </w:r>
      <w:r>
        <w:fldChar w:fldCharType="separate"/>
      </w:r>
      <w:r>
        <w:t>152</w:t>
      </w:r>
      <w:r>
        <w:fldChar w:fldCharType="end"/>
      </w:r>
    </w:p>
    <w:p>
      <w:pPr>
        <w:pStyle w:val="TOC8"/>
        <w:rPr>
          <w:rFonts w:asciiTheme="minorHAnsi" w:eastAsiaTheme="minorEastAsia" w:hAnsiTheme="minorHAnsi" w:cstheme="minorBidi"/>
          <w:szCs w:val="22"/>
        </w:rPr>
      </w:pPr>
      <w:r>
        <w:t>124A.</w:t>
      </w:r>
      <w:r>
        <w:tab/>
      </w:r>
      <w:r>
        <w:rPr>
          <w:i/>
        </w:rPr>
        <w:t>Community Protection (Offender Reporting) Act 2004</w:t>
      </w:r>
      <w:r>
        <w:t xml:space="preserve"> s. 13 offender reporting order, s. 123 applies to</w:t>
      </w:r>
      <w:r>
        <w:tab/>
      </w:r>
      <w:r>
        <w:fldChar w:fldCharType="begin"/>
      </w:r>
      <w:r>
        <w:instrText xml:space="preserve"> PAGEREF _Toc45288788 \h </w:instrText>
      </w:r>
      <w:r>
        <w:fldChar w:fldCharType="separate"/>
      </w:r>
      <w:r>
        <w:t>152</w:t>
      </w:r>
      <w:r>
        <w:fldChar w:fldCharType="end"/>
      </w:r>
    </w:p>
    <w:p>
      <w:pPr>
        <w:pStyle w:val="TOC8"/>
        <w:rPr>
          <w:rFonts w:asciiTheme="minorHAnsi" w:eastAsiaTheme="minorEastAsia" w:hAnsiTheme="minorHAnsi" w:cstheme="minorBidi"/>
          <w:szCs w:val="22"/>
        </w:rPr>
      </w:pPr>
      <w:r>
        <w:t>124B.</w:t>
      </w:r>
      <w:r>
        <w:tab/>
      </w:r>
      <w:r>
        <w:rPr>
          <w:i/>
          <w:iCs/>
        </w:rPr>
        <w:t>Prohibited Behaviour Orders Act 2010</w:t>
      </w:r>
      <w:r>
        <w:rPr>
          <w:iCs/>
        </w:rPr>
        <w:t xml:space="preserve"> prohibited behaviour </w:t>
      </w:r>
      <w:r>
        <w:t>order, s. 123 applies to</w:t>
      </w:r>
      <w:r>
        <w:tab/>
      </w:r>
      <w:r>
        <w:fldChar w:fldCharType="begin"/>
      </w:r>
      <w:r>
        <w:instrText xml:space="preserve"> PAGEREF _Toc45288789 \h </w:instrText>
      </w:r>
      <w:r>
        <w:fldChar w:fldCharType="separate"/>
      </w:r>
      <w:r>
        <w:t>152</w:t>
      </w:r>
      <w:r>
        <w:fldChar w:fldCharType="end"/>
      </w:r>
    </w:p>
    <w:p>
      <w:pPr>
        <w:pStyle w:val="TOC8"/>
        <w:rPr>
          <w:rFonts w:asciiTheme="minorHAnsi" w:eastAsiaTheme="minorEastAsia" w:hAnsiTheme="minorHAnsi" w:cstheme="minorBidi"/>
          <w:szCs w:val="22"/>
        </w:rPr>
      </w:pPr>
      <w:r>
        <w:t>124C.</w:t>
      </w:r>
      <w:r>
        <w:tab/>
        <w:t xml:space="preserve">Orders under </w:t>
      </w:r>
      <w:r>
        <w:rPr>
          <w:i/>
        </w:rPr>
        <w:t>Criminal Organisations Control Act 2012</w:t>
      </w:r>
      <w:r>
        <w:tab/>
      </w:r>
      <w:r>
        <w:fldChar w:fldCharType="begin"/>
      </w:r>
      <w:r>
        <w:instrText xml:space="preserve"> PAGEREF _Toc45288790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18 — Amending and enforcing conditional release orders and community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125</w:t>
      </w:r>
      <w:r>
        <w:rPr>
          <w:snapToGrid w:val="0"/>
        </w:rPr>
        <w:t>.</w:t>
      </w:r>
      <w:r>
        <w:rPr>
          <w:snapToGrid w:val="0"/>
        </w:rPr>
        <w:tab/>
        <w:t>Term used: requirements; and interpretation</w:t>
      </w:r>
      <w:r>
        <w:tab/>
      </w:r>
      <w:r>
        <w:fldChar w:fldCharType="begin"/>
      </w:r>
      <w:r>
        <w:instrText xml:space="preserve"> PAGEREF _Toc45288793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Amending or cancelling conditional release orders and community orders</w:t>
      </w:r>
    </w:p>
    <w:p>
      <w:pPr>
        <w:pStyle w:val="TOC8"/>
        <w:rPr>
          <w:rFonts w:asciiTheme="minorHAnsi" w:eastAsiaTheme="minorEastAsia" w:hAnsiTheme="minorHAnsi" w:cstheme="minorBidi"/>
          <w:szCs w:val="22"/>
        </w:rPr>
      </w:pPr>
      <w:r>
        <w:t>126</w:t>
      </w:r>
      <w:r>
        <w:rPr>
          <w:snapToGrid w:val="0"/>
        </w:rPr>
        <w:t>.</w:t>
      </w:r>
      <w:r>
        <w:rPr>
          <w:snapToGrid w:val="0"/>
        </w:rPr>
        <w:tab/>
        <w:t>Application to amend or cancel</w:t>
      </w:r>
      <w:r>
        <w:tab/>
      </w:r>
      <w:r>
        <w:fldChar w:fldCharType="begin"/>
      </w:r>
      <w:r>
        <w:instrText xml:space="preserve"> PAGEREF _Toc45288795 \h </w:instrText>
      </w:r>
      <w:r>
        <w:fldChar w:fldCharType="separate"/>
      </w:r>
      <w:r>
        <w:t>154</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Court may confirm, amend or cancel</w:t>
      </w:r>
      <w:r>
        <w:tab/>
      </w:r>
      <w:r>
        <w:fldChar w:fldCharType="begin"/>
      </w:r>
      <w:r>
        <w:instrText xml:space="preserve"> PAGEREF _Toc45288796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w:t>
      </w:r>
      <w:r>
        <w:noBreakHyphen/>
        <w:t>offending while subject to a conditional release order or a community order</w:t>
      </w:r>
    </w:p>
    <w:p>
      <w:pPr>
        <w:pStyle w:val="TOC8"/>
        <w:rPr>
          <w:rFonts w:asciiTheme="minorHAnsi" w:eastAsiaTheme="minorEastAsia" w:hAnsiTheme="minorHAnsi" w:cstheme="minorBidi"/>
          <w:szCs w:val="22"/>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_Toc45288798 \h </w:instrText>
      </w:r>
      <w:r>
        <w:fldChar w:fldCharType="separate"/>
      </w:r>
      <w:r>
        <w:t>156</w:t>
      </w:r>
      <w:r>
        <w:fldChar w:fldCharType="end"/>
      </w:r>
    </w:p>
    <w:p>
      <w:pPr>
        <w:pStyle w:val="TOC8"/>
        <w:rPr>
          <w:rFonts w:asciiTheme="minorHAnsi" w:eastAsiaTheme="minorEastAsia" w:hAnsiTheme="minorHAnsi" w:cstheme="minorBidi"/>
          <w:szCs w:val="22"/>
        </w:rPr>
      </w:pPr>
      <w:r>
        <w:t>129.</w:t>
      </w:r>
      <w:r>
        <w:tab/>
        <w:t>Re</w:t>
      </w:r>
      <w:r>
        <w:noBreakHyphen/>
        <w:t>offending, alleging in court</w:t>
      </w:r>
      <w:r>
        <w:tab/>
      </w:r>
      <w:r>
        <w:fldChar w:fldCharType="begin"/>
      </w:r>
      <w:r>
        <w:instrText xml:space="preserve"> PAGEREF _Toc45288799 \h </w:instrText>
      </w:r>
      <w:r>
        <w:fldChar w:fldCharType="separate"/>
      </w:r>
      <w:r>
        <w:t>157</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_Toc45288800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Breaching a conditional release order or a community order</w:t>
      </w:r>
    </w:p>
    <w:p>
      <w:pPr>
        <w:pStyle w:val="TOC8"/>
        <w:rPr>
          <w:rFonts w:asciiTheme="minorHAnsi" w:eastAsiaTheme="minorEastAsia" w:hAnsiTheme="minorHAnsi" w:cstheme="minorBidi"/>
          <w:szCs w:val="22"/>
        </w:rPr>
      </w:pPr>
      <w:r>
        <w:t>131</w:t>
      </w:r>
      <w:r>
        <w:rPr>
          <w:snapToGrid w:val="0"/>
        </w:rPr>
        <w:t>.</w:t>
      </w:r>
      <w:r>
        <w:rPr>
          <w:snapToGrid w:val="0"/>
        </w:rPr>
        <w:tab/>
        <w:t>Breach of requirement, offence</w:t>
      </w:r>
      <w:r>
        <w:tab/>
      </w:r>
      <w:r>
        <w:fldChar w:fldCharType="begin"/>
      </w:r>
      <w:r>
        <w:instrText xml:space="preserve"> PAGEREF _Toc45288802 \h </w:instrText>
      </w:r>
      <w:r>
        <w:fldChar w:fldCharType="separate"/>
      </w:r>
      <w:r>
        <w:t>159</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Offence under s. 131, procedure and penalty for</w:t>
      </w:r>
      <w:r>
        <w:tab/>
      </w:r>
      <w:r>
        <w:fldChar w:fldCharType="begin"/>
      </w:r>
      <w:r>
        <w:instrText xml:space="preserve"> PAGEREF _Toc45288803 \h </w:instrText>
      </w:r>
      <w:r>
        <w:fldChar w:fldCharType="separate"/>
      </w:r>
      <w:r>
        <w:t>160</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Additional powers to deal with s. 131 offender</w:t>
      </w:r>
      <w:r>
        <w:tab/>
      </w:r>
      <w:r>
        <w:fldChar w:fldCharType="begin"/>
      </w:r>
      <w:r>
        <w:instrText xml:space="preserve"> PAGEREF _Toc45288804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134</w:t>
      </w:r>
      <w:r>
        <w:rPr>
          <w:snapToGrid w:val="0"/>
        </w:rPr>
        <w:t>.</w:t>
      </w:r>
      <w:r>
        <w:rPr>
          <w:snapToGrid w:val="0"/>
        </w:rPr>
        <w:tab/>
        <w:t>Facilitation of proof</w:t>
      </w:r>
      <w:r>
        <w:tab/>
      </w:r>
      <w:r>
        <w:fldChar w:fldCharType="begin"/>
      </w:r>
      <w:r>
        <w:instrText xml:space="preserve"> PAGEREF _Toc45288806 \h </w:instrText>
      </w:r>
      <w:r>
        <w:fldChar w:fldCharType="separate"/>
      </w:r>
      <w:r>
        <w:t>162</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Compliance with CRO or community order to be taken into account</w:t>
      </w:r>
      <w:r>
        <w:tab/>
      </w:r>
      <w:r>
        <w:fldChar w:fldCharType="begin"/>
      </w:r>
      <w:r>
        <w:instrText xml:space="preserve"> PAGEREF _Toc45288807 \h </w:instrText>
      </w:r>
      <w:r>
        <w:fldChar w:fldCharType="separate"/>
      </w:r>
      <w:r>
        <w:t>162</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w:t>
      </w:r>
      <w:r>
        <w:rPr>
          <w:snapToGrid w:val="0"/>
        </w:rPr>
        <w:noBreakHyphen/>
        <w:t>sentencing, court’s powers for</w:t>
      </w:r>
      <w:r>
        <w:tab/>
      </w:r>
      <w:r>
        <w:fldChar w:fldCharType="begin"/>
      </w:r>
      <w:r>
        <w:instrText xml:space="preserve"> PAGEREF _Toc45288808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6 — Functions of speciality courts</w:t>
      </w:r>
    </w:p>
    <w:p>
      <w:pPr>
        <w:pStyle w:val="TOC8"/>
        <w:rPr>
          <w:rFonts w:asciiTheme="minorHAnsi" w:eastAsiaTheme="minorEastAsia" w:hAnsiTheme="minorHAnsi" w:cstheme="minorBidi"/>
          <w:szCs w:val="22"/>
        </w:rPr>
      </w:pPr>
      <w:r>
        <w:t>136A.</w:t>
      </w:r>
      <w:r>
        <w:tab/>
        <w:t>Application of Division</w:t>
      </w:r>
      <w:r>
        <w:tab/>
      </w:r>
      <w:r>
        <w:fldChar w:fldCharType="begin"/>
      </w:r>
      <w:r>
        <w:instrText xml:space="preserve"> PAGEREF _Toc45288810 \h </w:instrText>
      </w:r>
      <w:r>
        <w:fldChar w:fldCharType="separate"/>
      </w:r>
      <w:r>
        <w:t>164</w:t>
      </w:r>
      <w:r>
        <w:fldChar w:fldCharType="end"/>
      </w:r>
    </w:p>
    <w:p>
      <w:pPr>
        <w:pStyle w:val="TOC8"/>
        <w:rPr>
          <w:rFonts w:asciiTheme="minorHAnsi" w:eastAsiaTheme="minorEastAsia" w:hAnsiTheme="minorHAnsi" w:cstheme="minorBidi"/>
          <w:szCs w:val="22"/>
        </w:rPr>
      </w:pPr>
      <w:r>
        <w:t>136B.</w:t>
      </w:r>
      <w:r>
        <w:tab/>
        <w:t>Term used: court</w:t>
      </w:r>
      <w:r>
        <w:tab/>
      </w:r>
      <w:r>
        <w:fldChar w:fldCharType="begin"/>
      </w:r>
      <w:r>
        <w:instrText xml:space="preserve"> PAGEREF _Toc45288811 \h </w:instrText>
      </w:r>
      <w:r>
        <w:fldChar w:fldCharType="separate"/>
      </w:r>
      <w:r>
        <w:t>164</w:t>
      </w:r>
      <w:r>
        <w:fldChar w:fldCharType="end"/>
      </w:r>
    </w:p>
    <w:p>
      <w:pPr>
        <w:pStyle w:val="TOC8"/>
        <w:rPr>
          <w:rFonts w:asciiTheme="minorHAnsi" w:eastAsiaTheme="minorEastAsia" w:hAnsiTheme="minorHAnsi" w:cstheme="minorBidi"/>
          <w:szCs w:val="22"/>
        </w:rPr>
      </w:pPr>
      <w:r>
        <w:t>136C.</w:t>
      </w:r>
      <w:r>
        <w:tab/>
        <w:t>Court may direct offender on community order to appear</w:t>
      </w:r>
      <w:r>
        <w:tab/>
      </w:r>
      <w:r>
        <w:fldChar w:fldCharType="begin"/>
      </w:r>
      <w:r>
        <w:instrText xml:space="preserve"> PAGEREF _Toc45288812 \h </w:instrText>
      </w:r>
      <w:r>
        <w:fldChar w:fldCharType="separate"/>
      </w:r>
      <w:r>
        <w:t>164</w:t>
      </w:r>
      <w:r>
        <w:fldChar w:fldCharType="end"/>
      </w:r>
    </w:p>
    <w:p>
      <w:pPr>
        <w:pStyle w:val="TOC8"/>
        <w:rPr>
          <w:rFonts w:asciiTheme="minorHAnsi" w:eastAsiaTheme="minorEastAsia" w:hAnsiTheme="minorHAnsi" w:cstheme="minorBidi"/>
          <w:szCs w:val="22"/>
        </w:rPr>
      </w:pPr>
      <w:r>
        <w:t>136D.</w:t>
      </w:r>
      <w:r>
        <w:tab/>
        <w:t>Court to deal with re</w:t>
      </w:r>
      <w:r>
        <w:noBreakHyphen/>
        <w:t>offender</w:t>
      </w:r>
      <w:r>
        <w:tab/>
      </w:r>
      <w:r>
        <w:fldChar w:fldCharType="begin"/>
      </w:r>
      <w:r>
        <w:instrText xml:space="preserve"> PAGEREF _Toc45288813 \h </w:instrText>
      </w:r>
      <w:r>
        <w:fldChar w:fldCharType="separate"/>
      </w:r>
      <w:r>
        <w:t>165</w:t>
      </w:r>
      <w:r>
        <w:fldChar w:fldCharType="end"/>
      </w:r>
    </w:p>
    <w:p>
      <w:pPr>
        <w:pStyle w:val="TOC8"/>
        <w:rPr>
          <w:rFonts w:asciiTheme="minorHAnsi" w:eastAsiaTheme="minorEastAsia" w:hAnsiTheme="minorHAnsi" w:cstheme="minorBidi"/>
          <w:szCs w:val="22"/>
        </w:rPr>
      </w:pPr>
      <w:r>
        <w:t>136E.</w:t>
      </w:r>
      <w:r>
        <w:tab/>
        <w:t>Court to deal with application to amend or cancel community order</w:t>
      </w:r>
      <w:r>
        <w:tab/>
      </w:r>
      <w:r>
        <w:fldChar w:fldCharType="begin"/>
      </w:r>
      <w:r>
        <w:instrText xml:space="preserve"> PAGEREF _Toc45288814 \h </w:instrText>
      </w:r>
      <w:r>
        <w:fldChar w:fldCharType="separate"/>
      </w:r>
      <w:r>
        <w:t>165</w:t>
      </w:r>
      <w:r>
        <w:fldChar w:fldCharType="end"/>
      </w:r>
    </w:p>
    <w:p>
      <w:pPr>
        <w:pStyle w:val="TOC8"/>
        <w:rPr>
          <w:rFonts w:asciiTheme="minorHAnsi" w:eastAsiaTheme="minorEastAsia" w:hAnsiTheme="minorHAnsi" w:cstheme="minorBidi"/>
          <w:szCs w:val="22"/>
        </w:rPr>
      </w:pPr>
      <w:r>
        <w:t>136F.</w:t>
      </w:r>
      <w:r>
        <w:tab/>
        <w:t>Court to deal with proceedings for breaches</w:t>
      </w:r>
      <w:r>
        <w:tab/>
      </w:r>
      <w:r>
        <w:fldChar w:fldCharType="begin"/>
      </w:r>
      <w:r>
        <w:instrText xml:space="preserve"> PAGEREF _Toc45288815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Part 18A — Review of conditional orders</w:t>
      </w:r>
    </w:p>
    <w:p>
      <w:pPr>
        <w:pStyle w:val="TOC8"/>
        <w:rPr>
          <w:rFonts w:asciiTheme="minorHAnsi" w:eastAsiaTheme="minorEastAsia" w:hAnsiTheme="minorHAnsi" w:cstheme="minorBidi"/>
          <w:szCs w:val="22"/>
        </w:rPr>
      </w:pPr>
      <w:r>
        <w:t>136G.</w:t>
      </w:r>
      <w:r>
        <w:tab/>
        <w:t>Terms used</w:t>
      </w:r>
      <w:r>
        <w:tab/>
      </w:r>
      <w:r>
        <w:fldChar w:fldCharType="begin"/>
      </w:r>
      <w:r>
        <w:instrText xml:space="preserve"> PAGEREF _Toc45288817 \h </w:instrText>
      </w:r>
      <w:r>
        <w:fldChar w:fldCharType="separate"/>
      </w:r>
      <w:r>
        <w:t>167</w:t>
      </w:r>
      <w:r>
        <w:fldChar w:fldCharType="end"/>
      </w:r>
    </w:p>
    <w:p>
      <w:pPr>
        <w:pStyle w:val="TOC8"/>
        <w:rPr>
          <w:rFonts w:asciiTheme="minorHAnsi" w:eastAsiaTheme="minorEastAsia" w:hAnsiTheme="minorHAnsi" w:cstheme="minorBidi"/>
          <w:szCs w:val="22"/>
        </w:rPr>
      </w:pPr>
      <w:r>
        <w:t>136H.</w:t>
      </w:r>
      <w:r>
        <w:tab/>
        <w:t>Application to review</w:t>
      </w:r>
      <w:r>
        <w:tab/>
      </w:r>
      <w:r>
        <w:fldChar w:fldCharType="begin"/>
      </w:r>
      <w:r>
        <w:instrText xml:space="preserve"> PAGEREF _Toc45288818 \h </w:instrText>
      </w:r>
      <w:r>
        <w:fldChar w:fldCharType="separate"/>
      </w:r>
      <w:r>
        <w:t>167</w:t>
      </w:r>
      <w:r>
        <w:fldChar w:fldCharType="end"/>
      </w:r>
    </w:p>
    <w:p>
      <w:pPr>
        <w:pStyle w:val="TOC8"/>
        <w:rPr>
          <w:rFonts w:asciiTheme="minorHAnsi" w:eastAsiaTheme="minorEastAsia" w:hAnsiTheme="minorHAnsi" w:cstheme="minorBidi"/>
          <w:szCs w:val="22"/>
        </w:rPr>
      </w:pPr>
      <w:r>
        <w:t>136I.</w:t>
      </w:r>
      <w:r>
        <w:tab/>
        <w:t>Court may confirm, amend or cancel</w:t>
      </w:r>
      <w:r>
        <w:tab/>
      </w:r>
      <w:r>
        <w:fldChar w:fldCharType="begin"/>
      </w:r>
      <w:r>
        <w:instrText xml:space="preserve"> PAGEREF _Toc45288819 \h </w:instrText>
      </w:r>
      <w:r>
        <w:fldChar w:fldCharType="separate"/>
      </w:r>
      <w:r>
        <w:t>167</w:t>
      </w:r>
      <w:r>
        <w:fldChar w:fldCharType="end"/>
      </w:r>
    </w:p>
    <w:p>
      <w:pPr>
        <w:pStyle w:val="TOC2"/>
        <w:tabs>
          <w:tab w:val="right" w:leader="dot" w:pos="7077"/>
        </w:tabs>
        <w:rPr>
          <w:rFonts w:asciiTheme="minorHAnsi" w:eastAsiaTheme="minorEastAsia" w:hAnsiTheme="minorHAnsi" w:cstheme="minorBidi"/>
          <w:b w:val="0"/>
          <w:sz w:val="22"/>
          <w:szCs w:val="22"/>
        </w:rPr>
      </w:pPr>
      <w:r>
        <w:t>Part 19 — Royal Prerogative of Mercy</w:t>
      </w:r>
    </w:p>
    <w:p>
      <w:pPr>
        <w:pStyle w:val="TOC8"/>
        <w:rPr>
          <w:rFonts w:asciiTheme="minorHAnsi" w:eastAsiaTheme="minorEastAsia" w:hAnsiTheme="minorHAnsi" w:cstheme="minorBidi"/>
          <w:szCs w:val="22"/>
        </w:rPr>
      </w:pPr>
      <w:r>
        <w:t>137.</w:t>
      </w:r>
      <w:r>
        <w:tab/>
        <w:t>Royal Prerogative of Mercy not affected</w:t>
      </w:r>
      <w:r>
        <w:tab/>
      </w:r>
      <w:r>
        <w:fldChar w:fldCharType="begin"/>
      </w:r>
      <w:r>
        <w:instrText xml:space="preserve"> PAGEREF _Toc45288821 \h </w:instrText>
      </w:r>
      <w:r>
        <w:fldChar w:fldCharType="separate"/>
      </w:r>
      <w:r>
        <w:t>169</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Pardon, effect of</w:t>
      </w:r>
      <w:r>
        <w:tab/>
      </w:r>
      <w:r>
        <w:fldChar w:fldCharType="begin"/>
      </w:r>
      <w:r>
        <w:instrText xml:space="preserve"> PAGEREF _Toc45288822 \h </w:instrText>
      </w:r>
      <w:r>
        <w:fldChar w:fldCharType="separate"/>
      </w:r>
      <w:r>
        <w:t>169</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Order to pay money, Governor may remit</w:t>
      </w:r>
      <w:r>
        <w:tab/>
      </w:r>
      <w:r>
        <w:fldChar w:fldCharType="begin"/>
      </w:r>
      <w:r>
        <w:instrText xml:space="preserve"> PAGEREF _Toc45288823 \h </w:instrText>
      </w:r>
      <w:r>
        <w:fldChar w:fldCharType="separate"/>
      </w:r>
      <w:r>
        <w:t>169</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Petition for mercy may be referred to Court of Appeal</w:t>
      </w:r>
      <w:r>
        <w:tab/>
      </w:r>
      <w:r>
        <w:fldChar w:fldCharType="begin"/>
      </w:r>
      <w:r>
        <w:instrText xml:space="preserve"> PAGEREF _Toc45288824 \h </w:instrText>
      </w:r>
      <w:r>
        <w:fldChar w:fldCharType="separate"/>
      </w:r>
      <w:r>
        <w:t>169</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Offender may be paroled</w:t>
      </w:r>
      <w:r>
        <w:tab/>
      </w:r>
      <w:r>
        <w:fldChar w:fldCharType="begin"/>
      </w:r>
      <w:r>
        <w:instrText xml:space="preserve"> PAGEREF _Toc45288825 \h </w:instrText>
      </w:r>
      <w:r>
        <w:fldChar w:fldCharType="separate"/>
      </w:r>
      <w:r>
        <w:t>170</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Strict security life imprisonment, exercise of Prerogative in case of</w:t>
      </w:r>
      <w:r>
        <w:tab/>
      </w:r>
      <w:r>
        <w:fldChar w:fldCharType="begin"/>
      </w:r>
      <w:r>
        <w:instrText xml:space="preserve"> PAGEREF _Toc45288826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Part 20 — Miscellaneous</w:t>
      </w:r>
    </w:p>
    <w:p>
      <w:pPr>
        <w:pStyle w:val="TOC8"/>
        <w:rPr>
          <w:rFonts w:asciiTheme="minorHAnsi" w:eastAsiaTheme="minorEastAsia" w:hAnsiTheme="minorHAnsi" w:cstheme="minorBidi"/>
          <w:szCs w:val="22"/>
        </w:rPr>
      </w:pPr>
      <w:r>
        <w:t>143</w:t>
      </w:r>
      <w:r>
        <w:rPr>
          <w:snapToGrid w:val="0"/>
        </w:rPr>
        <w:t>.</w:t>
      </w:r>
      <w:r>
        <w:rPr>
          <w:snapToGrid w:val="0"/>
        </w:rPr>
        <w:tab/>
        <w:t>Guideline judgments by Court of Appeal</w:t>
      </w:r>
      <w:r>
        <w:tab/>
      </w:r>
      <w:r>
        <w:fldChar w:fldCharType="begin"/>
      </w:r>
      <w:r>
        <w:instrText xml:space="preserve"> PAGEREF _Toc45288828 \h </w:instrText>
      </w:r>
      <w:r>
        <w:fldChar w:fldCharType="separate"/>
      </w:r>
      <w:r>
        <w:t>171</w:t>
      </w:r>
      <w:r>
        <w:fldChar w:fldCharType="end"/>
      </w:r>
    </w:p>
    <w:p>
      <w:pPr>
        <w:pStyle w:val="TOC8"/>
        <w:rPr>
          <w:rFonts w:asciiTheme="minorHAnsi" w:eastAsiaTheme="minorEastAsia" w:hAnsiTheme="minorHAnsi" w:cstheme="minorBidi"/>
          <w:szCs w:val="22"/>
        </w:rPr>
      </w:pPr>
      <w:r>
        <w:t>143A.</w:t>
      </w:r>
      <w:r>
        <w:tab/>
        <w:t>Sentencing guidelines for courts of summary jurisdiction</w:t>
      </w:r>
      <w:r>
        <w:tab/>
      </w:r>
      <w:r>
        <w:fldChar w:fldCharType="begin"/>
      </w:r>
      <w:r>
        <w:instrText xml:space="preserve"> PAGEREF _Toc45288829 \h </w:instrText>
      </w:r>
      <w:r>
        <w:fldChar w:fldCharType="separate"/>
      </w:r>
      <w:r>
        <w:t>171</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Chief Justice may report to Parliament</w:t>
      </w:r>
      <w:r>
        <w:tab/>
      </w:r>
      <w:r>
        <w:fldChar w:fldCharType="begin"/>
      </w:r>
      <w:r>
        <w:instrText xml:space="preserve"> PAGEREF _Toc45288830 \h </w:instrText>
      </w:r>
      <w:r>
        <w:fldChar w:fldCharType="separate"/>
      </w:r>
      <w:r>
        <w:t>172</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Non-compliance with procedural requirements, effect of</w:t>
      </w:r>
      <w:r>
        <w:tab/>
      </w:r>
      <w:r>
        <w:fldChar w:fldCharType="begin"/>
      </w:r>
      <w:r>
        <w:instrText xml:space="preserve"> PAGEREF _Toc45288831 \h </w:instrText>
      </w:r>
      <w:r>
        <w:fldChar w:fldCharType="separate"/>
      </w:r>
      <w:r>
        <w:t>172</w:t>
      </w:r>
      <w:r>
        <w:fldChar w:fldCharType="end"/>
      </w:r>
    </w:p>
    <w:p>
      <w:pPr>
        <w:pStyle w:val="TOC8"/>
        <w:rPr>
          <w:rFonts w:asciiTheme="minorHAnsi" w:eastAsiaTheme="minorEastAsia" w:hAnsiTheme="minorHAnsi" w:cstheme="minorBidi"/>
          <w:szCs w:val="22"/>
        </w:rPr>
      </w:pPr>
      <w:r>
        <w:t>145A.</w:t>
      </w:r>
      <w:r>
        <w:tab/>
        <w:t>Existence of circumstances of aggravation is question for judge to determine</w:t>
      </w:r>
      <w:r>
        <w:tab/>
      </w:r>
      <w:r>
        <w:fldChar w:fldCharType="begin"/>
      </w:r>
      <w:r>
        <w:instrText xml:space="preserve"> PAGEREF _Toc45288832 \h </w:instrText>
      </w:r>
      <w:r>
        <w:fldChar w:fldCharType="separate"/>
      </w:r>
      <w:r>
        <w:t>172</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Questions of fact in superior courts</w:t>
      </w:r>
      <w:r>
        <w:tab/>
      </w:r>
      <w:r>
        <w:fldChar w:fldCharType="begin"/>
      </w:r>
      <w:r>
        <w:instrText xml:space="preserve"> PAGEREF _Toc45288833 \h </w:instrText>
      </w:r>
      <w:r>
        <w:fldChar w:fldCharType="separate"/>
      </w:r>
      <w:r>
        <w:t>173</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Operation of other Acts not affected</w:t>
      </w:r>
      <w:r>
        <w:tab/>
      </w:r>
      <w:r>
        <w:fldChar w:fldCharType="begin"/>
      </w:r>
      <w:r>
        <w:instrText xml:space="preserve"> PAGEREF _Toc45288834 \h </w:instrText>
      </w:r>
      <w:r>
        <w:fldChar w:fldCharType="separate"/>
      </w:r>
      <w:r>
        <w:t>173</w:t>
      </w:r>
      <w:r>
        <w:fldChar w:fldCharType="end"/>
      </w:r>
    </w:p>
    <w:p>
      <w:pPr>
        <w:pStyle w:val="TOC8"/>
        <w:rPr>
          <w:rFonts w:asciiTheme="minorHAnsi" w:eastAsiaTheme="minorEastAsia" w:hAnsiTheme="minorHAnsi" w:cstheme="minorBidi"/>
          <w:szCs w:val="22"/>
        </w:rPr>
      </w:pPr>
      <w:r>
        <w:t>147A.</w:t>
      </w:r>
      <w:r>
        <w:tab/>
        <w:t>Monitoring requirements: additional provisions</w:t>
      </w:r>
      <w:r>
        <w:tab/>
      </w:r>
      <w:r>
        <w:fldChar w:fldCharType="begin"/>
      </w:r>
      <w:r>
        <w:instrText xml:space="preserve"> PAGEREF _Toc45288835 \h </w:instrText>
      </w:r>
      <w:r>
        <w:fldChar w:fldCharType="separate"/>
      </w:r>
      <w:r>
        <w:t>173</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Regulations</w:t>
      </w:r>
      <w:r>
        <w:tab/>
      </w:r>
      <w:r>
        <w:fldChar w:fldCharType="begin"/>
      </w:r>
      <w:r>
        <w:instrText xml:space="preserve"> PAGEREF _Toc45288836 \h </w:instrText>
      </w:r>
      <w:r>
        <w:fldChar w:fldCharType="separate"/>
      </w:r>
      <w:r>
        <w:t>173</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Rules of court</w:t>
      </w:r>
      <w:r>
        <w:tab/>
      </w:r>
      <w:r>
        <w:fldChar w:fldCharType="begin"/>
      </w:r>
      <w:r>
        <w:instrText xml:space="preserve"> PAGEREF _Toc45288837 \h </w:instrText>
      </w:r>
      <w:r>
        <w:fldChar w:fldCharType="separate"/>
      </w:r>
      <w:r>
        <w:t>174</w:t>
      </w:r>
      <w:r>
        <w:fldChar w:fldCharType="end"/>
      </w:r>
    </w:p>
    <w:p>
      <w:pPr>
        <w:pStyle w:val="TOC2"/>
        <w:tabs>
          <w:tab w:val="right" w:leader="dot" w:pos="7077"/>
        </w:tabs>
        <w:rPr>
          <w:rFonts w:asciiTheme="minorHAnsi" w:eastAsiaTheme="minorEastAsia" w:hAnsiTheme="minorHAnsi" w:cstheme="minorBidi"/>
          <w:b w:val="0"/>
          <w:sz w:val="22"/>
          <w:szCs w:val="22"/>
        </w:rPr>
      </w:pPr>
      <w:r>
        <w:t>Part 21 — Transitional and review provisions</w:t>
      </w:r>
    </w:p>
    <w:p>
      <w:pPr>
        <w:pStyle w:val="TOC8"/>
        <w:rPr>
          <w:rFonts w:asciiTheme="minorHAnsi" w:eastAsiaTheme="minorEastAsia" w:hAnsiTheme="minorHAnsi" w:cstheme="minorBidi"/>
          <w:szCs w:val="22"/>
        </w:rPr>
      </w:pPr>
      <w:r>
        <w:t>150A.</w:t>
      </w:r>
      <w:r>
        <w:tab/>
      </w:r>
      <w:r>
        <w:rPr>
          <w:i/>
        </w:rPr>
        <w:t xml:space="preserve">Sentencing Amendment Act 2012 </w:t>
      </w:r>
      <w:r>
        <w:t>amendments, application of</w:t>
      </w:r>
      <w:r>
        <w:tab/>
      </w:r>
      <w:r>
        <w:fldChar w:fldCharType="begin"/>
      </w:r>
      <w:r>
        <w:instrText xml:space="preserve"> PAGEREF _Toc45288839 \h </w:instrText>
      </w:r>
      <w:r>
        <w:fldChar w:fldCharType="separate"/>
      </w:r>
      <w:r>
        <w:t>175</w:t>
      </w:r>
      <w:r>
        <w:fldChar w:fldCharType="end"/>
      </w:r>
    </w:p>
    <w:p>
      <w:pPr>
        <w:pStyle w:val="TOC8"/>
        <w:rPr>
          <w:rFonts w:asciiTheme="minorHAnsi" w:eastAsiaTheme="minorEastAsia" w:hAnsiTheme="minorHAnsi" w:cstheme="minorBidi"/>
          <w:szCs w:val="22"/>
        </w:rPr>
      </w:pPr>
      <w:r>
        <w:t>150AB.</w:t>
      </w:r>
      <w:r>
        <w:tab/>
        <w:t xml:space="preserve">Application of </w:t>
      </w:r>
      <w:r>
        <w:rPr>
          <w:i/>
          <w:snapToGrid w:val="0"/>
        </w:rPr>
        <w:t>Sentencing Legislation Amendment Act 2016</w:t>
      </w:r>
      <w:r>
        <w:t xml:space="preserve"> amendments about circumstances of aggravation</w:t>
      </w:r>
      <w:r>
        <w:tab/>
      </w:r>
      <w:r>
        <w:fldChar w:fldCharType="begin"/>
      </w:r>
      <w:r>
        <w:instrText xml:space="preserve"> PAGEREF _Toc45288840 \h </w:instrText>
      </w:r>
      <w:r>
        <w:fldChar w:fldCharType="separate"/>
      </w:r>
      <w:r>
        <w:t>175</w:t>
      </w:r>
      <w:r>
        <w:fldChar w:fldCharType="end"/>
      </w:r>
    </w:p>
    <w:p>
      <w:pPr>
        <w:pStyle w:val="TOC8"/>
        <w:rPr>
          <w:rFonts w:asciiTheme="minorHAnsi" w:eastAsiaTheme="minorEastAsia" w:hAnsiTheme="minorHAnsi" w:cstheme="minorBidi"/>
          <w:szCs w:val="22"/>
        </w:rPr>
      </w:pPr>
      <w:r>
        <w:t>150B.</w:t>
      </w:r>
      <w:r>
        <w:tab/>
        <w:t>Review of s. 9AA</w:t>
      </w:r>
      <w:r>
        <w:tab/>
      </w:r>
      <w:r>
        <w:fldChar w:fldCharType="begin"/>
      </w:r>
      <w:r>
        <w:instrText xml:space="preserve"> PAGEREF _Toc45288841 \h </w:instrText>
      </w:r>
      <w:r>
        <w:fldChar w:fldCharType="separate"/>
      </w:r>
      <w:r>
        <w:t>176</w:t>
      </w:r>
      <w:r>
        <w:fldChar w:fldCharType="end"/>
      </w:r>
    </w:p>
    <w:p>
      <w:pPr>
        <w:pStyle w:val="TOC8"/>
        <w:rPr>
          <w:rFonts w:asciiTheme="minorHAnsi" w:eastAsiaTheme="minorEastAsia" w:hAnsiTheme="minorHAnsi" w:cstheme="minorBidi"/>
          <w:szCs w:val="22"/>
        </w:rPr>
      </w:pPr>
      <w:r>
        <w:t>150.</w:t>
      </w:r>
      <w:r>
        <w:tab/>
        <w:t>Review of Act</w:t>
      </w:r>
      <w:r>
        <w:tab/>
      </w:r>
      <w:r>
        <w:fldChar w:fldCharType="begin"/>
      </w:r>
      <w:r>
        <w:instrText xml:space="preserve"> PAGEREF _Toc45288842 \h </w:instrText>
      </w:r>
      <w:r>
        <w:fldChar w:fldCharType="separate"/>
      </w:r>
      <w:r>
        <w:t>176</w:t>
      </w:r>
      <w:r>
        <w:fldChar w:fldCharType="end"/>
      </w:r>
    </w:p>
    <w:p>
      <w:pPr>
        <w:pStyle w:val="TOC8"/>
        <w:rPr>
          <w:rFonts w:asciiTheme="minorHAnsi" w:eastAsiaTheme="minorEastAsia" w:hAnsiTheme="minorHAnsi" w:cstheme="minorBidi"/>
          <w:szCs w:val="22"/>
        </w:rPr>
      </w:pPr>
      <w:r>
        <w:t>151.</w:t>
      </w:r>
      <w:r>
        <w:tab/>
        <w:t xml:space="preserve">Review of amendments made by </w:t>
      </w:r>
      <w:r>
        <w:rPr>
          <w:i/>
          <w:iCs/>
        </w:rPr>
        <w:t>Family Violence Legislation Reform Act 2020</w:t>
      </w:r>
      <w:r>
        <w:tab/>
      </w:r>
      <w:r>
        <w:fldChar w:fldCharType="begin"/>
      </w:r>
      <w:r>
        <w:instrText xml:space="preserve"> PAGEREF _Toc45288843 \h </w:instrText>
      </w:r>
      <w:r>
        <w:fldChar w:fldCharType="separate"/>
      </w:r>
      <w:r>
        <w:t>176</w:t>
      </w:r>
      <w:r>
        <w:fldChar w:fldCharType="end"/>
      </w:r>
    </w:p>
    <w:p>
      <w:pPr>
        <w:pStyle w:val="TOC2"/>
        <w:tabs>
          <w:tab w:val="right" w:leader="dot" w:pos="7077"/>
        </w:tabs>
        <w:rPr>
          <w:rFonts w:asciiTheme="minorHAnsi" w:eastAsiaTheme="minorEastAsia" w:hAnsiTheme="minorHAnsi" w:cstheme="minorBidi"/>
          <w:b w:val="0"/>
          <w:sz w:val="22"/>
          <w:szCs w:val="22"/>
        </w:rPr>
      </w:pPr>
      <w:r>
        <w:t>Schedule 1A — Relevant indictable and simple offences for purposes of Part 2 Division 2A</w:t>
      </w:r>
    </w:p>
    <w:p>
      <w:pPr>
        <w:pStyle w:val="TOC4"/>
        <w:tabs>
          <w:tab w:val="right" w:leader="dot" w:pos="7077"/>
        </w:tabs>
        <w:rPr>
          <w:rFonts w:asciiTheme="minorHAnsi" w:eastAsiaTheme="minorEastAsia" w:hAnsiTheme="minorHAnsi" w:cstheme="minorBidi"/>
          <w:b w:val="0"/>
          <w:szCs w:val="22"/>
        </w:rPr>
      </w:pPr>
      <w:r>
        <w:t>Part 1 — Relevant indictable offences</w:t>
      </w:r>
    </w:p>
    <w:p>
      <w:pPr>
        <w:pStyle w:val="TOC4"/>
        <w:tabs>
          <w:tab w:val="right" w:leader="dot" w:pos="7077"/>
        </w:tabs>
        <w:rPr>
          <w:rFonts w:asciiTheme="minorHAnsi" w:eastAsiaTheme="minorEastAsia" w:hAnsiTheme="minorHAnsi" w:cstheme="minorBidi"/>
          <w:b w:val="0"/>
          <w:szCs w:val="22"/>
        </w:rPr>
      </w:pPr>
      <w:r>
        <w:t>Part 2 — Relevant simple offences</w:t>
      </w:r>
    </w:p>
    <w:p>
      <w:pPr>
        <w:pStyle w:val="TOC2"/>
        <w:tabs>
          <w:tab w:val="right" w:leader="dot" w:pos="7077"/>
        </w:tabs>
        <w:rPr>
          <w:rFonts w:asciiTheme="minorHAnsi" w:eastAsiaTheme="minorEastAsia" w:hAnsiTheme="minorHAnsi" w:cstheme="minorBidi"/>
          <w:b w:val="0"/>
          <w:sz w:val="22"/>
          <w:szCs w:val="22"/>
        </w:rPr>
      </w:pPr>
      <w:r>
        <w:t>Schedule 1 — Acts, fines under which are not to be credited to the Consolidated Account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_Toc45288849 \h </w:instrText>
      </w:r>
      <w:r>
        <w:fldChar w:fldCharType="separate"/>
      </w:r>
      <w:r>
        <w:t>193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_Toc45288850 \h </w:instrText>
      </w:r>
      <w:r>
        <w:fldChar w:fldCharType="separate"/>
      </w:r>
      <w:r>
        <w:t>200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_Toc45288851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3" w:name="_Toc45282955"/>
      <w:bookmarkStart w:id="4" w:name="_Toc45283245"/>
      <w:bookmarkStart w:id="5" w:name="_Toc45286932"/>
      <w:bookmarkStart w:id="6" w:name="_Toc45288089"/>
      <w:bookmarkStart w:id="7" w:name="_Toc4528856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45288563"/>
      <w:r>
        <w:rPr>
          <w:rStyle w:val="CharSectno"/>
        </w:rPr>
        <w:t>1</w:t>
      </w:r>
      <w:r>
        <w:rPr>
          <w:snapToGrid w:val="0"/>
        </w:rPr>
        <w:t>.</w:t>
      </w:r>
      <w:r>
        <w:rPr>
          <w:snapToGrid w:val="0"/>
        </w:rPr>
        <w:tab/>
        <w:t>Short title</w:t>
      </w:r>
      <w:bookmarkEnd w:id="8"/>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w:t>
      </w:r>
    </w:p>
    <w:p>
      <w:pPr>
        <w:pStyle w:val="Heading5"/>
        <w:rPr>
          <w:snapToGrid w:val="0"/>
        </w:rPr>
      </w:pPr>
      <w:bookmarkStart w:id="9" w:name="_Toc45288564"/>
      <w:r>
        <w:rPr>
          <w:rStyle w:val="CharSectno"/>
        </w:rPr>
        <w:t>2</w:t>
      </w:r>
      <w:r>
        <w:rPr>
          <w:snapToGrid w:val="0"/>
        </w:rPr>
        <w:t>.</w:t>
      </w:r>
      <w:r>
        <w:rPr>
          <w:snapToGrid w:val="0"/>
        </w:rPr>
        <w:tab/>
        <w:t>Commencement</w:t>
      </w:r>
      <w:bookmarkEnd w:id="9"/>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10" w:name="_Toc45288565"/>
      <w:r>
        <w:rPr>
          <w:rStyle w:val="CharSectno"/>
        </w:rPr>
        <w:t>3</w:t>
      </w:r>
      <w:r>
        <w:rPr>
          <w:snapToGrid w:val="0"/>
        </w:rPr>
        <w:t>.</w:t>
      </w:r>
      <w:r>
        <w:rPr>
          <w:snapToGrid w:val="0"/>
        </w:rPr>
        <w:tab/>
        <w:t>Application of this Act</w:t>
      </w:r>
      <w:bookmarkEnd w:id="10"/>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No. 59 of 2004 s. 141.]</w:t>
      </w:r>
    </w:p>
    <w:p>
      <w:pPr>
        <w:pStyle w:val="Heading5"/>
      </w:pPr>
      <w:bookmarkStart w:id="11" w:name="_Toc45288566"/>
      <w:r>
        <w:rPr>
          <w:rStyle w:val="CharSectno"/>
        </w:rPr>
        <w:t>4A</w:t>
      </w:r>
      <w:r>
        <w:t>.</w:t>
      </w:r>
      <w:r>
        <w:tab/>
      </w:r>
      <w:r>
        <w:rPr>
          <w:i/>
        </w:rPr>
        <w:t>Courts and Tribunals (Electronic Processes Facilitation) Act 2013</w:t>
      </w:r>
      <w:r>
        <w:t xml:space="preserve"> Part 2 applies</w:t>
      </w:r>
      <w:bookmarkEnd w:id="11"/>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123.]</w:t>
      </w:r>
    </w:p>
    <w:p>
      <w:pPr>
        <w:pStyle w:val="Heading5"/>
        <w:rPr>
          <w:snapToGrid w:val="0"/>
        </w:rPr>
      </w:pPr>
      <w:bookmarkStart w:id="12" w:name="_Toc45288567"/>
      <w:r>
        <w:rPr>
          <w:rStyle w:val="CharSectno"/>
        </w:rPr>
        <w:t>4</w:t>
      </w:r>
      <w:r>
        <w:rPr>
          <w:snapToGrid w:val="0"/>
        </w:rPr>
        <w:t>.</w:t>
      </w:r>
      <w:r>
        <w:rPr>
          <w:snapToGrid w:val="0"/>
        </w:rPr>
        <w:tab/>
        <w:t>Terms used</w:t>
      </w:r>
      <w:bookmarkEnd w:id="12"/>
    </w:p>
    <w:p>
      <w:pPr>
        <w:pStyle w:val="Subsection"/>
        <w:rPr>
          <w:snapToGrid w:val="0"/>
        </w:rPr>
      </w:pPr>
      <w:r>
        <w:rPr>
          <w:snapToGrid w:val="0"/>
        </w:rPr>
        <w:tab/>
        <w:t>(1)</w:t>
      </w:r>
      <w:r>
        <w:rPr>
          <w:snapToGrid w:val="0"/>
        </w:rPr>
        <w:tab/>
        <w:t>In this Act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pPr>
      <w:r>
        <w:tab/>
      </w:r>
      <w:r>
        <w:rPr>
          <w:rStyle w:val="CharDefText"/>
        </w:rPr>
        <w:t>parole eligibility order</w:t>
      </w:r>
      <w:r>
        <w:t xml:space="preserve"> has the meaning given in section 89(1);</w:t>
      </w:r>
    </w:p>
    <w:p>
      <w:pPr>
        <w:pStyle w:val="Defstart"/>
      </w:pPr>
      <w:r>
        <w:tab/>
      </w:r>
      <w:r>
        <w:rPr>
          <w:rStyle w:val="CharDefText"/>
        </w:rPr>
        <w:t>prescribed</w:t>
      </w:r>
      <w:r>
        <w:t xml:space="preserve"> means prescribed in the regulations;</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Prisoners Review Board</w:t>
      </w:r>
      <w:r>
        <w:t xml:space="preserve"> means the Prisoners Review Board established under the </w:t>
      </w:r>
      <w:r>
        <w:rPr>
          <w:i/>
        </w:rPr>
        <w:t>Sentence Administration Act 2003</w:t>
      </w:r>
      <w:r>
        <w:t>;</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Defstart"/>
      </w:pPr>
      <w:r>
        <w:tab/>
      </w:r>
      <w:r>
        <w:rPr>
          <w:rStyle w:val="CharDefText"/>
        </w:rPr>
        <w:t>written reasons</w:t>
      </w:r>
      <w:r>
        <w:t xml:space="preserve"> includes reasons that are — </w:t>
      </w:r>
    </w:p>
    <w:p>
      <w:pPr>
        <w:pStyle w:val="Defpara"/>
      </w:pPr>
      <w:r>
        <w:tab/>
        <w:t>(a)</w:t>
      </w:r>
      <w:r>
        <w:tab/>
        <w:t>given orally and subsequently transcribed; and</w:t>
      </w:r>
    </w:p>
    <w:p>
      <w:pPr>
        <w:pStyle w:val="Defpara"/>
      </w:pPr>
      <w:r>
        <w:tab/>
        <w:t>(b)</w:t>
      </w:r>
      <w:r>
        <w:tab/>
        <w:t>given orally but also recorded electronically in a format that enables them to be subsequently transcribed.</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Subsection"/>
      </w:pPr>
      <w:r>
        <w:tab/>
        <w:t>(4)</w:t>
      </w:r>
      <w:r>
        <w:tab/>
        <w:t xml:space="preserve">In this Act a reference to the suspension of a term or terms of imprisonment is a reference to a suspension of — </w:t>
      </w:r>
    </w:p>
    <w:p>
      <w:pPr>
        <w:pStyle w:val="Indenta"/>
      </w:pPr>
      <w:r>
        <w:tab/>
        <w:t>(a)</w:t>
      </w:r>
      <w:r>
        <w:tab/>
        <w:t>the whole of the term or terms; or</w:t>
      </w:r>
    </w:p>
    <w:p>
      <w:pPr>
        <w:pStyle w:val="Indenta"/>
      </w:pPr>
      <w:r>
        <w:tab/>
        <w:t>(b)</w:t>
      </w:r>
      <w:r>
        <w:tab/>
        <w:t>part of the term or terms.</w:t>
      </w:r>
    </w:p>
    <w:p>
      <w:pPr>
        <w:pStyle w:val="Footnotesection"/>
      </w:pPr>
      <w:r>
        <w:tab/>
        <w:t>[Section 4 amended: No. 50 of 2003 s. 4, 14, 23 and 29(3); No. 84 of 2004 s. 65; No. 27 of 2004 s. 6(1) and (2); No. 65 of 2006 s. 45; No. 45 of 2016 s. 61; No. 13 of 2020 s. 4.]</w:t>
      </w:r>
    </w:p>
    <w:p>
      <w:pPr>
        <w:pStyle w:val="Heading5"/>
        <w:rPr>
          <w:snapToGrid w:val="0"/>
        </w:rPr>
      </w:pPr>
      <w:bookmarkStart w:id="13" w:name="_Toc45288568"/>
      <w:r>
        <w:rPr>
          <w:rStyle w:val="CharSectno"/>
        </w:rPr>
        <w:t>5</w:t>
      </w:r>
      <w:r>
        <w:rPr>
          <w:snapToGrid w:val="0"/>
        </w:rPr>
        <w:t>.</w:t>
      </w:r>
      <w:r>
        <w:rPr>
          <w:snapToGrid w:val="0"/>
        </w:rPr>
        <w:tab/>
        <w:t>Civil liability not affected</w:t>
      </w:r>
      <w:bookmarkEnd w:id="13"/>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14" w:name="_Toc45282962"/>
      <w:bookmarkStart w:id="15" w:name="_Toc45283252"/>
      <w:bookmarkStart w:id="16" w:name="_Toc45286939"/>
      <w:bookmarkStart w:id="17" w:name="_Toc45288096"/>
      <w:bookmarkStart w:id="18" w:name="_Toc45288569"/>
      <w:r>
        <w:rPr>
          <w:rStyle w:val="CharPartNo"/>
        </w:rPr>
        <w:t>Part 2</w:t>
      </w:r>
      <w:r>
        <w:t> — </w:t>
      </w:r>
      <w:r>
        <w:rPr>
          <w:rStyle w:val="CharPartText"/>
        </w:rPr>
        <w:t>General matters</w:t>
      </w:r>
      <w:bookmarkEnd w:id="14"/>
      <w:bookmarkEnd w:id="15"/>
      <w:bookmarkEnd w:id="16"/>
      <w:bookmarkEnd w:id="17"/>
      <w:bookmarkEnd w:id="18"/>
    </w:p>
    <w:p>
      <w:pPr>
        <w:pStyle w:val="Heading3"/>
      </w:pPr>
      <w:bookmarkStart w:id="19" w:name="_Toc45282963"/>
      <w:bookmarkStart w:id="20" w:name="_Toc45283253"/>
      <w:bookmarkStart w:id="21" w:name="_Toc45286940"/>
      <w:bookmarkStart w:id="22" w:name="_Toc45288097"/>
      <w:bookmarkStart w:id="23" w:name="_Toc45288570"/>
      <w:r>
        <w:rPr>
          <w:rStyle w:val="CharDivNo"/>
        </w:rPr>
        <w:t>Division 1</w:t>
      </w:r>
      <w:r>
        <w:rPr>
          <w:snapToGrid w:val="0"/>
        </w:rPr>
        <w:t> — </w:t>
      </w:r>
      <w:r>
        <w:rPr>
          <w:rStyle w:val="CharDivText"/>
        </w:rPr>
        <w:t>Sentencing principles</w:t>
      </w:r>
      <w:bookmarkEnd w:id="19"/>
      <w:bookmarkEnd w:id="20"/>
      <w:bookmarkEnd w:id="21"/>
      <w:bookmarkEnd w:id="22"/>
      <w:bookmarkEnd w:id="23"/>
    </w:p>
    <w:p>
      <w:pPr>
        <w:pStyle w:val="Heading5"/>
        <w:rPr>
          <w:snapToGrid w:val="0"/>
        </w:rPr>
      </w:pPr>
      <w:bookmarkStart w:id="24" w:name="_Toc45288571"/>
      <w:r>
        <w:rPr>
          <w:rStyle w:val="CharSectno"/>
        </w:rPr>
        <w:t>6</w:t>
      </w:r>
      <w:r>
        <w:rPr>
          <w:snapToGrid w:val="0"/>
        </w:rPr>
        <w:t>.</w:t>
      </w:r>
      <w:r>
        <w:rPr>
          <w:snapToGrid w:val="0"/>
        </w:rPr>
        <w:tab/>
        <w:t>Principles of sentencing</w:t>
      </w:r>
      <w:bookmarkEnd w:id="24"/>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No. 23 of 2001 s. 12.]</w:t>
      </w:r>
    </w:p>
    <w:p>
      <w:pPr>
        <w:pStyle w:val="Heading5"/>
        <w:rPr>
          <w:snapToGrid w:val="0"/>
        </w:rPr>
      </w:pPr>
      <w:bookmarkStart w:id="25" w:name="_Toc45288572"/>
      <w:r>
        <w:rPr>
          <w:rStyle w:val="CharSectno"/>
        </w:rPr>
        <w:t>7</w:t>
      </w:r>
      <w:r>
        <w:rPr>
          <w:snapToGrid w:val="0"/>
        </w:rPr>
        <w:t>.</w:t>
      </w:r>
      <w:r>
        <w:rPr>
          <w:snapToGrid w:val="0"/>
        </w:rPr>
        <w:tab/>
        <w:t>Aggravating factors</w:t>
      </w:r>
      <w:bookmarkEnd w:id="25"/>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26" w:name="_Toc45288573"/>
      <w:r>
        <w:rPr>
          <w:rStyle w:val="CharSectno"/>
        </w:rPr>
        <w:t>8</w:t>
      </w:r>
      <w:r>
        <w:rPr>
          <w:snapToGrid w:val="0"/>
        </w:rPr>
        <w:t>.</w:t>
      </w:r>
      <w:r>
        <w:rPr>
          <w:snapToGrid w:val="0"/>
        </w:rPr>
        <w:tab/>
        <w:t>Mitigating factors</w:t>
      </w:r>
      <w:bookmarkEnd w:id="26"/>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pPr>
      <w:r>
        <w:tab/>
        <w:t>(2)</w:t>
      </w:r>
      <w:r>
        <w:tab/>
        <w:t xml:space="preserve">The possibility that an order might be made in respect of the offender under the </w:t>
      </w:r>
      <w:r>
        <w:rPr>
          <w:i/>
        </w:rPr>
        <w:t>Dangerous Sexual Offenders Act 2006</w:t>
      </w:r>
      <w:r>
        <w:t xml:space="preserve"> is not a mitigating factor.</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No. 29 of 1998 s. 15; No. 26 of 2004 s. 7; No. 41 of 2006 s. 71(1) and 79; No. 42 of 2012 s. 3; No. 17 of 2016 s. 54.]</w:t>
      </w:r>
    </w:p>
    <w:p>
      <w:pPr>
        <w:pStyle w:val="Heading5"/>
      </w:pPr>
      <w:bookmarkStart w:id="27" w:name="_Toc45288574"/>
      <w:r>
        <w:rPr>
          <w:rStyle w:val="CharSectno"/>
        </w:rPr>
        <w:t>9AA</w:t>
      </w:r>
      <w:r>
        <w:t>.</w:t>
      </w:r>
      <w:r>
        <w:tab/>
        <w:t>Plea of guilty, sentence may be reduced in case of</w:t>
      </w:r>
      <w:bookmarkEnd w:id="27"/>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No. 42 of 2012 s. 4.]</w:t>
      </w:r>
    </w:p>
    <w:p>
      <w:pPr>
        <w:pStyle w:val="Heading3"/>
      </w:pPr>
      <w:bookmarkStart w:id="28" w:name="_Toc45282968"/>
      <w:bookmarkStart w:id="29" w:name="_Toc45283258"/>
      <w:bookmarkStart w:id="30" w:name="_Toc45286945"/>
      <w:bookmarkStart w:id="31" w:name="_Toc45288102"/>
      <w:bookmarkStart w:id="32" w:name="_Toc45288575"/>
      <w:r>
        <w:rPr>
          <w:rStyle w:val="CharDivNo"/>
        </w:rPr>
        <w:t>Division 2A</w:t>
      </w:r>
      <w:r>
        <w:t> — </w:t>
      </w:r>
      <w:r>
        <w:rPr>
          <w:rStyle w:val="CharDivText"/>
        </w:rPr>
        <w:t>Sentencing where declared criminal organisations involved</w:t>
      </w:r>
      <w:bookmarkEnd w:id="28"/>
      <w:bookmarkEnd w:id="29"/>
      <w:bookmarkEnd w:id="30"/>
      <w:bookmarkEnd w:id="31"/>
      <w:bookmarkEnd w:id="32"/>
    </w:p>
    <w:p>
      <w:pPr>
        <w:pStyle w:val="Footnoteheading"/>
      </w:pPr>
      <w:r>
        <w:tab/>
        <w:t>[Heading inserted: No. 49 of 2012 s. 181(2).]</w:t>
      </w:r>
    </w:p>
    <w:p>
      <w:pPr>
        <w:pStyle w:val="Heading5"/>
      </w:pPr>
      <w:bookmarkStart w:id="33" w:name="_Toc45288576"/>
      <w:r>
        <w:rPr>
          <w:rStyle w:val="CharSectno"/>
        </w:rPr>
        <w:t>9A</w:t>
      </w:r>
      <w:r>
        <w:t>.</w:t>
      </w:r>
      <w:r>
        <w:tab/>
        <w:t>Terms used</w:t>
      </w:r>
      <w:bookmarkEnd w:id="33"/>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No. 49 of 2012 s. 181(2).]</w:t>
      </w:r>
    </w:p>
    <w:p>
      <w:pPr>
        <w:pStyle w:val="Heading5"/>
      </w:pPr>
      <w:bookmarkStart w:id="34" w:name="_Toc45288577"/>
      <w:r>
        <w:rPr>
          <w:rStyle w:val="CharSectno"/>
        </w:rPr>
        <w:t>9B</w:t>
      </w:r>
      <w:r>
        <w:t>.</w:t>
      </w:r>
      <w:r>
        <w:tab/>
        <w:t>Application of this Division</w:t>
      </w:r>
      <w:bookmarkEnd w:id="34"/>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No. 49 of 2012 s. 181(2).]</w:t>
      </w:r>
    </w:p>
    <w:p>
      <w:pPr>
        <w:pStyle w:val="Heading5"/>
      </w:pPr>
      <w:bookmarkStart w:id="35" w:name="_Toc45288578"/>
      <w:r>
        <w:rPr>
          <w:rStyle w:val="CharSectno"/>
        </w:rPr>
        <w:t>9C</w:t>
      </w:r>
      <w:r>
        <w:t>.</w:t>
      </w:r>
      <w:r>
        <w:tab/>
        <w:t>Principal objectives of sentencing for offences where declared criminal organisation involved</w:t>
      </w:r>
      <w:bookmarkEnd w:id="35"/>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No. 49 of 2012 s. 181(2).]</w:t>
      </w:r>
    </w:p>
    <w:p>
      <w:pPr>
        <w:pStyle w:val="Heading5"/>
      </w:pPr>
      <w:bookmarkStart w:id="36" w:name="_Toc45288579"/>
      <w:r>
        <w:rPr>
          <w:rStyle w:val="CharSectno"/>
        </w:rPr>
        <w:t>9D</w:t>
      </w:r>
      <w:r>
        <w:t>.</w:t>
      </w:r>
      <w:r>
        <w:tab/>
        <w:t>Mandatory minimum sentences where declared criminal organisation involved</w:t>
      </w:r>
      <w:bookmarkEnd w:id="36"/>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No. 49 of 2012 s. 181(2).]</w:t>
      </w:r>
    </w:p>
    <w:p>
      <w:pPr>
        <w:pStyle w:val="Heading5"/>
      </w:pPr>
      <w:bookmarkStart w:id="37" w:name="_Toc45288580"/>
      <w:r>
        <w:rPr>
          <w:rStyle w:val="CharSectno"/>
        </w:rPr>
        <w:t>9E</w:t>
      </w:r>
      <w:r>
        <w:t>.</w:t>
      </w:r>
      <w:r>
        <w:tab/>
        <w:t>Section 9D not applicable to persons aged under 18</w:t>
      </w:r>
      <w:bookmarkEnd w:id="37"/>
    </w:p>
    <w:p>
      <w:pPr>
        <w:pStyle w:val="Subsection"/>
      </w:pPr>
      <w:r>
        <w:tab/>
      </w:r>
      <w:r>
        <w:tab/>
        <w:t>Section 9D does not apply to an offender who, at the time of the commission of the offence, was under 18 years of age.</w:t>
      </w:r>
    </w:p>
    <w:p>
      <w:pPr>
        <w:pStyle w:val="Footnotesection"/>
      </w:pPr>
      <w:r>
        <w:tab/>
        <w:t>[Section 9E inserted: No. 49 of 2012 s. 181(2).]</w:t>
      </w:r>
    </w:p>
    <w:p>
      <w:pPr>
        <w:pStyle w:val="Heading5"/>
      </w:pPr>
      <w:bookmarkStart w:id="38" w:name="_Toc45288581"/>
      <w:r>
        <w:rPr>
          <w:rStyle w:val="CharSectno"/>
        </w:rPr>
        <w:t>9F</w:t>
      </w:r>
      <w:r>
        <w:t>.</w:t>
      </w:r>
      <w:r>
        <w:tab/>
        <w:t>Further provisions relating to mandatory minimum sentences imposed under section 9D</w:t>
      </w:r>
      <w:bookmarkEnd w:id="38"/>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No. 49 of 2012 s. 181(2).]</w:t>
      </w:r>
    </w:p>
    <w:p>
      <w:pPr>
        <w:pStyle w:val="Heading5"/>
      </w:pPr>
      <w:bookmarkStart w:id="39" w:name="_Toc45288582"/>
      <w:r>
        <w:rPr>
          <w:rStyle w:val="CharSectno"/>
        </w:rPr>
        <w:t>9G</w:t>
      </w:r>
      <w:r>
        <w:t>.</w:t>
      </w:r>
      <w:r>
        <w:tab/>
        <w:t>Eligibility for parole</w:t>
      </w:r>
      <w:bookmarkEnd w:id="39"/>
    </w:p>
    <w:p>
      <w:pPr>
        <w:pStyle w:val="Subsection"/>
      </w:pPr>
      <w:r>
        <w:tab/>
        <w:t>(1)</w:t>
      </w:r>
      <w:r>
        <w:tab/>
        <w:t>If a court sentences an offender to a fixed term of imprisonment under section 9D(3) or (4), the court must not make a parole eligibility order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No. 49 of 2012 s. 181(2); amended: No. 45 of 2016 s. 62.]</w:t>
      </w:r>
    </w:p>
    <w:p>
      <w:pPr>
        <w:pStyle w:val="Heading3"/>
      </w:pPr>
      <w:bookmarkStart w:id="40" w:name="_Toc45282976"/>
      <w:bookmarkStart w:id="41" w:name="_Toc45283266"/>
      <w:bookmarkStart w:id="42" w:name="_Toc45286953"/>
      <w:bookmarkStart w:id="43" w:name="_Toc45288110"/>
      <w:bookmarkStart w:id="44" w:name="_Toc45288583"/>
      <w:r>
        <w:rPr>
          <w:rStyle w:val="CharDivNo"/>
        </w:rPr>
        <w:t>Division 2</w:t>
      </w:r>
      <w:r>
        <w:rPr>
          <w:snapToGrid w:val="0"/>
        </w:rPr>
        <w:t> — </w:t>
      </w:r>
      <w:r>
        <w:rPr>
          <w:rStyle w:val="CharDivText"/>
        </w:rPr>
        <w:t>Miscellaneous</w:t>
      </w:r>
      <w:bookmarkEnd w:id="40"/>
      <w:bookmarkEnd w:id="41"/>
      <w:bookmarkEnd w:id="42"/>
      <w:bookmarkEnd w:id="43"/>
      <w:bookmarkEnd w:id="44"/>
    </w:p>
    <w:p>
      <w:pPr>
        <w:pStyle w:val="Heading5"/>
        <w:rPr>
          <w:snapToGrid w:val="0"/>
        </w:rPr>
      </w:pPr>
      <w:bookmarkStart w:id="45" w:name="_Toc45288584"/>
      <w:r>
        <w:rPr>
          <w:rStyle w:val="CharSectno"/>
        </w:rPr>
        <w:t>9</w:t>
      </w:r>
      <w:r>
        <w:rPr>
          <w:snapToGrid w:val="0"/>
        </w:rPr>
        <w:t>.</w:t>
      </w:r>
      <w:r>
        <w:rPr>
          <w:snapToGrid w:val="0"/>
        </w:rPr>
        <w:tab/>
        <w:t>Statutory penalty, effect of</w:t>
      </w:r>
      <w:bookmarkEnd w:id="45"/>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No. 50 of 2003 s. 9; No. 8 of 2009 s. 115(2)</w:t>
      </w:r>
      <w:r>
        <w:rPr>
          <w:spacing w:val="-4"/>
        </w:rPr>
        <w:t>; No. 47 of 2011 s.</w:t>
      </w:r>
      <w:r>
        <w:t> 26(3).]</w:t>
      </w:r>
    </w:p>
    <w:p>
      <w:pPr>
        <w:pStyle w:val="Heading5"/>
        <w:rPr>
          <w:snapToGrid w:val="0"/>
        </w:rPr>
      </w:pPr>
      <w:bookmarkStart w:id="46" w:name="_Toc45288585"/>
      <w:r>
        <w:rPr>
          <w:rStyle w:val="CharSectno"/>
        </w:rPr>
        <w:t>10</w:t>
      </w:r>
      <w:r>
        <w:rPr>
          <w:snapToGrid w:val="0"/>
        </w:rPr>
        <w:t>.</w:t>
      </w:r>
      <w:r>
        <w:rPr>
          <w:snapToGrid w:val="0"/>
        </w:rPr>
        <w:tab/>
        <w:t>Change of statutory penalty, effect of</w:t>
      </w:r>
      <w:bookmarkEnd w:id="46"/>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47" w:name="_Toc45288586"/>
      <w:r>
        <w:rPr>
          <w:rStyle w:val="CharSectno"/>
        </w:rPr>
        <w:t>11</w:t>
      </w:r>
      <w:r>
        <w:rPr>
          <w:snapToGrid w:val="0"/>
        </w:rPr>
        <w:t>.</w:t>
      </w:r>
      <w:r>
        <w:rPr>
          <w:snapToGrid w:val="0"/>
        </w:rPr>
        <w:tab/>
        <w:t>Person not to be sentenced twice on same evidence</w:t>
      </w:r>
      <w:bookmarkEnd w:id="47"/>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48" w:name="_Toc45288587"/>
      <w:r>
        <w:rPr>
          <w:rStyle w:val="CharSectno"/>
        </w:rPr>
        <w:t>12</w:t>
      </w:r>
      <w:r>
        <w:rPr>
          <w:snapToGrid w:val="0"/>
        </w:rPr>
        <w:t>.</w:t>
      </w:r>
      <w:r>
        <w:rPr>
          <w:snapToGrid w:val="0"/>
        </w:rPr>
        <w:tab/>
        <w:t>Common law bonds abolished</w:t>
      </w:r>
      <w:bookmarkEnd w:id="48"/>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49" w:name="_Toc45282981"/>
      <w:bookmarkStart w:id="50" w:name="_Toc45283271"/>
      <w:bookmarkStart w:id="51" w:name="_Toc45286958"/>
      <w:bookmarkStart w:id="52" w:name="_Toc45288115"/>
      <w:bookmarkStart w:id="53" w:name="_Toc45288588"/>
      <w:r>
        <w:rPr>
          <w:rStyle w:val="CharPartNo"/>
        </w:rPr>
        <w:t>Part 3</w:t>
      </w:r>
      <w:r>
        <w:t> — </w:t>
      </w:r>
      <w:r>
        <w:rPr>
          <w:rStyle w:val="CharPartText"/>
        </w:rPr>
        <w:t>Matters preliminary to sentencing</w:t>
      </w:r>
      <w:bookmarkEnd w:id="49"/>
      <w:bookmarkEnd w:id="50"/>
      <w:bookmarkEnd w:id="51"/>
      <w:bookmarkEnd w:id="52"/>
      <w:bookmarkEnd w:id="53"/>
    </w:p>
    <w:p>
      <w:pPr>
        <w:pStyle w:val="Heading3"/>
      </w:pPr>
      <w:bookmarkStart w:id="54" w:name="_Toc45282982"/>
      <w:bookmarkStart w:id="55" w:name="_Toc45283272"/>
      <w:bookmarkStart w:id="56" w:name="_Toc45286959"/>
      <w:bookmarkStart w:id="57" w:name="_Toc45288116"/>
      <w:bookmarkStart w:id="58" w:name="_Toc45288589"/>
      <w:r>
        <w:rPr>
          <w:rStyle w:val="CharDivNo"/>
        </w:rPr>
        <w:t>Division 1</w:t>
      </w:r>
      <w:r>
        <w:rPr>
          <w:snapToGrid w:val="0"/>
        </w:rPr>
        <w:t> — </w:t>
      </w:r>
      <w:r>
        <w:rPr>
          <w:rStyle w:val="CharDivText"/>
        </w:rPr>
        <w:t>Preliminary</w:t>
      </w:r>
      <w:bookmarkEnd w:id="54"/>
      <w:bookmarkEnd w:id="55"/>
      <w:bookmarkEnd w:id="56"/>
      <w:bookmarkEnd w:id="57"/>
      <w:bookmarkEnd w:id="58"/>
    </w:p>
    <w:p>
      <w:pPr>
        <w:pStyle w:val="Heading5"/>
        <w:rPr>
          <w:snapToGrid w:val="0"/>
        </w:rPr>
      </w:pPr>
      <w:bookmarkStart w:id="59" w:name="_Toc45288590"/>
      <w:r>
        <w:rPr>
          <w:rStyle w:val="CharSectno"/>
        </w:rPr>
        <w:t>13</w:t>
      </w:r>
      <w:r>
        <w:rPr>
          <w:snapToGrid w:val="0"/>
        </w:rPr>
        <w:t>.</w:t>
      </w:r>
      <w:r>
        <w:rPr>
          <w:snapToGrid w:val="0"/>
        </w:rPr>
        <w:tab/>
        <w:t>Term used: victim</w:t>
      </w:r>
      <w:bookmarkEnd w:id="59"/>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60" w:name="_Toc45282984"/>
      <w:bookmarkStart w:id="61" w:name="_Toc45283274"/>
      <w:bookmarkStart w:id="62" w:name="_Toc45286961"/>
      <w:bookmarkStart w:id="63" w:name="_Toc45288118"/>
      <w:bookmarkStart w:id="64" w:name="_Toc45288591"/>
      <w:r>
        <w:rPr>
          <w:rStyle w:val="CharDivNo"/>
        </w:rPr>
        <w:t>Division 2</w:t>
      </w:r>
      <w:r>
        <w:rPr>
          <w:snapToGrid w:val="0"/>
        </w:rPr>
        <w:t> — </w:t>
      </w:r>
      <w:r>
        <w:rPr>
          <w:rStyle w:val="CharDivText"/>
        </w:rPr>
        <w:t>General</w:t>
      </w:r>
      <w:bookmarkEnd w:id="60"/>
      <w:bookmarkEnd w:id="61"/>
      <w:bookmarkEnd w:id="62"/>
      <w:bookmarkEnd w:id="63"/>
      <w:bookmarkEnd w:id="64"/>
    </w:p>
    <w:p>
      <w:pPr>
        <w:pStyle w:val="Heading5"/>
        <w:spacing w:before="240"/>
        <w:rPr>
          <w:snapToGrid w:val="0"/>
        </w:rPr>
      </w:pPr>
      <w:bookmarkStart w:id="65" w:name="_Toc45288592"/>
      <w:r>
        <w:rPr>
          <w:rStyle w:val="CharSectno"/>
        </w:rPr>
        <w:t>14</w:t>
      </w:r>
      <w:r>
        <w:rPr>
          <w:snapToGrid w:val="0"/>
        </w:rPr>
        <w:t>.</w:t>
      </w:r>
      <w:r>
        <w:rPr>
          <w:snapToGrid w:val="0"/>
        </w:rPr>
        <w:tab/>
        <w:t>Offender to be present for sentencing</w:t>
      </w:r>
      <w:bookmarkEnd w:id="65"/>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No. 48 of 1998 s. 13; No. 45 of 2016 s. 48.]</w:t>
      </w:r>
    </w:p>
    <w:p>
      <w:pPr>
        <w:pStyle w:val="Heading5"/>
        <w:spacing w:before="180"/>
      </w:pPr>
      <w:bookmarkStart w:id="66" w:name="_Toc45288593"/>
      <w:r>
        <w:rPr>
          <w:rStyle w:val="CharSectno"/>
        </w:rPr>
        <w:t>14A</w:t>
      </w:r>
      <w:r>
        <w:t>.</w:t>
      </w:r>
      <w:r>
        <w:tab/>
        <w:t>Video link, use of for sentencing</w:t>
      </w:r>
      <w:bookmarkEnd w:id="66"/>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spacing w:before="120"/>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tab/>
        <w:t>[Section 14A inserted: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67" w:name="_Toc45288594"/>
      <w:r>
        <w:rPr>
          <w:rStyle w:val="CharSectno"/>
        </w:rPr>
        <w:t>15</w:t>
      </w:r>
      <w:r>
        <w:rPr>
          <w:snapToGrid w:val="0"/>
        </w:rPr>
        <w:t>.</w:t>
      </w:r>
      <w:r>
        <w:rPr>
          <w:snapToGrid w:val="0"/>
        </w:rPr>
        <w:tab/>
        <w:t>Court may inform itself as it thinks fit</w:t>
      </w:r>
      <w:bookmarkEnd w:id="67"/>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68" w:name="_Toc45288595"/>
      <w:r>
        <w:rPr>
          <w:rStyle w:val="CharSectno"/>
        </w:rPr>
        <w:t>16</w:t>
      </w:r>
      <w:r>
        <w:rPr>
          <w:snapToGrid w:val="0"/>
        </w:rPr>
        <w:t>.</w:t>
      </w:r>
      <w:r>
        <w:rPr>
          <w:snapToGrid w:val="0"/>
        </w:rPr>
        <w:tab/>
        <w:t>Adjourning sentencing</w:t>
      </w:r>
      <w:bookmarkEnd w:id="68"/>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keepNext/>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No. 26 of 2004 s. 8; No. 41 of 2006 s. 71(2).]</w:t>
      </w:r>
    </w:p>
    <w:p>
      <w:pPr>
        <w:pStyle w:val="Heading5"/>
        <w:rPr>
          <w:snapToGrid w:val="0"/>
        </w:rPr>
      </w:pPr>
      <w:bookmarkStart w:id="69" w:name="_Toc45288596"/>
      <w:r>
        <w:rPr>
          <w:rStyle w:val="CharSectno"/>
        </w:rPr>
        <w:t>17</w:t>
      </w:r>
      <w:r>
        <w:rPr>
          <w:snapToGrid w:val="0"/>
        </w:rPr>
        <w:t>.</w:t>
      </w:r>
      <w:r>
        <w:rPr>
          <w:snapToGrid w:val="0"/>
        </w:rPr>
        <w:tab/>
        <w:t>Court’s powers on adjourning</w:t>
      </w:r>
      <w:bookmarkEnd w:id="69"/>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70" w:name="_Toc45288597"/>
      <w:r>
        <w:rPr>
          <w:rStyle w:val="CharSectno"/>
        </w:rPr>
        <w:t>18</w:t>
      </w:r>
      <w:r>
        <w:rPr>
          <w:snapToGrid w:val="0"/>
        </w:rPr>
        <w:t>.</w:t>
      </w:r>
      <w:r>
        <w:rPr>
          <w:snapToGrid w:val="0"/>
        </w:rPr>
        <w:tab/>
        <w:t>Committal for sentence</w:t>
      </w:r>
      <w:bookmarkEnd w:id="70"/>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No. 59 of 2004 s. 141.]</w:t>
      </w:r>
    </w:p>
    <w:p>
      <w:pPr>
        <w:pStyle w:val="Ednotesection"/>
      </w:pPr>
      <w:r>
        <w:t>[</w:t>
      </w:r>
      <w:r>
        <w:rPr>
          <w:b/>
        </w:rPr>
        <w:t>19.</w:t>
      </w:r>
      <w:r>
        <w:rPr>
          <w:b/>
        </w:rPr>
        <w:tab/>
      </w:r>
      <w:r>
        <w:t>Deleted: No. 29 of 1998 s. 18.]</w:t>
      </w:r>
    </w:p>
    <w:p>
      <w:pPr>
        <w:pStyle w:val="Heading3"/>
      </w:pPr>
      <w:bookmarkStart w:id="71" w:name="_Toc45282991"/>
      <w:bookmarkStart w:id="72" w:name="_Toc45283281"/>
      <w:bookmarkStart w:id="73" w:name="_Toc45286968"/>
      <w:bookmarkStart w:id="74" w:name="_Toc45288125"/>
      <w:bookmarkStart w:id="75" w:name="_Toc45288598"/>
      <w:r>
        <w:rPr>
          <w:rStyle w:val="CharDivNo"/>
        </w:rPr>
        <w:t>Division 3</w:t>
      </w:r>
      <w:r>
        <w:rPr>
          <w:snapToGrid w:val="0"/>
        </w:rPr>
        <w:t> — </w:t>
      </w:r>
      <w:r>
        <w:rPr>
          <w:rStyle w:val="CharDivText"/>
        </w:rPr>
        <w:t>Information about the offender</w:t>
      </w:r>
      <w:bookmarkEnd w:id="71"/>
      <w:bookmarkEnd w:id="72"/>
      <w:bookmarkEnd w:id="73"/>
      <w:bookmarkEnd w:id="74"/>
      <w:bookmarkEnd w:id="75"/>
    </w:p>
    <w:p>
      <w:pPr>
        <w:pStyle w:val="Heading5"/>
        <w:rPr>
          <w:snapToGrid w:val="0"/>
        </w:rPr>
      </w:pPr>
      <w:bookmarkStart w:id="76" w:name="_Toc45288599"/>
      <w:r>
        <w:rPr>
          <w:rStyle w:val="CharSectno"/>
        </w:rPr>
        <w:t>20</w:t>
      </w:r>
      <w:r>
        <w:rPr>
          <w:snapToGrid w:val="0"/>
        </w:rPr>
        <w:t>.</w:t>
      </w:r>
      <w:r>
        <w:rPr>
          <w:snapToGrid w:val="0"/>
        </w:rPr>
        <w:tab/>
        <w:t>Pre</w:t>
      </w:r>
      <w:r>
        <w:rPr>
          <w:snapToGrid w:val="0"/>
        </w:rPr>
        <w:noBreakHyphen/>
        <w:t>sentence report, court may order</w:t>
      </w:r>
      <w:bookmarkEnd w:id="76"/>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No. 29 of 1998 s. 18; No. 50 of 2003 s. 5.]</w:t>
      </w:r>
    </w:p>
    <w:p>
      <w:pPr>
        <w:pStyle w:val="Heading5"/>
        <w:rPr>
          <w:snapToGrid w:val="0"/>
        </w:rPr>
      </w:pPr>
      <w:bookmarkStart w:id="77" w:name="_Toc45288600"/>
      <w:r>
        <w:rPr>
          <w:rStyle w:val="CharSectno"/>
        </w:rPr>
        <w:t>21</w:t>
      </w:r>
      <w:r>
        <w:rPr>
          <w:snapToGrid w:val="0"/>
        </w:rPr>
        <w:t>.</w:t>
      </w:r>
      <w:r>
        <w:rPr>
          <w:snapToGrid w:val="0"/>
        </w:rPr>
        <w:tab/>
        <w:t>Pre</w:t>
      </w:r>
      <w:r>
        <w:rPr>
          <w:snapToGrid w:val="0"/>
        </w:rPr>
        <w:noBreakHyphen/>
        <w:t>sentence report, content of</w:t>
      </w:r>
      <w:bookmarkEnd w:id="77"/>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No. 72 of 2004 s. 116(2).]</w:t>
      </w:r>
    </w:p>
    <w:p>
      <w:pPr>
        <w:pStyle w:val="Heading5"/>
        <w:spacing w:before="180"/>
        <w:rPr>
          <w:snapToGrid w:val="0"/>
        </w:rPr>
      </w:pPr>
      <w:bookmarkStart w:id="78" w:name="_Toc45288601"/>
      <w:r>
        <w:rPr>
          <w:rStyle w:val="CharSectno"/>
        </w:rPr>
        <w:t>22</w:t>
      </w:r>
      <w:r>
        <w:rPr>
          <w:snapToGrid w:val="0"/>
        </w:rPr>
        <w:t>.</w:t>
      </w:r>
      <w:r>
        <w:rPr>
          <w:snapToGrid w:val="0"/>
        </w:rPr>
        <w:tab/>
        <w:t>Pre</w:t>
      </w:r>
      <w:r>
        <w:rPr>
          <w:snapToGrid w:val="0"/>
        </w:rPr>
        <w:noBreakHyphen/>
        <w:t>sentence report, preparation of</w:t>
      </w:r>
      <w:bookmarkEnd w:id="78"/>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 xml:space="preserve">as soon as practicable and in any event within </w:t>
      </w:r>
      <w:r>
        <w:t>14 days before the sentencing day.</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No. 65 of 2006 s. 46 and 49; No. 45 of 2016 s. 63.]</w:t>
      </w:r>
    </w:p>
    <w:p>
      <w:pPr>
        <w:pStyle w:val="Heading5"/>
        <w:rPr>
          <w:snapToGrid w:val="0"/>
        </w:rPr>
      </w:pPr>
      <w:bookmarkStart w:id="79" w:name="_Toc45288602"/>
      <w:r>
        <w:rPr>
          <w:rStyle w:val="CharSectno"/>
        </w:rPr>
        <w:t>23</w:t>
      </w:r>
      <w:r>
        <w:rPr>
          <w:snapToGrid w:val="0"/>
        </w:rPr>
        <w:t>.</w:t>
      </w:r>
      <w:r>
        <w:rPr>
          <w:snapToGrid w:val="0"/>
        </w:rPr>
        <w:tab/>
        <w:t>Offender’s time in custody etc., information about</w:t>
      </w:r>
      <w:bookmarkEnd w:id="79"/>
    </w:p>
    <w:p>
      <w:pPr>
        <w:pStyle w:val="Subsection"/>
        <w:spacing w:before="120"/>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spacing w:before="120"/>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spacing w:before="120"/>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spacing w:before="120"/>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No. 50 of 2003 s. 29(3); No. 65 of 2006 s. 49.]</w:t>
      </w:r>
    </w:p>
    <w:p>
      <w:pPr>
        <w:pStyle w:val="Heading3"/>
        <w:keepNext w:val="0"/>
        <w:pageBreakBefore/>
        <w:spacing w:before="0"/>
      </w:pPr>
      <w:bookmarkStart w:id="80" w:name="_Toc45282996"/>
      <w:bookmarkStart w:id="81" w:name="_Toc45283286"/>
      <w:bookmarkStart w:id="82" w:name="_Toc45286973"/>
      <w:bookmarkStart w:id="83" w:name="_Toc45288130"/>
      <w:bookmarkStart w:id="84" w:name="_Toc45288603"/>
      <w:r>
        <w:rPr>
          <w:rStyle w:val="CharDivNo"/>
        </w:rPr>
        <w:t>Division 4</w:t>
      </w:r>
      <w:r>
        <w:rPr>
          <w:snapToGrid w:val="0"/>
        </w:rPr>
        <w:t> — </w:t>
      </w:r>
      <w:r>
        <w:rPr>
          <w:rStyle w:val="CharDivText"/>
        </w:rPr>
        <w:t>Information about victims etc.</w:t>
      </w:r>
      <w:bookmarkEnd w:id="80"/>
      <w:bookmarkEnd w:id="81"/>
      <w:bookmarkEnd w:id="82"/>
      <w:bookmarkEnd w:id="83"/>
      <w:bookmarkEnd w:id="84"/>
    </w:p>
    <w:p>
      <w:pPr>
        <w:pStyle w:val="Heading5"/>
      </w:pPr>
      <w:bookmarkStart w:id="85" w:name="_Toc45288604"/>
      <w:r>
        <w:rPr>
          <w:rStyle w:val="CharSectno"/>
        </w:rPr>
        <w:t>23A</w:t>
      </w:r>
      <w:r>
        <w:t>.</w:t>
      </w:r>
      <w:r>
        <w:tab/>
        <w:t>Terms used</w:t>
      </w:r>
      <w:bookmarkEnd w:id="85"/>
    </w:p>
    <w:p>
      <w:pPr>
        <w:pStyle w:val="Subsection"/>
      </w:pPr>
      <w:r>
        <w:tab/>
      </w:r>
      <w:r>
        <w:tab/>
        <w:t xml:space="preserve">In this Division — </w:t>
      </w:r>
    </w:p>
    <w:p>
      <w:pPr>
        <w:pStyle w:val="Defstart"/>
      </w:pPr>
      <w:r>
        <w:tab/>
      </w:r>
      <w:r>
        <w:rPr>
          <w:rStyle w:val="CharDefText"/>
        </w:rPr>
        <w:t>family victim</w:t>
      </w:r>
      <w:r>
        <w:t>, in relation to an offence, means a person who was, at the time the offence was committed, a member of the primary victim’s immediate family, and includes such a person whether or not the person has suffered personal harm as a result of the offence;</w:t>
      </w:r>
    </w:p>
    <w:p>
      <w:pPr>
        <w:pStyle w:val="Defstart"/>
      </w:pPr>
      <w:r>
        <w:tab/>
      </w:r>
      <w:r>
        <w:rPr>
          <w:rStyle w:val="CharDefText"/>
        </w:rPr>
        <w:t>member of the primary victim’s immediate family</w:t>
      </w:r>
      <w:r>
        <w:t xml:space="preserve"> means — </w:t>
      </w:r>
    </w:p>
    <w:p>
      <w:pPr>
        <w:pStyle w:val="Defpara"/>
      </w:pPr>
      <w:r>
        <w:tab/>
        <w:t>(a)</w:t>
      </w:r>
      <w:r>
        <w:tab/>
        <w:t>the primary victim’s spouse; or</w:t>
      </w:r>
    </w:p>
    <w:p>
      <w:pPr>
        <w:pStyle w:val="Defpara"/>
      </w:pPr>
      <w:r>
        <w:tab/>
        <w:t>(b)</w:t>
      </w:r>
      <w:r>
        <w:tab/>
        <w:t>the primary victim’s de facto partner; or</w:t>
      </w:r>
    </w:p>
    <w:p>
      <w:pPr>
        <w:pStyle w:val="Defpara"/>
      </w:pPr>
      <w:r>
        <w:tab/>
        <w:t>(c)</w:t>
      </w:r>
      <w:r>
        <w:tab/>
        <w:t>a person to whom the primary victim is engaged to be married; or</w:t>
      </w:r>
    </w:p>
    <w:p>
      <w:pPr>
        <w:pStyle w:val="Defpara"/>
      </w:pPr>
      <w:r>
        <w:tab/>
        <w:t>(d)</w:t>
      </w:r>
      <w:r>
        <w:tab/>
        <w:t>a parent, grandparent, guardian, step</w:t>
      </w:r>
      <w:r>
        <w:noBreakHyphen/>
        <w:t>parent or step</w:t>
      </w:r>
      <w:r>
        <w:noBreakHyphen/>
        <w:t>grandparent of the primary victim; or</w:t>
      </w:r>
    </w:p>
    <w:p>
      <w:pPr>
        <w:pStyle w:val="Defpara"/>
      </w:pPr>
      <w:r>
        <w:tab/>
        <w:t>(e)</w:t>
      </w:r>
      <w:r>
        <w:tab/>
        <w:t>a child, grandchild, step</w:t>
      </w:r>
      <w:r>
        <w:noBreakHyphen/>
        <w:t>child or step</w:t>
      </w:r>
      <w:r>
        <w:noBreakHyphen/>
        <w:t>grandchild of the primary victim or some other child for whom the primary victim is the guardian; or</w:t>
      </w:r>
    </w:p>
    <w:p>
      <w:pPr>
        <w:pStyle w:val="Defpara"/>
      </w:pPr>
      <w:r>
        <w:tab/>
        <w:t>(f)</w:t>
      </w:r>
      <w:r>
        <w:tab/>
        <w:t>a brother, sister, half</w:t>
      </w:r>
      <w:r>
        <w:noBreakHyphen/>
        <w:t>brother, half</w:t>
      </w:r>
      <w:r>
        <w:noBreakHyphen/>
        <w:t>sister, step</w:t>
      </w:r>
      <w:r>
        <w:noBreakHyphen/>
        <w:t>brother or step</w:t>
      </w:r>
      <w:r>
        <w:noBreakHyphen/>
        <w:t>sister of the primary victim; or</w:t>
      </w:r>
    </w:p>
    <w:p>
      <w:pPr>
        <w:pStyle w:val="Defpara"/>
      </w:pPr>
      <w:r>
        <w:tab/>
        <w:t>(g)</w:t>
      </w:r>
      <w:r>
        <w:tab/>
        <w:t>if, at the time of the offence, the primary victim was an Aboriginal person or a Torres Strait Islander requiring care, a person who, in the opinion of the court, is regarded under the customary law or tradition of the primary victim’s community as the equivalent of the primary victim’s guardian or carer;</w:t>
      </w:r>
    </w:p>
    <w:p>
      <w:pPr>
        <w:pStyle w:val="Defstart"/>
      </w:pPr>
      <w:r>
        <w:tab/>
      </w:r>
      <w:r>
        <w:rPr>
          <w:rStyle w:val="CharDefText"/>
        </w:rPr>
        <w:t>personal harm</w:t>
      </w:r>
      <w:r>
        <w:t xml:space="preserve"> means bodily harm or psychological or psychiatric harm;</w:t>
      </w:r>
    </w:p>
    <w:p>
      <w:pPr>
        <w:pStyle w:val="Defstart"/>
      </w:pPr>
      <w:r>
        <w:tab/>
      </w:r>
      <w:r>
        <w:rPr>
          <w:rStyle w:val="CharDefText"/>
        </w:rPr>
        <w:t>primary victim</w:t>
      </w:r>
      <w:r>
        <w:t xml:space="preserve">, in relation to an offence, means — </w:t>
      </w:r>
    </w:p>
    <w:p>
      <w:pPr>
        <w:pStyle w:val="Defpara"/>
      </w:pPr>
      <w:r>
        <w:tab/>
        <w:t>(a)</w:t>
      </w:r>
      <w:r>
        <w:tab/>
        <w:t>a person against whom the offence was committed; or</w:t>
      </w:r>
    </w:p>
    <w:p>
      <w:pPr>
        <w:pStyle w:val="Defpara"/>
        <w:keepNext/>
      </w:pPr>
      <w:r>
        <w:tab/>
        <w:t>(b)</w:t>
      </w:r>
      <w:r>
        <w:tab/>
        <w:t xml:space="preserve">a person who was a witness to the offence if it included any of the following — </w:t>
      </w:r>
    </w:p>
    <w:p>
      <w:pPr>
        <w:pStyle w:val="Defsubpara"/>
      </w:pPr>
      <w:r>
        <w:tab/>
        <w:t>(i)</w:t>
      </w:r>
      <w:r>
        <w:tab/>
        <w:t>actual or threatened violence;</w:t>
      </w:r>
    </w:p>
    <w:p>
      <w:pPr>
        <w:pStyle w:val="Defsubpara"/>
      </w:pPr>
      <w:r>
        <w:tab/>
        <w:t>(ii)</w:t>
      </w:r>
      <w:r>
        <w:tab/>
        <w:t>sexual assault;</w:t>
      </w:r>
    </w:p>
    <w:p>
      <w:pPr>
        <w:pStyle w:val="Defsubpara"/>
      </w:pPr>
      <w:r>
        <w:tab/>
        <w:t>(iii)</w:t>
      </w:r>
      <w:r>
        <w:tab/>
        <w:t>bodily harm;</w:t>
      </w:r>
    </w:p>
    <w:p>
      <w:pPr>
        <w:pStyle w:val="Defsubpara"/>
      </w:pPr>
      <w:r>
        <w:tab/>
        <w:t>(iv)</w:t>
      </w:r>
      <w:r>
        <w:tab/>
        <w:t>death;</w:t>
      </w:r>
    </w:p>
    <w:p>
      <w:pPr>
        <w:pStyle w:val="Defstart"/>
      </w:pPr>
      <w:r>
        <w:tab/>
      </w:r>
      <w:r>
        <w:rPr>
          <w:rStyle w:val="CharDefText"/>
        </w:rPr>
        <w:t>requiring care</w:t>
      </w:r>
      <w:r>
        <w:t xml:space="preserve">, in relation to a person, means a person who — </w:t>
      </w:r>
    </w:p>
    <w:p>
      <w:pPr>
        <w:pStyle w:val="Defpara"/>
      </w:pPr>
      <w:r>
        <w:tab/>
        <w:t>(a)</w:t>
      </w:r>
      <w:r>
        <w:tab/>
        <w:t>is under 18 years of age; or</w:t>
      </w:r>
    </w:p>
    <w:p>
      <w:pPr>
        <w:pStyle w:val="Defpara"/>
      </w:pPr>
      <w:r>
        <w:tab/>
        <w:t>(b)</w:t>
      </w:r>
      <w:r>
        <w:tab/>
        <w:t>in the absence of positive evidence as to age, appears to be under 18 years of age; or</w:t>
      </w:r>
    </w:p>
    <w:p>
      <w:pPr>
        <w:pStyle w:val="Defpara"/>
      </w:pPr>
      <w:r>
        <w:tab/>
        <w:t>(c)</w:t>
      </w:r>
      <w:r>
        <w:tab/>
        <w:t>because of a mental or physical impairment, is unable to give a victim impact statement;</w:t>
      </w:r>
    </w:p>
    <w:p>
      <w:pPr>
        <w:pStyle w:val="Defstart"/>
      </w:pPr>
      <w:r>
        <w:tab/>
      </w:r>
      <w:r>
        <w:rPr>
          <w:rStyle w:val="CharDefText"/>
        </w:rPr>
        <w:t>victim</w:t>
      </w:r>
      <w:r>
        <w:t xml:space="preserve"> means a primary victim or a family victim;</w:t>
      </w:r>
    </w:p>
    <w:p>
      <w:pPr>
        <w:pStyle w:val="Defstart"/>
      </w:pPr>
      <w:r>
        <w:tab/>
      </w:r>
      <w:r>
        <w:rPr>
          <w:rStyle w:val="CharDefText"/>
        </w:rPr>
        <w:t>victim impact statement</w:t>
      </w:r>
      <w:r>
        <w:t xml:space="preserve"> means a statement containing particulars of — </w:t>
      </w:r>
    </w:p>
    <w:p>
      <w:pPr>
        <w:pStyle w:val="Defpara"/>
      </w:pPr>
      <w:r>
        <w:tab/>
        <w:t>(a)</w:t>
      </w:r>
      <w:r>
        <w:tab/>
        <w:t>in the case of a primary victim, any personal harm suffered by the victim as a direct result of the offence; or</w:t>
      </w:r>
    </w:p>
    <w:p>
      <w:pPr>
        <w:pStyle w:val="Defpara"/>
      </w:pPr>
      <w:r>
        <w:tab/>
        <w:t>(b)</w:t>
      </w:r>
      <w:r>
        <w:tab/>
        <w:t>in the case of a family victim, the impact of the primary victim’s personal harm on the members of the primary victim’s immediate family.</w:t>
      </w:r>
    </w:p>
    <w:p>
      <w:pPr>
        <w:pStyle w:val="Footnotesection"/>
      </w:pPr>
      <w:r>
        <w:tab/>
        <w:t>[Section 23A inserted: No. 45 of 2016 s. 53.]</w:t>
      </w:r>
    </w:p>
    <w:p>
      <w:pPr>
        <w:pStyle w:val="Heading5"/>
        <w:rPr>
          <w:snapToGrid w:val="0"/>
        </w:rPr>
      </w:pPr>
      <w:bookmarkStart w:id="86" w:name="_Toc45288605"/>
      <w:r>
        <w:rPr>
          <w:rStyle w:val="CharSectno"/>
        </w:rPr>
        <w:t>24</w:t>
      </w:r>
      <w:r>
        <w:rPr>
          <w:snapToGrid w:val="0"/>
        </w:rPr>
        <w:t>.</w:t>
      </w:r>
      <w:r>
        <w:rPr>
          <w:snapToGrid w:val="0"/>
        </w:rPr>
        <w:tab/>
        <w:t>Victim impact statement, who may give</w:t>
      </w:r>
      <w:bookmarkEnd w:id="86"/>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87" w:name="_Toc45288606"/>
      <w:r>
        <w:rPr>
          <w:rStyle w:val="CharSectno"/>
        </w:rPr>
        <w:t>25</w:t>
      </w:r>
      <w:r>
        <w:rPr>
          <w:snapToGrid w:val="0"/>
        </w:rPr>
        <w:t>.</w:t>
      </w:r>
      <w:r>
        <w:rPr>
          <w:snapToGrid w:val="0"/>
        </w:rPr>
        <w:tab/>
        <w:t>Victim impact statement, content of</w:t>
      </w:r>
      <w:bookmarkEnd w:id="87"/>
    </w:p>
    <w:p>
      <w:pPr>
        <w:pStyle w:val="Ednotesubsection"/>
      </w:pPr>
      <w:r>
        <w:tab/>
        <w:t>[(1)</w:t>
      </w:r>
      <w:r>
        <w:tab/>
        <w:t>deleted]</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Footnotesection"/>
      </w:pPr>
      <w:r>
        <w:tab/>
        <w:t>[Section 25 amended: No. 45 of 2016 s. 54.]</w:t>
      </w:r>
    </w:p>
    <w:p>
      <w:pPr>
        <w:pStyle w:val="Heading5"/>
        <w:rPr>
          <w:snapToGrid w:val="0"/>
        </w:rPr>
      </w:pPr>
      <w:bookmarkStart w:id="88" w:name="_Toc45288607"/>
      <w:r>
        <w:rPr>
          <w:rStyle w:val="CharSectno"/>
        </w:rPr>
        <w:t>26</w:t>
      </w:r>
      <w:r>
        <w:rPr>
          <w:snapToGrid w:val="0"/>
        </w:rPr>
        <w:t>.</w:t>
      </w:r>
      <w:r>
        <w:rPr>
          <w:snapToGrid w:val="0"/>
        </w:rPr>
        <w:tab/>
        <w:t>Court’s functions in relation to victim impact statement</w:t>
      </w:r>
      <w:bookmarkEnd w:id="88"/>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Subsection"/>
      </w:pPr>
      <w:r>
        <w:tab/>
        <w:t>(3)</w:t>
      </w:r>
      <w:r>
        <w:tab/>
        <w:t>A court must, after imposing a sentence of imprisonment on an offender, make available to the Prisoners Review Board a copy of any victim impact statement given to the court under section 24.</w:t>
      </w:r>
    </w:p>
    <w:p>
      <w:pPr>
        <w:pStyle w:val="Footnotesection"/>
      </w:pPr>
      <w:r>
        <w:tab/>
        <w:t>[Section 26 amended: No. 45 of 2016 s. 55.]</w:t>
      </w:r>
    </w:p>
    <w:p>
      <w:pPr>
        <w:pStyle w:val="Heading3"/>
      </w:pPr>
      <w:bookmarkStart w:id="89" w:name="_Toc45283001"/>
      <w:bookmarkStart w:id="90" w:name="_Toc45283291"/>
      <w:bookmarkStart w:id="91" w:name="_Toc45286978"/>
      <w:bookmarkStart w:id="92" w:name="_Toc45288135"/>
      <w:bookmarkStart w:id="93" w:name="_Toc45288608"/>
      <w:r>
        <w:rPr>
          <w:rStyle w:val="CharDivNo"/>
        </w:rPr>
        <w:t>Division 5</w:t>
      </w:r>
      <w:r>
        <w:rPr>
          <w:snapToGrid w:val="0"/>
        </w:rPr>
        <w:t> — </w:t>
      </w:r>
      <w:r>
        <w:rPr>
          <w:rStyle w:val="CharDivText"/>
        </w:rPr>
        <w:t>Mediation</w:t>
      </w:r>
      <w:bookmarkEnd w:id="89"/>
      <w:bookmarkEnd w:id="90"/>
      <w:bookmarkEnd w:id="91"/>
      <w:bookmarkEnd w:id="92"/>
      <w:bookmarkEnd w:id="93"/>
    </w:p>
    <w:p>
      <w:pPr>
        <w:pStyle w:val="Heading5"/>
        <w:rPr>
          <w:snapToGrid w:val="0"/>
        </w:rPr>
      </w:pPr>
      <w:bookmarkStart w:id="94" w:name="_Toc45288609"/>
      <w:r>
        <w:rPr>
          <w:rStyle w:val="CharSectno"/>
        </w:rPr>
        <w:t>27</w:t>
      </w:r>
      <w:r>
        <w:rPr>
          <w:snapToGrid w:val="0"/>
        </w:rPr>
        <w:t>.</w:t>
      </w:r>
      <w:r>
        <w:rPr>
          <w:snapToGrid w:val="0"/>
        </w:rPr>
        <w:tab/>
        <w:t>Mediation report, court may order and receive</w:t>
      </w:r>
      <w:bookmarkEnd w:id="94"/>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95" w:name="_Toc45288610"/>
      <w:r>
        <w:rPr>
          <w:rStyle w:val="CharSectno"/>
        </w:rPr>
        <w:t>28</w:t>
      </w:r>
      <w:r>
        <w:rPr>
          <w:snapToGrid w:val="0"/>
        </w:rPr>
        <w:t>.</w:t>
      </w:r>
      <w:r>
        <w:rPr>
          <w:snapToGrid w:val="0"/>
        </w:rPr>
        <w:tab/>
        <w:t>Mediation report, content of</w:t>
      </w:r>
      <w:bookmarkEnd w:id="95"/>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96" w:name="_Toc45288611"/>
      <w:r>
        <w:rPr>
          <w:rStyle w:val="CharSectno"/>
        </w:rPr>
        <w:t>29</w:t>
      </w:r>
      <w:r>
        <w:rPr>
          <w:snapToGrid w:val="0"/>
        </w:rPr>
        <w:t>.</w:t>
      </w:r>
      <w:r>
        <w:rPr>
          <w:snapToGrid w:val="0"/>
        </w:rPr>
        <w:tab/>
        <w:t>Mediation report, preparation of</w:t>
      </w:r>
      <w:bookmarkEnd w:id="96"/>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No. 65 of 2006 s. 49.]</w:t>
      </w:r>
    </w:p>
    <w:p>
      <w:pPr>
        <w:pStyle w:val="Heading5"/>
        <w:rPr>
          <w:snapToGrid w:val="0"/>
        </w:rPr>
      </w:pPr>
      <w:bookmarkStart w:id="97" w:name="_Toc45288612"/>
      <w:r>
        <w:rPr>
          <w:rStyle w:val="CharSectno"/>
        </w:rPr>
        <w:t>30</w:t>
      </w:r>
      <w:r>
        <w:rPr>
          <w:snapToGrid w:val="0"/>
        </w:rPr>
        <w:t>.</w:t>
      </w:r>
      <w:r>
        <w:rPr>
          <w:snapToGrid w:val="0"/>
        </w:rPr>
        <w:tab/>
        <w:t>Mediation report, court’s powers as to</w:t>
      </w:r>
      <w:bookmarkEnd w:id="97"/>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98" w:name="_Toc45283006"/>
      <w:bookmarkStart w:id="99" w:name="_Toc45283296"/>
      <w:bookmarkStart w:id="100" w:name="_Toc45286983"/>
      <w:bookmarkStart w:id="101" w:name="_Toc45288140"/>
      <w:bookmarkStart w:id="102" w:name="_Toc45288613"/>
      <w:r>
        <w:rPr>
          <w:rStyle w:val="CharDivNo"/>
        </w:rPr>
        <w:t>Division 6</w:t>
      </w:r>
      <w:r>
        <w:rPr>
          <w:snapToGrid w:val="0"/>
        </w:rPr>
        <w:t> — </w:t>
      </w:r>
      <w:r>
        <w:rPr>
          <w:rStyle w:val="CharDivText"/>
        </w:rPr>
        <w:t>Other pending charges</w:t>
      </w:r>
      <w:bookmarkEnd w:id="98"/>
      <w:bookmarkEnd w:id="99"/>
      <w:bookmarkEnd w:id="100"/>
      <w:bookmarkEnd w:id="101"/>
      <w:bookmarkEnd w:id="102"/>
    </w:p>
    <w:p>
      <w:pPr>
        <w:pStyle w:val="Heading5"/>
        <w:rPr>
          <w:snapToGrid w:val="0"/>
        </w:rPr>
      </w:pPr>
      <w:bookmarkStart w:id="103" w:name="_Toc45288614"/>
      <w:r>
        <w:rPr>
          <w:rStyle w:val="CharSectno"/>
        </w:rPr>
        <w:t>31</w:t>
      </w:r>
      <w:r>
        <w:rPr>
          <w:snapToGrid w:val="0"/>
        </w:rPr>
        <w:t>.</w:t>
      </w:r>
      <w:r>
        <w:rPr>
          <w:snapToGrid w:val="0"/>
        </w:rPr>
        <w:tab/>
        <w:t>Term used: pending charge</w:t>
      </w:r>
      <w:bookmarkEnd w:id="103"/>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No. 59 of 2004 s. 141.]</w:t>
      </w:r>
    </w:p>
    <w:p>
      <w:pPr>
        <w:pStyle w:val="Heading5"/>
        <w:rPr>
          <w:snapToGrid w:val="0"/>
        </w:rPr>
      </w:pPr>
      <w:bookmarkStart w:id="104" w:name="_Toc45288615"/>
      <w:r>
        <w:rPr>
          <w:rStyle w:val="CharSectno"/>
        </w:rPr>
        <w:t>32</w:t>
      </w:r>
      <w:r>
        <w:rPr>
          <w:snapToGrid w:val="0"/>
        </w:rPr>
        <w:t>.</w:t>
      </w:r>
      <w:r>
        <w:rPr>
          <w:snapToGrid w:val="0"/>
        </w:rPr>
        <w:tab/>
        <w:t>Pending charges, offender may request court to deal with</w:t>
      </w:r>
      <w:bookmarkEnd w:id="104"/>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105" w:name="_Toc45288616"/>
      <w:r>
        <w:rPr>
          <w:rStyle w:val="CharSectno"/>
        </w:rPr>
        <w:t>33</w:t>
      </w:r>
      <w:r>
        <w:rPr>
          <w:snapToGrid w:val="0"/>
        </w:rPr>
        <w:t>.</w:t>
      </w:r>
      <w:r>
        <w:rPr>
          <w:snapToGrid w:val="0"/>
        </w:rPr>
        <w:tab/>
        <w:t>Pending charges, court may deal with</w:t>
      </w:r>
      <w:bookmarkEnd w:id="105"/>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No. 41 of 2006 s. 79.]</w:t>
      </w:r>
    </w:p>
    <w:p>
      <w:pPr>
        <w:pStyle w:val="Heading2"/>
      </w:pPr>
      <w:bookmarkStart w:id="106" w:name="_Toc45283010"/>
      <w:bookmarkStart w:id="107" w:name="_Toc45283300"/>
      <w:bookmarkStart w:id="108" w:name="_Toc45286987"/>
      <w:bookmarkStart w:id="109" w:name="_Toc45288144"/>
      <w:bookmarkStart w:id="110" w:name="_Toc45288617"/>
      <w:r>
        <w:rPr>
          <w:rStyle w:val="CharPartNo"/>
        </w:rPr>
        <w:t>Part 3A</w:t>
      </w:r>
      <w:r>
        <w:t> — </w:t>
      </w:r>
      <w:r>
        <w:rPr>
          <w:rStyle w:val="CharPartText"/>
        </w:rPr>
        <w:t>Pre</w:t>
      </w:r>
      <w:r>
        <w:rPr>
          <w:rStyle w:val="CharPartText"/>
        </w:rPr>
        <w:noBreakHyphen/>
        <w:t>sentence order</w:t>
      </w:r>
      <w:bookmarkEnd w:id="106"/>
      <w:bookmarkEnd w:id="107"/>
      <w:bookmarkEnd w:id="108"/>
      <w:bookmarkEnd w:id="109"/>
      <w:bookmarkEnd w:id="110"/>
    </w:p>
    <w:p>
      <w:pPr>
        <w:pStyle w:val="Footnoteheading"/>
        <w:tabs>
          <w:tab w:val="left" w:pos="851"/>
        </w:tabs>
      </w:pPr>
      <w:r>
        <w:tab/>
        <w:t>[Heading inserted: No. 50 of 2003 s. 6.]</w:t>
      </w:r>
    </w:p>
    <w:p>
      <w:pPr>
        <w:pStyle w:val="Heading3"/>
      </w:pPr>
      <w:bookmarkStart w:id="111" w:name="_Toc45283011"/>
      <w:bookmarkStart w:id="112" w:name="_Toc45283301"/>
      <w:bookmarkStart w:id="113" w:name="_Toc45286988"/>
      <w:bookmarkStart w:id="114" w:name="_Toc45288145"/>
      <w:bookmarkStart w:id="115" w:name="_Toc45288618"/>
      <w:r>
        <w:rPr>
          <w:rStyle w:val="CharDivNo"/>
        </w:rPr>
        <w:t>Division 1</w:t>
      </w:r>
      <w:r>
        <w:t> — </w:t>
      </w:r>
      <w:r>
        <w:rPr>
          <w:rStyle w:val="CharDivText"/>
        </w:rPr>
        <w:t>General</w:t>
      </w:r>
      <w:bookmarkEnd w:id="111"/>
      <w:bookmarkEnd w:id="112"/>
      <w:bookmarkEnd w:id="113"/>
      <w:bookmarkEnd w:id="114"/>
      <w:bookmarkEnd w:id="115"/>
    </w:p>
    <w:p>
      <w:pPr>
        <w:pStyle w:val="Footnoteheading"/>
        <w:tabs>
          <w:tab w:val="left" w:pos="851"/>
        </w:tabs>
      </w:pPr>
      <w:r>
        <w:tab/>
        <w:t>[Heading inserted: No. 50 of 2003 s. 6.]</w:t>
      </w:r>
    </w:p>
    <w:p>
      <w:pPr>
        <w:pStyle w:val="Heading5"/>
        <w:spacing w:before="240"/>
      </w:pPr>
      <w:bookmarkStart w:id="116" w:name="_Toc45288619"/>
      <w:r>
        <w:rPr>
          <w:rStyle w:val="CharSectno"/>
        </w:rPr>
        <w:t>33A</w:t>
      </w:r>
      <w:r>
        <w:t>.</w:t>
      </w:r>
      <w:r>
        <w:tab/>
        <w:t>When PSO may be made</w:t>
      </w:r>
      <w:bookmarkEnd w:id="116"/>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1</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Footnotesection"/>
      </w:pPr>
      <w:r>
        <w:tab/>
        <w:t>[Section 33A inserted: No. 50 of 2003 s. 6; amended: No. 41 of 2006 s. 72; No. 20 of 2013 s. 125; No. 45 of 2016 s. 64.]</w:t>
      </w:r>
    </w:p>
    <w:p>
      <w:pPr>
        <w:pStyle w:val="Heading5"/>
        <w:keepNext w:val="0"/>
        <w:keepLines w:val="0"/>
      </w:pPr>
      <w:bookmarkStart w:id="117" w:name="_Toc45288620"/>
      <w:r>
        <w:rPr>
          <w:rStyle w:val="CharSectno"/>
        </w:rPr>
        <w:t>33B</w:t>
      </w:r>
      <w:r>
        <w:t>.</w:t>
      </w:r>
      <w:r>
        <w:tab/>
        <w:t>PSO, nature of</w:t>
      </w:r>
      <w:bookmarkEnd w:id="117"/>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keepNext/>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No. 50 of 2003 s. 6.]</w:t>
      </w:r>
    </w:p>
    <w:p>
      <w:pPr>
        <w:pStyle w:val="Heading5"/>
      </w:pPr>
      <w:bookmarkStart w:id="118" w:name="_Toc45288621"/>
      <w:r>
        <w:rPr>
          <w:rStyle w:val="CharSectno"/>
        </w:rPr>
        <w:t>33C</w:t>
      </w:r>
      <w:r>
        <w:t>.</w:t>
      </w:r>
      <w:r>
        <w:tab/>
        <w:t>Making a PSO</w:t>
      </w:r>
      <w:bookmarkEnd w:id="118"/>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keepNext/>
      </w:pPr>
      <w:r>
        <w:tab/>
        <w:t>(6)</w:t>
      </w:r>
      <w:r>
        <w:tab/>
        <w:t>If a court makes a PSO in respect of an offender, it may grant the offender bail.</w:t>
      </w:r>
    </w:p>
    <w:p>
      <w:pPr>
        <w:pStyle w:val="Footnotesection"/>
      </w:pPr>
      <w:r>
        <w:tab/>
        <w:t>[Section 33C inserted: No. 50 of 2003 s. 6.]</w:t>
      </w:r>
    </w:p>
    <w:p>
      <w:pPr>
        <w:pStyle w:val="Heading5"/>
      </w:pPr>
      <w:bookmarkStart w:id="119" w:name="_Toc45288622"/>
      <w:r>
        <w:rPr>
          <w:rStyle w:val="CharSectno"/>
        </w:rPr>
        <w:t>33D</w:t>
      </w:r>
      <w:r>
        <w:t>.</w:t>
      </w:r>
      <w:r>
        <w:tab/>
        <w:t>PSO, standard obligations of</w:t>
      </w:r>
      <w:bookmarkEnd w:id="119"/>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No. 50 of 2003 s. 6; amended: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120" w:name="_Toc45288623"/>
      <w:r>
        <w:rPr>
          <w:rStyle w:val="CharSectno"/>
        </w:rPr>
        <w:t>33E</w:t>
      </w:r>
      <w:r>
        <w:t>.</w:t>
      </w:r>
      <w:r>
        <w:tab/>
        <w:t>PSO, primary requirements of</w:t>
      </w:r>
      <w:bookmarkEnd w:id="120"/>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No. 50 of 2003 s. 6.]</w:t>
      </w:r>
    </w:p>
    <w:p>
      <w:pPr>
        <w:pStyle w:val="Heading5"/>
      </w:pPr>
      <w:bookmarkStart w:id="121" w:name="_Toc45288624"/>
      <w:r>
        <w:rPr>
          <w:rStyle w:val="CharSectno"/>
        </w:rPr>
        <w:t>33F</w:t>
      </w:r>
      <w:r>
        <w:t>.</w:t>
      </w:r>
      <w:r>
        <w:tab/>
        <w:t>Supervision requirement</w:t>
      </w:r>
      <w:bookmarkEnd w:id="121"/>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No. 50 of 2003 s. 6.]</w:t>
      </w:r>
    </w:p>
    <w:p>
      <w:pPr>
        <w:pStyle w:val="Heading5"/>
      </w:pPr>
      <w:bookmarkStart w:id="122" w:name="_Toc45288625"/>
      <w:r>
        <w:rPr>
          <w:rStyle w:val="CharSectno"/>
        </w:rPr>
        <w:t>33G</w:t>
      </w:r>
      <w:r>
        <w:t>.</w:t>
      </w:r>
      <w:r>
        <w:tab/>
        <w:t>Programme requirement</w:t>
      </w:r>
      <w:bookmarkEnd w:id="122"/>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No. 50 of 2003 s. 6; amended: No. 27 of 2004 s. 6(4)</w:t>
      </w:r>
      <w:r>
        <w:rPr>
          <w:spacing w:val="-4"/>
        </w:rPr>
        <w:t>; No. 47 of 2011 s.</w:t>
      </w:r>
      <w:r>
        <w:t> 26(3).]</w:t>
      </w:r>
    </w:p>
    <w:p>
      <w:pPr>
        <w:pStyle w:val="Heading5"/>
      </w:pPr>
      <w:bookmarkStart w:id="123" w:name="_Toc45288626"/>
      <w:r>
        <w:rPr>
          <w:rStyle w:val="CharSectno"/>
        </w:rPr>
        <w:t>33H</w:t>
      </w:r>
      <w:r>
        <w:t>.</w:t>
      </w:r>
      <w:r>
        <w:tab/>
        <w:t>Curfew requirement</w:t>
      </w:r>
      <w:bookmarkEnd w:id="123"/>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to do 1 or both of the following —</w:t>
      </w:r>
    </w:p>
    <w:p>
      <w:pPr>
        <w:pStyle w:val="Indenta"/>
      </w:pPr>
      <w:r>
        <w:tab/>
        <w:t>(a)</w:t>
      </w:r>
      <w:r>
        <w:tab/>
        <w:t xml:space="preserve">wear an approved electronic monitoring device; </w:t>
      </w:r>
    </w:p>
    <w:p>
      <w:pPr>
        <w:pStyle w:val="Indenta"/>
      </w:pPr>
      <w:r>
        <w:tab/>
        <w:t>(b)</w:t>
      </w:r>
      <w:r>
        <w:tab/>
        <w:t>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keepNext/>
      </w:pPr>
      <w:r>
        <w:tab/>
        <w:t>(15)</w:t>
      </w:r>
      <w:r>
        <w:tab/>
        <w:t>In this section —</w:t>
      </w:r>
    </w:p>
    <w:p>
      <w:pPr>
        <w:pStyle w:val="Defstart"/>
        <w:keepNext/>
      </w:pPr>
      <w:r>
        <w:tab/>
      </w:r>
      <w:r>
        <w:rPr>
          <w:rStyle w:val="CharDefText"/>
        </w:rPr>
        <w:t>specified</w:t>
      </w:r>
      <w:r>
        <w:t xml:space="preserve"> means specified by a speciality court or the CEO (corrections) from time to time.</w:t>
      </w:r>
    </w:p>
    <w:p>
      <w:pPr>
        <w:pStyle w:val="Footnotesection"/>
      </w:pPr>
      <w:r>
        <w:tab/>
        <w:t>[Section 33H inserted: No. 50 of 2003 s. 6; amended: No. 27 of 2004 s. 6(4); No. 65 of 2006 s. 49; No. 13 of 2020 s. 5.]</w:t>
      </w:r>
    </w:p>
    <w:p>
      <w:pPr>
        <w:pStyle w:val="Heading5"/>
      </w:pPr>
      <w:bookmarkStart w:id="124" w:name="_Toc45288627"/>
      <w:r>
        <w:rPr>
          <w:rStyle w:val="CharSectno"/>
        </w:rPr>
        <w:t>33I</w:t>
      </w:r>
      <w:r>
        <w:t>.</w:t>
      </w:r>
      <w:r>
        <w:tab/>
        <w:t>Performance reports about offenders on PSOs</w:t>
      </w:r>
      <w:bookmarkEnd w:id="124"/>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No. 50 of 2003 s. 6; amended: No. 65 of 2006 s. 49.]</w:t>
      </w:r>
    </w:p>
    <w:p>
      <w:pPr>
        <w:pStyle w:val="Heading5"/>
      </w:pPr>
      <w:bookmarkStart w:id="125" w:name="_Toc45288628"/>
      <w:r>
        <w:rPr>
          <w:rStyle w:val="CharSectno"/>
        </w:rPr>
        <w:t>33J</w:t>
      </w:r>
      <w:r>
        <w:t>.</w:t>
      </w:r>
      <w:r>
        <w:tab/>
        <w:t>Sentencing day, offender to be sentenced on etc.</w:t>
      </w:r>
      <w:bookmarkEnd w:id="125"/>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No. 50 of 2003 s. 6.]</w:t>
      </w:r>
    </w:p>
    <w:p>
      <w:pPr>
        <w:pStyle w:val="Heading5"/>
      </w:pPr>
      <w:bookmarkStart w:id="126" w:name="_Toc45288629"/>
      <w:r>
        <w:rPr>
          <w:rStyle w:val="CharSectno"/>
        </w:rPr>
        <w:t>33K</w:t>
      </w:r>
      <w:r>
        <w:t>.</w:t>
      </w:r>
      <w:r>
        <w:tab/>
        <w:t>Sentencing offender after PSO</w:t>
      </w:r>
      <w:bookmarkEnd w:id="126"/>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No. 50 of 2003 s. 6.]</w:t>
      </w:r>
    </w:p>
    <w:p>
      <w:pPr>
        <w:pStyle w:val="Heading3"/>
        <w:keepLines/>
      </w:pPr>
      <w:bookmarkStart w:id="127" w:name="_Toc45283023"/>
      <w:bookmarkStart w:id="128" w:name="_Toc45283313"/>
      <w:bookmarkStart w:id="129" w:name="_Toc45287000"/>
      <w:bookmarkStart w:id="130" w:name="_Toc45288157"/>
      <w:bookmarkStart w:id="131" w:name="_Toc45288630"/>
      <w:r>
        <w:rPr>
          <w:rStyle w:val="CharDivNo"/>
        </w:rPr>
        <w:t>Division 2</w:t>
      </w:r>
      <w:r>
        <w:t> — </w:t>
      </w:r>
      <w:r>
        <w:rPr>
          <w:rStyle w:val="CharDivText"/>
        </w:rPr>
        <w:t>Amending and enforcing PSOs</w:t>
      </w:r>
      <w:bookmarkEnd w:id="127"/>
      <w:bookmarkEnd w:id="128"/>
      <w:bookmarkEnd w:id="129"/>
      <w:bookmarkEnd w:id="130"/>
      <w:bookmarkEnd w:id="131"/>
    </w:p>
    <w:p>
      <w:pPr>
        <w:pStyle w:val="Footnoteheading"/>
        <w:keepNext/>
        <w:keepLines/>
      </w:pPr>
      <w:r>
        <w:tab/>
        <w:t>[Heading inserted: No. 50 of 2003 s. 6.]</w:t>
      </w:r>
    </w:p>
    <w:p>
      <w:pPr>
        <w:pStyle w:val="Heading5"/>
      </w:pPr>
      <w:bookmarkStart w:id="132" w:name="_Toc45288631"/>
      <w:r>
        <w:rPr>
          <w:rStyle w:val="CharSectno"/>
        </w:rPr>
        <w:t>33L</w:t>
      </w:r>
      <w:r>
        <w:t>.</w:t>
      </w:r>
      <w:r>
        <w:tab/>
        <w:t>Term used: requirement</w:t>
      </w:r>
      <w:bookmarkEnd w:id="132"/>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No. 50 of 2003 s. 6.]</w:t>
      </w:r>
    </w:p>
    <w:p>
      <w:pPr>
        <w:pStyle w:val="Heading5"/>
        <w:spacing w:before="180"/>
      </w:pPr>
      <w:bookmarkStart w:id="133" w:name="_Toc45288632"/>
      <w:r>
        <w:rPr>
          <w:rStyle w:val="CharSectno"/>
        </w:rPr>
        <w:t>33M</w:t>
      </w:r>
      <w:r>
        <w:t>.</w:t>
      </w:r>
      <w:r>
        <w:tab/>
        <w:t>Application to amend or cancel PSO</w:t>
      </w:r>
      <w:bookmarkEnd w:id="133"/>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 No. 50 of 2003 s. 6; amended: No. 59 of 2004 s. 141.]</w:t>
      </w:r>
    </w:p>
    <w:p>
      <w:pPr>
        <w:pStyle w:val="Heading5"/>
      </w:pPr>
      <w:bookmarkStart w:id="134" w:name="_Toc45288633"/>
      <w:r>
        <w:rPr>
          <w:rStyle w:val="CharSectno"/>
        </w:rPr>
        <w:t>33N</w:t>
      </w:r>
      <w:r>
        <w:t>.</w:t>
      </w:r>
      <w:r>
        <w:tab/>
        <w:t>Court may confirm, amend or cancel PSO</w:t>
      </w:r>
      <w:bookmarkEnd w:id="134"/>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No. 50 of 2003 s. 6; amended: No. 27 of 2004 s. 6(4); No. 65 of 2006 s. 47.]</w:t>
      </w:r>
    </w:p>
    <w:p>
      <w:pPr>
        <w:pStyle w:val="Heading5"/>
      </w:pPr>
      <w:bookmarkStart w:id="135" w:name="_Toc45288634"/>
      <w:r>
        <w:rPr>
          <w:rStyle w:val="CharSectno"/>
        </w:rPr>
        <w:t>33O</w:t>
      </w:r>
      <w:r>
        <w:t>.</w:t>
      </w:r>
      <w:r>
        <w:tab/>
        <w:t>Re</w:t>
      </w:r>
      <w:r>
        <w:noBreakHyphen/>
        <w:t>offending while subject to PSO, consequences of</w:t>
      </w:r>
      <w:bookmarkEnd w:id="135"/>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keepNext/>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No. 50 of 2003 s. 6; amended: No. 59 of 2004 s. 141; No. 41 of 2006 s. 73.]</w:t>
      </w:r>
    </w:p>
    <w:p>
      <w:pPr>
        <w:pStyle w:val="Heading5"/>
      </w:pPr>
      <w:bookmarkStart w:id="136" w:name="_Toc45288635"/>
      <w:r>
        <w:rPr>
          <w:rStyle w:val="CharSectno"/>
        </w:rPr>
        <w:t>33P</w:t>
      </w:r>
      <w:r>
        <w:t>.</w:t>
      </w:r>
      <w:r>
        <w:tab/>
        <w:t>Breach etc. of PSO, powers of CEO (corrections) and court</w:t>
      </w:r>
      <w:bookmarkEnd w:id="136"/>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No. 50 of 2003 s. 6; amended: No. 59 of 2004 s. 141; No. 65 of 2006 s. 49.]</w:t>
      </w:r>
    </w:p>
    <w:p>
      <w:pPr>
        <w:pStyle w:val="Heading5"/>
      </w:pPr>
      <w:bookmarkStart w:id="137" w:name="_Toc45288636"/>
      <w:r>
        <w:rPr>
          <w:rStyle w:val="CharSectno"/>
        </w:rPr>
        <w:t>33Q</w:t>
      </w:r>
      <w:r>
        <w:t>.</w:t>
      </w:r>
      <w:r>
        <w:tab/>
        <w:t>Facilitation of proof</w:t>
      </w:r>
      <w:bookmarkEnd w:id="137"/>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No. 50 of 2003 s. 6; amended: No. 65 of 2006 s. 49.]</w:t>
      </w:r>
    </w:p>
    <w:p>
      <w:pPr>
        <w:pStyle w:val="Heading2"/>
      </w:pPr>
      <w:bookmarkStart w:id="138" w:name="_Toc45283030"/>
      <w:bookmarkStart w:id="139" w:name="_Toc45283320"/>
      <w:bookmarkStart w:id="140" w:name="_Toc45287007"/>
      <w:bookmarkStart w:id="141" w:name="_Toc45288164"/>
      <w:bookmarkStart w:id="142" w:name="_Toc45288637"/>
      <w:r>
        <w:rPr>
          <w:rStyle w:val="CharPartNo"/>
        </w:rPr>
        <w:t>Part 4</w:t>
      </w:r>
      <w:r>
        <w:rPr>
          <w:rStyle w:val="CharDivNo"/>
        </w:rPr>
        <w:t> </w:t>
      </w:r>
      <w:r>
        <w:t>—</w:t>
      </w:r>
      <w:r>
        <w:rPr>
          <w:rStyle w:val="CharDivText"/>
        </w:rPr>
        <w:t> </w:t>
      </w:r>
      <w:r>
        <w:rPr>
          <w:rStyle w:val="CharPartText"/>
        </w:rPr>
        <w:t>The sentencing process</w:t>
      </w:r>
      <w:bookmarkEnd w:id="138"/>
      <w:bookmarkEnd w:id="139"/>
      <w:bookmarkEnd w:id="140"/>
      <w:bookmarkEnd w:id="141"/>
      <w:bookmarkEnd w:id="142"/>
    </w:p>
    <w:p>
      <w:pPr>
        <w:pStyle w:val="Heading5"/>
        <w:rPr>
          <w:snapToGrid w:val="0"/>
        </w:rPr>
      </w:pPr>
      <w:bookmarkStart w:id="143" w:name="_Toc45288638"/>
      <w:r>
        <w:rPr>
          <w:rStyle w:val="CharSectno"/>
        </w:rPr>
        <w:t>34</w:t>
      </w:r>
      <w:r>
        <w:rPr>
          <w:snapToGrid w:val="0"/>
        </w:rPr>
        <w:t>.</w:t>
      </w:r>
      <w:r>
        <w:rPr>
          <w:snapToGrid w:val="0"/>
        </w:rPr>
        <w:tab/>
        <w:t>Explanation of sentence</w:t>
      </w:r>
      <w:bookmarkEnd w:id="143"/>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No. 48 of 1998 s. 15; No. 50 of 2003 s. 24.]</w:t>
      </w:r>
    </w:p>
    <w:p>
      <w:pPr>
        <w:pStyle w:val="Heading5"/>
        <w:rPr>
          <w:snapToGrid w:val="0"/>
        </w:rPr>
      </w:pPr>
      <w:bookmarkStart w:id="144" w:name="_Toc45288639"/>
      <w:r>
        <w:rPr>
          <w:rStyle w:val="CharSectno"/>
        </w:rPr>
        <w:t>35</w:t>
      </w:r>
      <w:r>
        <w:rPr>
          <w:snapToGrid w:val="0"/>
        </w:rPr>
        <w:t>.</w:t>
      </w:r>
      <w:r>
        <w:rPr>
          <w:snapToGrid w:val="0"/>
        </w:rPr>
        <w:tab/>
        <w:t>Reasons for imprisonment to be given in some cases</w:t>
      </w:r>
      <w:bookmarkEnd w:id="144"/>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35 amended: No. 20 of 2013 s. 126; No. 45 of 2016 s. 65.]</w:t>
      </w:r>
    </w:p>
    <w:p>
      <w:pPr>
        <w:pStyle w:val="Heading5"/>
        <w:rPr>
          <w:snapToGrid w:val="0"/>
        </w:rPr>
      </w:pPr>
      <w:bookmarkStart w:id="145" w:name="_Toc45288640"/>
      <w:r>
        <w:rPr>
          <w:rStyle w:val="CharSectno"/>
        </w:rPr>
        <w:t>36</w:t>
      </w:r>
      <w:r>
        <w:rPr>
          <w:snapToGrid w:val="0"/>
        </w:rPr>
        <w:t>.</w:t>
      </w:r>
      <w:r>
        <w:rPr>
          <w:snapToGrid w:val="0"/>
        </w:rPr>
        <w:tab/>
        <w:t>Warrant of commitment to be issued if imprisonment imposed</w:t>
      </w:r>
      <w:bookmarkEnd w:id="145"/>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146" w:name="_Toc45288641"/>
      <w:r>
        <w:rPr>
          <w:rStyle w:val="CharSectno"/>
        </w:rPr>
        <w:t>37</w:t>
      </w:r>
      <w:r>
        <w:rPr>
          <w:snapToGrid w:val="0"/>
        </w:rPr>
        <w:t>.</w:t>
      </w:r>
      <w:r>
        <w:rPr>
          <w:snapToGrid w:val="0"/>
        </w:rPr>
        <w:tab/>
        <w:t>Correction of sentence</w:t>
      </w:r>
      <w:bookmarkEnd w:id="146"/>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No. 5 of 2008 s. 107.]</w:t>
      </w:r>
    </w:p>
    <w:p>
      <w:pPr>
        <w:pStyle w:val="Heading5"/>
      </w:pPr>
      <w:bookmarkStart w:id="147" w:name="_Toc45288642"/>
      <w:r>
        <w:rPr>
          <w:rStyle w:val="CharSectno"/>
        </w:rPr>
        <w:t>37A</w:t>
      </w:r>
      <w:r>
        <w:t>.</w:t>
      </w:r>
      <w:r>
        <w:tab/>
        <w:t>Offender reneging on promise to assist authorities may be re</w:t>
      </w:r>
      <w:r>
        <w:noBreakHyphen/>
        <w:t>sentenced</w:t>
      </w:r>
      <w:bookmarkEnd w:id="147"/>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No. 29 of 1998 s. 16.]</w:t>
      </w:r>
    </w:p>
    <w:p>
      <w:pPr>
        <w:pStyle w:val="Heading5"/>
        <w:rPr>
          <w:snapToGrid w:val="0"/>
        </w:rPr>
      </w:pPr>
      <w:bookmarkStart w:id="148" w:name="_Toc45288643"/>
      <w:r>
        <w:rPr>
          <w:rStyle w:val="CharSectno"/>
        </w:rPr>
        <w:t>38</w:t>
      </w:r>
      <w:r>
        <w:rPr>
          <w:snapToGrid w:val="0"/>
        </w:rPr>
        <w:t>.</w:t>
      </w:r>
      <w:r>
        <w:rPr>
          <w:snapToGrid w:val="0"/>
        </w:rPr>
        <w:tab/>
        <w:t>Imprisonment by JPs, magistrate to review</w:t>
      </w:r>
      <w:bookmarkEnd w:id="148"/>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No. 29 of 1998 s. 18; No. 59 of 2004 s. 141; No. 27 of 2004 s. 6(4).]</w:t>
      </w:r>
    </w:p>
    <w:p>
      <w:pPr>
        <w:pStyle w:val="Heading2"/>
      </w:pPr>
      <w:bookmarkStart w:id="149" w:name="_Toc45283037"/>
      <w:bookmarkStart w:id="150" w:name="_Toc45283327"/>
      <w:bookmarkStart w:id="151" w:name="_Toc45287014"/>
      <w:bookmarkStart w:id="152" w:name="_Toc45288171"/>
      <w:bookmarkStart w:id="153" w:name="_Toc45288644"/>
      <w:r>
        <w:rPr>
          <w:rStyle w:val="CharPartNo"/>
        </w:rPr>
        <w:t>Part 5</w:t>
      </w:r>
      <w:r>
        <w:rPr>
          <w:rStyle w:val="CharDivNo"/>
        </w:rPr>
        <w:t> </w:t>
      </w:r>
      <w:r>
        <w:t>—</w:t>
      </w:r>
      <w:r>
        <w:rPr>
          <w:rStyle w:val="CharDivText"/>
        </w:rPr>
        <w:t> </w:t>
      </w:r>
      <w:r>
        <w:rPr>
          <w:rStyle w:val="CharPartText"/>
        </w:rPr>
        <w:t>Sentencing options</w:t>
      </w:r>
      <w:bookmarkEnd w:id="149"/>
      <w:bookmarkEnd w:id="150"/>
      <w:bookmarkEnd w:id="151"/>
      <w:bookmarkEnd w:id="152"/>
      <w:bookmarkEnd w:id="153"/>
    </w:p>
    <w:p>
      <w:pPr>
        <w:pStyle w:val="Heading5"/>
        <w:rPr>
          <w:snapToGrid w:val="0"/>
        </w:rPr>
      </w:pPr>
      <w:bookmarkStart w:id="154" w:name="_Toc45288645"/>
      <w:r>
        <w:rPr>
          <w:rStyle w:val="CharSectno"/>
        </w:rPr>
        <w:t>39</w:t>
      </w:r>
      <w:r>
        <w:rPr>
          <w:snapToGrid w:val="0"/>
        </w:rPr>
        <w:t>.</w:t>
      </w:r>
      <w:r>
        <w:rPr>
          <w:snapToGrid w:val="0"/>
        </w:rPr>
        <w:tab/>
        <w:t>Natural person, sentences for</w:t>
      </w:r>
      <w:bookmarkEnd w:id="154"/>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pPr>
      <w:r>
        <w:tab/>
        <w:t>(ca)</w:t>
      </w:r>
      <w:r>
        <w:tab/>
        <w:t>with or without making a spent conviction order, under Part 8A impose a suspended fine;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No. 29 of 1998 s. 18; No. 27 of 2004 s. 6(3); No. 45 of 2016 s. 49.]</w:t>
      </w:r>
    </w:p>
    <w:p>
      <w:pPr>
        <w:pStyle w:val="Heading5"/>
        <w:rPr>
          <w:snapToGrid w:val="0"/>
        </w:rPr>
      </w:pPr>
      <w:bookmarkStart w:id="155" w:name="_Toc45288646"/>
      <w:r>
        <w:rPr>
          <w:rStyle w:val="CharSectno"/>
        </w:rPr>
        <w:t>40</w:t>
      </w:r>
      <w:r>
        <w:rPr>
          <w:snapToGrid w:val="0"/>
        </w:rPr>
        <w:t>.</w:t>
      </w:r>
      <w:r>
        <w:rPr>
          <w:snapToGrid w:val="0"/>
        </w:rPr>
        <w:tab/>
        <w:t>Body corporate, sentences for</w:t>
      </w:r>
      <w:bookmarkEnd w:id="155"/>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No. 2 of 2008 s. 70; No. 45 of 2016 s. 50.]</w:t>
      </w:r>
    </w:p>
    <w:p>
      <w:pPr>
        <w:pStyle w:val="Heading5"/>
        <w:rPr>
          <w:snapToGrid w:val="0"/>
        </w:rPr>
      </w:pPr>
      <w:bookmarkStart w:id="156" w:name="_Toc45288647"/>
      <w:r>
        <w:rPr>
          <w:rStyle w:val="CharSectno"/>
        </w:rPr>
        <w:t>41</w:t>
      </w:r>
      <w:r>
        <w:rPr>
          <w:snapToGrid w:val="0"/>
        </w:rPr>
        <w:t>.</w:t>
      </w:r>
      <w:r>
        <w:rPr>
          <w:snapToGrid w:val="0"/>
        </w:rPr>
        <w:tab/>
        <w:t>If statutory penalty is imprisonment only: sentencing options</w:t>
      </w:r>
      <w:bookmarkEnd w:id="156"/>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pPr>
      <w:r>
        <w:tab/>
        <w:t>(a)</w:t>
      </w:r>
      <w:r>
        <w:tab/>
        <w:t>if the offender is a natural person:</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×1000</m:t>
        </m:r>
      </m:oMath>
    </w:p>
    <w:p>
      <w:pPr>
        <w:pStyle w:val="Indenta"/>
      </w:pPr>
      <w:r>
        <w:tab/>
        <w:t>(b)</w:t>
      </w:r>
      <w:r>
        <w:tab/>
        <w:t>if the offender is a body corporate:</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×5000</m:t>
        </m:r>
      </m:oMath>
    </w:p>
    <w:p>
      <w:pPr>
        <w:pStyle w:val="Footnotesection"/>
      </w:pPr>
      <w:r>
        <w:tab/>
        <w:t>[Section 41 amended: No. 50 of 2003 s. 10; No. 59 of 2004 s. 141</w:t>
      </w:r>
      <w:r>
        <w:rPr>
          <w:spacing w:val="-4"/>
        </w:rPr>
        <w:t>; No. 47 of 2011 s.</w:t>
      </w:r>
      <w:r>
        <w:t> 26(3).]</w:t>
      </w:r>
    </w:p>
    <w:p>
      <w:pPr>
        <w:pStyle w:val="Heading5"/>
        <w:spacing w:before="240"/>
        <w:rPr>
          <w:snapToGrid w:val="0"/>
        </w:rPr>
      </w:pPr>
      <w:bookmarkStart w:id="157" w:name="_Toc45288648"/>
      <w:r>
        <w:rPr>
          <w:rStyle w:val="CharSectno"/>
        </w:rPr>
        <w:t>42</w:t>
      </w:r>
      <w:r>
        <w:rPr>
          <w:snapToGrid w:val="0"/>
        </w:rPr>
        <w:t>.</w:t>
      </w:r>
      <w:r>
        <w:rPr>
          <w:snapToGrid w:val="0"/>
        </w:rPr>
        <w:tab/>
        <w:t>If statutory penalty is imprisonment and fine: sentencing options</w:t>
      </w:r>
      <w:bookmarkEnd w:id="157"/>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No. 50 of 2003 s. 11</w:t>
      </w:r>
      <w:r>
        <w:rPr>
          <w:spacing w:val="-4"/>
        </w:rPr>
        <w:t>; No. 47 of 2011 s.</w:t>
      </w:r>
      <w:r>
        <w:t> 26(3).]</w:t>
      </w:r>
    </w:p>
    <w:p>
      <w:pPr>
        <w:pStyle w:val="Heading5"/>
      </w:pPr>
      <w:bookmarkStart w:id="158" w:name="_Toc45288649"/>
      <w:r>
        <w:rPr>
          <w:rStyle w:val="CharSectno"/>
        </w:rPr>
        <w:t>43</w:t>
      </w:r>
      <w:r>
        <w:t>.</w:t>
      </w:r>
      <w:r>
        <w:tab/>
        <w:t>If statutory penalty is imprisonment or fine: sentencing options</w:t>
      </w:r>
      <w:bookmarkEnd w:id="158"/>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No. 50 of 2003 s. 12.]</w:t>
      </w:r>
    </w:p>
    <w:p>
      <w:pPr>
        <w:pStyle w:val="Heading5"/>
        <w:rPr>
          <w:snapToGrid w:val="0"/>
        </w:rPr>
      </w:pPr>
      <w:bookmarkStart w:id="159" w:name="_Toc45288650"/>
      <w:r>
        <w:rPr>
          <w:rStyle w:val="CharSectno"/>
        </w:rPr>
        <w:t>44</w:t>
      </w:r>
      <w:r>
        <w:rPr>
          <w:snapToGrid w:val="0"/>
        </w:rPr>
        <w:t>.</w:t>
      </w:r>
      <w:r>
        <w:rPr>
          <w:snapToGrid w:val="0"/>
        </w:rPr>
        <w:tab/>
        <w:t>If statutory penalty is fine only: sentencing options</w:t>
      </w:r>
      <w:bookmarkEnd w:id="159"/>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(c) and (ca); or</w:t>
      </w:r>
    </w:p>
    <w:p>
      <w:pPr>
        <w:pStyle w:val="Indenti"/>
      </w:pPr>
      <w:r>
        <w:tab/>
        <w:t>(ii)</w:t>
      </w:r>
      <w:r>
        <w:tab/>
        <w:t>in the case of an offence prescribed for the purposes of this section, use any one of the sentencing options in section 39(2)(a), (b), (c), (ca)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No. 50 of 2003 s. 13 and 33(2); No. 45 of 2016 s. 51.]</w:t>
      </w:r>
    </w:p>
    <w:p>
      <w:pPr>
        <w:pStyle w:val="Heading5"/>
        <w:spacing w:before="240"/>
        <w:rPr>
          <w:snapToGrid w:val="0"/>
        </w:rPr>
      </w:pPr>
      <w:bookmarkStart w:id="160" w:name="_Toc45288651"/>
      <w:r>
        <w:rPr>
          <w:rStyle w:val="CharSectno"/>
        </w:rPr>
        <w:t>45</w:t>
      </w:r>
      <w:r>
        <w:rPr>
          <w:snapToGrid w:val="0"/>
        </w:rPr>
        <w:t>.</w:t>
      </w:r>
      <w:r>
        <w:rPr>
          <w:snapToGrid w:val="0"/>
        </w:rPr>
        <w:tab/>
        <w:t>Spent conviction order, making and effect of</w:t>
      </w:r>
      <w:bookmarkEnd w:id="160"/>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pPr>
      <w:r>
        <w:tab/>
        <w:t>(1A)</w:t>
      </w:r>
      <w:r>
        <w:tab/>
        <w:t xml:space="preserve">In addition to subsection (1), under section 39(2), a court sentencing an offender is not to make a spent conviction order in respect of an offender who is subject to a PSO unless — </w:t>
      </w:r>
    </w:p>
    <w:p>
      <w:pPr>
        <w:pStyle w:val="Indenta"/>
      </w:pPr>
      <w:r>
        <w:tab/>
        <w:t>(a)</w:t>
      </w:r>
      <w:r>
        <w:tab/>
        <w:t>the offence to which the PSO applies is a simple offence; and</w:t>
      </w:r>
    </w:p>
    <w:p>
      <w:pPr>
        <w:pStyle w:val="Indenta"/>
      </w:pPr>
      <w:r>
        <w:tab/>
        <w:t>(b)</w:t>
      </w:r>
      <w:r>
        <w:tab/>
        <w:t>the court is satisfied that the offender has complied with any programme requirements imposed as part of the PSO.</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No. 8 of 2012 s. 175; No. 45 of 2016 s. 66.]</w:t>
      </w:r>
    </w:p>
    <w:p>
      <w:pPr>
        <w:pStyle w:val="Heading2"/>
      </w:pPr>
      <w:bookmarkStart w:id="161" w:name="_Toc45283045"/>
      <w:bookmarkStart w:id="162" w:name="_Toc45283335"/>
      <w:bookmarkStart w:id="163" w:name="_Toc45287022"/>
      <w:bookmarkStart w:id="164" w:name="_Toc45288179"/>
      <w:bookmarkStart w:id="165" w:name="_Toc45288652"/>
      <w:r>
        <w:rPr>
          <w:rStyle w:val="CharPartNo"/>
        </w:rPr>
        <w:t>Part 6</w:t>
      </w:r>
      <w:r>
        <w:rPr>
          <w:rStyle w:val="CharDivNo"/>
        </w:rPr>
        <w:t> </w:t>
      </w:r>
      <w:r>
        <w:t>—</w:t>
      </w:r>
      <w:r>
        <w:rPr>
          <w:rStyle w:val="CharDivText"/>
        </w:rPr>
        <w:t> </w:t>
      </w:r>
      <w:r>
        <w:rPr>
          <w:rStyle w:val="CharPartText"/>
        </w:rPr>
        <w:t>Release of offender without sentence</w:t>
      </w:r>
      <w:bookmarkEnd w:id="161"/>
      <w:bookmarkEnd w:id="162"/>
      <w:bookmarkEnd w:id="163"/>
      <w:bookmarkEnd w:id="164"/>
      <w:bookmarkEnd w:id="165"/>
    </w:p>
    <w:p>
      <w:pPr>
        <w:pStyle w:val="Heading5"/>
        <w:rPr>
          <w:snapToGrid w:val="0"/>
        </w:rPr>
      </w:pPr>
      <w:bookmarkStart w:id="166" w:name="_Toc45288653"/>
      <w:r>
        <w:rPr>
          <w:rStyle w:val="CharSectno"/>
        </w:rPr>
        <w:t>46</w:t>
      </w:r>
      <w:r>
        <w:rPr>
          <w:snapToGrid w:val="0"/>
        </w:rPr>
        <w:t>.</w:t>
      </w:r>
      <w:r>
        <w:rPr>
          <w:snapToGrid w:val="0"/>
        </w:rPr>
        <w:tab/>
        <w:t>Release without sentence</w:t>
      </w:r>
      <w:bookmarkEnd w:id="166"/>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No. 17 of 2014 s. 37(2).]</w:t>
      </w:r>
    </w:p>
    <w:p>
      <w:pPr>
        <w:pStyle w:val="Heading2"/>
      </w:pPr>
      <w:bookmarkStart w:id="167" w:name="_Toc45283047"/>
      <w:bookmarkStart w:id="168" w:name="_Toc45283337"/>
      <w:bookmarkStart w:id="169" w:name="_Toc45287024"/>
      <w:bookmarkStart w:id="170" w:name="_Toc45288181"/>
      <w:bookmarkStart w:id="171" w:name="_Toc45288654"/>
      <w:r>
        <w:rPr>
          <w:rStyle w:val="CharPartNo"/>
        </w:rPr>
        <w:t>Part 7</w:t>
      </w:r>
      <w:r>
        <w:rPr>
          <w:rStyle w:val="CharDivNo"/>
        </w:rPr>
        <w:t> </w:t>
      </w:r>
      <w:r>
        <w:t>—</w:t>
      </w:r>
      <w:r>
        <w:rPr>
          <w:rStyle w:val="CharDivText"/>
        </w:rPr>
        <w:t> </w:t>
      </w:r>
      <w:r>
        <w:rPr>
          <w:rStyle w:val="CharPartText"/>
        </w:rPr>
        <w:t>Conditional release order</w:t>
      </w:r>
      <w:bookmarkEnd w:id="167"/>
      <w:bookmarkEnd w:id="168"/>
      <w:bookmarkEnd w:id="169"/>
      <w:bookmarkEnd w:id="170"/>
      <w:bookmarkEnd w:id="171"/>
    </w:p>
    <w:p>
      <w:pPr>
        <w:pStyle w:val="Heading5"/>
        <w:rPr>
          <w:snapToGrid w:val="0"/>
        </w:rPr>
      </w:pPr>
      <w:bookmarkStart w:id="172" w:name="_Toc45288655"/>
      <w:r>
        <w:rPr>
          <w:rStyle w:val="CharSectno"/>
        </w:rPr>
        <w:t>47</w:t>
      </w:r>
      <w:r>
        <w:rPr>
          <w:snapToGrid w:val="0"/>
        </w:rPr>
        <w:t>.</w:t>
      </w:r>
      <w:r>
        <w:rPr>
          <w:snapToGrid w:val="0"/>
        </w:rPr>
        <w:tab/>
        <w:t>When CRO may be imposed</w:t>
      </w:r>
      <w:bookmarkEnd w:id="172"/>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73" w:name="_Toc45288656"/>
      <w:r>
        <w:rPr>
          <w:rStyle w:val="CharSectno"/>
        </w:rPr>
        <w:t>48</w:t>
      </w:r>
      <w:r>
        <w:rPr>
          <w:snapToGrid w:val="0"/>
        </w:rPr>
        <w:t>.</w:t>
      </w:r>
      <w:r>
        <w:rPr>
          <w:snapToGrid w:val="0"/>
        </w:rPr>
        <w:tab/>
        <w:t>CRO, nature of</w:t>
      </w:r>
      <w:bookmarkEnd w:id="173"/>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74" w:name="_Toc45288657"/>
      <w:r>
        <w:rPr>
          <w:rStyle w:val="CharSectno"/>
        </w:rPr>
        <w:t>49</w:t>
      </w:r>
      <w:r>
        <w:rPr>
          <w:snapToGrid w:val="0"/>
        </w:rPr>
        <w:t>.</w:t>
      </w:r>
      <w:r>
        <w:rPr>
          <w:snapToGrid w:val="0"/>
        </w:rPr>
        <w:tab/>
        <w:t>CRO, requirements of</w:t>
      </w:r>
      <w:bookmarkEnd w:id="174"/>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75" w:name="_Toc45288658"/>
      <w:r>
        <w:rPr>
          <w:rStyle w:val="CharSectno"/>
        </w:rPr>
        <w:t>50</w:t>
      </w:r>
      <w:r>
        <w:rPr>
          <w:snapToGrid w:val="0"/>
        </w:rPr>
        <w:t>.</w:t>
      </w:r>
      <w:r>
        <w:rPr>
          <w:snapToGrid w:val="0"/>
        </w:rPr>
        <w:tab/>
        <w:t>Court may direct offender to re</w:t>
      </w:r>
      <w:r>
        <w:rPr>
          <w:snapToGrid w:val="0"/>
        </w:rPr>
        <w:noBreakHyphen/>
        <w:t>appear</w:t>
      </w:r>
      <w:bookmarkEnd w:id="175"/>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76" w:name="_Toc45288659"/>
      <w:r>
        <w:rPr>
          <w:rStyle w:val="CharSectno"/>
        </w:rPr>
        <w:t>51</w:t>
      </w:r>
      <w:r>
        <w:rPr>
          <w:snapToGrid w:val="0"/>
        </w:rPr>
        <w:t>.</w:t>
      </w:r>
      <w:r>
        <w:rPr>
          <w:snapToGrid w:val="0"/>
        </w:rPr>
        <w:tab/>
        <w:t>Ensuring compliance with CRO</w:t>
      </w:r>
      <w:bookmarkEnd w:id="176"/>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No. 41 of 2006 s. 79.]</w:t>
      </w:r>
    </w:p>
    <w:p>
      <w:pPr>
        <w:pStyle w:val="Heading5"/>
        <w:spacing w:before="600"/>
        <w:rPr>
          <w:snapToGrid w:val="0"/>
        </w:rPr>
      </w:pPr>
      <w:bookmarkStart w:id="177" w:name="_Toc45288660"/>
      <w:r>
        <w:rPr>
          <w:rStyle w:val="CharSectno"/>
        </w:rPr>
        <w:t>52</w:t>
      </w:r>
      <w:r>
        <w:rPr>
          <w:snapToGrid w:val="0"/>
        </w:rPr>
        <w:t>.</w:t>
      </w:r>
      <w:r>
        <w:rPr>
          <w:snapToGrid w:val="0"/>
        </w:rPr>
        <w:tab/>
        <w:t>Enforcing CRO</w:t>
      </w:r>
      <w:bookmarkEnd w:id="177"/>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No. 84 of 2004 s. 82; No. 41 of 2006 s. 79.]</w:t>
      </w:r>
    </w:p>
    <w:p>
      <w:pPr>
        <w:pStyle w:val="Heading2"/>
      </w:pPr>
      <w:bookmarkStart w:id="178" w:name="_Toc45283054"/>
      <w:bookmarkStart w:id="179" w:name="_Toc45283344"/>
      <w:bookmarkStart w:id="180" w:name="_Toc45287031"/>
      <w:bookmarkStart w:id="181" w:name="_Toc45288188"/>
      <w:bookmarkStart w:id="182" w:name="_Toc45288661"/>
      <w:r>
        <w:rPr>
          <w:rStyle w:val="CharPartNo"/>
        </w:rPr>
        <w:t>Part 8</w:t>
      </w:r>
      <w:r>
        <w:rPr>
          <w:rStyle w:val="CharDivNo"/>
        </w:rPr>
        <w:t> </w:t>
      </w:r>
      <w:r>
        <w:t>—</w:t>
      </w:r>
      <w:r>
        <w:rPr>
          <w:rStyle w:val="CharDivText"/>
        </w:rPr>
        <w:t> </w:t>
      </w:r>
      <w:r>
        <w:rPr>
          <w:rStyle w:val="CharPartText"/>
        </w:rPr>
        <w:t>Fine</w:t>
      </w:r>
      <w:bookmarkEnd w:id="178"/>
      <w:bookmarkEnd w:id="179"/>
      <w:bookmarkEnd w:id="180"/>
      <w:bookmarkEnd w:id="181"/>
      <w:bookmarkEnd w:id="182"/>
    </w:p>
    <w:p>
      <w:pPr>
        <w:pStyle w:val="Heading5"/>
        <w:spacing w:before="180"/>
        <w:rPr>
          <w:snapToGrid w:val="0"/>
        </w:rPr>
      </w:pPr>
      <w:bookmarkStart w:id="183" w:name="_Toc45288662"/>
      <w:r>
        <w:rPr>
          <w:rStyle w:val="CharSectno"/>
        </w:rPr>
        <w:t>53</w:t>
      </w:r>
      <w:r>
        <w:rPr>
          <w:snapToGrid w:val="0"/>
        </w:rPr>
        <w:t>.</w:t>
      </w:r>
      <w:r>
        <w:rPr>
          <w:snapToGrid w:val="0"/>
        </w:rPr>
        <w:tab/>
        <w:t>Considerations when imposing fine</w:t>
      </w:r>
      <w:bookmarkEnd w:id="183"/>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184" w:name="_Toc45288663"/>
      <w:r>
        <w:rPr>
          <w:rStyle w:val="CharSectno"/>
        </w:rPr>
        <w:t>54</w:t>
      </w:r>
      <w:r>
        <w:rPr>
          <w:snapToGrid w:val="0"/>
        </w:rPr>
        <w:t>.</w:t>
      </w:r>
      <w:r>
        <w:rPr>
          <w:snapToGrid w:val="0"/>
        </w:rPr>
        <w:tab/>
        <w:t>One fine for 2 or more offences</w:t>
      </w:r>
      <w:bookmarkEnd w:id="184"/>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Next w:val="0"/>
        <w:keepLines w:val="0"/>
        <w:spacing w:before="180"/>
        <w:rPr>
          <w:snapToGrid w:val="0"/>
        </w:rPr>
      </w:pPr>
      <w:bookmarkStart w:id="185" w:name="_Toc45288664"/>
      <w:r>
        <w:rPr>
          <w:rStyle w:val="CharSectno"/>
        </w:rPr>
        <w:t>55</w:t>
      </w:r>
      <w:r>
        <w:rPr>
          <w:snapToGrid w:val="0"/>
        </w:rPr>
        <w:t>.</w:t>
      </w:r>
      <w:r>
        <w:rPr>
          <w:snapToGrid w:val="0"/>
        </w:rPr>
        <w:tab/>
        <w:t>Apportionment of fine between joint offenders</w:t>
      </w:r>
      <w:bookmarkEnd w:id="185"/>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86" w:name="_Toc45288665"/>
      <w:r>
        <w:rPr>
          <w:rStyle w:val="CharSectno"/>
        </w:rPr>
        <w:t>56</w:t>
      </w:r>
      <w:r>
        <w:rPr>
          <w:snapToGrid w:val="0"/>
        </w:rPr>
        <w:t>.</w:t>
      </w:r>
      <w:r>
        <w:rPr>
          <w:snapToGrid w:val="0"/>
        </w:rPr>
        <w:tab/>
        <w:t>Assault victim may be awarded fine</w:t>
      </w:r>
      <w:bookmarkEnd w:id="186"/>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87" w:name="_Toc45288666"/>
      <w:r>
        <w:rPr>
          <w:rStyle w:val="CharSectno"/>
        </w:rPr>
        <w:t>57</w:t>
      </w:r>
      <w:r>
        <w:rPr>
          <w:snapToGrid w:val="0"/>
        </w:rPr>
        <w:t>.</w:t>
      </w:r>
      <w:r>
        <w:rPr>
          <w:snapToGrid w:val="0"/>
        </w:rPr>
        <w:tab/>
        <w:t>Enforcement of fine</w:t>
      </w:r>
      <w:bookmarkEnd w:id="187"/>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No. 9 of 2000 s. 9.]</w:t>
      </w:r>
    </w:p>
    <w:p>
      <w:pPr>
        <w:pStyle w:val="Heading5"/>
      </w:pPr>
      <w:bookmarkStart w:id="188" w:name="_Toc45288667"/>
      <w:r>
        <w:rPr>
          <w:rStyle w:val="CharSectno"/>
        </w:rPr>
        <w:t>57A</w:t>
      </w:r>
      <w:r>
        <w:t>.</w:t>
      </w:r>
      <w:r>
        <w:tab/>
        <w:t>Enforcement of fine by means of WDO</w:t>
      </w:r>
      <w:bookmarkEnd w:id="188"/>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keepNext/>
      </w:pPr>
      <w:r>
        <w:tab/>
        <w:t>(v)</w:t>
      </w:r>
      <w:r>
        <w:tab/>
        <w:t>is mentally and physically capable of performing the requirements of a WDO;</w:t>
      </w:r>
    </w:p>
    <w:p>
      <w:pPr>
        <w:pStyle w:val="Indenta"/>
      </w:pPr>
      <w:r>
        <w:tab/>
      </w:r>
      <w:r>
        <w:tab/>
        <w:t>and</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No. 9 of 2000 s. 10; amended: No. 48 of 2012 s. 78.]</w:t>
      </w:r>
    </w:p>
    <w:p>
      <w:pPr>
        <w:pStyle w:val="Heading5"/>
      </w:pPr>
      <w:bookmarkStart w:id="189" w:name="_Toc45288668"/>
      <w:r>
        <w:rPr>
          <w:rStyle w:val="CharSectno"/>
        </w:rPr>
        <w:t>57B</w:t>
      </w:r>
      <w:r>
        <w:t>.</w:t>
      </w:r>
      <w:r>
        <w:tab/>
        <w:t>Court may cancel s. 57A order on application of Fines Enforcement Registrar</w:t>
      </w:r>
      <w:bookmarkEnd w:id="189"/>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No. 9 of 2000 s. 10; amended: No. 48 of 2012 s. 79.]</w:t>
      </w:r>
    </w:p>
    <w:p>
      <w:pPr>
        <w:pStyle w:val="Heading5"/>
        <w:rPr>
          <w:snapToGrid w:val="0"/>
        </w:rPr>
      </w:pPr>
      <w:bookmarkStart w:id="190" w:name="_Toc45288669"/>
      <w:r>
        <w:rPr>
          <w:rStyle w:val="CharSectno"/>
        </w:rPr>
        <w:t>58</w:t>
      </w:r>
      <w:r>
        <w:rPr>
          <w:snapToGrid w:val="0"/>
        </w:rPr>
        <w:t>.</w:t>
      </w:r>
      <w:r>
        <w:rPr>
          <w:snapToGrid w:val="0"/>
        </w:rPr>
        <w:tab/>
        <w:t>Imprisonment until fine paid</w:t>
      </w:r>
      <w:bookmarkEnd w:id="190"/>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No. 59 of 2004 s. 141.]</w:t>
      </w:r>
    </w:p>
    <w:p>
      <w:pPr>
        <w:pStyle w:val="Heading5"/>
        <w:rPr>
          <w:snapToGrid w:val="0"/>
        </w:rPr>
      </w:pPr>
      <w:bookmarkStart w:id="191" w:name="_Toc45288670"/>
      <w:r>
        <w:rPr>
          <w:rStyle w:val="CharSectno"/>
        </w:rPr>
        <w:t>59</w:t>
      </w:r>
      <w:r>
        <w:rPr>
          <w:snapToGrid w:val="0"/>
        </w:rPr>
        <w:t>.</w:t>
      </w:r>
      <w:r>
        <w:rPr>
          <w:snapToGrid w:val="0"/>
        </w:rPr>
        <w:tab/>
        <w:t>Imprisonment if fine not paid</w:t>
      </w:r>
      <w:bookmarkEnd w:id="191"/>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spacing w:before="60"/>
        <w:rPr>
          <w:snapToGrid w:val="0"/>
          <w:sz w:val="22"/>
        </w:rPr>
      </w:pPr>
      <m:oMathPara>
        <m:oMath>
          <m:m>
            <m:mPr>
              <m:mcs>
                <m:mc>
                  <m:mcPr>
                    <m:count m:val="1"/>
                    <m:mcJc m:val="center"/>
                  </m:mcPr>
                </m:mc>
              </m:mcs>
              <m:ctrlPr>
                <w:rPr>
                  <w:rFonts w:ascii="Cambria Math" w:hAnsi="Cambria Math"/>
                  <w:noProof w:val="0"/>
                  <w:snapToGrid w:val="0"/>
                  <w:sz w:val="22"/>
                </w:rPr>
              </m:ctrlPr>
            </m:mPr>
            <m:mr>
              <m:e>
                <m:r>
                  <m:rPr>
                    <m:sty m:val="p"/>
                  </m:rPr>
                  <w:rPr>
                    <w:rFonts w:ascii="Cambria Math" w:hAnsi="Cambria Math"/>
                    <w:snapToGrid w:val="0"/>
                    <w:sz w:val="22"/>
                  </w:rPr>
                  <m:t>Period of</m:t>
                </m:r>
              </m:e>
            </m:mr>
            <m:mr>
              <m:e>
                <m:r>
                  <m:rPr>
                    <m:sty m:val="p"/>
                  </m:rPr>
                  <w:rPr>
                    <w:rFonts w:ascii="Cambria Math" w:hAnsi="Cambria Math"/>
                    <w:snapToGrid w:val="0"/>
                    <w:sz w:val="22"/>
                  </w:rPr>
                  <m:t>reduction</m:t>
                </m:r>
              </m:e>
            </m:mr>
          </m:m>
          <m:r>
            <w:rPr>
              <w:rFonts w:ascii="Cambria Math" w:hAnsi="Cambria Math"/>
              <w:snapToGrid w:val="0"/>
              <w:sz w:val="22"/>
            </w:rPr>
            <m:t xml:space="preserve"> = </m:t>
          </m:r>
          <m:m>
            <m:mPr>
              <m:mcs>
                <m:mc>
                  <m:mcPr>
                    <m:count m:val="1"/>
                    <m:mcJc m:val="center"/>
                  </m:mcPr>
                </m:mc>
              </m:mcs>
              <m:ctrlPr>
                <w:rPr>
                  <w:rFonts w:ascii="Cambria Math" w:hAnsi="Cambria Math"/>
                  <w:i/>
                  <w:noProof w:val="0"/>
                  <w:snapToGrid w:val="0"/>
                  <w:sz w:val="22"/>
                </w:rPr>
              </m:ctrlPr>
            </m:mPr>
            <m:mr>
              <m:e>
                <m:r>
                  <m:rPr>
                    <m:sty m:val="p"/>
                  </m:rPr>
                  <w:rPr>
                    <w:rFonts w:ascii="Cambria Math" w:hAnsi="Cambria Math"/>
                    <w:snapToGrid w:val="0"/>
                    <w:sz w:val="22"/>
                  </w:rPr>
                  <m:t>Period of imprisonment</m:t>
                </m:r>
              </m:e>
            </m:mr>
            <m:mr>
              <m:e>
                <m:r>
                  <m:rPr>
                    <m:sty m:val="p"/>
                  </m:rPr>
                  <w:rPr>
                    <w:rFonts w:ascii="Cambria Math" w:hAnsi="Cambria Math"/>
                    <w:snapToGrid w:val="0"/>
                    <w:sz w:val="22"/>
                  </w:rPr>
                  <m:t>(in days)</m:t>
                </m:r>
              </m:e>
            </m:mr>
          </m:m>
          <m:r>
            <w:rPr>
              <w:rFonts w:ascii="Cambria Math" w:hAnsi="Cambria Math"/>
              <w:snapToGrid w:val="0"/>
              <w:sz w:val="22"/>
            </w:rPr>
            <m:t xml:space="preserve"> × </m:t>
          </m:r>
          <m:f>
            <m:fPr>
              <m:ctrlPr>
                <w:rPr>
                  <w:rFonts w:ascii="Cambria Math" w:hAnsi="Cambria Math"/>
                  <w:i/>
                  <w:noProof w:val="0"/>
                  <w:snapToGrid w:val="0"/>
                  <w:sz w:val="22"/>
                </w:rPr>
              </m:ctrlPr>
            </m:fPr>
            <m:num>
              <m:r>
                <m:rPr>
                  <m:sty m:val="p"/>
                </m:rPr>
                <w:rPr>
                  <w:rFonts w:ascii="Cambria Math" w:hAnsi="Cambria Math"/>
                  <w:snapToGrid w:val="0"/>
                  <w:sz w:val="22"/>
                </w:rPr>
                <m:t>Part payment</m:t>
              </m:r>
            </m:num>
            <m:den>
              <m:r>
                <m:rPr>
                  <m:sty m:val="p"/>
                </m:rPr>
                <w:rPr>
                  <w:rFonts w:ascii="Cambria Math" w:hAnsi="Cambria Math"/>
                  <w:snapToGrid w:val="0"/>
                  <w:sz w:val="22"/>
                </w:rPr>
                <m:t>Fine</m:t>
              </m:r>
            </m:den>
          </m:f>
        </m:oMath>
      </m:oMathPara>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spacing w:before="60"/>
        <w:rPr>
          <w:snapToGrid w:val="0"/>
          <w:sz w:val="22"/>
          <w:szCs w:val="22"/>
        </w:rPr>
      </w:pPr>
      <m:oMathPara>
        <m:oMath>
          <m:r>
            <m:rPr>
              <m:sty m:val="p"/>
            </m:rPr>
            <w:rPr>
              <w:rFonts w:ascii="Cambria Math" w:hAnsi="Cambria Math"/>
              <w:snapToGrid w:val="0"/>
              <w:sz w:val="22"/>
              <w:szCs w:val="22"/>
            </w:rPr>
            <m:t xml:space="preserve">Amount of reduction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f>
            <m:fPr>
              <m:ctrlPr>
                <w:rPr>
                  <w:rFonts w:ascii="Cambria Math" w:hAnsi="Cambria Math"/>
                  <w:i/>
                  <w:noProof w:val="0"/>
                  <w:snapToGrid w:val="0"/>
                  <w:sz w:val="22"/>
                  <w:szCs w:val="22"/>
                </w:rPr>
              </m:ctrlPr>
            </m:fPr>
            <m:num>
              <m:r>
                <m:rPr>
                  <m:sty m:val="p"/>
                </m:rPr>
                <w:rPr>
                  <w:rFonts w:ascii="Cambria Math" w:hAnsi="Cambria Math"/>
                  <w:snapToGrid w:val="0"/>
                  <w:sz w:val="22"/>
                  <w:szCs w:val="22"/>
                </w:rPr>
                <m:t>Fine</m:t>
              </m:r>
            </m:num>
            <m:den>
              <m:r>
                <m:rPr>
                  <m:sty m:val="p"/>
                </m:rPr>
                <w:rPr>
                  <w:rFonts w:ascii="Cambria Math" w:hAnsi="Cambria Math"/>
                  <w:snapToGrid w:val="0"/>
                  <w:sz w:val="22"/>
                  <w:szCs w:val="22"/>
                </w:rPr>
                <m:t>Period of imprisonment</m:t>
              </m:r>
            </m:den>
          </m:f>
        </m:oMath>
      </m:oMathPara>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No. 3 of 2008 s. 18.]</w:t>
      </w:r>
    </w:p>
    <w:p>
      <w:pPr>
        <w:pStyle w:val="Heading5"/>
        <w:rPr>
          <w:snapToGrid w:val="0"/>
        </w:rPr>
      </w:pPr>
      <w:bookmarkStart w:id="192" w:name="_Toc45288671"/>
      <w:r>
        <w:rPr>
          <w:rStyle w:val="CharSectno"/>
        </w:rPr>
        <w:t>60</w:t>
      </w:r>
      <w:r>
        <w:rPr>
          <w:snapToGrid w:val="0"/>
        </w:rPr>
        <w:t>.</w:t>
      </w:r>
      <w:r>
        <w:rPr>
          <w:snapToGrid w:val="0"/>
        </w:rPr>
        <w:tab/>
        <w:t>Application of fine etc.</w:t>
      </w:r>
      <w:bookmarkEnd w:id="192"/>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No. 29 of 1998 s. 18; No. 41 of 2006 s. 79; No. 77 of 2006 s. 4</w:t>
      </w:r>
      <w:r>
        <w:rPr>
          <w:spacing w:val="-4"/>
        </w:rPr>
        <w:t>; No. 47 of 2011 s.</w:t>
      </w:r>
      <w:r>
        <w:t> 26(3).]</w:t>
      </w:r>
    </w:p>
    <w:p>
      <w:pPr>
        <w:pStyle w:val="Heading2"/>
      </w:pPr>
      <w:bookmarkStart w:id="193" w:name="_Toc45283065"/>
      <w:bookmarkStart w:id="194" w:name="_Toc45283355"/>
      <w:bookmarkStart w:id="195" w:name="_Toc45287042"/>
      <w:bookmarkStart w:id="196" w:name="_Toc45288199"/>
      <w:bookmarkStart w:id="197" w:name="_Toc45288672"/>
      <w:r>
        <w:rPr>
          <w:rStyle w:val="CharPartNo"/>
        </w:rPr>
        <w:t>Part 8A</w:t>
      </w:r>
      <w:r>
        <w:t> — </w:t>
      </w:r>
      <w:r>
        <w:rPr>
          <w:rStyle w:val="CharPartText"/>
        </w:rPr>
        <w:t>Suspended fine</w:t>
      </w:r>
      <w:bookmarkEnd w:id="193"/>
      <w:bookmarkEnd w:id="194"/>
      <w:bookmarkEnd w:id="195"/>
      <w:bookmarkEnd w:id="196"/>
      <w:bookmarkEnd w:id="197"/>
    </w:p>
    <w:p>
      <w:pPr>
        <w:pStyle w:val="Footnoteheading"/>
      </w:pPr>
      <w:r>
        <w:tab/>
        <w:t>[Heading inserted: No. 45 of 2016 s. 52.]</w:t>
      </w:r>
    </w:p>
    <w:p>
      <w:pPr>
        <w:pStyle w:val="Heading5"/>
      </w:pPr>
      <w:bookmarkStart w:id="198" w:name="_Toc45288673"/>
      <w:r>
        <w:rPr>
          <w:rStyle w:val="CharSectno"/>
        </w:rPr>
        <w:t>60A</w:t>
      </w:r>
      <w:r>
        <w:t>.</w:t>
      </w:r>
      <w:r>
        <w:tab/>
        <w:t>When fine may be suspended</w:t>
      </w:r>
      <w:bookmarkEnd w:id="198"/>
    </w:p>
    <w:p>
      <w:pPr>
        <w:pStyle w:val="Subsection"/>
      </w:pPr>
      <w:r>
        <w:tab/>
        <w:t>(1)</w:t>
      </w:r>
      <w:r>
        <w:tab/>
        <w:t>A court that sentences an offender to a fine may order that the fine be suspended for a period set by the court that is not to be more than 24 months.</w:t>
      </w:r>
    </w:p>
    <w:p>
      <w:pPr>
        <w:pStyle w:val="Subsection"/>
      </w:pPr>
      <w:r>
        <w:tab/>
        <w:t>(2)</w:t>
      </w:r>
      <w:r>
        <w:tab/>
        <w:t>A suspended fine is not to be imposed unless a fine equal to that suspended would, if it were not possible to suspend the fine, be appropriate in all the circumstances.</w:t>
      </w:r>
    </w:p>
    <w:p>
      <w:pPr>
        <w:pStyle w:val="Footnotesection"/>
      </w:pPr>
      <w:r>
        <w:tab/>
        <w:t>[Section 60A inserted: No. 45 of 2016 s. 52.]</w:t>
      </w:r>
    </w:p>
    <w:p>
      <w:pPr>
        <w:pStyle w:val="Heading5"/>
      </w:pPr>
      <w:bookmarkStart w:id="199" w:name="_Toc45288674"/>
      <w:r>
        <w:rPr>
          <w:rStyle w:val="CharSectno"/>
        </w:rPr>
        <w:t>60B</w:t>
      </w:r>
      <w:r>
        <w:t>.</w:t>
      </w:r>
      <w:r>
        <w:tab/>
        <w:t>Effect of suspending fine</w:t>
      </w:r>
      <w:bookmarkEnd w:id="199"/>
    </w:p>
    <w:p>
      <w:pPr>
        <w:pStyle w:val="Subsection"/>
      </w:pPr>
      <w:r>
        <w:tab/>
        <w:t>(1)</w:t>
      </w:r>
      <w:r>
        <w:tab/>
        <w:t>An offender sentenced to a suspended fine is not to pay any part of the fine that is suspended unless —</w:t>
      </w:r>
    </w:p>
    <w:p>
      <w:pPr>
        <w:pStyle w:val="Indenta"/>
      </w:pPr>
      <w:r>
        <w:tab/>
        <w:t>(a)</w:t>
      </w:r>
      <w:r>
        <w:tab/>
        <w:t>during the suspension period the offender commits an offence (in this State or elsewhere); and</w:t>
      </w:r>
    </w:p>
    <w:p>
      <w:pPr>
        <w:pStyle w:val="Indenta"/>
      </w:pPr>
      <w:r>
        <w:tab/>
        <w:t>(b)</w:t>
      </w:r>
      <w:r>
        <w:tab/>
        <w:t>a court makes an order under section 60E.</w:t>
      </w:r>
    </w:p>
    <w:p>
      <w:pPr>
        <w:pStyle w:val="Subsection"/>
      </w:pPr>
      <w:r>
        <w:tab/>
        <w:t>(2)</w:t>
      </w:r>
      <w:r>
        <w:tab/>
        <w:t>The suspension period begins on the day on which the sentence is imposed.</w:t>
      </w:r>
    </w:p>
    <w:p>
      <w:pPr>
        <w:pStyle w:val="Subsection"/>
      </w:pPr>
      <w:r>
        <w:tab/>
        <w:t>(3)</w:t>
      </w:r>
      <w:r>
        <w:tab/>
        <w:t>An offender who is sentenced to a suspended fine is to be taken to be discharged from the sentence at the end of the suspension period.</w:t>
      </w:r>
    </w:p>
    <w:p>
      <w:pPr>
        <w:pStyle w:val="Subsection"/>
      </w:pPr>
      <w:r>
        <w:tab/>
        <w:t>(4)</w:t>
      </w:r>
      <w:r>
        <w:tab/>
        <w:t>Subsection (3) does not affect the operation of subsection (1) or section 60C or 60E.</w:t>
      </w:r>
    </w:p>
    <w:p>
      <w:pPr>
        <w:pStyle w:val="Footnotesection"/>
      </w:pPr>
      <w:r>
        <w:tab/>
        <w:t>[Section 60B inserted: No. 45 of 2016 s. 52.]</w:t>
      </w:r>
    </w:p>
    <w:p>
      <w:pPr>
        <w:pStyle w:val="Heading5"/>
      </w:pPr>
      <w:bookmarkStart w:id="200" w:name="_Toc45288675"/>
      <w:r>
        <w:rPr>
          <w:rStyle w:val="CharSectno"/>
        </w:rPr>
        <w:t>60C</w:t>
      </w:r>
      <w:r>
        <w:t>.</w:t>
      </w:r>
      <w:r>
        <w:tab/>
        <w:t>Re</w:t>
      </w:r>
      <w:r>
        <w:noBreakHyphen/>
        <w:t>offender may be dealt with or committed</w:t>
      </w:r>
      <w:bookmarkEnd w:id="200"/>
    </w:p>
    <w:p>
      <w:pPr>
        <w:pStyle w:val="Subsection"/>
        <w:keepNext/>
      </w:pPr>
      <w:r>
        <w:tab/>
        <w:t>(1)</w:t>
      </w:r>
      <w:r>
        <w:tab/>
        <w:t>If a court convicts a person of an offence and that offence was committed during the suspension period of a suspended fine imposed on the person in relation to another offence, the court —</w:t>
      </w:r>
    </w:p>
    <w:p>
      <w:pPr>
        <w:pStyle w:val="Indenta"/>
      </w:pPr>
      <w:r>
        <w:tab/>
        <w:t>(a)</w:t>
      </w:r>
      <w:r>
        <w:tab/>
        <w:t>if it is the Magistrates Court or the Children’s Court, must deal with the person under section 60E unless the suspended fine was imposed —</w:t>
      </w:r>
    </w:p>
    <w:p>
      <w:pPr>
        <w:pStyle w:val="Indenti"/>
      </w:pPr>
      <w:r>
        <w:tab/>
        <w:t>(i)</w:t>
      </w:r>
      <w:r>
        <w:tab/>
        <w:t>by the Magistrates Court or the Children’s Court for an indictable offence; or</w:t>
      </w:r>
    </w:p>
    <w:p>
      <w:pPr>
        <w:pStyle w:val="Indenti"/>
      </w:pPr>
      <w:r>
        <w:tab/>
        <w:t>(ii)</w:t>
      </w:r>
      <w:r>
        <w:tab/>
        <w:t>by a superior court,</w:t>
      </w:r>
    </w:p>
    <w:p>
      <w:pPr>
        <w:pStyle w:val="Indenta"/>
      </w:pPr>
      <w:r>
        <w:tab/>
      </w:r>
      <w:r>
        <w:tab/>
        <w:t>in which case the court must commit the person to the court that imposed the suspended fine and that court must deal with the person under section 60E; or</w:t>
      </w:r>
    </w:p>
    <w:p>
      <w:pPr>
        <w:pStyle w:val="Indenta"/>
      </w:pPr>
      <w:r>
        <w:tab/>
        <w:t>(b)</w:t>
      </w:r>
      <w:r>
        <w:tab/>
        <w:t>if it is the District Court, must deal with the person under section 60E unless the suspended fine was imposed by the Children’s Court or the Supreme Court for an offence which the District Court would not have jurisdiction to deal with if it were committed by an adult, in which case the court must commit the person to the court that imposed the suspended fine and that court must deal with the person under section 60E; or</w:t>
      </w:r>
    </w:p>
    <w:p>
      <w:pPr>
        <w:pStyle w:val="Indenta"/>
      </w:pPr>
      <w:r>
        <w:tab/>
        <w:t>(c)</w:t>
      </w:r>
      <w:r>
        <w:tab/>
        <w:t>if it is the Supreme Court, must deal with the person under section 60E.</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60C inserted: No. 45 of 2016 s. 52.]</w:t>
      </w:r>
    </w:p>
    <w:p>
      <w:pPr>
        <w:pStyle w:val="Heading5"/>
      </w:pPr>
      <w:bookmarkStart w:id="201" w:name="_Toc45288676"/>
      <w:r>
        <w:rPr>
          <w:rStyle w:val="CharSectno"/>
        </w:rPr>
        <w:t>60D</w:t>
      </w:r>
      <w:r>
        <w:t>.</w:t>
      </w:r>
      <w:r>
        <w:tab/>
        <w:t>Alleging re</w:t>
      </w:r>
      <w:r>
        <w:noBreakHyphen/>
        <w:t>offending in court</w:t>
      </w:r>
      <w:bookmarkEnd w:id="201"/>
    </w:p>
    <w:p>
      <w:pPr>
        <w:pStyle w:val="Subsection"/>
        <w:keepNext/>
      </w:pPr>
      <w:r>
        <w:tab/>
        <w:t>(1)</w:t>
      </w:r>
      <w:r>
        <w:tab/>
        <w:t>If —</w:t>
      </w:r>
    </w:p>
    <w:p>
      <w:pPr>
        <w:pStyle w:val="Indenta"/>
      </w:pPr>
      <w:r>
        <w:tab/>
        <w:t>(a)</w:t>
      </w:r>
      <w:r>
        <w:tab/>
        <w:t xml:space="preserve">a person (the </w:t>
      </w:r>
      <w:r>
        <w:rPr>
          <w:rStyle w:val="CharDefText"/>
        </w:rPr>
        <w:t>offender</w:t>
      </w:r>
      <w:r>
        <w:t>) has been convicted and dealt with (in this State or elsewhere) for an offence; and</w:t>
      </w:r>
    </w:p>
    <w:p>
      <w:pPr>
        <w:pStyle w:val="Indenta"/>
      </w:pPr>
      <w:r>
        <w:tab/>
        <w:t>(b)</w:t>
      </w:r>
      <w:r>
        <w:tab/>
        <w:t>that offence was committed during the suspension period of a suspended fine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a police officer or another person referred to in the </w:t>
      </w:r>
      <w:r>
        <w:rPr>
          <w:i/>
        </w:rPr>
        <w:t>Criminal Procedure Act 2004</w:t>
      </w:r>
      <w:r>
        <w:t xml:space="preserve"> section 20(3).</w:t>
      </w:r>
    </w:p>
    <w:p>
      <w:pPr>
        <w:pStyle w:val="Subsection"/>
      </w:pPr>
      <w:r>
        <w:tab/>
        <w:t>(4)</w:t>
      </w:r>
      <w:r>
        <w:tab/>
        <w:t xml:space="preserve">The notice must be in a prescribed form and be signed in the presence of a JP or a prescribed court officer (as defined in the </w:t>
      </w:r>
      <w:r>
        <w:rPr>
          <w:i/>
        </w:rPr>
        <w:t>Criminal Procedure Act 2004</w:t>
      </w:r>
      <w:r>
        <w:t xml:space="preserve"> section 3(1)) who may issue a summons to the offender.</w:t>
      </w:r>
    </w:p>
    <w:p>
      <w:pPr>
        <w:pStyle w:val="Subsection"/>
      </w:pPr>
      <w:r>
        <w:tab/>
        <w:t>(5)</w:t>
      </w:r>
      <w:r>
        <w:tab/>
        <w:t>The notice must be lodged with, and the summons must direct the offender to appear before, the court that imposed the suspended fine.</w:t>
      </w:r>
    </w:p>
    <w:p>
      <w:pPr>
        <w:pStyle w:val="Subsection"/>
      </w:pPr>
      <w:r>
        <w:tab/>
        <w:t>(6)</w:t>
      </w:r>
      <w:r>
        <w:tab/>
        <w:t xml:space="preserve">The </w:t>
      </w:r>
      <w:r>
        <w:rPr>
          <w:i/>
        </w:rPr>
        <w:t>Criminal Procedure Act 2004</w:t>
      </w:r>
      <w:r>
        <w:t xml:space="preserve"> section 32, with any necessary changes, applies to and in respect of a summons issued under this section.</w:t>
      </w:r>
    </w:p>
    <w:p>
      <w:pPr>
        <w:pStyle w:val="Subsection"/>
      </w:pPr>
      <w:r>
        <w:tab/>
        <w:t>(7)</w:t>
      </w:r>
      <w:r>
        <w:tab/>
        <w:t>An offender who appears before a court as a result of a summons issued under this section must be dealt with by the court under section 60E.</w:t>
      </w:r>
    </w:p>
    <w:p>
      <w:pPr>
        <w:pStyle w:val="Footnotesection"/>
      </w:pPr>
      <w:r>
        <w:tab/>
        <w:t>[Section 60D inserted: No. 45 of 2016 s. 52.]</w:t>
      </w:r>
    </w:p>
    <w:p>
      <w:pPr>
        <w:pStyle w:val="Heading5"/>
      </w:pPr>
      <w:bookmarkStart w:id="202" w:name="_Toc45288677"/>
      <w:r>
        <w:rPr>
          <w:rStyle w:val="CharSectno"/>
        </w:rPr>
        <w:t>60E</w:t>
      </w:r>
      <w:r>
        <w:t>.</w:t>
      </w:r>
      <w:r>
        <w:tab/>
        <w:t>How re</w:t>
      </w:r>
      <w:r>
        <w:noBreakHyphen/>
        <w:t>offender to be dealt with</w:t>
      </w:r>
      <w:bookmarkEnd w:id="202"/>
    </w:p>
    <w:p>
      <w:pPr>
        <w:pStyle w:val="Subsection"/>
      </w:pPr>
      <w:r>
        <w:tab/>
        <w:t>(1)</w:t>
      </w:r>
      <w:r>
        <w:tab/>
        <w:t xml:space="preserve">If satisfied that a person has been convicted (in this State or elsewhere) of an offence and that the offence was committed during the suspension period of a suspended fine, a court that must deal with the person under this section must deal with the person by one of these methods — </w:t>
      </w:r>
    </w:p>
    <w:p>
      <w:pPr>
        <w:pStyle w:val="Indenta"/>
      </w:pPr>
      <w:r>
        <w:tab/>
        <w:t>(a)</w:t>
      </w:r>
      <w:r>
        <w:tab/>
        <w:t>unless an order under this paragraph or paragraph (b) has already been made, it may order the person to pay the fine that was suspended;</w:t>
      </w:r>
    </w:p>
    <w:p>
      <w:pPr>
        <w:pStyle w:val="Indenta"/>
      </w:pPr>
      <w:r>
        <w:tab/>
        <w:t>(b)</w:t>
      </w:r>
      <w:r>
        <w:tab/>
        <w:t>unless an order under paragraph (a) has already been made, it may order the person to pay part of the fine that was suspended;</w:t>
      </w:r>
    </w:p>
    <w:p>
      <w:pPr>
        <w:pStyle w:val="Indenta"/>
      </w:pPr>
      <w:r>
        <w:tab/>
        <w:t>(c)</w:t>
      </w:r>
      <w:r>
        <w:tab/>
        <w:t>unless the suspension period has ended, it may substitute another suspension period of not more than 24 months for the suspension period originally set, and the new suspension period is to begin on the day it is substituted;</w:t>
      </w:r>
    </w:p>
    <w:p>
      <w:pPr>
        <w:pStyle w:val="Indenta"/>
      </w:pPr>
      <w:r>
        <w:tab/>
        <w:t>(d)</w:t>
      </w:r>
      <w:r>
        <w:tab/>
        <w:t>it may make no order in respect of the suspended fine.</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suspended fine was imposed.</w:t>
      </w:r>
    </w:p>
    <w:p>
      <w:pPr>
        <w:pStyle w:val="Subsection"/>
      </w:pPr>
      <w:r>
        <w:tab/>
        <w:t>(4)</w:t>
      </w:r>
      <w:r>
        <w:tab/>
        <w:t>If a court does not make an order under subsection (1)(a), it must give written reasons for not doing so.</w:t>
      </w:r>
    </w:p>
    <w:p>
      <w:pPr>
        <w:pStyle w:val="Subsection"/>
      </w:pPr>
      <w:r>
        <w:tab/>
        <w:t>(5)</w:t>
      </w:r>
      <w:r>
        <w:tab/>
        <w:t>If a court deals with a person under subsection (1)(d), then, unless the suspension period has ended, the sentence of a suspended fine remains in effect and the suspension period continues to elapse.</w:t>
      </w:r>
    </w:p>
    <w:p>
      <w:pPr>
        <w:pStyle w:val="Subsection"/>
      </w:pPr>
      <w:r>
        <w:tab/>
        <w:t>(6)</w:t>
      </w:r>
      <w:r>
        <w:tab/>
        <w:t>An order by a superior court under subsection (1) in a case where the sentence of a suspended fine was imposed for an offence for which the person had not been convicted on indictment is to be taken, for the purposes of an appeal against the sentence, as being made following a conviction on indictment.</w:t>
      </w:r>
    </w:p>
    <w:p>
      <w:pPr>
        <w:pStyle w:val="Footnotesection"/>
      </w:pPr>
      <w:r>
        <w:tab/>
        <w:t>[Section 60E inserted: No. 45 of 2016 s. 52.]</w:t>
      </w:r>
    </w:p>
    <w:p>
      <w:pPr>
        <w:pStyle w:val="Heading2"/>
      </w:pPr>
      <w:bookmarkStart w:id="203" w:name="_Toc45283071"/>
      <w:bookmarkStart w:id="204" w:name="_Toc45283361"/>
      <w:bookmarkStart w:id="205" w:name="_Toc45287048"/>
      <w:bookmarkStart w:id="206" w:name="_Toc45288205"/>
      <w:bookmarkStart w:id="207" w:name="_Toc45288678"/>
      <w:r>
        <w:rPr>
          <w:rStyle w:val="CharPartNo"/>
        </w:rPr>
        <w:t>Part 9</w:t>
      </w:r>
      <w:r>
        <w:rPr>
          <w:rStyle w:val="CharDivNo"/>
        </w:rPr>
        <w:t> </w:t>
      </w:r>
      <w:r>
        <w:t>—</w:t>
      </w:r>
      <w:r>
        <w:rPr>
          <w:rStyle w:val="CharDivText"/>
        </w:rPr>
        <w:t> </w:t>
      </w:r>
      <w:r>
        <w:rPr>
          <w:rStyle w:val="CharPartText"/>
        </w:rPr>
        <w:t>Community based order</w:t>
      </w:r>
      <w:bookmarkEnd w:id="203"/>
      <w:bookmarkEnd w:id="204"/>
      <w:bookmarkEnd w:id="205"/>
      <w:bookmarkEnd w:id="206"/>
      <w:bookmarkEnd w:id="207"/>
    </w:p>
    <w:p>
      <w:pPr>
        <w:pStyle w:val="Heading5"/>
        <w:rPr>
          <w:snapToGrid w:val="0"/>
        </w:rPr>
      </w:pPr>
      <w:bookmarkStart w:id="208" w:name="_Toc45288679"/>
      <w:r>
        <w:rPr>
          <w:rStyle w:val="CharSectno"/>
        </w:rPr>
        <w:t>61</w:t>
      </w:r>
      <w:r>
        <w:rPr>
          <w:snapToGrid w:val="0"/>
        </w:rPr>
        <w:t>.</w:t>
      </w:r>
      <w:r>
        <w:rPr>
          <w:snapToGrid w:val="0"/>
        </w:rPr>
        <w:tab/>
        <w:t>Pre</w:t>
      </w:r>
      <w:r>
        <w:rPr>
          <w:snapToGrid w:val="0"/>
        </w:rPr>
        <w:noBreakHyphen/>
        <w:t>sentence report optional before imposing CBO</w:t>
      </w:r>
      <w:bookmarkEnd w:id="208"/>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209" w:name="_Toc45288680"/>
      <w:r>
        <w:rPr>
          <w:rStyle w:val="CharSectno"/>
        </w:rPr>
        <w:t>62</w:t>
      </w:r>
      <w:r>
        <w:rPr>
          <w:snapToGrid w:val="0"/>
        </w:rPr>
        <w:t>.</w:t>
      </w:r>
      <w:r>
        <w:rPr>
          <w:snapToGrid w:val="0"/>
        </w:rPr>
        <w:tab/>
        <w:t>CBO, nature of</w:t>
      </w:r>
      <w:bookmarkEnd w:id="209"/>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210" w:name="_Toc45288681"/>
      <w:r>
        <w:rPr>
          <w:rStyle w:val="CharSectno"/>
        </w:rPr>
        <w:t>63</w:t>
      </w:r>
      <w:r>
        <w:rPr>
          <w:snapToGrid w:val="0"/>
        </w:rPr>
        <w:t>.</w:t>
      </w:r>
      <w:r>
        <w:rPr>
          <w:snapToGrid w:val="0"/>
        </w:rPr>
        <w:tab/>
        <w:t>CBO, standard obligations of</w:t>
      </w:r>
      <w:bookmarkEnd w:id="210"/>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211" w:name="_Toc45288682"/>
      <w:r>
        <w:rPr>
          <w:rStyle w:val="CharSectno"/>
        </w:rPr>
        <w:t>64</w:t>
      </w:r>
      <w:r>
        <w:rPr>
          <w:snapToGrid w:val="0"/>
        </w:rPr>
        <w:t>.</w:t>
      </w:r>
      <w:r>
        <w:rPr>
          <w:snapToGrid w:val="0"/>
        </w:rPr>
        <w:tab/>
        <w:t>CBO, primary requirements of</w:t>
      </w:r>
      <w:bookmarkEnd w:id="211"/>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212" w:name="_Toc45288683"/>
      <w:r>
        <w:rPr>
          <w:rStyle w:val="CharSectno"/>
        </w:rPr>
        <w:t>65</w:t>
      </w:r>
      <w:r>
        <w:rPr>
          <w:snapToGrid w:val="0"/>
        </w:rPr>
        <w:t>.</w:t>
      </w:r>
      <w:r>
        <w:rPr>
          <w:snapToGrid w:val="0"/>
        </w:rPr>
        <w:tab/>
        <w:t>Supervision requirement</w:t>
      </w:r>
      <w:bookmarkEnd w:id="212"/>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213" w:name="_Toc45288684"/>
      <w:r>
        <w:rPr>
          <w:rStyle w:val="CharSectno"/>
        </w:rPr>
        <w:t>66</w:t>
      </w:r>
      <w:r>
        <w:rPr>
          <w:snapToGrid w:val="0"/>
        </w:rPr>
        <w:t>.</w:t>
      </w:r>
      <w:r>
        <w:rPr>
          <w:snapToGrid w:val="0"/>
        </w:rPr>
        <w:tab/>
        <w:t>Programme requirement</w:t>
      </w:r>
      <w:bookmarkEnd w:id="213"/>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No. 50 of 2003 s. 7; No. 27 of 2004 s. 6(4)</w:t>
      </w:r>
      <w:r>
        <w:rPr>
          <w:spacing w:val="-4"/>
        </w:rPr>
        <w:t>; No. 47 of 2011 s.</w:t>
      </w:r>
      <w:r>
        <w:t> 26(3).]</w:t>
      </w:r>
    </w:p>
    <w:p>
      <w:pPr>
        <w:pStyle w:val="Heading5"/>
        <w:rPr>
          <w:snapToGrid w:val="0"/>
        </w:rPr>
      </w:pPr>
      <w:bookmarkStart w:id="214" w:name="_Toc45288685"/>
      <w:r>
        <w:rPr>
          <w:rStyle w:val="CharSectno"/>
        </w:rPr>
        <w:t>67</w:t>
      </w:r>
      <w:r>
        <w:rPr>
          <w:snapToGrid w:val="0"/>
        </w:rPr>
        <w:t>.</w:t>
      </w:r>
      <w:r>
        <w:rPr>
          <w:snapToGrid w:val="0"/>
        </w:rPr>
        <w:tab/>
        <w:t>Community service requirement</w:t>
      </w:r>
      <w:bookmarkEnd w:id="214"/>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215" w:name="_Toc45283079"/>
      <w:bookmarkStart w:id="216" w:name="_Toc45283369"/>
      <w:bookmarkStart w:id="217" w:name="_Toc45287056"/>
      <w:bookmarkStart w:id="218" w:name="_Toc45288213"/>
      <w:bookmarkStart w:id="219" w:name="_Toc45288686"/>
      <w:r>
        <w:rPr>
          <w:rStyle w:val="CharPartNo"/>
        </w:rPr>
        <w:t>Part 10</w:t>
      </w:r>
      <w:r>
        <w:rPr>
          <w:rStyle w:val="CharDivNo"/>
        </w:rPr>
        <w:t> </w:t>
      </w:r>
      <w:r>
        <w:t>—</w:t>
      </w:r>
      <w:r>
        <w:rPr>
          <w:rStyle w:val="CharDivText"/>
        </w:rPr>
        <w:t> </w:t>
      </w:r>
      <w:r>
        <w:rPr>
          <w:rStyle w:val="CharPartText"/>
        </w:rPr>
        <w:t>Intensive supervision order</w:t>
      </w:r>
      <w:bookmarkEnd w:id="215"/>
      <w:bookmarkEnd w:id="216"/>
      <w:bookmarkEnd w:id="217"/>
      <w:bookmarkEnd w:id="218"/>
      <w:bookmarkEnd w:id="219"/>
    </w:p>
    <w:p>
      <w:pPr>
        <w:pStyle w:val="Heading5"/>
        <w:rPr>
          <w:snapToGrid w:val="0"/>
        </w:rPr>
      </w:pPr>
      <w:bookmarkStart w:id="220" w:name="_Toc45288687"/>
      <w:r>
        <w:rPr>
          <w:rStyle w:val="CharSectno"/>
        </w:rPr>
        <w:t>68</w:t>
      </w:r>
      <w:r>
        <w:rPr>
          <w:snapToGrid w:val="0"/>
        </w:rPr>
        <w:t>.</w:t>
      </w:r>
      <w:r>
        <w:rPr>
          <w:snapToGrid w:val="0"/>
        </w:rPr>
        <w:tab/>
        <w:t>Pre</w:t>
      </w:r>
      <w:r>
        <w:rPr>
          <w:snapToGrid w:val="0"/>
        </w:rPr>
        <w:noBreakHyphen/>
        <w:t>sentence report mandatory before imposing ISO</w:t>
      </w:r>
      <w:bookmarkEnd w:id="220"/>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221" w:name="_Toc45288688"/>
      <w:r>
        <w:rPr>
          <w:rStyle w:val="CharSectno"/>
        </w:rPr>
        <w:t>69</w:t>
      </w:r>
      <w:r>
        <w:rPr>
          <w:snapToGrid w:val="0"/>
        </w:rPr>
        <w:t>.</w:t>
      </w:r>
      <w:r>
        <w:rPr>
          <w:snapToGrid w:val="0"/>
        </w:rPr>
        <w:tab/>
        <w:t>ISO, nature of</w:t>
      </w:r>
      <w:bookmarkEnd w:id="221"/>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222" w:name="_Toc45288689"/>
      <w:r>
        <w:rPr>
          <w:rStyle w:val="CharSectno"/>
        </w:rPr>
        <w:t>70</w:t>
      </w:r>
      <w:r>
        <w:rPr>
          <w:snapToGrid w:val="0"/>
        </w:rPr>
        <w:t>.</w:t>
      </w:r>
      <w:r>
        <w:rPr>
          <w:snapToGrid w:val="0"/>
        </w:rPr>
        <w:tab/>
        <w:t>ISO, standard obligations of</w:t>
      </w:r>
      <w:bookmarkEnd w:id="222"/>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223" w:name="_Toc45288690"/>
      <w:r>
        <w:rPr>
          <w:rStyle w:val="CharSectno"/>
        </w:rPr>
        <w:t>71</w:t>
      </w:r>
      <w:r>
        <w:rPr>
          <w:snapToGrid w:val="0"/>
        </w:rPr>
        <w:t>.</w:t>
      </w:r>
      <w:r>
        <w:rPr>
          <w:snapToGrid w:val="0"/>
        </w:rPr>
        <w:tab/>
        <w:t>Supervision requirement</w:t>
      </w:r>
      <w:bookmarkEnd w:id="223"/>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224" w:name="_Toc45288691"/>
      <w:r>
        <w:rPr>
          <w:rStyle w:val="CharSectno"/>
        </w:rPr>
        <w:t>72</w:t>
      </w:r>
      <w:r>
        <w:rPr>
          <w:snapToGrid w:val="0"/>
        </w:rPr>
        <w:t>.</w:t>
      </w:r>
      <w:r>
        <w:rPr>
          <w:snapToGrid w:val="0"/>
        </w:rPr>
        <w:tab/>
        <w:t>ISO, primary requirements of</w:t>
      </w:r>
      <w:bookmarkEnd w:id="224"/>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w:t>
      </w:r>
      <w:r>
        <w:t>75;</w:t>
      </w:r>
    </w:p>
    <w:p>
      <w:pPr>
        <w:pStyle w:val="Indenta"/>
      </w:pPr>
      <w:r>
        <w:tab/>
        <w:t>(d)</w:t>
      </w:r>
      <w:r>
        <w:tab/>
        <w:t>an electronic monitoring requirement under section 76A.</w:t>
      </w:r>
    </w:p>
    <w:p>
      <w:pPr>
        <w:pStyle w:val="Footnotesection"/>
      </w:pPr>
      <w:r>
        <w:tab/>
        <w:t>[Section 72 amended: No. 13 of 2020 s. 6.]</w:t>
      </w:r>
    </w:p>
    <w:p>
      <w:pPr>
        <w:pStyle w:val="Heading5"/>
        <w:rPr>
          <w:snapToGrid w:val="0"/>
        </w:rPr>
      </w:pPr>
      <w:bookmarkStart w:id="225" w:name="_Toc45288692"/>
      <w:r>
        <w:rPr>
          <w:rStyle w:val="CharSectno"/>
        </w:rPr>
        <w:t>73</w:t>
      </w:r>
      <w:r>
        <w:rPr>
          <w:snapToGrid w:val="0"/>
        </w:rPr>
        <w:t>.</w:t>
      </w:r>
      <w:r>
        <w:rPr>
          <w:snapToGrid w:val="0"/>
        </w:rPr>
        <w:tab/>
        <w:t>Programme requirement</w:t>
      </w:r>
      <w:bookmarkEnd w:id="225"/>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keepNext/>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No. 50 of 2003 s. 8; No. 27 of 2004 s. 6(4)</w:t>
      </w:r>
      <w:r>
        <w:rPr>
          <w:spacing w:val="-4"/>
        </w:rPr>
        <w:t>; No. 47 of 2011 s.</w:t>
      </w:r>
      <w:r>
        <w:t> 26(3).]</w:t>
      </w:r>
    </w:p>
    <w:p>
      <w:pPr>
        <w:pStyle w:val="Heading5"/>
        <w:spacing w:before="180"/>
        <w:rPr>
          <w:snapToGrid w:val="0"/>
        </w:rPr>
      </w:pPr>
      <w:bookmarkStart w:id="226" w:name="_Toc45288693"/>
      <w:r>
        <w:rPr>
          <w:rStyle w:val="CharSectno"/>
        </w:rPr>
        <w:t>74</w:t>
      </w:r>
      <w:r>
        <w:rPr>
          <w:snapToGrid w:val="0"/>
        </w:rPr>
        <w:t>.</w:t>
      </w:r>
      <w:r>
        <w:rPr>
          <w:snapToGrid w:val="0"/>
        </w:rPr>
        <w:tab/>
        <w:t>Community service requirement</w:t>
      </w:r>
      <w:bookmarkEnd w:id="226"/>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227" w:name="_Toc45288694"/>
      <w:r>
        <w:rPr>
          <w:rStyle w:val="CharSectno"/>
        </w:rPr>
        <w:t>75</w:t>
      </w:r>
      <w:r>
        <w:rPr>
          <w:snapToGrid w:val="0"/>
        </w:rPr>
        <w:t>.</w:t>
      </w:r>
      <w:r>
        <w:rPr>
          <w:snapToGrid w:val="0"/>
        </w:rPr>
        <w:tab/>
        <w:t>Curfew requirement</w:t>
      </w:r>
      <w:bookmarkEnd w:id="227"/>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(aa)</w:t>
      </w:r>
      <w:r>
        <w:tab/>
        <w:t>for the purpose of the paid employment of the offender;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No. 50 of 2003 s. 25; No. 27 of 2004 s. 6(4); No. 65 of 2006 s. 49; No. 45 of 2016 s. 67; No. 13 of 2020 s. 7.]</w:t>
      </w:r>
    </w:p>
    <w:p>
      <w:pPr>
        <w:pStyle w:val="Heading5"/>
      </w:pPr>
      <w:bookmarkStart w:id="228" w:name="_Toc45288695"/>
      <w:r>
        <w:rPr>
          <w:rStyle w:val="CharSectno"/>
        </w:rPr>
        <w:t>76A</w:t>
      </w:r>
      <w:r>
        <w:t>.</w:t>
      </w:r>
      <w:r>
        <w:tab/>
        <w:t>Electronic monitoring requirement</w:t>
      </w:r>
      <w:bookmarkEnd w:id="228"/>
    </w:p>
    <w:p>
      <w:pPr>
        <w:pStyle w:val="Subsection"/>
      </w:pPr>
      <w:r>
        <w:tab/>
        <w:t>(1)</w:t>
      </w:r>
      <w:r>
        <w:tab/>
        <w:t>The purpose of electronic monitoring under this section is to enable the location of an offender to be monitored where the offender presents a high risk to —</w:t>
      </w:r>
    </w:p>
    <w:p>
      <w:pPr>
        <w:pStyle w:val="Indenta"/>
      </w:pPr>
      <w:r>
        <w:tab/>
        <w:t>(a)</w:t>
      </w:r>
      <w:r>
        <w:tab/>
        <w:t>a person; or</w:t>
      </w:r>
    </w:p>
    <w:p>
      <w:pPr>
        <w:pStyle w:val="Indenta"/>
      </w:pPr>
      <w:r>
        <w:tab/>
        <w:t>(b)</w:t>
      </w:r>
      <w:r>
        <w:tab/>
        <w:t>a group of persons; or</w:t>
      </w:r>
    </w:p>
    <w:p>
      <w:pPr>
        <w:pStyle w:val="Indenta"/>
      </w:pPr>
      <w:r>
        <w:tab/>
        <w:t>(c)</w:t>
      </w:r>
      <w:r>
        <w:tab/>
        <w:t>the community more generally.</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(4)</w:t>
      </w:r>
      <w:r>
        <w:tab/>
        <w:t>The term of an electronic monitoring requirement must be set by the court when it imposes the requirement.</w:t>
      </w:r>
    </w:p>
    <w:p>
      <w:pPr>
        <w:pStyle w:val="Subsection"/>
      </w:pPr>
      <w:r>
        <w:tab/>
        <w:t>(5)</w:t>
      </w:r>
      <w:r>
        <w:tab/>
        <w:t>An electronic monitoring requirement ceases to be in force when its term ends, or when the ISO ceases to be in force, whichever happens first.</w:t>
      </w:r>
    </w:p>
    <w:p>
      <w:pPr>
        <w:pStyle w:val="Subsection"/>
      </w:pPr>
      <w:r>
        <w:tab/>
        <w:t>(6)</w:t>
      </w:r>
      <w:r>
        <w:tab/>
        <w:t>This section does not apply to an offender who, at the time of sentencing, is under 18 years of age.</w:t>
      </w:r>
    </w:p>
    <w:p>
      <w:pPr>
        <w:pStyle w:val="Footnotesection"/>
      </w:pPr>
      <w:r>
        <w:tab/>
        <w:t>[Section 76A inserted: No. 13 of 2020 s. 8.]</w:t>
      </w:r>
    </w:p>
    <w:p>
      <w:pPr>
        <w:pStyle w:val="Heading2"/>
      </w:pPr>
      <w:bookmarkStart w:id="229" w:name="_Toc45283089"/>
      <w:bookmarkStart w:id="230" w:name="_Toc45283379"/>
      <w:bookmarkStart w:id="231" w:name="_Toc45287066"/>
      <w:bookmarkStart w:id="232" w:name="_Toc45288223"/>
      <w:bookmarkStart w:id="233" w:name="_Toc45288696"/>
      <w:r>
        <w:rPr>
          <w:rStyle w:val="CharPartNo"/>
        </w:rPr>
        <w:t>Part 11</w:t>
      </w:r>
      <w:r>
        <w:rPr>
          <w:rStyle w:val="CharDivNo"/>
        </w:rPr>
        <w:t> </w:t>
      </w:r>
      <w:r>
        <w:t>—</w:t>
      </w:r>
      <w:r>
        <w:rPr>
          <w:rStyle w:val="CharDivText"/>
        </w:rPr>
        <w:t> </w:t>
      </w:r>
      <w:r>
        <w:rPr>
          <w:rStyle w:val="CharPartText"/>
        </w:rPr>
        <w:t>Suspended imprisonment</w:t>
      </w:r>
      <w:bookmarkEnd w:id="229"/>
      <w:bookmarkEnd w:id="230"/>
      <w:bookmarkEnd w:id="231"/>
      <w:bookmarkEnd w:id="232"/>
      <w:bookmarkEnd w:id="233"/>
    </w:p>
    <w:p>
      <w:pPr>
        <w:pStyle w:val="Heading5"/>
        <w:rPr>
          <w:snapToGrid w:val="0"/>
        </w:rPr>
      </w:pPr>
      <w:bookmarkStart w:id="234" w:name="_Toc45288697"/>
      <w:r>
        <w:rPr>
          <w:rStyle w:val="CharSectno"/>
        </w:rPr>
        <w:t>76</w:t>
      </w:r>
      <w:r>
        <w:rPr>
          <w:snapToGrid w:val="0"/>
        </w:rPr>
        <w:t>.</w:t>
      </w:r>
      <w:r>
        <w:rPr>
          <w:snapToGrid w:val="0"/>
        </w:rPr>
        <w:tab/>
        <w:t>When imprisonment may be suspended</w:t>
      </w:r>
      <w:bookmarkEnd w:id="234"/>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No. 50 of 2003 s. 15; No. 45 of 2016 s. 68.]</w:t>
      </w:r>
    </w:p>
    <w:p>
      <w:pPr>
        <w:pStyle w:val="Heading5"/>
        <w:rPr>
          <w:snapToGrid w:val="0"/>
        </w:rPr>
      </w:pPr>
      <w:bookmarkStart w:id="235" w:name="_Toc45288698"/>
      <w:r>
        <w:rPr>
          <w:rStyle w:val="CharSectno"/>
        </w:rPr>
        <w:t>77</w:t>
      </w:r>
      <w:r>
        <w:rPr>
          <w:snapToGrid w:val="0"/>
        </w:rPr>
        <w:t>.</w:t>
      </w:r>
      <w:r>
        <w:rPr>
          <w:snapToGrid w:val="0"/>
        </w:rPr>
        <w:tab/>
        <w:t>Effect of suspending imprisonment</w:t>
      </w:r>
      <w:bookmarkEnd w:id="235"/>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No. 27 of 2004 s. 6(4).]</w:t>
      </w:r>
    </w:p>
    <w:p>
      <w:pPr>
        <w:pStyle w:val="Heading5"/>
        <w:spacing w:before="240"/>
        <w:rPr>
          <w:snapToGrid w:val="0"/>
        </w:rPr>
      </w:pPr>
      <w:bookmarkStart w:id="236" w:name="_Toc45288699"/>
      <w:r>
        <w:rPr>
          <w:rStyle w:val="CharSectno"/>
        </w:rPr>
        <w:t>78</w:t>
      </w:r>
      <w:r>
        <w:rPr>
          <w:snapToGrid w:val="0"/>
        </w:rPr>
        <w:t>.</w:t>
      </w:r>
      <w:r>
        <w:rPr>
          <w:snapToGrid w:val="0"/>
        </w:rPr>
        <w:tab/>
        <w:t>Re</w:t>
      </w:r>
      <w:r>
        <w:rPr>
          <w:snapToGrid w:val="0"/>
        </w:rPr>
        <w:noBreakHyphen/>
        <w:t>offender may be dealt with or committed</w:t>
      </w:r>
      <w:bookmarkEnd w:id="236"/>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No. 59 of 2004 s. 141.]</w:t>
      </w:r>
    </w:p>
    <w:p>
      <w:pPr>
        <w:pStyle w:val="Heading5"/>
        <w:spacing w:before="180"/>
      </w:pPr>
      <w:bookmarkStart w:id="237" w:name="_Toc45288700"/>
      <w:r>
        <w:rPr>
          <w:rStyle w:val="CharSectno"/>
        </w:rPr>
        <w:t>79</w:t>
      </w:r>
      <w:r>
        <w:t>.</w:t>
      </w:r>
      <w:r>
        <w:tab/>
        <w:t>Re</w:t>
      </w:r>
      <w:r>
        <w:noBreakHyphen/>
        <w:t>offending, alleging in court</w:t>
      </w:r>
      <w:bookmarkEnd w:id="237"/>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No. 84 of 2004 s. 58; amended: No. 65 of 2006 s. 49.]</w:t>
      </w:r>
    </w:p>
    <w:p>
      <w:pPr>
        <w:pStyle w:val="Heading5"/>
        <w:spacing w:before="600"/>
        <w:rPr>
          <w:snapToGrid w:val="0"/>
        </w:rPr>
      </w:pPr>
      <w:bookmarkStart w:id="238" w:name="_Toc45288701"/>
      <w:r>
        <w:rPr>
          <w:rStyle w:val="CharSectno"/>
        </w:rPr>
        <w:t>80</w:t>
      </w:r>
      <w:r>
        <w:rPr>
          <w:snapToGrid w:val="0"/>
        </w:rPr>
        <w:t>.</w:t>
      </w:r>
      <w:r>
        <w:rPr>
          <w:snapToGrid w:val="0"/>
        </w:rPr>
        <w:tab/>
        <w:t>How re</w:t>
      </w:r>
      <w:r>
        <w:rPr>
          <w:snapToGrid w:val="0"/>
        </w:rPr>
        <w:noBreakHyphen/>
        <w:t>offender to be dealt with</w:t>
      </w:r>
      <w:bookmarkEnd w:id="238"/>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No. 57 of 1999 s. 36; No. 27 of 2004 s. 4; No. 20 of 2013 s. 128.]</w:t>
      </w:r>
    </w:p>
    <w:p>
      <w:pPr>
        <w:pStyle w:val="Heading2"/>
      </w:pPr>
      <w:bookmarkStart w:id="239" w:name="_Toc45283095"/>
      <w:bookmarkStart w:id="240" w:name="_Toc45283385"/>
      <w:bookmarkStart w:id="241" w:name="_Toc45287072"/>
      <w:bookmarkStart w:id="242" w:name="_Toc45288229"/>
      <w:bookmarkStart w:id="243" w:name="_Toc45288702"/>
      <w:r>
        <w:rPr>
          <w:rStyle w:val="CharPartNo"/>
        </w:rPr>
        <w:t>Part 12</w:t>
      </w:r>
      <w:r>
        <w:rPr>
          <w:b w:val="0"/>
        </w:rPr>
        <w:t> </w:t>
      </w:r>
      <w:r>
        <w:t>—</w:t>
      </w:r>
      <w:r>
        <w:rPr>
          <w:b w:val="0"/>
        </w:rPr>
        <w:t> </w:t>
      </w:r>
      <w:r>
        <w:rPr>
          <w:rStyle w:val="CharPartText"/>
        </w:rPr>
        <w:t>Conditional suspended imprisonment</w:t>
      </w:r>
      <w:bookmarkEnd w:id="239"/>
      <w:bookmarkEnd w:id="240"/>
      <w:bookmarkEnd w:id="241"/>
      <w:bookmarkEnd w:id="242"/>
      <w:bookmarkEnd w:id="243"/>
    </w:p>
    <w:p>
      <w:pPr>
        <w:pStyle w:val="Footnoteheading"/>
      </w:pPr>
      <w:r>
        <w:tab/>
        <w:t>[Heading inserted: No. 27 of 2004 s. 5.]</w:t>
      </w:r>
    </w:p>
    <w:p>
      <w:pPr>
        <w:pStyle w:val="Heading3"/>
      </w:pPr>
      <w:bookmarkStart w:id="244" w:name="_Toc45283096"/>
      <w:bookmarkStart w:id="245" w:name="_Toc45283386"/>
      <w:bookmarkStart w:id="246" w:name="_Toc45287073"/>
      <w:bookmarkStart w:id="247" w:name="_Toc45288230"/>
      <w:bookmarkStart w:id="248" w:name="_Toc45288703"/>
      <w:r>
        <w:rPr>
          <w:rStyle w:val="CharDivNo"/>
        </w:rPr>
        <w:t>Division 1</w:t>
      </w:r>
      <w:r>
        <w:t> — </w:t>
      </w:r>
      <w:r>
        <w:rPr>
          <w:rStyle w:val="CharDivText"/>
        </w:rPr>
        <w:t>Imposition and effect of CSI</w:t>
      </w:r>
      <w:bookmarkEnd w:id="244"/>
      <w:bookmarkEnd w:id="245"/>
      <w:bookmarkEnd w:id="246"/>
      <w:bookmarkEnd w:id="247"/>
      <w:bookmarkEnd w:id="248"/>
    </w:p>
    <w:p>
      <w:pPr>
        <w:pStyle w:val="Footnoteheading"/>
      </w:pPr>
      <w:r>
        <w:tab/>
        <w:t>[Heading inserted: No. 27 of 2004 s. 5.]</w:t>
      </w:r>
    </w:p>
    <w:p>
      <w:pPr>
        <w:pStyle w:val="Heading5"/>
      </w:pPr>
      <w:bookmarkStart w:id="249" w:name="_Toc45288704"/>
      <w:r>
        <w:rPr>
          <w:rStyle w:val="CharSectno"/>
        </w:rPr>
        <w:t>81</w:t>
      </w:r>
      <w:r>
        <w:t>.</w:t>
      </w:r>
      <w:r>
        <w:tab/>
        <w:t>Certain courts may suspend imprisonment conditionally</w:t>
      </w:r>
      <w:bookmarkEnd w:id="249"/>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No. 27 of 2004 s. 5.]</w:t>
      </w:r>
    </w:p>
    <w:p>
      <w:pPr>
        <w:pStyle w:val="Heading5"/>
        <w:tabs>
          <w:tab w:val="left" w:pos="1440"/>
          <w:tab w:val="left" w:pos="2160"/>
          <w:tab w:val="left" w:pos="2685"/>
        </w:tabs>
      </w:pPr>
      <w:bookmarkStart w:id="250" w:name="_Toc45288705"/>
      <w:r>
        <w:rPr>
          <w:rStyle w:val="CharSectno"/>
        </w:rPr>
        <w:t>82</w:t>
      </w:r>
      <w:r>
        <w:t>.</w:t>
      </w:r>
      <w:r>
        <w:tab/>
        <w:t>Effect of CSI</w:t>
      </w:r>
      <w:bookmarkEnd w:id="250"/>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No. 27 of 2004 s. 5.]</w:t>
      </w:r>
    </w:p>
    <w:p>
      <w:pPr>
        <w:pStyle w:val="Heading5"/>
        <w:spacing w:before="240"/>
      </w:pPr>
      <w:bookmarkStart w:id="251" w:name="_Toc45288706"/>
      <w:r>
        <w:rPr>
          <w:rStyle w:val="CharSectno"/>
        </w:rPr>
        <w:t>83</w:t>
      </w:r>
      <w:r>
        <w:t>.</w:t>
      </w:r>
      <w:r>
        <w:tab/>
        <w:t>CSI, standard obligations of</w:t>
      </w:r>
      <w:bookmarkEnd w:id="251"/>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No. 27 of 2004 s. 5; amended: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252" w:name="_Toc45288707"/>
      <w:r>
        <w:rPr>
          <w:rStyle w:val="CharSectno"/>
        </w:rPr>
        <w:t>84</w:t>
      </w:r>
      <w:r>
        <w:t>.</w:t>
      </w:r>
      <w:r>
        <w:tab/>
        <w:t>CSI, primary requirements of</w:t>
      </w:r>
      <w:bookmarkEnd w:id="252"/>
    </w:p>
    <w:p>
      <w:pPr>
        <w:pStyle w:val="Subsection"/>
        <w:spacing w:before="180"/>
      </w:pPr>
      <w:r>
        <w:tab/>
        <w:t>(1)</w:t>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Subsection"/>
      </w:pPr>
      <w:r>
        <w:tab/>
        <w:t>(2)</w:t>
      </w:r>
      <w:r>
        <w:tab/>
        <w:t>CSI may also contain an electronic monitoring requirement under section 84CA as a primary requirement.</w:t>
      </w:r>
    </w:p>
    <w:p>
      <w:pPr>
        <w:pStyle w:val="Footnotesection"/>
      </w:pPr>
      <w:r>
        <w:tab/>
        <w:t>[Section 84 inserted: No. 27 of 2004 s. 5; amended: No. 13 of 2020 s. 9.]</w:t>
      </w:r>
    </w:p>
    <w:p>
      <w:pPr>
        <w:pStyle w:val="Heading5"/>
        <w:spacing w:before="240"/>
      </w:pPr>
      <w:bookmarkStart w:id="253" w:name="_Toc45288708"/>
      <w:r>
        <w:rPr>
          <w:rStyle w:val="CharSectno"/>
        </w:rPr>
        <w:t>84A</w:t>
      </w:r>
      <w:r>
        <w:t>.</w:t>
      </w:r>
      <w:r>
        <w:tab/>
        <w:t>Programme requirement</w:t>
      </w:r>
      <w:bookmarkEnd w:id="253"/>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No. 27 of 2004 s. 5</w:t>
      </w:r>
      <w:r>
        <w:rPr>
          <w:spacing w:val="-4"/>
        </w:rPr>
        <w:t>; amended: No. 47 of 2011 s.</w:t>
      </w:r>
      <w:r>
        <w:t> 26(3).]</w:t>
      </w:r>
    </w:p>
    <w:p>
      <w:pPr>
        <w:pStyle w:val="Heading5"/>
      </w:pPr>
      <w:bookmarkStart w:id="254" w:name="_Toc45288709"/>
      <w:r>
        <w:rPr>
          <w:rStyle w:val="CharSectno"/>
        </w:rPr>
        <w:t>84B</w:t>
      </w:r>
      <w:r>
        <w:t>.</w:t>
      </w:r>
      <w:r>
        <w:tab/>
        <w:t>Supervision requirement</w:t>
      </w:r>
      <w:bookmarkEnd w:id="254"/>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No. 27 of 2004 s. 5.]</w:t>
      </w:r>
    </w:p>
    <w:p>
      <w:pPr>
        <w:pStyle w:val="Heading5"/>
      </w:pPr>
      <w:bookmarkStart w:id="255" w:name="_Toc45288710"/>
      <w:r>
        <w:rPr>
          <w:rStyle w:val="CharSectno"/>
        </w:rPr>
        <w:t>84C</w:t>
      </w:r>
      <w:r>
        <w:t>.</w:t>
      </w:r>
      <w:r>
        <w:tab/>
        <w:t>Curfew requirement</w:t>
      </w:r>
      <w:bookmarkEnd w:id="255"/>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No. 27 of 2004 s. 5; amended: No. 65 of 2006 s. 49; No. 13 of 2020 s. 10.]</w:t>
      </w:r>
    </w:p>
    <w:p>
      <w:pPr>
        <w:pStyle w:val="Heading5"/>
      </w:pPr>
      <w:bookmarkStart w:id="256" w:name="_Toc45288711"/>
      <w:r>
        <w:rPr>
          <w:rStyle w:val="CharSectno"/>
        </w:rPr>
        <w:t>84CA</w:t>
      </w:r>
      <w:r>
        <w:t>.</w:t>
      </w:r>
      <w:r>
        <w:tab/>
        <w:t>Electronic monitoring requirement</w:t>
      </w:r>
      <w:bookmarkEnd w:id="256"/>
    </w:p>
    <w:p>
      <w:pPr>
        <w:pStyle w:val="Subsection"/>
        <w:keepNext/>
      </w:pPr>
      <w:r>
        <w:tab/>
        <w:t>(1)</w:t>
      </w:r>
      <w:r>
        <w:tab/>
        <w:t>The purpose of electronic monitoring under this section is to enable the location of an offender to be monitored where the offender presents a high risk to —</w:t>
      </w:r>
    </w:p>
    <w:p>
      <w:pPr>
        <w:pStyle w:val="Indenta"/>
      </w:pPr>
      <w:r>
        <w:tab/>
        <w:t>(a)</w:t>
      </w:r>
      <w:r>
        <w:tab/>
        <w:t>a person; or</w:t>
      </w:r>
    </w:p>
    <w:p>
      <w:pPr>
        <w:pStyle w:val="Indenta"/>
      </w:pPr>
      <w:r>
        <w:tab/>
        <w:t>(b)</w:t>
      </w:r>
      <w:r>
        <w:tab/>
        <w:t>a group of persons; or</w:t>
      </w:r>
    </w:p>
    <w:p>
      <w:pPr>
        <w:pStyle w:val="Indenta"/>
      </w:pPr>
      <w:r>
        <w:tab/>
        <w:t>(c)</w:t>
      </w:r>
      <w:r>
        <w:tab/>
        <w:t>the community more generally.</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An electronic monitoring requirement may be imposed only if the court has received a report from the CEO (corrections) about the suitability of electronic monitoring in the particular case.</w:t>
      </w:r>
    </w:p>
    <w:p>
      <w:pPr>
        <w:pStyle w:val="Subsection"/>
      </w:pPr>
      <w:r>
        <w:tab/>
        <w:t>(4)</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(5)</w:t>
      </w:r>
      <w:r>
        <w:tab/>
        <w:t>An electronic monitoring requirement ceases to be in force when the suspension period ends.</w:t>
      </w:r>
    </w:p>
    <w:p>
      <w:pPr>
        <w:pStyle w:val="Footnotesection"/>
      </w:pPr>
      <w:r>
        <w:tab/>
        <w:t>[Section 84CA inserted: No. 13 of 2020 s. 11.]</w:t>
      </w:r>
    </w:p>
    <w:p>
      <w:pPr>
        <w:pStyle w:val="Heading3"/>
      </w:pPr>
      <w:bookmarkStart w:id="257" w:name="_Toc45283105"/>
      <w:bookmarkStart w:id="258" w:name="_Toc45283395"/>
      <w:bookmarkStart w:id="259" w:name="_Toc45287082"/>
      <w:bookmarkStart w:id="260" w:name="_Toc45288239"/>
      <w:bookmarkStart w:id="261" w:name="_Toc45288712"/>
      <w:r>
        <w:rPr>
          <w:rStyle w:val="CharDivNo"/>
        </w:rPr>
        <w:t>Division 2</w:t>
      </w:r>
      <w:r>
        <w:t> — </w:t>
      </w:r>
      <w:r>
        <w:rPr>
          <w:rStyle w:val="CharDivText"/>
        </w:rPr>
        <w:t>Consequences of re</w:t>
      </w:r>
      <w:r>
        <w:rPr>
          <w:rStyle w:val="CharDivText"/>
        </w:rPr>
        <w:noBreakHyphen/>
        <w:t>offending</w:t>
      </w:r>
      <w:bookmarkEnd w:id="257"/>
      <w:bookmarkEnd w:id="258"/>
      <w:bookmarkEnd w:id="259"/>
      <w:bookmarkEnd w:id="260"/>
      <w:bookmarkEnd w:id="261"/>
    </w:p>
    <w:p>
      <w:pPr>
        <w:pStyle w:val="Footnoteheading"/>
      </w:pPr>
      <w:r>
        <w:tab/>
        <w:t>[Heading inserted: No. 27 of 2004 s. 5.]</w:t>
      </w:r>
    </w:p>
    <w:p>
      <w:pPr>
        <w:pStyle w:val="Heading5"/>
      </w:pPr>
      <w:bookmarkStart w:id="262" w:name="_Toc45288713"/>
      <w:r>
        <w:rPr>
          <w:rStyle w:val="CharSectno"/>
        </w:rPr>
        <w:t>84D</w:t>
      </w:r>
      <w:r>
        <w:t>.</w:t>
      </w:r>
      <w:r>
        <w:tab/>
        <w:t>Re</w:t>
      </w:r>
      <w:r>
        <w:noBreakHyphen/>
        <w:t>offender may be dealt with or committed</w:t>
      </w:r>
      <w:bookmarkEnd w:id="262"/>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No. 27 of 2004 s. 5; amended: No. 27 of 2004 s. 7.]</w:t>
      </w:r>
    </w:p>
    <w:p>
      <w:pPr>
        <w:pStyle w:val="Heading5"/>
      </w:pPr>
      <w:bookmarkStart w:id="263" w:name="_Toc45288714"/>
      <w:r>
        <w:rPr>
          <w:rStyle w:val="CharSectno"/>
        </w:rPr>
        <w:t>84E</w:t>
      </w:r>
      <w:r>
        <w:t>.</w:t>
      </w:r>
      <w:r>
        <w:tab/>
        <w:t>Re</w:t>
      </w:r>
      <w:r>
        <w:noBreakHyphen/>
        <w:t>offending, alleging in court</w:t>
      </w:r>
      <w:bookmarkEnd w:id="263"/>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ind w:left="890" w:hanging="890"/>
      </w:pPr>
      <w:r>
        <w:tab/>
        <w:t>[Section 84E inserted: No. 41 of 2006 s. 74(1); amended: No. 46 of 2009 s. 17.]</w:t>
      </w:r>
    </w:p>
    <w:p>
      <w:pPr>
        <w:pStyle w:val="Heading5"/>
      </w:pPr>
      <w:bookmarkStart w:id="264" w:name="_Toc45288715"/>
      <w:r>
        <w:rPr>
          <w:rStyle w:val="CharSectno"/>
        </w:rPr>
        <w:t>84F</w:t>
      </w:r>
      <w:r>
        <w:t>.</w:t>
      </w:r>
      <w:r>
        <w:tab/>
        <w:t>How re</w:t>
      </w:r>
      <w:r>
        <w:noBreakHyphen/>
        <w:t>offender to be dealt with</w:t>
      </w:r>
      <w:bookmarkEnd w:id="264"/>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keepLines/>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give written reasons for not doing so.</w:t>
      </w:r>
    </w:p>
    <w:p>
      <w:pPr>
        <w:pStyle w:val="Ednotesubsection"/>
      </w:pPr>
      <w:r>
        <w:tab/>
        <w:t>[(5A)</w:t>
      </w:r>
      <w:r>
        <w:tab/>
        <w:t>deleted]</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(6)</w:t>
      </w:r>
      <w:r>
        <w:tab/>
        <w:t>If an order is made under subsection (1)(d), then, unless the suspension period has ended, the sentence of CSI remains in effect and the suspension period continues to elapse.</w:t>
      </w:r>
    </w:p>
    <w:p>
      <w:pPr>
        <w:pStyle w:val="Subsection"/>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No. 27 of 2004 s. 5; amended: No. 20 of 2013 s. 129; No. 45 of 2016 s. 70.]</w:t>
      </w:r>
    </w:p>
    <w:p>
      <w:pPr>
        <w:pStyle w:val="Heading3"/>
        <w:keepNext w:val="0"/>
        <w:pageBreakBefore/>
        <w:spacing w:before="0"/>
      </w:pPr>
      <w:bookmarkStart w:id="265" w:name="_Toc45283109"/>
      <w:bookmarkStart w:id="266" w:name="_Toc45283399"/>
      <w:bookmarkStart w:id="267" w:name="_Toc45287086"/>
      <w:bookmarkStart w:id="268" w:name="_Toc45288243"/>
      <w:bookmarkStart w:id="269" w:name="_Toc45288716"/>
      <w:r>
        <w:rPr>
          <w:rStyle w:val="CharDivNo"/>
        </w:rPr>
        <w:t>Division 3</w:t>
      </w:r>
      <w:r>
        <w:t> — </w:t>
      </w:r>
      <w:r>
        <w:rPr>
          <w:rStyle w:val="CharDivText"/>
        </w:rPr>
        <w:t>Amending, cancelling and enforcing CSI requirements</w:t>
      </w:r>
      <w:bookmarkEnd w:id="265"/>
      <w:bookmarkEnd w:id="266"/>
      <w:bookmarkEnd w:id="267"/>
      <w:bookmarkEnd w:id="268"/>
      <w:bookmarkEnd w:id="269"/>
    </w:p>
    <w:p>
      <w:pPr>
        <w:pStyle w:val="Footnoteheading"/>
        <w:keepNext/>
        <w:keepLines/>
        <w:spacing w:before="100"/>
      </w:pPr>
      <w:r>
        <w:tab/>
        <w:t>[Heading inserted: No. 27 of 2004 s. 5.]</w:t>
      </w:r>
    </w:p>
    <w:p>
      <w:pPr>
        <w:pStyle w:val="Heading5"/>
      </w:pPr>
      <w:bookmarkStart w:id="270" w:name="_Toc45288717"/>
      <w:r>
        <w:rPr>
          <w:rStyle w:val="CharSectno"/>
        </w:rPr>
        <w:t>84G</w:t>
      </w:r>
      <w:r>
        <w:t>.</w:t>
      </w:r>
      <w:r>
        <w:tab/>
        <w:t>Term used: CSI requirement</w:t>
      </w:r>
      <w:bookmarkEnd w:id="270"/>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No. 27 of 2004 s. 5.]</w:t>
      </w:r>
    </w:p>
    <w:p>
      <w:pPr>
        <w:pStyle w:val="Heading5"/>
      </w:pPr>
      <w:bookmarkStart w:id="271" w:name="_Toc45288718"/>
      <w:r>
        <w:rPr>
          <w:rStyle w:val="CharSectno"/>
        </w:rPr>
        <w:t>84H</w:t>
      </w:r>
      <w:r>
        <w:t>.</w:t>
      </w:r>
      <w:r>
        <w:tab/>
        <w:t>Application to amend or cancel CSI requirement</w:t>
      </w:r>
      <w:bookmarkEnd w:id="271"/>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No. 27 of 2004 s. 5.]</w:t>
      </w:r>
    </w:p>
    <w:p>
      <w:pPr>
        <w:pStyle w:val="Heading5"/>
      </w:pPr>
      <w:bookmarkStart w:id="272" w:name="_Toc45288719"/>
      <w:r>
        <w:rPr>
          <w:rStyle w:val="CharSectno"/>
        </w:rPr>
        <w:t>84I</w:t>
      </w:r>
      <w:r>
        <w:t>.</w:t>
      </w:r>
      <w:r>
        <w:tab/>
        <w:t>Court may confirm, amend or cancel CSI requirement</w:t>
      </w:r>
      <w:bookmarkEnd w:id="272"/>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No. 27 of 2004 s. 5.]</w:t>
      </w:r>
    </w:p>
    <w:p>
      <w:pPr>
        <w:pStyle w:val="Heading5"/>
      </w:pPr>
      <w:bookmarkStart w:id="273" w:name="_Toc45288720"/>
      <w:r>
        <w:rPr>
          <w:rStyle w:val="CharSectno"/>
        </w:rPr>
        <w:t>84J</w:t>
      </w:r>
      <w:r>
        <w:t>.</w:t>
      </w:r>
      <w:r>
        <w:tab/>
        <w:t>Breach of CSI requirement, offence</w:t>
      </w:r>
      <w:bookmarkEnd w:id="273"/>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No. 27 of 2004 s. 5; amended: No. 65 of 2006 s. 49.]</w:t>
      </w:r>
    </w:p>
    <w:p>
      <w:pPr>
        <w:pStyle w:val="Heading5"/>
      </w:pPr>
      <w:bookmarkStart w:id="274" w:name="_Toc45288721"/>
      <w:r>
        <w:rPr>
          <w:rStyle w:val="CharSectno"/>
        </w:rPr>
        <w:t>84K</w:t>
      </w:r>
      <w:r>
        <w:t>.</w:t>
      </w:r>
      <w:r>
        <w:tab/>
        <w:t>Offence under s. 84J, procedure and penalty for</w:t>
      </w:r>
      <w:bookmarkEnd w:id="274"/>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keepNext/>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No. 27 of 2004 s. 5; amended: No. 20 of 2013 s. 130.]</w:t>
      </w:r>
    </w:p>
    <w:p>
      <w:pPr>
        <w:pStyle w:val="Heading5"/>
      </w:pPr>
      <w:bookmarkStart w:id="275" w:name="_Toc45288722"/>
      <w:r>
        <w:rPr>
          <w:rStyle w:val="CharSectno"/>
        </w:rPr>
        <w:t>84L</w:t>
      </w:r>
      <w:r>
        <w:t>.</w:t>
      </w:r>
      <w:r>
        <w:tab/>
        <w:t>Additional powers to deal with s. 84J offender</w:t>
      </w:r>
      <w:bookmarkEnd w:id="275"/>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No. 27 of 2004 s. 5; amended: No. 45 of 2016 s. 71.]</w:t>
      </w:r>
    </w:p>
    <w:p>
      <w:pPr>
        <w:pStyle w:val="Heading5"/>
      </w:pPr>
      <w:bookmarkStart w:id="276" w:name="_Toc45288723"/>
      <w:r>
        <w:rPr>
          <w:rStyle w:val="CharSectno"/>
        </w:rPr>
        <w:t>84M</w:t>
      </w:r>
      <w:r>
        <w:t>.</w:t>
      </w:r>
      <w:r>
        <w:tab/>
        <w:t>Facilitation of proof</w:t>
      </w:r>
      <w:bookmarkEnd w:id="276"/>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No. 27 of 2004 s. 5; amended: No. 65 of 2006 s. 49.]</w:t>
      </w:r>
    </w:p>
    <w:p>
      <w:pPr>
        <w:pStyle w:val="Heading3"/>
      </w:pPr>
      <w:bookmarkStart w:id="277" w:name="_Toc45283117"/>
      <w:bookmarkStart w:id="278" w:name="_Toc45283407"/>
      <w:bookmarkStart w:id="279" w:name="_Toc45287094"/>
      <w:bookmarkStart w:id="280" w:name="_Toc45288251"/>
      <w:bookmarkStart w:id="281" w:name="_Toc45288724"/>
      <w:r>
        <w:rPr>
          <w:rStyle w:val="CharDivNo"/>
        </w:rPr>
        <w:t>Division 4</w:t>
      </w:r>
      <w:r>
        <w:t> — </w:t>
      </w:r>
      <w:r>
        <w:rPr>
          <w:rStyle w:val="CharDivText"/>
        </w:rPr>
        <w:t>Functions of speciality courts as to CSI</w:t>
      </w:r>
      <w:bookmarkEnd w:id="277"/>
      <w:bookmarkEnd w:id="278"/>
      <w:bookmarkEnd w:id="279"/>
      <w:bookmarkEnd w:id="280"/>
      <w:bookmarkEnd w:id="281"/>
    </w:p>
    <w:p>
      <w:pPr>
        <w:pStyle w:val="Footnoteheading"/>
      </w:pPr>
      <w:r>
        <w:tab/>
        <w:t>[Heading inserted: No. 27 of 2004 s. 5.]</w:t>
      </w:r>
    </w:p>
    <w:p>
      <w:pPr>
        <w:pStyle w:val="Heading5"/>
      </w:pPr>
      <w:bookmarkStart w:id="282" w:name="_Toc45288725"/>
      <w:r>
        <w:rPr>
          <w:rStyle w:val="CharSectno"/>
        </w:rPr>
        <w:t>84N</w:t>
      </w:r>
      <w:r>
        <w:t>.</w:t>
      </w:r>
      <w:r>
        <w:tab/>
        <w:t>Application of this Division</w:t>
      </w:r>
      <w:bookmarkEnd w:id="282"/>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No. 27 of 2004 s. 5.]</w:t>
      </w:r>
    </w:p>
    <w:p>
      <w:pPr>
        <w:pStyle w:val="Heading5"/>
      </w:pPr>
      <w:bookmarkStart w:id="283" w:name="_Toc45288726"/>
      <w:r>
        <w:rPr>
          <w:rStyle w:val="CharSectno"/>
        </w:rPr>
        <w:t>84O</w:t>
      </w:r>
      <w:r>
        <w:t>.</w:t>
      </w:r>
      <w:r>
        <w:tab/>
        <w:t>Speciality court may direct offender on CSI to appear</w:t>
      </w:r>
      <w:bookmarkEnd w:id="283"/>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No. 27 of 2004 s. 5.]</w:t>
      </w:r>
    </w:p>
    <w:p>
      <w:pPr>
        <w:pStyle w:val="Heading5"/>
      </w:pPr>
      <w:bookmarkStart w:id="284" w:name="_Toc45288727"/>
      <w:r>
        <w:rPr>
          <w:rStyle w:val="CharSectno"/>
        </w:rPr>
        <w:t>84P</w:t>
      </w:r>
      <w:r>
        <w:t>.</w:t>
      </w:r>
      <w:r>
        <w:tab/>
        <w:t>Speciality court to deal with re</w:t>
      </w:r>
      <w:r>
        <w:noBreakHyphen/>
        <w:t>offender</w:t>
      </w:r>
      <w:bookmarkEnd w:id="284"/>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No. 27 of 2004 s. 5; amended: No. 41 of 2006 s. 75(1).]</w:t>
      </w:r>
    </w:p>
    <w:p>
      <w:pPr>
        <w:pStyle w:val="Heading5"/>
      </w:pPr>
      <w:bookmarkStart w:id="285" w:name="_Toc45288728"/>
      <w:r>
        <w:rPr>
          <w:rStyle w:val="CharSectno"/>
        </w:rPr>
        <w:t>84Q</w:t>
      </w:r>
      <w:r>
        <w:t>.</w:t>
      </w:r>
      <w:r>
        <w:tab/>
        <w:t>Speciality court to deal with application to amend or cancel CSI</w:t>
      </w:r>
      <w:bookmarkEnd w:id="285"/>
    </w:p>
    <w:p>
      <w:pPr>
        <w:pStyle w:val="Subsection"/>
      </w:pPr>
      <w:r>
        <w:tab/>
      </w:r>
      <w:r>
        <w:tab/>
        <w:t>If this Division applies, an application under section 84H is to be made to the speciality court.</w:t>
      </w:r>
    </w:p>
    <w:p>
      <w:pPr>
        <w:pStyle w:val="Footnotesection"/>
      </w:pPr>
      <w:r>
        <w:tab/>
        <w:t>[Section 84Q inserted: No. 27 of 2004 s. 5.]</w:t>
      </w:r>
    </w:p>
    <w:p>
      <w:pPr>
        <w:pStyle w:val="Heading5"/>
      </w:pPr>
      <w:bookmarkStart w:id="286" w:name="_Toc45288729"/>
      <w:r>
        <w:rPr>
          <w:rStyle w:val="CharSectno"/>
        </w:rPr>
        <w:t>84R</w:t>
      </w:r>
      <w:r>
        <w:t>.</w:t>
      </w:r>
      <w:r>
        <w:tab/>
        <w:t>Speciality court to deal with proceedings for breaches</w:t>
      </w:r>
      <w:bookmarkEnd w:id="286"/>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No. 27 of 2004 s. 5.]</w:t>
      </w:r>
    </w:p>
    <w:p>
      <w:pPr>
        <w:pStyle w:val="Heading2"/>
      </w:pPr>
      <w:bookmarkStart w:id="287" w:name="_Toc45283123"/>
      <w:bookmarkStart w:id="288" w:name="_Toc45283413"/>
      <w:bookmarkStart w:id="289" w:name="_Toc45287100"/>
      <w:bookmarkStart w:id="290" w:name="_Toc45288257"/>
      <w:bookmarkStart w:id="291" w:name="_Toc45288730"/>
      <w:r>
        <w:rPr>
          <w:rStyle w:val="CharPartNo"/>
        </w:rPr>
        <w:t>Part 13</w:t>
      </w:r>
      <w:r>
        <w:t> — </w:t>
      </w:r>
      <w:r>
        <w:rPr>
          <w:rStyle w:val="CharPartText"/>
        </w:rPr>
        <w:t>Imprisonment</w:t>
      </w:r>
      <w:bookmarkEnd w:id="287"/>
      <w:bookmarkEnd w:id="288"/>
      <w:bookmarkEnd w:id="289"/>
      <w:bookmarkEnd w:id="290"/>
      <w:bookmarkEnd w:id="291"/>
    </w:p>
    <w:p>
      <w:pPr>
        <w:pStyle w:val="Heading3"/>
        <w:spacing w:before="180"/>
      </w:pPr>
      <w:bookmarkStart w:id="292" w:name="_Toc45283124"/>
      <w:bookmarkStart w:id="293" w:name="_Toc45283414"/>
      <w:bookmarkStart w:id="294" w:name="_Toc45287101"/>
      <w:bookmarkStart w:id="295" w:name="_Toc45288258"/>
      <w:bookmarkStart w:id="296" w:name="_Toc45288731"/>
      <w:r>
        <w:rPr>
          <w:rStyle w:val="CharDivNo"/>
        </w:rPr>
        <w:t>Division 1</w:t>
      </w:r>
      <w:r>
        <w:rPr>
          <w:snapToGrid w:val="0"/>
        </w:rPr>
        <w:t> — </w:t>
      </w:r>
      <w:r>
        <w:rPr>
          <w:rStyle w:val="CharDivText"/>
        </w:rPr>
        <w:t>Preliminary</w:t>
      </w:r>
      <w:bookmarkEnd w:id="292"/>
      <w:bookmarkEnd w:id="293"/>
      <w:bookmarkEnd w:id="294"/>
      <w:bookmarkEnd w:id="295"/>
      <w:bookmarkEnd w:id="296"/>
    </w:p>
    <w:p>
      <w:pPr>
        <w:pStyle w:val="Heading5"/>
        <w:spacing w:before="180"/>
        <w:rPr>
          <w:snapToGrid w:val="0"/>
        </w:rPr>
      </w:pPr>
      <w:bookmarkStart w:id="297" w:name="_Toc45288732"/>
      <w:r>
        <w:rPr>
          <w:rStyle w:val="CharSectno"/>
        </w:rPr>
        <w:t>85</w:t>
      </w:r>
      <w:r>
        <w:rPr>
          <w:snapToGrid w:val="0"/>
        </w:rPr>
        <w:t>.</w:t>
      </w:r>
      <w:r>
        <w:rPr>
          <w:snapToGrid w:val="0"/>
        </w:rPr>
        <w:tab/>
        <w:t>Terms used and calculations</w:t>
      </w:r>
      <w:bookmarkEnd w:id="297"/>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No. 29 of 1998 s. 18; No. 50 of 2003 s. 16; No. 27 of 2004 s. 6(4); No. 29 of 2008 s. 22(1); No. 6 of 2014 s. 4; No. 32 of 2015 s. 4; No. 45 of 2016 s. 72.]</w:t>
      </w:r>
    </w:p>
    <w:p>
      <w:pPr>
        <w:pStyle w:val="Heading3"/>
        <w:keepNext w:val="0"/>
        <w:widowControl w:val="0"/>
      </w:pPr>
      <w:bookmarkStart w:id="298" w:name="_Toc45283126"/>
      <w:bookmarkStart w:id="299" w:name="_Toc45283416"/>
      <w:bookmarkStart w:id="300" w:name="_Toc45287103"/>
      <w:bookmarkStart w:id="301" w:name="_Toc45288260"/>
      <w:bookmarkStart w:id="302" w:name="_Toc45288733"/>
      <w:r>
        <w:rPr>
          <w:rStyle w:val="CharDivNo"/>
        </w:rPr>
        <w:t>Division 2</w:t>
      </w:r>
      <w:r>
        <w:rPr>
          <w:snapToGrid w:val="0"/>
        </w:rPr>
        <w:t> — </w:t>
      </w:r>
      <w:r>
        <w:rPr>
          <w:rStyle w:val="CharDivText"/>
        </w:rPr>
        <w:t>Imposing imprisonment</w:t>
      </w:r>
      <w:bookmarkEnd w:id="298"/>
      <w:bookmarkEnd w:id="299"/>
      <w:bookmarkEnd w:id="300"/>
      <w:bookmarkEnd w:id="301"/>
      <w:bookmarkEnd w:id="302"/>
    </w:p>
    <w:p>
      <w:pPr>
        <w:pStyle w:val="Heading5"/>
        <w:keepNext w:val="0"/>
        <w:keepLines w:val="0"/>
        <w:spacing w:before="240"/>
        <w:rPr>
          <w:snapToGrid w:val="0"/>
        </w:rPr>
      </w:pPr>
      <w:bookmarkStart w:id="303" w:name="_Toc45288734"/>
      <w:r>
        <w:rPr>
          <w:rStyle w:val="CharSectno"/>
        </w:rPr>
        <w:t>86</w:t>
      </w:r>
      <w:r>
        <w:rPr>
          <w:snapToGrid w:val="0"/>
        </w:rPr>
        <w:t>.</w:t>
      </w:r>
      <w:r>
        <w:rPr>
          <w:snapToGrid w:val="0"/>
        </w:rPr>
        <w:tab/>
        <w:t>Term of 6 months or less not to be imposed</w:t>
      </w:r>
      <w:bookmarkEnd w:id="303"/>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No. 50 of 2003 s. 33(3).]</w:t>
      </w:r>
    </w:p>
    <w:p>
      <w:pPr>
        <w:pStyle w:val="Heading5"/>
        <w:spacing w:before="180"/>
        <w:rPr>
          <w:snapToGrid w:val="0"/>
        </w:rPr>
      </w:pPr>
      <w:bookmarkStart w:id="304" w:name="_Toc45288735"/>
      <w:r>
        <w:rPr>
          <w:rStyle w:val="CharSectno"/>
        </w:rPr>
        <w:t>87</w:t>
      </w:r>
      <w:r>
        <w:rPr>
          <w:snapToGrid w:val="0"/>
        </w:rPr>
        <w:t>.</w:t>
      </w:r>
      <w:r>
        <w:rPr>
          <w:snapToGrid w:val="0"/>
        </w:rPr>
        <w:tab/>
        <w:t>Time on remand may be taken into account</w:t>
      </w:r>
      <w:bookmarkEnd w:id="304"/>
    </w:p>
    <w:p>
      <w:pPr>
        <w:pStyle w:val="Subsection"/>
        <w:spacing w:before="180"/>
        <w:rPr>
          <w:snapToGrid w:val="0"/>
        </w:rPr>
      </w:pPr>
      <w:r>
        <w:rPr>
          <w:snapToGrid w:val="0"/>
        </w:rPr>
        <w:tab/>
      </w:r>
      <w:r>
        <w:t>(1)</w:t>
      </w:r>
      <w:r>
        <w:tab/>
        <w:t>If</w:t>
      </w:r>
      <w:r>
        <w:rPr>
          <w:snapToGrid w:val="0"/>
        </w:rPr>
        <w:t xml:space="preserve"> when an offender is being sentenced to imprisonment for an offence —</w:t>
      </w:r>
    </w:p>
    <w:p>
      <w:pPr>
        <w:pStyle w:val="Indenta"/>
      </w:pPr>
      <w:r>
        <w:tab/>
        <w:t>(a)</w:t>
      </w:r>
      <w:r>
        <w:tab/>
        <w:t xml:space="preserve">the offender has previously spent time — </w:t>
      </w:r>
    </w:p>
    <w:p>
      <w:pPr>
        <w:pStyle w:val="Indenti"/>
      </w:pPr>
      <w:r>
        <w:tab/>
        <w:t>(i)</w:t>
      </w:r>
      <w:r>
        <w:tab/>
        <w:t>in custody in respect of the offence for which the offender is being sentenced; or</w:t>
      </w:r>
    </w:p>
    <w:p>
      <w:pPr>
        <w:pStyle w:val="Indenti"/>
      </w:pPr>
      <w:r>
        <w:tab/>
        <w:t>(ii)</w:t>
      </w:r>
      <w:r>
        <w:tab/>
        <w:t>in custody in respect of another offence, while on bail for the offence for which the offender is being sentenced;</w:t>
      </w:r>
    </w:p>
    <w:p>
      <w:pPr>
        <w:pStyle w:val="Indenta"/>
      </w:pPr>
      <w:r>
        <w:tab/>
      </w:r>
      <w:r>
        <w:tab/>
        <w:t>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Subsection"/>
      </w:pPr>
      <w:r>
        <w:tab/>
        <w:t>(2)</w:t>
      </w:r>
      <w:r>
        <w:tab/>
        <w:t>Subsection (1)(a)(i) does not apply if the time in custody has already been taken into account in sentencing for another offence under subsection (1)(a)(ii).</w:t>
      </w:r>
    </w:p>
    <w:p>
      <w:pPr>
        <w:pStyle w:val="Footnotesection"/>
      </w:pPr>
      <w:r>
        <w:tab/>
        <w:t>[Section 87 amended: No. 3 of 2008 s. 20; No. 45 of 2016 s. 74.]</w:t>
      </w:r>
    </w:p>
    <w:p>
      <w:pPr>
        <w:pStyle w:val="Heading5"/>
        <w:spacing w:before="180"/>
        <w:rPr>
          <w:snapToGrid w:val="0"/>
        </w:rPr>
      </w:pPr>
      <w:bookmarkStart w:id="305" w:name="_Toc45288736"/>
      <w:r>
        <w:rPr>
          <w:rStyle w:val="CharSectno"/>
        </w:rPr>
        <w:t>88</w:t>
      </w:r>
      <w:r>
        <w:rPr>
          <w:snapToGrid w:val="0"/>
        </w:rPr>
        <w:t>.</w:t>
      </w:r>
      <w:r>
        <w:rPr>
          <w:snapToGrid w:val="0"/>
        </w:rPr>
        <w:tab/>
        <w:t>Concurrent, cumulative or partly cumulative terms</w:t>
      </w:r>
      <w:bookmarkEnd w:id="305"/>
    </w:p>
    <w:p>
      <w:pPr>
        <w:pStyle w:val="Subsection"/>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306" w:name="_Toc45288737"/>
      <w:r>
        <w:rPr>
          <w:rStyle w:val="CharSectno"/>
        </w:rPr>
        <w:t>89</w:t>
      </w:r>
      <w:r>
        <w:t>.</w:t>
      </w:r>
      <w:r>
        <w:tab/>
        <w:t>Parole eligibility order, court may make</w:t>
      </w:r>
      <w:bookmarkEnd w:id="306"/>
    </w:p>
    <w:p>
      <w:pPr>
        <w:pStyle w:val="Subsection"/>
      </w:pPr>
      <w:r>
        <w:tab/>
        <w:t>(1)</w:t>
      </w:r>
      <w:r>
        <w:tab/>
        <w:t xml:space="preserve">A court sentencing an offender to a fixed term of imprisonment may make an order (a </w:t>
      </w:r>
      <w:r>
        <w:rPr>
          <w:rStyle w:val="CharDefText"/>
        </w:rPr>
        <w:t>parole eligibility order</w:t>
      </w:r>
      <w:r>
        <w:t>) that the offender be eligible to be considered for parole in respect of that term by the Prisoners Review Board.</w:t>
      </w:r>
    </w:p>
    <w:p>
      <w:pPr>
        <w:pStyle w:val="Subsection"/>
        <w:keepLines/>
      </w:pPr>
      <w:r>
        <w:tab/>
        <w:t>(2)</w:t>
      </w:r>
      <w:r>
        <w:tab/>
        <w:t>A parole eligibility order must not be made if the fixed term, or the aggregate of the fixed terms, imposed by the court is less than 6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6 months; and</w:t>
      </w:r>
    </w:p>
    <w:p>
      <w:pPr>
        <w:pStyle w:val="Indenti"/>
      </w:pPr>
      <w:r>
        <w:tab/>
        <w:t>(ii)</w:t>
      </w:r>
      <w:r>
        <w:tab/>
        <w:t>which, with the term or terms imposed by the court, would result in an aggregate of 6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one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No. 50 of 2003 s. 18; amended: No. 41 of 2006 s. 76; No. 45 of 2016 s. 19; No. 45 of 2016 s. 75.]</w:t>
      </w:r>
    </w:p>
    <w:p>
      <w:pPr>
        <w:pStyle w:val="Heading5"/>
        <w:pageBreakBefore/>
        <w:spacing w:before="0"/>
      </w:pPr>
      <w:bookmarkStart w:id="307" w:name="_Toc45288738"/>
      <w:r>
        <w:rPr>
          <w:rStyle w:val="CharSectno"/>
        </w:rPr>
        <w:t>90</w:t>
      </w:r>
      <w:r>
        <w:t>.</w:t>
      </w:r>
      <w:r>
        <w:tab/>
        <w:t>Life imprisonment for murder, imposing</w:t>
      </w:r>
      <w:bookmarkEnd w:id="307"/>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No. 29 of 2008 s. 19; amended: No. 25 of 2015 s. 24.]</w:t>
      </w:r>
    </w:p>
    <w:p>
      <w:pPr>
        <w:pStyle w:val="Ednotesection"/>
      </w:pPr>
      <w:r>
        <w:t>[</w:t>
      </w:r>
      <w:r>
        <w:rPr>
          <w:b/>
          <w:bCs/>
        </w:rPr>
        <w:t>91.</w:t>
      </w:r>
      <w:r>
        <w:rPr>
          <w:b/>
          <w:bCs/>
        </w:rPr>
        <w:tab/>
      </w:r>
      <w:r>
        <w:t>Deleted: No. 29 of 2008 s. 19.]</w:t>
      </w:r>
    </w:p>
    <w:p>
      <w:pPr>
        <w:pStyle w:val="Heading3"/>
        <w:keepNext w:val="0"/>
        <w:pageBreakBefore/>
        <w:spacing w:before="0"/>
      </w:pPr>
      <w:bookmarkStart w:id="308" w:name="_Toc45283132"/>
      <w:bookmarkStart w:id="309" w:name="_Toc45283422"/>
      <w:bookmarkStart w:id="310" w:name="_Toc45287109"/>
      <w:bookmarkStart w:id="311" w:name="_Toc45288266"/>
      <w:bookmarkStart w:id="312" w:name="_Toc45288739"/>
      <w:r>
        <w:rPr>
          <w:rStyle w:val="CharDivNo"/>
        </w:rPr>
        <w:t>Division 3</w:t>
      </w:r>
      <w:r>
        <w:rPr>
          <w:snapToGrid w:val="0"/>
        </w:rPr>
        <w:t> — </w:t>
      </w:r>
      <w:r>
        <w:rPr>
          <w:rStyle w:val="CharDivText"/>
        </w:rPr>
        <w:t>Release from imprisonment</w:t>
      </w:r>
      <w:bookmarkEnd w:id="308"/>
      <w:bookmarkEnd w:id="309"/>
      <w:bookmarkEnd w:id="310"/>
      <w:bookmarkEnd w:id="311"/>
      <w:bookmarkEnd w:id="312"/>
    </w:p>
    <w:p>
      <w:pPr>
        <w:pStyle w:val="Ednotesection"/>
      </w:pPr>
      <w:r>
        <w:t>[</w:t>
      </w:r>
      <w:r>
        <w:rPr>
          <w:b/>
        </w:rPr>
        <w:t>92.</w:t>
      </w:r>
      <w:r>
        <w:tab/>
        <w:t>Deleted: No. 50 of 2003 s. 19.]</w:t>
      </w:r>
    </w:p>
    <w:p>
      <w:pPr>
        <w:pStyle w:val="Heading5"/>
      </w:pPr>
      <w:bookmarkStart w:id="313" w:name="_Toc45288740"/>
      <w:r>
        <w:rPr>
          <w:rStyle w:val="CharSectno"/>
        </w:rPr>
        <w:t>93</w:t>
      </w:r>
      <w:r>
        <w:t>.</w:t>
      </w:r>
      <w:r>
        <w:tab/>
        <w:t>Release from parole term</w:t>
      </w:r>
      <w:bookmarkEnd w:id="313"/>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No. 50 of 2003 s. 20; amended: No. 6 of 2014 s. 5; No. 32 of 2015 s. 5.]</w:t>
      </w:r>
    </w:p>
    <w:p>
      <w:pPr>
        <w:pStyle w:val="Heading5"/>
        <w:spacing w:before="180"/>
      </w:pPr>
      <w:bookmarkStart w:id="314" w:name="_Toc45288741"/>
      <w:r>
        <w:rPr>
          <w:rStyle w:val="CharSectno"/>
        </w:rPr>
        <w:t>94A</w:t>
      </w:r>
      <w:r>
        <w:t>.</w:t>
      </w:r>
      <w:r>
        <w:tab/>
        <w:t xml:space="preserve">Release on parole of prisoners subject to </w:t>
      </w:r>
      <w:r>
        <w:rPr>
          <w:i/>
        </w:rPr>
        <w:t>Prisoners (Interstate Transfer) Act 1983</w:t>
      </w:r>
      <w:bookmarkEnd w:id="314"/>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tab/>
        <w:t>[Section 94A inserted: No. 32 of 2015 s. 6.]</w:t>
      </w:r>
    </w:p>
    <w:p>
      <w:pPr>
        <w:pStyle w:val="Heading5"/>
        <w:pageBreakBefore/>
        <w:spacing w:before="0"/>
      </w:pPr>
      <w:bookmarkStart w:id="315" w:name="_Toc45288742"/>
      <w:r>
        <w:rPr>
          <w:rStyle w:val="CharSectno"/>
        </w:rPr>
        <w:t>94</w:t>
      </w:r>
      <w:r>
        <w:t>.</w:t>
      </w:r>
      <w:r>
        <w:tab/>
        <w:t>Aggregation of parole terms for certain purposes</w:t>
      </w:r>
      <w:bookmarkEnd w:id="315"/>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No. 50 of 2003 s. 20; amended: No. 41 of 2006 s. 77.]</w:t>
      </w:r>
    </w:p>
    <w:p>
      <w:pPr>
        <w:pStyle w:val="Heading5"/>
        <w:keepNext w:val="0"/>
        <w:keepLines w:val="0"/>
      </w:pPr>
      <w:bookmarkStart w:id="316" w:name="_Toc45288743"/>
      <w:r>
        <w:rPr>
          <w:rStyle w:val="CharSectno"/>
        </w:rPr>
        <w:t>95A</w:t>
      </w:r>
      <w:r>
        <w:t>.</w:t>
      </w:r>
      <w:r>
        <w:tab/>
        <w:t>Eligibility for parole where certain mandatory minimum sentences imposed</w:t>
      </w:r>
      <w:bookmarkEnd w:id="316"/>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ind w:left="890" w:hanging="890"/>
      </w:pPr>
      <w:r>
        <w:tab/>
        <w:t>[Section 95A inserted: No. 6 of 2014 s. 6.]</w:t>
      </w:r>
    </w:p>
    <w:p>
      <w:pPr>
        <w:pStyle w:val="Heading5"/>
      </w:pPr>
      <w:bookmarkStart w:id="317" w:name="_Toc45288744"/>
      <w:r>
        <w:rPr>
          <w:rStyle w:val="CharSectno"/>
        </w:rPr>
        <w:t>95</w:t>
      </w:r>
      <w:r>
        <w:t>.</w:t>
      </w:r>
      <w:r>
        <w:tab/>
        <w:t>Release from fixed term that is not parole term</w:t>
      </w:r>
      <w:bookmarkEnd w:id="317"/>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No. 50 of 2003 s. 20.]</w:t>
      </w:r>
    </w:p>
    <w:p>
      <w:pPr>
        <w:pStyle w:val="Heading5"/>
      </w:pPr>
      <w:bookmarkStart w:id="318" w:name="_Toc45288745"/>
      <w:r>
        <w:rPr>
          <w:rStyle w:val="CharSectno"/>
        </w:rPr>
        <w:t>96</w:t>
      </w:r>
      <w:r>
        <w:t>.</w:t>
      </w:r>
      <w:r>
        <w:tab/>
        <w:t>Release from life imprisonment</w:t>
      </w:r>
      <w:bookmarkEnd w:id="318"/>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No. 29 of 2008 s. 20.]</w:t>
      </w:r>
    </w:p>
    <w:p>
      <w:pPr>
        <w:pStyle w:val="Heading3"/>
      </w:pPr>
      <w:bookmarkStart w:id="319" w:name="_Toc45283139"/>
      <w:bookmarkStart w:id="320" w:name="_Toc45283429"/>
      <w:bookmarkStart w:id="321" w:name="_Toc45287116"/>
      <w:bookmarkStart w:id="322" w:name="_Toc45288273"/>
      <w:bookmarkStart w:id="323" w:name="_Toc45288746"/>
      <w:r>
        <w:rPr>
          <w:rStyle w:val="CharDivNo"/>
        </w:rPr>
        <w:t>Division 4</w:t>
      </w:r>
      <w:r>
        <w:rPr>
          <w:snapToGrid w:val="0"/>
        </w:rPr>
        <w:t> — </w:t>
      </w:r>
      <w:r>
        <w:rPr>
          <w:rStyle w:val="CharDivText"/>
        </w:rPr>
        <w:t>Miscellaneous</w:t>
      </w:r>
      <w:bookmarkEnd w:id="319"/>
      <w:bookmarkEnd w:id="320"/>
      <w:bookmarkEnd w:id="321"/>
      <w:bookmarkEnd w:id="322"/>
      <w:bookmarkEnd w:id="323"/>
    </w:p>
    <w:p>
      <w:pPr>
        <w:pStyle w:val="Heading5"/>
        <w:rPr>
          <w:snapToGrid w:val="0"/>
        </w:rPr>
      </w:pPr>
      <w:bookmarkStart w:id="324" w:name="_Toc45288747"/>
      <w:r>
        <w:rPr>
          <w:rStyle w:val="CharSectno"/>
        </w:rPr>
        <w:t>97</w:t>
      </w:r>
      <w:r>
        <w:rPr>
          <w:snapToGrid w:val="0"/>
        </w:rPr>
        <w:t>.</w:t>
      </w:r>
      <w:r>
        <w:rPr>
          <w:snapToGrid w:val="0"/>
        </w:rPr>
        <w:tab/>
      </w:r>
      <w:r>
        <w:rPr>
          <w:i/>
          <w:snapToGrid w:val="0"/>
        </w:rPr>
        <w:t>Sentence Administration Act 2003</w:t>
      </w:r>
      <w:r>
        <w:rPr>
          <w:snapToGrid w:val="0"/>
        </w:rPr>
        <w:t>, operation of</w:t>
      </w:r>
      <w:bookmarkEnd w:id="324"/>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No. 50 of 2003 s. 29(3).]</w:t>
      </w:r>
    </w:p>
    <w:p>
      <w:pPr>
        <w:pStyle w:val="Heading5"/>
      </w:pPr>
      <w:bookmarkStart w:id="325" w:name="_Toc45288748"/>
      <w:r>
        <w:rPr>
          <w:rStyle w:val="CharSectno"/>
        </w:rPr>
        <w:t>97A</w:t>
      </w:r>
      <w:r>
        <w:t>.</w:t>
      </w:r>
      <w:r>
        <w:tab/>
        <w:t xml:space="preserve">Declaration of serious violent offence for purposes of </w:t>
      </w:r>
      <w:r>
        <w:rPr>
          <w:i/>
        </w:rPr>
        <w:t>Sentence Administration Act 2003</w:t>
      </w:r>
      <w:r>
        <w:t xml:space="preserve"> Part 5A</w:t>
      </w:r>
      <w:bookmarkEnd w:id="325"/>
    </w:p>
    <w:p>
      <w:pPr>
        <w:pStyle w:val="Subsection"/>
      </w:pPr>
      <w:r>
        <w:tab/>
        <w:t>(1)</w:t>
      </w:r>
      <w:r>
        <w:tab/>
        <w:t xml:space="preserve">In this section — </w:t>
      </w:r>
    </w:p>
    <w:p>
      <w:pPr>
        <w:pStyle w:val="Defstart"/>
      </w:pPr>
      <w:r>
        <w:tab/>
      </w:r>
      <w:r>
        <w:rPr>
          <w:rStyle w:val="CharDefText"/>
        </w:rPr>
        <w:t>family relationship</w:t>
      </w:r>
      <w:r>
        <w:t xml:space="preserve"> has the meaning given in the Restraining Orders Act 1997 section 4(1);</w:t>
      </w:r>
    </w:p>
    <w:p>
      <w:pPr>
        <w:pStyle w:val="Defstart"/>
      </w:pPr>
      <w:r>
        <w:tab/>
      </w:r>
      <w:r>
        <w:rPr>
          <w:rStyle w:val="CharDefText"/>
        </w:rPr>
        <w:t>offence</w:t>
      </w:r>
      <w:r>
        <w:t xml:space="preserve"> does not include an offence specified in the </w:t>
      </w:r>
      <w:r>
        <w:rPr>
          <w:i/>
        </w:rPr>
        <w:t>Sentence Administration Act 2003</w:t>
      </w:r>
      <w:r>
        <w:t xml:space="preserve"> Schedule 4;</w:t>
      </w:r>
    </w:p>
    <w:p>
      <w:pPr>
        <w:pStyle w:val="Defstart"/>
      </w:pPr>
      <w:r>
        <w:tab/>
      </w:r>
      <w:r>
        <w:rPr>
          <w:rStyle w:val="CharDefText"/>
        </w:rPr>
        <w:t>victim</w:t>
      </w:r>
      <w:r>
        <w:t xml:space="preserve"> has the meaning given in section 13.</w:t>
      </w:r>
    </w:p>
    <w:p>
      <w:pPr>
        <w:pStyle w:val="Subsection"/>
      </w:pPr>
      <w:r>
        <w:tab/>
        <w:t>(2)</w:t>
      </w:r>
      <w:r>
        <w:tab/>
        <w:t>This section applies if a court is sentencing an offender to imprisonment for an indictable offence.</w:t>
      </w:r>
    </w:p>
    <w:p>
      <w:pPr>
        <w:pStyle w:val="Subsection"/>
      </w:pPr>
      <w:r>
        <w:tab/>
        <w:t>(3)</w:t>
      </w:r>
      <w:r>
        <w:tab/>
        <w:t xml:space="preserve">The court may, for the purposes of the </w:t>
      </w:r>
      <w:r>
        <w:rPr>
          <w:i/>
        </w:rPr>
        <w:t>Sentence Administration Act 2003</w:t>
      </w:r>
      <w:r>
        <w:t xml:space="preserve"> Part 5A, declare the offence to be a serious violent offence if the offence — </w:t>
      </w:r>
    </w:p>
    <w:p>
      <w:pPr>
        <w:pStyle w:val="Indenta"/>
      </w:pPr>
      <w:r>
        <w:tab/>
        <w:t>(a)</w:t>
      </w:r>
      <w:r>
        <w:tab/>
        <w:t>involved the use of, or counselling or procuring the use of, or conspiring or attempting to use, serious violence against another person; or</w:t>
      </w:r>
    </w:p>
    <w:p>
      <w:pPr>
        <w:pStyle w:val="Indenta"/>
      </w:pPr>
      <w:r>
        <w:tab/>
        <w:t>(b)</w:t>
      </w:r>
      <w:r>
        <w:tab/>
        <w:t>resulted in serious harm to, or the death of, another person.</w:t>
      </w:r>
    </w:p>
    <w:p>
      <w:pPr>
        <w:pStyle w:val="Subsection"/>
      </w:pPr>
      <w:r>
        <w:tab/>
        <w:t>(4)</w:t>
      </w:r>
      <w:r>
        <w:tab/>
        <w:t xml:space="preserve">The court must regard the existence of any of the following circumstances as an aggravating factor when deciding whether to make a declaration — </w:t>
      </w:r>
    </w:p>
    <w:p>
      <w:pPr>
        <w:pStyle w:val="Indenta"/>
      </w:pPr>
      <w:r>
        <w:tab/>
        <w:t>(a)</w:t>
      </w:r>
      <w:r>
        <w:tab/>
        <w:t>the offender has a history of violent offending;</w:t>
      </w:r>
    </w:p>
    <w:p>
      <w:pPr>
        <w:pStyle w:val="Indenta"/>
      </w:pPr>
      <w:r>
        <w:tab/>
        <w:t>(b)</w:t>
      </w:r>
      <w:r>
        <w:tab/>
        <w:t>the offender was in a family relationship with a victim of the offence when the offence was committed;</w:t>
      </w:r>
    </w:p>
    <w:p>
      <w:pPr>
        <w:pStyle w:val="Indenta"/>
      </w:pPr>
      <w:r>
        <w:tab/>
        <w:t>(c)</w:t>
      </w:r>
      <w:r>
        <w:tab/>
        <w:t>a victim of the offence was under 12 years of age when the offence was committed.</w:t>
      </w:r>
    </w:p>
    <w:p>
      <w:pPr>
        <w:pStyle w:val="Subsection"/>
      </w:pPr>
      <w:r>
        <w:tab/>
        <w:t>(5)</w:t>
      </w:r>
      <w:r>
        <w:tab/>
        <w:t>A declaration may be made by the court on its own initiative or on an application by the prosecutor.</w:t>
      </w:r>
    </w:p>
    <w:p>
      <w:pPr>
        <w:pStyle w:val="Footnotesection"/>
      </w:pPr>
      <w:r>
        <w:tab/>
        <w:t>[Section 97A inserted: No. 45 of 2016 s. 20; amended: No. 6 of 2017 s. 12(2)-(4).]</w:t>
      </w:r>
    </w:p>
    <w:p>
      <w:pPr>
        <w:pStyle w:val="Heading2"/>
      </w:pPr>
      <w:bookmarkStart w:id="326" w:name="_Toc45283142"/>
      <w:bookmarkStart w:id="327" w:name="_Toc45283432"/>
      <w:bookmarkStart w:id="328" w:name="_Toc45287119"/>
      <w:bookmarkStart w:id="329" w:name="_Toc45288276"/>
      <w:bookmarkStart w:id="330" w:name="_Toc45288749"/>
      <w:r>
        <w:rPr>
          <w:rStyle w:val="CharPartNo"/>
        </w:rPr>
        <w:t>Part 14</w:t>
      </w:r>
      <w:r>
        <w:rPr>
          <w:rStyle w:val="CharDivNo"/>
        </w:rPr>
        <w:t> </w:t>
      </w:r>
      <w:r>
        <w:t>—</w:t>
      </w:r>
      <w:r>
        <w:rPr>
          <w:rStyle w:val="CharDivText"/>
        </w:rPr>
        <w:t> </w:t>
      </w:r>
      <w:r>
        <w:rPr>
          <w:rStyle w:val="CharPartText"/>
        </w:rPr>
        <w:t>Indefinite imprisonment</w:t>
      </w:r>
      <w:bookmarkEnd w:id="326"/>
      <w:bookmarkEnd w:id="327"/>
      <w:bookmarkEnd w:id="328"/>
      <w:bookmarkEnd w:id="329"/>
      <w:bookmarkEnd w:id="330"/>
    </w:p>
    <w:p>
      <w:pPr>
        <w:pStyle w:val="Heading5"/>
        <w:spacing w:before="180"/>
        <w:rPr>
          <w:snapToGrid w:val="0"/>
        </w:rPr>
      </w:pPr>
      <w:bookmarkStart w:id="331" w:name="_Toc45288750"/>
      <w:r>
        <w:rPr>
          <w:rStyle w:val="CharSectno"/>
        </w:rPr>
        <w:t>98</w:t>
      </w:r>
      <w:r>
        <w:rPr>
          <w:snapToGrid w:val="0"/>
        </w:rPr>
        <w:t>.</w:t>
      </w:r>
      <w:r>
        <w:rPr>
          <w:snapToGrid w:val="0"/>
        </w:rPr>
        <w:tab/>
        <w:t>Indefinite imprisonment, superior court may impose</w:t>
      </w:r>
      <w:bookmarkEnd w:id="331"/>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 xml:space="preserve">In deciding whether an offender </w:t>
      </w:r>
      <w:r>
        <w:t>would be a danger</w:t>
      </w:r>
      <w:r>
        <w:rPr>
          <w:snapToGrid w:val="0"/>
        </w:rPr>
        <w:t xml:space="preserve"> to society, or a part of it, the court —</w:t>
      </w:r>
    </w:p>
    <w:p>
      <w:pPr>
        <w:pStyle w:val="Indenta"/>
      </w:pPr>
      <w:r>
        <w:tab/>
        <w:t>(aa)</w:t>
      </w:r>
      <w:r>
        <w:tab/>
        <w:t xml:space="preserve">is not to decide that the offender would not be a danger merely because of the possibility that an order might be made in respect of the offender under the </w:t>
      </w:r>
      <w:r>
        <w:rPr>
          <w:i/>
        </w:rPr>
        <w:t>Dangerous Sexual Offenders Act 2006</w:t>
      </w:r>
      <w:r>
        <w:t>; and</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Footnotesection"/>
      </w:pPr>
      <w:r>
        <w:tab/>
        <w:t>[Section 98 amended: No. 17 of 2016 s. 55; No. 45 of 2016 s. 76.]</w:t>
      </w:r>
    </w:p>
    <w:p>
      <w:pPr>
        <w:pStyle w:val="Heading5"/>
        <w:rPr>
          <w:snapToGrid w:val="0"/>
        </w:rPr>
      </w:pPr>
      <w:bookmarkStart w:id="332" w:name="_Toc45288751"/>
      <w:r>
        <w:rPr>
          <w:rStyle w:val="CharSectno"/>
        </w:rPr>
        <w:t>99</w:t>
      </w:r>
      <w:r>
        <w:rPr>
          <w:snapToGrid w:val="0"/>
        </w:rPr>
        <w:t>.</w:t>
      </w:r>
      <w:r>
        <w:rPr>
          <w:snapToGrid w:val="0"/>
        </w:rPr>
        <w:tab/>
        <w:t>Other terms not precluded by indefinite imprisonment</w:t>
      </w:r>
      <w:bookmarkEnd w:id="332"/>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333" w:name="_Toc45288752"/>
      <w:r>
        <w:rPr>
          <w:rStyle w:val="CharSectno"/>
        </w:rPr>
        <w:t>100</w:t>
      </w:r>
      <w:r>
        <w:rPr>
          <w:snapToGrid w:val="0"/>
        </w:rPr>
        <w:t>.</w:t>
      </w:r>
      <w:r>
        <w:rPr>
          <w:snapToGrid w:val="0"/>
        </w:rPr>
        <w:tab/>
        <w:t>When indefinite imprisonment commences</w:t>
      </w:r>
      <w:bookmarkEnd w:id="333"/>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No. 50 of 2003 s. 21.]</w:t>
      </w:r>
    </w:p>
    <w:p>
      <w:pPr>
        <w:pStyle w:val="Heading5"/>
        <w:rPr>
          <w:snapToGrid w:val="0"/>
        </w:rPr>
      </w:pPr>
      <w:bookmarkStart w:id="334" w:name="_Toc45288753"/>
      <w:r>
        <w:rPr>
          <w:rStyle w:val="CharSectno"/>
        </w:rPr>
        <w:t>101</w:t>
      </w:r>
      <w:r>
        <w:rPr>
          <w:snapToGrid w:val="0"/>
        </w:rPr>
        <w:t>.</w:t>
      </w:r>
      <w:r>
        <w:rPr>
          <w:snapToGrid w:val="0"/>
        </w:rPr>
        <w:tab/>
        <w:t>Release from indefinite imprisonment</w:t>
      </w:r>
      <w:bookmarkEnd w:id="334"/>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No. 50 of 2003 s. 29(3).]</w:t>
      </w:r>
    </w:p>
    <w:p>
      <w:pPr>
        <w:pStyle w:val="Heading2"/>
      </w:pPr>
      <w:bookmarkStart w:id="335" w:name="_Toc45283147"/>
      <w:bookmarkStart w:id="336" w:name="_Toc45283437"/>
      <w:bookmarkStart w:id="337" w:name="_Toc45287124"/>
      <w:bookmarkStart w:id="338" w:name="_Toc45288281"/>
      <w:bookmarkStart w:id="339" w:name="_Toc45288754"/>
      <w:r>
        <w:rPr>
          <w:rStyle w:val="CharPartNo"/>
        </w:rPr>
        <w:t>Part 15</w:t>
      </w:r>
      <w:r>
        <w:t> — </w:t>
      </w:r>
      <w:r>
        <w:rPr>
          <w:rStyle w:val="CharPartText"/>
        </w:rPr>
        <w:t>Other orders forming part of a sentence</w:t>
      </w:r>
      <w:bookmarkEnd w:id="335"/>
      <w:bookmarkEnd w:id="336"/>
      <w:bookmarkEnd w:id="337"/>
      <w:bookmarkEnd w:id="338"/>
      <w:bookmarkEnd w:id="339"/>
    </w:p>
    <w:p>
      <w:pPr>
        <w:pStyle w:val="Heading3"/>
      </w:pPr>
      <w:bookmarkStart w:id="340" w:name="_Toc45283148"/>
      <w:bookmarkStart w:id="341" w:name="_Toc45283438"/>
      <w:bookmarkStart w:id="342" w:name="_Toc45287125"/>
      <w:bookmarkStart w:id="343" w:name="_Toc45288282"/>
      <w:bookmarkStart w:id="344" w:name="_Toc45288755"/>
      <w:r>
        <w:rPr>
          <w:rStyle w:val="CharDivNo"/>
        </w:rPr>
        <w:t>Division 1</w:t>
      </w:r>
      <w:r>
        <w:rPr>
          <w:snapToGrid w:val="0"/>
        </w:rPr>
        <w:t> — </w:t>
      </w:r>
      <w:r>
        <w:rPr>
          <w:rStyle w:val="CharDivText"/>
        </w:rPr>
        <w:t>General matters</w:t>
      </w:r>
      <w:bookmarkEnd w:id="340"/>
      <w:bookmarkEnd w:id="341"/>
      <w:bookmarkEnd w:id="342"/>
      <w:bookmarkEnd w:id="343"/>
      <w:bookmarkEnd w:id="344"/>
    </w:p>
    <w:p>
      <w:pPr>
        <w:pStyle w:val="Heading5"/>
        <w:rPr>
          <w:snapToGrid w:val="0"/>
        </w:rPr>
      </w:pPr>
      <w:bookmarkStart w:id="345" w:name="_Toc45288756"/>
      <w:r>
        <w:rPr>
          <w:rStyle w:val="CharSectno"/>
        </w:rPr>
        <w:t>102</w:t>
      </w:r>
      <w:r>
        <w:rPr>
          <w:snapToGrid w:val="0"/>
        </w:rPr>
        <w:t>.</w:t>
      </w:r>
      <w:r>
        <w:rPr>
          <w:snapToGrid w:val="0"/>
        </w:rPr>
        <w:tab/>
        <w:t>General provisions</w:t>
      </w:r>
      <w:bookmarkEnd w:id="345"/>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346" w:name="_Toc45288757"/>
      <w:r>
        <w:rPr>
          <w:rStyle w:val="CharSectno"/>
        </w:rPr>
        <w:t>103</w:t>
      </w:r>
      <w:r>
        <w:rPr>
          <w:snapToGrid w:val="0"/>
        </w:rPr>
        <w:t>.</w:t>
      </w:r>
      <w:r>
        <w:rPr>
          <w:snapToGrid w:val="0"/>
        </w:rPr>
        <w:tab/>
        <w:t>Disqualification order, calculation of term of</w:t>
      </w:r>
      <w:bookmarkEnd w:id="346"/>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347" w:name="_Toc45288758"/>
      <w:r>
        <w:rPr>
          <w:rStyle w:val="CharSectno"/>
        </w:rPr>
        <w:t>104</w:t>
      </w:r>
      <w:r>
        <w:rPr>
          <w:snapToGrid w:val="0"/>
        </w:rPr>
        <w:t>.</w:t>
      </w:r>
      <w:r>
        <w:rPr>
          <w:snapToGrid w:val="0"/>
        </w:rPr>
        <w:tab/>
        <w:t>Disqualification may be for life</w:t>
      </w:r>
      <w:bookmarkEnd w:id="347"/>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348" w:name="_Toc45283152"/>
      <w:bookmarkStart w:id="349" w:name="_Toc45283442"/>
      <w:bookmarkStart w:id="350" w:name="_Toc45287129"/>
      <w:bookmarkStart w:id="351" w:name="_Toc45288286"/>
      <w:bookmarkStart w:id="352" w:name="_Toc45288759"/>
      <w:r>
        <w:rPr>
          <w:rStyle w:val="CharDivNo"/>
        </w:rPr>
        <w:t>Division 2</w:t>
      </w:r>
      <w:r>
        <w:rPr>
          <w:snapToGrid w:val="0"/>
        </w:rPr>
        <w:t> — </w:t>
      </w:r>
      <w:r>
        <w:rPr>
          <w:rStyle w:val="CharDivText"/>
        </w:rPr>
        <w:t>Disqualification orders</w:t>
      </w:r>
      <w:bookmarkEnd w:id="348"/>
      <w:bookmarkEnd w:id="349"/>
      <w:bookmarkEnd w:id="350"/>
      <w:bookmarkEnd w:id="351"/>
      <w:bookmarkEnd w:id="352"/>
    </w:p>
    <w:p>
      <w:pPr>
        <w:pStyle w:val="Heading5"/>
        <w:rPr>
          <w:snapToGrid w:val="0"/>
        </w:rPr>
      </w:pPr>
      <w:bookmarkStart w:id="353" w:name="_Toc45288760"/>
      <w:r>
        <w:rPr>
          <w:rStyle w:val="CharSectno"/>
        </w:rPr>
        <w:t>105</w:t>
      </w:r>
      <w:r>
        <w:rPr>
          <w:snapToGrid w:val="0"/>
        </w:rPr>
        <w:t>.</w:t>
      </w:r>
      <w:r>
        <w:rPr>
          <w:snapToGrid w:val="0"/>
        </w:rPr>
        <w:tab/>
        <w:t>Driver’s licence disqualification</w:t>
      </w:r>
      <w:bookmarkEnd w:id="353"/>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No. 76 of 1996 s. 42; No. 57 of 1999 s. 37; No. 7 of 2002 s. 64; No. 8 of 2012 s. 176.]</w:t>
      </w:r>
    </w:p>
    <w:p>
      <w:pPr>
        <w:pStyle w:val="Heading5"/>
        <w:rPr>
          <w:snapToGrid w:val="0"/>
        </w:rPr>
      </w:pPr>
      <w:bookmarkStart w:id="354" w:name="_Toc45288761"/>
      <w:r>
        <w:rPr>
          <w:rStyle w:val="CharSectno"/>
        </w:rPr>
        <w:t>106</w:t>
      </w:r>
      <w:r>
        <w:rPr>
          <w:snapToGrid w:val="0"/>
        </w:rPr>
        <w:t>.</w:t>
      </w:r>
      <w:r>
        <w:rPr>
          <w:snapToGrid w:val="0"/>
        </w:rPr>
        <w:tab/>
        <w:t>Firearms licence etc. disqualification</w:t>
      </w:r>
      <w:bookmarkEnd w:id="354"/>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No. 59 of 1996 s. 52.]</w:t>
      </w:r>
    </w:p>
    <w:p>
      <w:pPr>
        <w:pStyle w:val="Heading5"/>
        <w:spacing w:before="180"/>
        <w:rPr>
          <w:snapToGrid w:val="0"/>
        </w:rPr>
      </w:pPr>
      <w:bookmarkStart w:id="355" w:name="_Toc45288762"/>
      <w:r>
        <w:rPr>
          <w:rStyle w:val="CharSectno"/>
        </w:rPr>
        <w:t>107</w:t>
      </w:r>
      <w:r>
        <w:rPr>
          <w:snapToGrid w:val="0"/>
        </w:rPr>
        <w:t>.</w:t>
      </w:r>
      <w:r>
        <w:rPr>
          <w:snapToGrid w:val="0"/>
        </w:rPr>
        <w:tab/>
        <w:t>Marine qualification disqualification</w:t>
      </w:r>
      <w:bookmarkEnd w:id="355"/>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tab/>
        <w:t>(iv)</w:t>
      </w:r>
      <w: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No. 29 of 2008 s. 21.]</w:t>
      </w:r>
    </w:p>
    <w:p>
      <w:pPr>
        <w:pStyle w:val="Heading5"/>
        <w:rPr>
          <w:snapToGrid w:val="0"/>
        </w:rPr>
      </w:pPr>
      <w:bookmarkStart w:id="356" w:name="_Toc45288763"/>
      <w:r>
        <w:rPr>
          <w:rStyle w:val="CharSectno"/>
        </w:rPr>
        <w:t>108</w:t>
      </w:r>
      <w:r>
        <w:rPr>
          <w:snapToGrid w:val="0"/>
        </w:rPr>
        <w:t>.</w:t>
      </w:r>
      <w:r>
        <w:rPr>
          <w:snapToGrid w:val="0"/>
        </w:rPr>
        <w:tab/>
        <w:t>Passport, surrender of etc.</w:t>
      </w:r>
      <w:bookmarkEnd w:id="356"/>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No. 17 of 2014 s. 37(3) and (4).]</w:t>
      </w:r>
    </w:p>
    <w:p>
      <w:pPr>
        <w:pStyle w:val="Heading2"/>
      </w:pPr>
      <w:bookmarkStart w:id="357" w:name="_Toc45283157"/>
      <w:bookmarkStart w:id="358" w:name="_Toc45283447"/>
      <w:bookmarkStart w:id="359" w:name="_Toc45287134"/>
      <w:bookmarkStart w:id="360" w:name="_Toc45288291"/>
      <w:bookmarkStart w:id="361" w:name="_Toc45288764"/>
      <w:r>
        <w:rPr>
          <w:rStyle w:val="CharPartNo"/>
        </w:rPr>
        <w:t>Part 16</w:t>
      </w:r>
      <w:r>
        <w:t> — </w:t>
      </w:r>
      <w:r>
        <w:rPr>
          <w:rStyle w:val="CharPartText"/>
        </w:rPr>
        <w:t>Reparation orders</w:t>
      </w:r>
      <w:bookmarkEnd w:id="357"/>
      <w:bookmarkEnd w:id="358"/>
      <w:bookmarkEnd w:id="359"/>
      <w:bookmarkEnd w:id="360"/>
      <w:bookmarkEnd w:id="361"/>
    </w:p>
    <w:p>
      <w:pPr>
        <w:pStyle w:val="Heading3"/>
      </w:pPr>
      <w:bookmarkStart w:id="362" w:name="_Toc45283158"/>
      <w:bookmarkStart w:id="363" w:name="_Toc45283448"/>
      <w:bookmarkStart w:id="364" w:name="_Toc45287135"/>
      <w:bookmarkStart w:id="365" w:name="_Toc45288292"/>
      <w:bookmarkStart w:id="366" w:name="_Toc45288765"/>
      <w:r>
        <w:rPr>
          <w:rStyle w:val="CharDivNo"/>
        </w:rPr>
        <w:t>Division 1</w:t>
      </w:r>
      <w:r>
        <w:rPr>
          <w:snapToGrid w:val="0"/>
        </w:rPr>
        <w:t> — </w:t>
      </w:r>
      <w:r>
        <w:rPr>
          <w:rStyle w:val="CharDivText"/>
        </w:rPr>
        <w:t>General matters</w:t>
      </w:r>
      <w:bookmarkEnd w:id="362"/>
      <w:bookmarkEnd w:id="363"/>
      <w:bookmarkEnd w:id="364"/>
      <w:bookmarkEnd w:id="365"/>
      <w:bookmarkEnd w:id="366"/>
    </w:p>
    <w:p>
      <w:pPr>
        <w:pStyle w:val="Heading5"/>
        <w:rPr>
          <w:snapToGrid w:val="0"/>
        </w:rPr>
      </w:pPr>
      <w:bookmarkStart w:id="367" w:name="_Toc45288766"/>
      <w:r>
        <w:rPr>
          <w:rStyle w:val="CharSectno"/>
        </w:rPr>
        <w:t>109</w:t>
      </w:r>
      <w:r>
        <w:rPr>
          <w:snapToGrid w:val="0"/>
        </w:rPr>
        <w:t>.</w:t>
      </w:r>
      <w:r>
        <w:rPr>
          <w:snapToGrid w:val="0"/>
        </w:rPr>
        <w:tab/>
        <w:t>Term used: reparation order</w:t>
      </w:r>
      <w:bookmarkEnd w:id="367"/>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368" w:name="_Toc45288767"/>
      <w:r>
        <w:rPr>
          <w:rStyle w:val="CharSectno"/>
        </w:rPr>
        <w:t>110</w:t>
      </w:r>
      <w:r>
        <w:rPr>
          <w:snapToGrid w:val="0"/>
        </w:rPr>
        <w:t>.</w:t>
      </w:r>
      <w:r>
        <w:rPr>
          <w:snapToGrid w:val="0"/>
        </w:rPr>
        <w:tab/>
        <w:t>General provisions</w:t>
      </w:r>
      <w:bookmarkEnd w:id="368"/>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369" w:name="_Toc45288768"/>
      <w:r>
        <w:rPr>
          <w:rStyle w:val="CharSectno"/>
        </w:rPr>
        <w:t>111</w:t>
      </w:r>
      <w:r>
        <w:rPr>
          <w:snapToGrid w:val="0"/>
        </w:rPr>
        <w:t>.</w:t>
      </w:r>
      <w:r>
        <w:rPr>
          <w:snapToGrid w:val="0"/>
        </w:rPr>
        <w:tab/>
        <w:t>Making a reparation order</w:t>
      </w:r>
      <w:bookmarkEnd w:id="369"/>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No. 57 of 1999 s. 27.]</w:t>
      </w:r>
    </w:p>
    <w:p>
      <w:pPr>
        <w:pStyle w:val="Heading5"/>
        <w:rPr>
          <w:snapToGrid w:val="0"/>
        </w:rPr>
      </w:pPr>
      <w:bookmarkStart w:id="370" w:name="_Toc45288769"/>
      <w:r>
        <w:rPr>
          <w:rStyle w:val="CharSectno"/>
        </w:rPr>
        <w:t>112</w:t>
      </w:r>
      <w:r>
        <w:rPr>
          <w:snapToGrid w:val="0"/>
        </w:rPr>
        <w:t>.</w:t>
      </w:r>
      <w:r>
        <w:rPr>
          <w:snapToGrid w:val="0"/>
        </w:rPr>
        <w:tab/>
        <w:t>Facts relevant to making reparation order</w:t>
      </w:r>
      <w:bookmarkEnd w:id="370"/>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No. 57 of 1999 s. 28; No. 4 of 2004 s. 58; No. 59 of 2004 s. 141; No. 84 of 2004 s. 65.]</w:t>
      </w:r>
    </w:p>
    <w:p>
      <w:pPr>
        <w:pStyle w:val="Heading5"/>
        <w:rPr>
          <w:snapToGrid w:val="0"/>
        </w:rPr>
      </w:pPr>
      <w:bookmarkStart w:id="371" w:name="_Toc45288770"/>
      <w:r>
        <w:rPr>
          <w:rStyle w:val="CharSectno"/>
        </w:rPr>
        <w:t>113</w:t>
      </w:r>
      <w:r>
        <w:rPr>
          <w:snapToGrid w:val="0"/>
        </w:rPr>
        <w:t>.</w:t>
      </w:r>
      <w:r>
        <w:rPr>
          <w:snapToGrid w:val="0"/>
        </w:rPr>
        <w:tab/>
        <w:t>Victim’s behaviour and relationship relevant</w:t>
      </w:r>
      <w:bookmarkEnd w:id="371"/>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372" w:name="_Toc45288771"/>
      <w:r>
        <w:rPr>
          <w:rStyle w:val="CharSectno"/>
        </w:rPr>
        <w:t>114</w:t>
      </w:r>
      <w:r>
        <w:rPr>
          <w:snapToGrid w:val="0"/>
        </w:rPr>
        <w:t>.</w:t>
      </w:r>
      <w:r>
        <w:rPr>
          <w:snapToGrid w:val="0"/>
        </w:rPr>
        <w:tab/>
        <w:t>Civil standard of proof applies</w:t>
      </w:r>
      <w:bookmarkEnd w:id="372"/>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373" w:name="_Toc45288772"/>
      <w:r>
        <w:rPr>
          <w:rStyle w:val="CharSectno"/>
        </w:rPr>
        <w:t>114A</w:t>
      </w:r>
      <w:r>
        <w:t>.</w:t>
      </w:r>
      <w:r>
        <w:tab/>
        <w:t>Victim may appeal against refusal of reparation order</w:t>
      </w:r>
      <w:bookmarkEnd w:id="373"/>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No. 84 of 2004 s. 60.]</w:t>
      </w:r>
    </w:p>
    <w:p>
      <w:pPr>
        <w:pStyle w:val="Heading5"/>
        <w:rPr>
          <w:snapToGrid w:val="0"/>
        </w:rPr>
      </w:pPr>
      <w:bookmarkStart w:id="374" w:name="_Toc45288773"/>
      <w:r>
        <w:rPr>
          <w:rStyle w:val="CharSectno"/>
        </w:rPr>
        <w:t>115</w:t>
      </w:r>
      <w:r>
        <w:rPr>
          <w:snapToGrid w:val="0"/>
        </w:rPr>
        <w:t>.</w:t>
      </w:r>
      <w:r>
        <w:rPr>
          <w:snapToGrid w:val="0"/>
        </w:rPr>
        <w:tab/>
        <w:t>Effect of reparation order on civil proceedings etc.</w:t>
      </w:r>
      <w:bookmarkEnd w:id="374"/>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No. 57 of 1999 s. 29; No. 77 of 2003 s. 73.]</w:t>
      </w:r>
    </w:p>
    <w:p>
      <w:pPr>
        <w:pStyle w:val="Heading3"/>
      </w:pPr>
      <w:bookmarkStart w:id="375" w:name="_Toc45283167"/>
      <w:bookmarkStart w:id="376" w:name="_Toc45283457"/>
      <w:bookmarkStart w:id="377" w:name="_Toc45287144"/>
      <w:bookmarkStart w:id="378" w:name="_Toc45288301"/>
      <w:bookmarkStart w:id="379" w:name="_Toc45288774"/>
      <w:r>
        <w:rPr>
          <w:rStyle w:val="CharDivNo"/>
        </w:rPr>
        <w:t>Division 2</w:t>
      </w:r>
      <w:r>
        <w:rPr>
          <w:snapToGrid w:val="0"/>
        </w:rPr>
        <w:t> — </w:t>
      </w:r>
      <w:r>
        <w:rPr>
          <w:rStyle w:val="CharDivText"/>
        </w:rPr>
        <w:t>Compensation order</w:t>
      </w:r>
      <w:bookmarkEnd w:id="375"/>
      <w:bookmarkEnd w:id="376"/>
      <w:bookmarkEnd w:id="377"/>
      <w:bookmarkEnd w:id="378"/>
      <w:bookmarkEnd w:id="379"/>
    </w:p>
    <w:p>
      <w:pPr>
        <w:pStyle w:val="Heading5"/>
        <w:rPr>
          <w:snapToGrid w:val="0"/>
        </w:rPr>
      </w:pPr>
      <w:bookmarkStart w:id="380" w:name="_Toc45288775"/>
      <w:r>
        <w:rPr>
          <w:rStyle w:val="CharSectno"/>
        </w:rPr>
        <w:t>116</w:t>
      </w:r>
      <w:r>
        <w:rPr>
          <w:snapToGrid w:val="0"/>
        </w:rPr>
        <w:t>.</w:t>
      </w:r>
      <w:r>
        <w:rPr>
          <w:snapToGrid w:val="0"/>
        </w:rPr>
        <w:tab/>
        <w:t>Terms used</w:t>
      </w:r>
      <w:bookmarkEnd w:id="380"/>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381" w:name="_Toc45288776"/>
      <w:r>
        <w:rPr>
          <w:rStyle w:val="CharSectno"/>
        </w:rPr>
        <w:t>117</w:t>
      </w:r>
      <w:r>
        <w:rPr>
          <w:snapToGrid w:val="0"/>
        </w:rPr>
        <w:t>.</w:t>
      </w:r>
      <w:r>
        <w:rPr>
          <w:snapToGrid w:val="0"/>
        </w:rPr>
        <w:tab/>
        <w:t>Compensation order in favour of victim</w:t>
      </w:r>
      <w:bookmarkEnd w:id="381"/>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No. 57 of 1999 s. 30; No. 77 of 2003 s. 73.]</w:t>
      </w:r>
    </w:p>
    <w:p>
      <w:pPr>
        <w:pStyle w:val="Heading5"/>
        <w:rPr>
          <w:snapToGrid w:val="0"/>
        </w:rPr>
      </w:pPr>
      <w:bookmarkStart w:id="382" w:name="_Toc45288777"/>
      <w:r>
        <w:rPr>
          <w:rStyle w:val="CharSectno"/>
        </w:rPr>
        <w:t>118</w:t>
      </w:r>
      <w:r>
        <w:rPr>
          <w:snapToGrid w:val="0"/>
        </w:rPr>
        <w:t>.</w:t>
      </w:r>
      <w:r>
        <w:rPr>
          <w:snapToGrid w:val="0"/>
        </w:rPr>
        <w:tab/>
        <w:t>Compensation order in favour of third party</w:t>
      </w:r>
      <w:bookmarkEnd w:id="382"/>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383" w:name="_Toc45288778"/>
      <w:r>
        <w:rPr>
          <w:rStyle w:val="CharSectno"/>
        </w:rPr>
        <w:t>119</w:t>
      </w:r>
      <w:r>
        <w:t>.</w:t>
      </w:r>
      <w:r>
        <w:tab/>
        <w:t>Enforcing compensation order</w:t>
      </w:r>
      <w:bookmarkEnd w:id="383"/>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No. 59 of 2004 s. 141.]</w:t>
      </w:r>
    </w:p>
    <w:p>
      <w:pPr>
        <w:pStyle w:val="Heading5"/>
      </w:pPr>
      <w:bookmarkStart w:id="384" w:name="_Toc45288779"/>
      <w:r>
        <w:rPr>
          <w:rStyle w:val="CharSectno"/>
        </w:rPr>
        <w:t>119A</w:t>
      </w:r>
      <w:r>
        <w:t>.</w:t>
      </w:r>
      <w:r>
        <w:tab/>
        <w:t>Imprisonment until compensation paid, court may order</w:t>
      </w:r>
      <w:bookmarkEnd w:id="384"/>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No. 57 of 1999 s. 32.]</w:t>
      </w:r>
    </w:p>
    <w:p>
      <w:pPr>
        <w:pStyle w:val="Heading3"/>
      </w:pPr>
      <w:bookmarkStart w:id="385" w:name="_Toc45283173"/>
      <w:bookmarkStart w:id="386" w:name="_Toc45283463"/>
      <w:bookmarkStart w:id="387" w:name="_Toc45287150"/>
      <w:bookmarkStart w:id="388" w:name="_Toc45288307"/>
      <w:bookmarkStart w:id="389" w:name="_Toc45288780"/>
      <w:r>
        <w:rPr>
          <w:rStyle w:val="CharDivNo"/>
        </w:rPr>
        <w:t>Division 3</w:t>
      </w:r>
      <w:r>
        <w:rPr>
          <w:snapToGrid w:val="0"/>
        </w:rPr>
        <w:t> — </w:t>
      </w:r>
      <w:r>
        <w:rPr>
          <w:rStyle w:val="CharDivText"/>
        </w:rPr>
        <w:t>Restitution order</w:t>
      </w:r>
      <w:bookmarkEnd w:id="385"/>
      <w:bookmarkEnd w:id="386"/>
      <w:bookmarkEnd w:id="387"/>
      <w:bookmarkEnd w:id="388"/>
      <w:bookmarkEnd w:id="389"/>
    </w:p>
    <w:p>
      <w:pPr>
        <w:pStyle w:val="Heading5"/>
        <w:rPr>
          <w:snapToGrid w:val="0"/>
        </w:rPr>
      </w:pPr>
      <w:bookmarkStart w:id="390" w:name="_Toc45288781"/>
      <w:r>
        <w:rPr>
          <w:rStyle w:val="CharSectno"/>
        </w:rPr>
        <w:t>120</w:t>
      </w:r>
      <w:r>
        <w:rPr>
          <w:snapToGrid w:val="0"/>
        </w:rPr>
        <w:t>.</w:t>
      </w:r>
      <w:r>
        <w:rPr>
          <w:snapToGrid w:val="0"/>
        </w:rPr>
        <w:tab/>
        <w:t>Making restitution order</w:t>
      </w:r>
      <w:bookmarkEnd w:id="390"/>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No. 84 of 2004 s. 65.]</w:t>
      </w:r>
    </w:p>
    <w:p>
      <w:pPr>
        <w:pStyle w:val="Heading5"/>
        <w:spacing w:before="180"/>
      </w:pPr>
      <w:bookmarkStart w:id="391" w:name="_Toc45288782"/>
      <w:r>
        <w:rPr>
          <w:rStyle w:val="CharSectno"/>
        </w:rPr>
        <w:t>120A</w:t>
      </w:r>
      <w:r>
        <w:t>.</w:t>
      </w:r>
      <w:r>
        <w:tab/>
        <w:t>Enforcing restitution order, Sheriff’s powers for</w:t>
      </w:r>
      <w:bookmarkEnd w:id="391"/>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No. 57 of 1999 s. 33; amended: No. 20 of 2013 s. 131.]</w:t>
      </w:r>
    </w:p>
    <w:p>
      <w:pPr>
        <w:pStyle w:val="Heading5"/>
        <w:rPr>
          <w:snapToGrid w:val="0"/>
        </w:rPr>
      </w:pPr>
      <w:bookmarkStart w:id="392" w:name="_Toc45288783"/>
      <w:r>
        <w:rPr>
          <w:rStyle w:val="CharSectno"/>
        </w:rPr>
        <w:t>121</w:t>
      </w:r>
      <w:r>
        <w:rPr>
          <w:snapToGrid w:val="0"/>
        </w:rPr>
        <w:t>.</w:t>
      </w:r>
      <w:r>
        <w:rPr>
          <w:snapToGrid w:val="0"/>
        </w:rPr>
        <w:tab/>
        <w:t>Enforcing restitution order, court’s powers for</w:t>
      </w:r>
      <w:bookmarkEnd w:id="392"/>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No. 84 of 2004 s. 65.]</w:t>
      </w:r>
    </w:p>
    <w:p>
      <w:pPr>
        <w:pStyle w:val="Heading5"/>
        <w:rPr>
          <w:snapToGrid w:val="0"/>
        </w:rPr>
      </w:pPr>
      <w:bookmarkStart w:id="393" w:name="_Toc45288784"/>
      <w:r>
        <w:rPr>
          <w:rStyle w:val="CharSectno"/>
        </w:rPr>
        <w:t>122</w:t>
      </w:r>
      <w:r>
        <w:rPr>
          <w:snapToGrid w:val="0"/>
        </w:rPr>
        <w:t>.</w:t>
      </w:r>
      <w:r>
        <w:rPr>
          <w:snapToGrid w:val="0"/>
        </w:rPr>
        <w:tab/>
        <w:t>Non</w:t>
      </w:r>
      <w:r>
        <w:rPr>
          <w:snapToGrid w:val="0"/>
        </w:rPr>
        <w:noBreakHyphen/>
        <w:t>compliance with restitution order, offence</w:t>
      </w:r>
      <w:bookmarkEnd w:id="393"/>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394" w:name="_Toc45283178"/>
      <w:bookmarkStart w:id="395" w:name="_Toc45283468"/>
      <w:bookmarkStart w:id="396" w:name="_Toc45287155"/>
      <w:bookmarkStart w:id="397" w:name="_Toc45288312"/>
      <w:bookmarkStart w:id="398" w:name="_Toc45288785"/>
      <w:r>
        <w:rPr>
          <w:rStyle w:val="CharPartNo"/>
        </w:rPr>
        <w:t>Part 17</w:t>
      </w:r>
      <w:r>
        <w:rPr>
          <w:rStyle w:val="CharDivNo"/>
        </w:rPr>
        <w:t> </w:t>
      </w:r>
      <w:r>
        <w:t>—</w:t>
      </w:r>
      <w:r>
        <w:rPr>
          <w:rStyle w:val="CharDivText"/>
        </w:rPr>
        <w:t> </w:t>
      </w:r>
      <w:r>
        <w:rPr>
          <w:rStyle w:val="CharPartText"/>
        </w:rPr>
        <w:t>Other orders not forming part of a sentence</w:t>
      </w:r>
      <w:bookmarkEnd w:id="394"/>
      <w:bookmarkEnd w:id="395"/>
      <w:bookmarkEnd w:id="396"/>
      <w:bookmarkEnd w:id="397"/>
      <w:bookmarkEnd w:id="398"/>
    </w:p>
    <w:p>
      <w:pPr>
        <w:pStyle w:val="Heading5"/>
        <w:spacing w:before="200"/>
        <w:rPr>
          <w:snapToGrid w:val="0"/>
        </w:rPr>
      </w:pPr>
      <w:bookmarkStart w:id="399" w:name="_Toc45288786"/>
      <w:r>
        <w:rPr>
          <w:rStyle w:val="CharSectno"/>
        </w:rPr>
        <w:t>123</w:t>
      </w:r>
      <w:r>
        <w:rPr>
          <w:snapToGrid w:val="0"/>
        </w:rPr>
        <w:t>.</w:t>
      </w:r>
      <w:r>
        <w:rPr>
          <w:snapToGrid w:val="0"/>
        </w:rPr>
        <w:tab/>
        <w:t>General provisions</w:t>
      </w:r>
      <w:bookmarkEnd w:id="399"/>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400" w:name="_Toc45288787"/>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400"/>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No. 19 of 1997 s. 82.]</w:t>
      </w:r>
    </w:p>
    <w:p>
      <w:pPr>
        <w:pStyle w:val="Heading5"/>
        <w:spacing w:before="200"/>
      </w:pPr>
      <w:bookmarkStart w:id="401" w:name="_Toc45288788"/>
      <w:r>
        <w:rPr>
          <w:rStyle w:val="CharSectno"/>
        </w:rPr>
        <w:t>124A</w:t>
      </w:r>
      <w:r>
        <w:t>.</w:t>
      </w:r>
      <w:r>
        <w:tab/>
      </w:r>
      <w:r>
        <w:rPr>
          <w:i/>
        </w:rPr>
        <w:t>Community Protection (Offender Reporting) Act 2004</w:t>
      </w:r>
      <w:r>
        <w:t xml:space="preserve"> s. 13 offender reporting order, s. 123 applies to</w:t>
      </w:r>
      <w:bookmarkEnd w:id="401"/>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No. 72 of 2004 s. 116(3).]</w:t>
      </w:r>
    </w:p>
    <w:p>
      <w:pPr>
        <w:pStyle w:val="Heading5"/>
        <w:spacing w:before="200"/>
      </w:pPr>
      <w:bookmarkStart w:id="402" w:name="_Toc45288789"/>
      <w:r>
        <w:rPr>
          <w:rStyle w:val="CharSectno"/>
        </w:rPr>
        <w:t>124B</w:t>
      </w:r>
      <w:r>
        <w:t>.</w:t>
      </w:r>
      <w:r>
        <w:tab/>
      </w:r>
      <w:r>
        <w:rPr>
          <w:i/>
          <w:iCs/>
        </w:rPr>
        <w:t>Prohibited Behaviour Orders Act 2010</w:t>
      </w:r>
      <w:r>
        <w:rPr>
          <w:iCs/>
        </w:rPr>
        <w:t xml:space="preserve"> prohibited behaviour </w:t>
      </w:r>
      <w:r>
        <w:t>order, s. 123 applies to</w:t>
      </w:r>
      <w:bookmarkEnd w:id="402"/>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No. 59 of 2010 s. 51.]</w:t>
      </w:r>
    </w:p>
    <w:p>
      <w:pPr>
        <w:pStyle w:val="Heading5"/>
      </w:pPr>
      <w:bookmarkStart w:id="403" w:name="_Toc45288790"/>
      <w:r>
        <w:rPr>
          <w:rStyle w:val="CharSectno"/>
        </w:rPr>
        <w:t>124C</w:t>
      </w:r>
      <w:r>
        <w:t>.</w:t>
      </w:r>
      <w:r>
        <w:tab/>
        <w:t xml:space="preserve">Orders under </w:t>
      </w:r>
      <w:r>
        <w:rPr>
          <w:i/>
        </w:rPr>
        <w:t>Criminal Organisations Control Act 2012</w:t>
      </w:r>
      <w:bookmarkEnd w:id="403"/>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No. 49 of 2012 s. 181(3).]</w:t>
      </w:r>
    </w:p>
    <w:p>
      <w:pPr>
        <w:pStyle w:val="Heading2"/>
      </w:pPr>
      <w:bookmarkStart w:id="404" w:name="_Toc45283184"/>
      <w:bookmarkStart w:id="405" w:name="_Toc45283474"/>
      <w:bookmarkStart w:id="406" w:name="_Toc45287161"/>
      <w:bookmarkStart w:id="407" w:name="_Toc45288318"/>
      <w:bookmarkStart w:id="408" w:name="_Toc45288791"/>
      <w:r>
        <w:rPr>
          <w:rStyle w:val="CharPartNo"/>
        </w:rPr>
        <w:t>Part 18</w:t>
      </w:r>
      <w:r>
        <w:t> — </w:t>
      </w:r>
      <w:r>
        <w:rPr>
          <w:rStyle w:val="CharPartText"/>
        </w:rPr>
        <w:t>Amending and enforcing conditional release orders and community orders</w:t>
      </w:r>
      <w:bookmarkEnd w:id="404"/>
      <w:bookmarkEnd w:id="405"/>
      <w:bookmarkEnd w:id="406"/>
      <w:bookmarkEnd w:id="407"/>
      <w:bookmarkEnd w:id="408"/>
    </w:p>
    <w:p>
      <w:pPr>
        <w:pStyle w:val="Heading3"/>
      </w:pPr>
      <w:bookmarkStart w:id="409" w:name="_Toc45283185"/>
      <w:bookmarkStart w:id="410" w:name="_Toc45283475"/>
      <w:bookmarkStart w:id="411" w:name="_Toc45287162"/>
      <w:bookmarkStart w:id="412" w:name="_Toc45288319"/>
      <w:bookmarkStart w:id="413" w:name="_Toc45288792"/>
      <w:r>
        <w:rPr>
          <w:rStyle w:val="CharDivNo"/>
        </w:rPr>
        <w:t>Division 1</w:t>
      </w:r>
      <w:r>
        <w:rPr>
          <w:snapToGrid w:val="0"/>
        </w:rPr>
        <w:t> — </w:t>
      </w:r>
      <w:r>
        <w:rPr>
          <w:rStyle w:val="CharDivText"/>
        </w:rPr>
        <w:t>Preliminary</w:t>
      </w:r>
      <w:bookmarkEnd w:id="409"/>
      <w:bookmarkEnd w:id="410"/>
      <w:bookmarkEnd w:id="411"/>
      <w:bookmarkEnd w:id="412"/>
      <w:bookmarkEnd w:id="413"/>
    </w:p>
    <w:p>
      <w:pPr>
        <w:pStyle w:val="Heading5"/>
        <w:rPr>
          <w:snapToGrid w:val="0"/>
        </w:rPr>
      </w:pPr>
      <w:bookmarkStart w:id="414" w:name="_Toc45288793"/>
      <w:r>
        <w:rPr>
          <w:rStyle w:val="CharSectno"/>
        </w:rPr>
        <w:t>125</w:t>
      </w:r>
      <w:r>
        <w:rPr>
          <w:snapToGrid w:val="0"/>
        </w:rPr>
        <w:t>.</w:t>
      </w:r>
      <w:r>
        <w:rPr>
          <w:snapToGrid w:val="0"/>
        </w:rPr>
        <w:tab/>
        <w:t>Term used: requirements; and interpretation</w:t>
      </w:r>
      <w:bookmarkEnd w:id="414"/>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415" w:name="_Toc45283187"/>
      <w:bookmarkStart w:id="416" w:name="_Toc45283477"/>
      <w:bookmarkStart w:id="417" w:name="_Toc45287164"/>
      <w:bookmarkStart w:id="418" w:name="_Toc45288321"/>
      <w:bookmarkStart w:id="419" w:name="_Toc45288794"/>
      <w:r>
        <w:rPr>
          <w:rStyle w:val="CharDivNo"/>
        </w:rPr>
        <w:t>Division 2</w:t>
      </w:r>
      <w:r>
        <w:rPr>
          <w:snapToGrid w:val="0"/>
        </w:rPr>
        <w:t> — </w:t>
      </w:r>
      <w:r>
        <w:rPr>
          <w:rStyle w:val="CharDivText"/>
        </w:rPr>
        <w:t>Amending or cancelling conditional release orders and community orders</w:t>
      </w:r>
      <w:bookmarkEnd w:id="415"/>
      <w:bookmarkEnd w:id="416"/>
      <w:bookmarkEnd w:id="417"/>
      <w:bookmarkEnd w:id="418"/>
      <w:bookmarkEnd w:id="419"/>
    </w:p>
    <w:p>
      <w:pPr>
        <w:pStyle w:val="Heading5"/>
        <w:spacing w:before="180"/>
        <w:rPr>
          <w:snapToGrid w:val="0"/>
        </w:rPr>
      </w:pPr>
      <w:bookmarkStart w:id="420" w:name="_Toc45288795"/>
      <w:r>
        <w:rPr>
          <w:rStyle w:val="CharSectno"/>
        </w:rPr>
        <w:t>126</w:t>
      </w:r>
      <w:r>
        <w:rPr>
          <w:snapToGrid w:val="0"/>
        </w:rPr>
        <w:t>.</w:t>
      </w:r>
      <w:r>
        <w:rPr>
          <w:snapToGrid w:val="0"/>
        </w:rPr>
        <w:tab/>
        <w:t>Application to amend or cancel</w:t>
      </w:r>
      <w:bookmarkEnd w:id="420"/>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No. 59 of 2004 s. 141.]</w:t>
      </w:r>
    </w:p>
    <w:p>
      <w:pPr>
        <w:pStyle w:val="Heading5"/>
        <w:rPr>
          <w:snapToGrid w:val="0"/>
        </w:rPr>
      </w:pPr>
      <w:bookmarkStart w:id="421" w:name="_Toc45288796"/>
      <w:r>
        <w:rPr>
          <w:rStyle w:val="CharSectno"/>
        </w:rPr>
        <w:t>127</w:t>
      </w:r>
      <w:r>
        <w:rPr>
          <w:snapToGrid w:val="0"/>
        </w:rPr>
        <w:t>.</w:t>
      </w:r>
      <w:r>
        <w:rPr>
          <w:snapToGrid w:val="0"/>
        </w:rPr>
        <w:tab/>
        <w:t>Court may confirm, amend or cancel</w:t>
      </w:r>
      <w:bookmarkEnd w:id="421"/>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422" w:name="_Toc45283190"/>
      <w:bookmarkStart w:id="423" w:name="_Toc45283480"/>
      <w:bookmarkStart w:id="424" w:name="_Toc45287167"/>
      <w:bookmarkStart w:id="425" w:name="_Toc45288324"/>
      <w:bookmarkStart w:id="426" w:name="_Toc45288797"/>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422"/>
      <w:bookmarkEnd w:id="423"/>
      <w:bookmarkEnd w:id="424"/>
      <w:bookmarkEnd w:id="425"/>
      <w:bookmarkEnd w:id="426"/>
    </w:p>
    <w:p>
      <w:pPr>
        <w:pStyle w:val="Heading5"/>
        <w:rPr>
          <w:snapToGrid w:val="0"/>
        </w:rPr>
      </w:pPr>
      <w:bookmarkStart w:id="427" w:name="_Toc45288798"/>
      <w:r>
        <w:rPr>
          <w:rStyle w:val="CharSectno"/>
        </w:rPr>
        <w:t>128</w:t>
      </w:r>
      <w:r>
        <w:rPr>
          <w:snapToGrid w:val="0"/>
        </w:rPr>
        <w:t>.</w:t>
      </w:r>
      <w:r>
        <w:rPr>
          <w:snapToGrid w:val="0"/>
        </w:rPr>
        <w:tab/>
        <w:t>Re</w:t>
      </w:r>
      <w:r>
        <w:rPr>
          <w:snapToGrid w:val="0"/>
        </w:rPr>
        <w:noBreakHyphen/>
        <w:t>offender may be dealt with or committed</w:t>
      </w:r>
      <w:bookmarkEnd w:id="427"/>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No. 59 of 2004 s. 141; No. 84 of 2004 s. 65.]</w:t>
      </w:r>
    </w:p>
    <w:p>
      <w:pPr>
        <w:pStyle w:val="Heading5"/>
        <w:spacing w:before="180"/>
      </w:pPr>
      <w:bookmarkStart w:id="428" w:name="_Toc45288799"/>
      <w:r>
        <w:rPr>
          <w:rStyle w:val="CharSectno"/>
        </w:rPr>
        <w:t>129</w:t>
      </w:r>
      <w:r>
        <w:t>.</w:t>
      </w:r>
      <w:r>
        <w:tab/>
        <w:t>Re</w:t>
      </w:r>
      <w:r>
        <w:noBreakHyphen/>
        <w:t>offending, alleging in court</w:t>
      </w:r>
      <w:bookmarkEnd w:id="428"/>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No. 84 of 2004 s. 61; amended: No. 65 of 2006 s. 49.]</w:t>
      </w:r>
    </w:p>
    <w:p>
      <w:pPr>
        <w:pStyle w:val="Heading5"/>
        <w:spacing w:before="180"/>
        <w:rPr>
          <w:snapToGrid w:val="0"/>
        </w:rPr>
      </w:pPr>
      <w:bookmarkStart w:id="429" w:name="_Toc45288800"/>
      <w:r>
        <w:rPr>
          <w:rStyle w:val="CharSectno"/>
        </w:rPr>
        <w:t>130</w:t>
      </w:r>
      <w:r>
        <w:rPr>
          <w:snapToGrid w:val="0"/>
        </w:rPr>
        <w:t>.</w:t>
      </w:r>
      <w:r>
        <w:rPr>
          <w:snapToGrid w:val="0"/>
        </w:rPr>
        <w:tab/>
        <w:t>How re</w:t>
      </w:r>
      <w:r>
        <w:rPr>
          <w:snapToGrid w:val="0"/>
        </w:rPr>
        <w:noBreakHyphen/>
        <w:t>offender may be dealt with</w:t>
      </w:r>
      <w:bookmarkEnd w:id="429"/>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430" w:name="_Toc45283194"/>
      <w:bookmarkStart w:id="431" w:name="_Toc45283484"/>
      <w:bookmarkStart w:id="432" w:name="_Toc45287171"/>
      <w:bookmarkStart w:id="433" w:name="_Toc45288328"/>
      <w:bookmarkStart w:id="434" w:name="_Toc45288801"/>
      <w:r>
        <w:rPr>
          <w:rStyle w:val="CharDivNo"/>
        </w:rPr>
        <w:t>Division 4</w:t>
      </w:r>
      <w:r>
        <w:rPr>
          <w:snapToGrid w:val="0"/>
        </w:rPr>
        <w:t> — </w:t>
      </w:r>
      <w:r>
        <w:rPr>
          <w:rStyle w:val="CharDivText"/>
        </w:rPr>
        <w:t>Breaching a conditional release order or a community order</w:t>
      </w:r>
      <w:bookmarkEnd w:id="430"/>
      <w:bookmarkEnd w:id="431"/>
      <w:bookmarkEnd w:id="432"/>
      <w:bookmarkEnd w:id="433"/>
      <w:bookmarkEnd w:id="434"/>
    </w:p>
    <w:p>
      <w:pPr>
        <w:pStyle w:val="Heading5"/>
        <w:rPr>
          <w:snapToGrid w:val="0"/>
        </w:rPr>
      </w:pPr>
      <w:bookmarkStart w:id="435" w:name="_Toc45288802"/>
      <w:r>
        <w:rPr>
          <w:rStyle w:val="CharSectno"/>
        </w:rPr>
        <w:t>131</w:t>
      </w:r>
      <w:r>
        <w:rPr>
          <w:snapToGrid w:val="0"/>
        </w:rPr>
        <w:t>.</w:t>
      </w:r>
      <w:r>
        <w:rPr>
          <w:snapToGrid w:val="0"/>
        </w:rPr>
        <w:tab/>
        <w:t>Breach of requirement, offence</w:t>
      </w:r>
      <w:bookmarkEnd w:id="435"/>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No. 59 of 2004 s. 141; No. 84 of 2004 s. 62 and 65; No. 65 of 2006 s. 49.]</w:t>
      </w:r>
    </w:p>
    <w:p>
      <w:pPr>
        <w:pStyle w:val="Heading5"/>
        <w:spacing w:before="180"/>
        <w:rPr>
          <w:snapToGrid w:val="0"/>
        </w:rPr>
      </w:pPr>
      <w:bookmarkStart w:id="436" w:name="_Toc45288803"/>
      <w:r>
        <w:rPr>
          <w:rStyle w:val="CharSectno"/>
        </w:rPr>
        <w:t>132</w:t>
      </w:r>
      <w:r>
        <w:rPr>
          <w:snapToGrid w:val="0"/>
        </w:rPr>
        <w:t>.</w:t>
      </w:r>
      <w:r>
        <w:rPr>
          <w:snapToGrid w:val="0"/>
        </w:rPr>
        <w:tab/>
        <w:t>Offence under s. 131, procedure and penalty for</w:t>
      </w:r>
      <w:bookmarkEnd w:id="436"/>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No. 59 of 2004 s. 141.]</w:t>
      </w:r>
    </w:p>
    <w:p>
      <w:pPr>
        <w:pStyle w:val="Heading5"/>
        <w:rPr>
          <w:snapToGrid w:val="0"/>
        </w:rPr>
      </w:pPr>
      <w:bookmarkStart w:id="437" w:name="_Toc45288804"/>
      <w:r>
        <w:rPr>
          <w:rStyle w:val="CharSectno"/>
        </w:rPr>
        <w:t>133</w:t>
      </w:r>
      <w:r>
        <w:rPr>
          <w:snapToGrid w:val="0"/>
        </w:rPr>
        <w:t>.</w:t>
      </w:r>
      <w:r>
        <w:rPr>
          <w:snapToGrid w:val="0"/>
        </w:rPr>
        <w:tab/>
        <w:t>Additional powers to deal with s. 131 offender</w:t>
      </w:r>
      <w:bookmarkEnd w:id="437"/>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438" w:name="_Toc45283198"/>
      <w:bookmarkStart w:id="439" w:name="_Toc45283488"/>
      <w:bookmarkStart w:id="440" w:name="_Toc45287175"/>
      <w:bookmarkStart w:id="441" w:name="_Toc45288332"/>
      <w:bookmarkStart w:id="442" w:name="_Toc45288805"/>
      <w:r>
        <w:rPr>
          <w:rStyle w:val="CharDivNo"/>
        </w:rPr>
        <w:t>Division 5</w:t>
      </w:r>
      <w:r>
        <w:rPr>
          <w:snapToGrid w:val="0"/>
        </w:rPr>
        <w:t> — </w:t>
      </w:r>
      <w:r>
        <w:rPr>
          <w:rStyle w:val="CharDivText"/>
        </w:rPr>
        <w:t>Miscellaneous</w:t>
      </w:r>
      <w:bookmarkEnd w:id="438"/>
      <w:bookmarkEnd w:id="439"/>
      <w:bookmarkEnd w:id="440"/>
      <w:bookmarkEnd w:id="441"/>
      <w:bookmarkEnd w:id="442"/>
    </w:p>
    <w:p>
      <w:pPr>
        <w:pStyle w:val="Heading5"/>
        <w:rPr>
          <w:snapToGrid w:val="0"/>
        </w:rPr>
      </w:pPr>
      <w:bookmarkStart w:id="443" w:name="_Toc45288806"/>
      <w:r>
        <w:rPr>
          <w:rStyle w:val="CharSectno"/>
        </w:rPr>
        <w:t>134</w:t>
      </w:r>
      <w:r>
        <w:rPr>
          <w:snapToGrid w:val="0"/>
        </w:rPr>
        <w:t>.</w:t>
      </w:r>
      <w:r>
        <w:rPr>
          <w:snapToGrid w:val="0"/>
        </w:rPr>
        <w:tab/>
        <w:t>Facilitation of proof</w:t>
      </w:r>
      <w:bookmarkEnd w:id="443"/>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No. 65 of 2006 s. 49.]</w:t>
      </w:r>
    </w:p>
    <w:p>
      <w:pPr>
        <w:pStyle w:val="Heading5"/>
        <w:rPr>
          <w:snapToGrid w:val="0"/>
        </w:rPr>
      </w:pPr>
      <w:bookmarkStart w:id="444" w:name="_Toc45288807"/>
      <w:r>
        <w:rPr>
          <w:rStyle w:val="CharSectno"/>
        </w:rPr>
        <w:t>135</w:t>
      </w:r>
      <w:r>
        <w:rPr>
          <w:snapToGrid w:val="0"/>
        </w:rPr>
        <w:t>.</w:t>
      </w:r>
      <w:r>
        <w:rPr>
          <w:snapToGrid w:val="0"/>
        </w:rPr>
        <w:tab/>
        <w:t>Compliance with CRO or community order to be taken into account</w:t>
      </w:r>
      <w:bookmarkEnd w:id="444"/>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445" w:name="_Toc45288808"/>
      <w:r>
        <w:rPr>
          <w:rStyle w:val="CharSectno"/>
        </w:rPr>
        <w:t>136</w:t>
      </w:r>
      <w:r>
        <w:rPr>
          <w:snapToGrid w:val="0"/>
        </w:rPr>
        <w:t>.</w:t>
      </w:r>
      <w:r>
        <w:rPr>
          <w:snapToGrid w:val="0"/>
        </w:rPr>
        <w:tab/>
        <w:t>Re</w:t>
      </w:r>
      <w:r>
        <w:rPr>
          <w:snapToGrid w:val="0"/>
        </w:rPr>
        <w:noBreakHyphen/>
        <w:t>sentencing, court’s powers for</w:t>
      </w:r>
      <w:bookmarkEnd w:id="445"/>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3"/>
      </w:pPr>
      <w:bookmarkStart w:id="446" w:name="_Toc45283202"/>
      <w:bookmarkStart w:id="447" w:name="_Toc45283492"/>
      <w:bookmarkStart w:id="448" w:name="_Toc45287179"/>
      <w:bookmarkStart w:id="449" w:name="_Toc45288336"/>
      <w:bookmarkStart w:id="450" w:name="_Toc45288809"/>
      <w:r>
        <w:rPr>
          <w:rStyle w:val="CharDivNo"/>
        </w:rPr>
        <w:t>Division 6</w:t>
      </w:r>
      <w:r>
        <w:t> — </w:t>
      </w:r>
      <w:r>
        <w:rPr>
          <w:rStyle w:val="CharDivText"/>
        </w:rPr>
        <w:t>Functions of speciality courts</w:t>
      </w:r>
      <w:bookmarkEnd w:id="446"/>
      <w:bookmarkEnd w:id="447"/>
      <w:bookmarkEnd w:id="448"/>
      <w:bookmarkEnd w:id="449"/>
      <w:bookmarkEnd w:id="450"/>
    </w:p>
    <w:p>
      <w:pPr>
        <w:pStyle w:val="Footnoteheading"/>
      </w:pPr>
      <w:r>
        <w:tab/>
        <w:t>[Heading inserted: No. 45 of 2016 s. 77.]</w:t>
      </w:r>
    </w:p>
    <w:p>
      <w:pPr>
        <w:pStyle w:val="Heading5"/>
      </w:pPr>
      <w:bookmarkStart w:id="451" w:name="_Toc45288810"/>
      <w:r>
        <w:rPr>
          <w:rStyle w:val="CharSectno"/>
        </w:rPr>
        <w:t>136A</w:t>
      </w:r>
      <w:r>
        <w:t>.</w:t>
      </w:r>
      <w:r>
        <w:tab/>
        <w:t>Application of Division</w:t>
      </w:r>
      <w:bookmarkEnd w:id="451"/>
    </w:p>
    <w:p>
      <w:pPr>
        <w:pStyle w:val="Subsection"/>
      </w:pPr>
      <w:r>
        <w:tab/>
      </w:r>
      <w:r>
        <w:tab/>
        <w:t>This Division applies if —</w:t>
      </w:r>
    </w:p>
    <w:p>
      <w:pPr>
        <w:pStyle w:val="Indenta"/>
      </w:pPr>
      <w:r>
        <w:tab/>
        <w:t>(a)</w:t>
      </w:r>
      <w:r>
        <w:tab/>
        <w:t>the court that imposes a community order on an offender is a speciality court; or</w:t>
      </w:r>
    </w:p>
    <w:p>
      <w:pPr>
        <w:pStyle w:val="Indenta"/>
      </w:pPr>
      <w:r>
        <w:tab/>
        <w:t>(b)</w:t>
      </w:r>
      <w:r>
        <w:tab/>
        <w:t>an offender is committed for trial or sentence for an offence to a superior court by a speciality court and a community order is imposed on the offender by the superior court and the superior court orders that this Division is to apply.</w:t>
      </w:r>
    </w:p>
    <w:p>
      <w:pPr>
        <w:pStyle w:val="Footnotesection"/>
      </w:pPr>
      <w:r>
        <w:tab/>
        <w:t>[Section 136A inserted: No. 45 of 2016 s. 77.]</w:t>
      </w:r>
    </w:p>
    <w:p>
      <w:pPr>
        <w:pStyle w:val="Heading5"/>
      </w:pPr>
      <w:bookmarkStart w:id="452" w:name="_Toc45288811"/>
      <w:r>
        <w:rPr>
          <w:rStyle w:val="CharSectno"/>
        </w:rPr>
        <w:t>136B</w:t>
      </w:r>
      <w:r>
        <w:t>.</w:t>
      </w:r>
      <w:r>
        <w:tab/>
        <w:t>Term used: court</w:t>
      </w:r>
      <w:bookmarkEnd w:id="452"/>
    </w:p>
    <w:p>
      <w:pPr>
        <w:pStyle w:val="Subsection"/>
      </w:pPr>
      <w:r>
        <w:tab/>
      </w:r>
      <w:r>
        <w:tab/>
        <w:t>In this Division —</w:t>
      </w:r>
    </w:p>
    <w:p>
      <w:pPr>
        <w:pStyle w:val="Defstart"/>
      </w:pPr>
      <w:r>
        <w:rPr>
          <w:b/>
        </w:rPr>
        <w:tab/>
      </w:r>
      <w:r>
        <w:rPr>
          <w:rStyle w:val="CharDefText"/>
        </w:rPr>
        <w:t>court</w:t>
      </w:r>
      <w:r>
        <w:t xml:space="preserve"> means a speciality court and includes a superior court referred to in section 136A(b).</w:t>
      </w:r>
    </w:p>
    <w:p>
      <w:pPr>
        <w:pStyle w:val="Footnotesection"/>
      </w:pPr>
      <w:r>
        <w:tab/>
        <w:t>[Section 136B inserted: No. 45 of 2016 s. 77.]</w:t>
      </w:r>
    </w:p>
    <w:p>
      <w:pPr>
        <w:pStyle w:val="Heading5"/>
      </w:pPr>
      <w:bookmarkStart w:id="453" w:name="_Toc45288812"/>
      <w:r>
        <w:rPr>
          <w:rStyle w:val="CharSectno"/>
        </w:rPr>
        <w:t>136C</w:t>
      </w:r>
      <w:r>
        <w:t>.</w:t>
      </w:r>
      <w:r>
        <w:tab/>
        <w:t>Court may direct offender on community order to appear</w:t>
      </w:r>
      <w:bookmarkEnd w:id="453"/>
    </w:p>
    <w:p>
      <w:pPr>
        <w:pStyle w:val="Subsection"/>
      </w:pPr>
      <w:r>
        <w:tab/>
        <w:t>(1)</w:t>
      </w:r>
      <w:r>
        <w:tab/>
        <w:t>The court may order that the offender appear or reappear before the court after the imposition of the community order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court may amend a community order.</w:t>
      </w:r>
    </w:p>
    <w:p>
      <w:pPr>
        <w:pStyle w:val="Footnotesection"/>
      </w:pPr>
      <w:r>
        <w:tab/>
        <w:t>[Section 136C inserted: No. 45 of 2016 s. 77.]</w:t>
      </w:r>
    </w:p>
    <w:p>
      <w:pPr>
        <w:pStyle w:val="Heading5"/>
      </w:pPr>
      <w:bookmarkStart w:id="454" w:name="_Toc45288813"/>
      <w:r>
        <w:rPr>
          <w:rStyle w:val="CharSectno"/>
        </w:rPr>
        <w:t>136D</w:t>
      </w:r>
      <w:r>
        <w:t>.</w:t>
      </w:r>
      <w:r>
        <w:tab/>
        <w:t>Court to deal with re</w:t>
      </w:r>
      <w:r>
        <w:noBreakHyphen/>
        <w:t>offender</w:t>
      </w:r>
      <w:bookmarkEnd w:id="454"/>
    </w:p>
    <w:p>
      <w:pPr>
        <w:pStyle w:val="Subsection"/>
      </w:pPr>
      <w:r>
        <w:tab/>
        <w:t>(1)</w:t>
      </w:r>
      <w:r>
        <w:tab/>
        <w:t>If this Division applies and a court other than the court convicts the offender of an offence as referred to in section 128, that court must commit the offender to the court and the court must deal with the offender under section 130.</w:t>
      </w:r>
    </w:p>
    <w:p>
      <w:pPr>
        <w:pStyle w:val="Subsection"/>
      </w:pPr>
      <w:r>
        <w:tab/>
        <w:t>(2)</w:t>
      </w:r>
      <w:r>
        <w:tab/>
        <w:t>Section 128(2) to (4) apply for the purposes of subsection (1).</w:t>
      </w:r>
    </w:p>
    <w:p>
      <w:pPr>
        <w:pStyle w:val="Subsection"/>
      </w:pPr>
      <w:r>
        <w:tab/>
        <w:t>(3)</w:t>
      </w:r>
      <w:r>
        <w:tab/>
        <w:t>If this Division applies, a notice under section 129(1) must be lodged with the court and a summons or warrant issued under section 129 must direct the offender to appear or be brought before the court.</w:t>
      </w:r>
    </w:p>
    <w:p>
      <w:pPr>
        <w:pStyle w:val="Footnotesection"/>
      </w:pPr>
      <w:r>
        <w:tab/>
        <w:t>[Section 136D inserted: No. 45 of 2016 s. 77.]</w:t>
      </w:r>
    </w:p>
    <w:p>
      <w:pPr>
        <w:pStyle w:val="Heading5"/>
      </w:pPr>
      <w:bookmarkStart w:id="455" w:name="_Toc45288814"/>
      <w:r>
        <w:rPr>
          <w:rStyle w:val="CharSectno"/>
        </w:rPr>
        <w:t>136E</w:t>
      </w:r>
      <w:r>
        <w:t>.</w:t>
      </w:r>
      <w:r>
        <w:tab/>
        <w:t>Court to deal with application to amend or cancel community order</w:t>
      </w:r>
      <w:bookmarkEnd w:id="455"/>
    </w:p>
    <w:p>
      <w:pPr>
        <w:pStyle w:val="Subsection"/>
      </w:pPr>
      <w:r>
        <w:tab/>
      </w:r>
      <w:r>
        <w:tab/>
        <w:t>If this Division applies, an application under section 126 is to be made to the court.</w:t>
      </w:r>
    </w:p>
    <w:p>
      <w:pPr>
        <w:pStyle w:val="Footnotesection"/>
      </w:pPr>
      <w:r>
        <w:tab/>
        <w:t>[Section 136E inserted: No. 45 of 2016 s. 77.]</w:t>
      </w:r>
    </w:p>
    <w:p>
      <w:pPr>
        <w:pStyle w:val="Heading5"/>
      </w:pPr>
      <w:bookmarkStart w:id="456" w:name="_Toc45288815"/>
      <w:r>
        <w:rPr>
          <w:rStyle w:val="CharSectno"/>
        </w:rPr>
        <w:t>136F</w:t>
      </w:r>
      <w:r>
        <w:t>.</w:t>
      </w:r>
      <w:r>
        <w:tab/>
        <w:t>Court to deal with proceedings for breaches</w:t>
      </w:r>
      <w:bookmarkEnd w:id="456"/>
    </w:p>
    <w:p>
      <w:pPr>
        <w:pStyle w:val="Subsection"/>
      </w:pPr>
      <w:r>
        <w:tab/>
      </w:r>
      <w:r>
        <w:tab/>
        <w:t>If this Division applies, a prosecution for an offence against section 131(1) is to be commenced in, and heard and determined by, the court and, if the offender is convicted, the court must deal with the offender under sections 132 and 133.</w:t>
      </w:r>
    </w:p>
    <w:p>
      <w:pPr>
        <w:pStyle w:val="Footnotesection"/>
      </w:pPr>
      <w:r>
        <w:tab/>
        <w:t>[Section 136F inserted: No. 45 of 2016 s. 77.]</w:t>
      </w:r>
    </w:p>
    <w:p>
      <w:pPr>
        <w:pStyle w:val="Heading2"/>
      </w:pPr>
      <w:bookmarkStart w:id="457" w:name="_Toc45283209"/>
      <w:bookmarkStart w:id="458" w:name="_Toc45283499"/>
      <w:bookmarkStart w:id="459" w:name="_Toc45287186"/>
      <w:bookmarkStart w:id="460" w:name="_Toc45288343"/>
      <w:bookmarkStart w:id="461" w:name="_Toc45288816"/>
      <w:r>
        <w:rPr>
          <w:rStyle w:val="CharPartNo"/>
        </w:rPr>
        <w:t>Part 18A</w:t>
      </w:r>
      <w:r>
        <w:rPr>
          <w:rStyle w:val="CharDivNo"/>
        </w:rPr>
        <w:t> </w:t>
      </w:r>
      <w:r>
        <w:t>—</w:t>
      </w:r>
      <w:r>
        <w:rPr>
          <w:rStyle w:val="CharDivText"/>
        </w:rPr>
        <w:t> </w:t>
      </w:r>
      <w:r>
        <w:rPr>
          <w:rStyle w:val="CharPartText"/>
        </w:rPr>
        <w:t>Review of conditional orders</w:t>
      </w:r>
      <w:bookmarkEnd w:id="457"/>
      <w:bookmarkEnd w:id="458"/>
      <w:bookmarkEnd w:id="459"/>
      <w:bookmarkEnd w:id="460"/>
      <w:bookmarkEnd w:id="461"/>
    </w:p>
    <w:p>
      <w:pPr>
        <w:pStyle w:val="Footnoteheading"/>
      </w:pPr>
      <w:r>
        <w:tab/>
        <w:t>[Heading inserted: No. 45 of 2016 s. 78.]</w:t>
      </w:r>
    </w:p>
    <w:p>
      <w:pPr>
        <w:pStyle w:val="Heading5"/>
      </w:pPr>
      <w:bookmarkStart w:id="462" w:name="_Toc45288817"/>
      <w:r>
        <w:rPr>
          <w:rStyle w:val="CharSectno"/>
        </w:rPr>
        <w:t>136G</w:t>
      </w:r>
      <w:r>
        <w:t>.</w:t>
      </w:r>
      <w:r>
        <w:tab/>
        <w:t>Terms used</w:t>
      </w:r>
      <w:bookmarkEnd w:id="462"/>
    </w:p>
    <w:p>
      <w:pPr>
        <w:pStyle w:val="Subsection"/>
      </w:pPr>
      <w:r>
        <w:tab/>
      </w:r>
      <w:r>
        <w:tab/>
        <w:t xml:space="preserve">In this Part — </w:t>
      </w:r>
    </w:p>
    <w:p>
      <w:pPr>
        <w:pStyle w:val="Defstart"/>
      </w:pPr>
      <w:r>
        <w:tab/>
      </w:r>
      <w:r>
        <w:rPr>
          <w:rStyle w:val="CharDefText"/>
        </w:rPr>
        <w:t>CEO</w:t>
      </w:r>
      <w:r>
        <w:t xml:space="preserve"> means — </w:t>
      </w:r>
    </w:p>
    <w:p>
      <w:pPr>
        <w:pStyle w:val="Defpara"/>
      </w:pPr>
      <w:r>
        <w:tab/>
        <w:t>(a)</w:t>
      </w:r>
      <w:r>
        <w:tab/>
        <w:t>in relation to a CRO — the CEO (DOTAG);</w:t>
      </w:r>
    </w:p>
    <w:p>
      <w:pPr>
        <w:pStyle w:val="Defpara"/>
      </w:pPr>
      <w:r>
        <w:tab/>
        <w:t>(b)</w:t>
      </w:r>
      <w:r>
        <w:tab/>
        <w:t>in relation to a CSI, ISO or PSO — the CEO (corrections);</w:t>
      </w:r>
    </w:p>
    <w:p>
      <w:pPr>
        <w:pStyle w:val="Defstart"/>
      </w:pPr>
      <w:r>
        <w:tab/>
      </w:r>
      <w:r>
        <w:rPr>
          <w:rStyle w:val="CharDefText"/>
        </w:rPr>
        <w:t>conditional order</w:t>
      </w:r>
      <w:r>
        <w:t xml:space="preserve"> means any of the following — </w:t>
      </w:r>
    </w:p>
    <w:p>
      <w:pPr>
        <w:pStyle w:val="Defpara"/>
      </w:pPr>
      <w:r>
        <w:tab/>
        <w:t>(a)</w:t>
      </w:r>
      <w:r>
        <w:tab/>
        <w:t>a CRO;</w:t>
      </w:r>
    </w:p>
    <w:p>
      <w:pPr>
        <w:pStyle w:val="Defpara"/>
      </w:pPr>
      <w:r>
        <w:tab/>
        <w:t>(b)</w:t>
      </w:r>
      <w:r>
        <w:tab/>
        <w:t>a CSI;</w:t>
      </w:r>
    </w:p>
    <w:p>
      <w:pPr>
        <w:pStyle w:val="Defpara"/>
      </w:pPr>
      <w:r>
        <w:tab/>
        <w:t>(c)</w:t>
      </w:r>
      <w:r>
        <w:tab/>
        <w:t>an ISO;</w:t>
      </w:r>
    </w:p>
    <w:p>
      <w:pPr>
        <w:pStyle w:val="Defpara"/>
      </w:pPr>
      <w:r>
        <w:tab/>
        <w:t>(d)</w:t>
      </w:r>
      <w:r>
        <w:tab/>
        <w:t>a PSO.</w:t>
      </w:r>
    </w:p>
    <w:p>
      <w:pPr>
        <w:pStyle w:val="Footnotesection"/>
      </w:pPr>
      <w:r>
        <w:tab/>
        <w:t>[Section 136G inserted: No. 45 of 2016 s. 78.]</w:t>
      </w:r>
    </w:p>
    <w:p>
      <w:pPr>
        <w:pStyle w:val="Heading5"/>
      </w:pPr>
      <w:bookmarkStart w:id="463" w:name="_Toc45288818"/>
      <w:r>
        <w:rPr>
          <w:rStyle w:val="CharSectno"/>
        </w:rPr>
        <w:t>136H</w:t>
      </w:r>
      <w:r>
        <w:t>.</w:t>
      </w:r>
      <w:r>
        <w:tab/>
        <w:t>Application to review</w:t>
      </w:r>
      <w:bookmarkEnd w:id="463"/>
    </w:p>
    <w:p>
      <w:pPr>
        <w:pStyle w:val="Subsection"/>
      </w:pPr>
      <w:r>
        <w:tab/>
        <w:t>(1)</w:t>
      </w:r>
      <w:r>
        <w:tab/>
        <w:t>The CEO may apply to a court to review a conditional order if the CEO is of the opinion that the offender subject to the order might not be able to comply with its requirements.</w:t>
      </w:r>
    </w:p>
    <w:p>
      <w:pPr>
        <w:pStyle w:val="Subsection"/>
      </w:pPr>
      <w:r>
        <w:tab/>
        <w:t>(2)</w:t>
      </w:r>
      <w:r>
        <w:tab/>
        <w:t>The application must be made to the court that imposed the conditional order.</w:t>
      </w:r>
    </w:p>
    <w:p>
      <w:pPr>
        <w:pStyle w:val="Subsection"/>
      </w:pPr>
      <w:r>
        <w:tab/>
        <w:t>(3)</w:t>
      </w:r>
      <w:r>
        <w:tab/>
        <w:t>The application must be made in accordance with the regulations.</w:t>
      </w:r>
    </w:p>
    <w:p>
      <w:pPr>
        <w:pStyle w:val="Footnotesection"/>
      </w:pPr>
      <w:r>
        <w:tab/>
        <w:t>[Section 136H inserted: No. 45 of 2016 s. 78.]</w:t>
      </w:r>
    </w:p>
    <w:p>
      <w:pPr>
        <w:pStyle w:val="Heading5"/>
      </w:pPr>
      <w:bookmarkStart w:id="464" w:name="_Toc45288819"/>
      <w:r>
        <w:rPr>
          <w:rStyle w:val="CharSectno"/>
        </w:rPr>
        <w:t>136I</w:t>
      </w:r>
      <w:r>
        <w:t>.</w:t>
      </w:r>
      <w:r>
        <w:tab/>
        <w:t>Court may confirm, amend or cancel</w:t>
      </w:r>
      <w:bookmarkEnd w:id="464"/>
    </w:p>
    <w:p>
      <w:pPr>
        <w:pStyle w:val="Subsection"/>
      </w:pPr>
      <w:r>
        <w:tab/>
        <w:t>(1)</w:t>
      </w:r>
      <w:r>
        <w:tab/>
        <w:t>If on an application under section 136H a court is satisfied that an offender subject to a conditional order might not be able to comply with its requirements, the court may make an order under subsection (2) but otherwise it must confirm the conditional order.</w:t>
      </w:r>
    </w:p>
    <w:p>
      <w:pPr>
        <w:pStyle w:val="Subsection"/>
      </w:pPr>
      <w:r>
        <w:tab/>
        <w:t>(2)</w:t>
      </w:r>
      <w:r>
        <w:tab/>
        <w:t>If a court may make an order under this subsection, it may either —</w:t>
      </w:r>
    </w:p>
    <w:p>
      <w:pPr>
        <w:pStyle w:val="Indenta"/>
      </w:pPr>
      <w:r>
        <w:tab/>
        <w:t>(a)</w:t>
      </w:r>
      <w:r>
        <w:tab/>
        <w:t>amend the conditional order so as to change the requirement; or</w:t>
      </w:r>
    </w:p>
    <w:p>
      <w:pPr>
        <w:pStyle w:val="Indenta"/>
      </w:pPr>
      <w:r>
        <w:tab/>
        <w:t>(b)</w:t>
      </w:r>
      <w:r>
        <w:tab/>
        <w:t>if the court thinks that the circumstances of the offender have so altered since the court passed sentence that it is necessary and just to do so, cancel the conditional order and sentence the person for the offence for which the conditional order was imposed in any manner the court could if it had just convicted the person of that offence.</w:t>
      </w:r>
    </w:p>
    <w:p>
      <w:pPr>
        <w:pStyle w:val="Footnotesection"/>
      </w:pPr>
      <w:r>
        <w:tab/>
        <w:t>[Section 136I inserted: No. 45 of 2016 s. 78.]</w:t>
      </w:r>
    </w:p>
    <w:p>
      <w:pPr>
        <w:pStyle w:val="Heading2"/>
      </w:pPr>
      <w:bookmarkStart w:id="465" w:name="_Toc45283213"/>
      <w:bookmarkStart w:id="466" w:name="_Toc45283503"/>
      <w:bookmarkStart w:id="467" w:name="_Toc45287190"/>
      <w:bookmarkStart w:id="468" w:name="_Toc45288347"/>
      <w:bookmarkStart w:id="469" w:name="_Toc45288820"/>
      <w:r>
        <w:rPr>
          <w:rStyle w:val="CharPartNo"/>
        </w:rPr>
        <w:t>Part 19</w:t>
      </w:r>
      <w:r>
        <w:rPr>
          <w:rStyle w:val="CharDivNo"/>
        </w:rPr>
        <w:t> </w:t>
      </w:r>
      <w:r>
        <w:t>—</w:t>
      </w:r>
      <w:r>
        <w:rPr>
          <w:rStyle w:val="CharDivText"/>
        </w:rPr>
        <w:t> </w:t>
      </w:r>
      <w:r>
        <w:rPr>
          <w:rStyle w:val="CharPartText"/>
        </w:rPr>
        <w:t>Royal Prerogative of Mercy</w:t>
      </w:r>
      <w:bookmarkEnd w:id="465"/>
      <w:bookmarkEnd w:id="466"/>
      <w:bookmarkEnd w:id="467"/>
      <w:bookmarkEnd w:id="468"/>
      <w:bookmarkEnd w:id="469"/>
    </w:p>
    <w:p>
      <w:pPr>
        <w:pStyle w:val="Heading5"/>
      </w:pPr>
      <w:bookmarkStart w:id="470" w:name="_Toc45288821"/>
      <w:r>
        <w:rPr>
          <w:rStyle w:val="CharSectno"/>
        </w:rPr>
        <w:t>137</w:t>
      </w:r>
      <w:r>
        <w:t>.</w:t>
      </w:r>
      <w:r>
        <w:tab/>
        <w:t>Royal Prerogative of Mercy not affected</w:t>
      </w:r>
      <w:bookmarkEnd w:id="470"/>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No. 50 of 2003 s. 26.]</w:t>
      </w:r>
    </w:p>
    <w:p>
      <w:pPr>
        <w:pStyle w:val="Heading5"/>
        <w:rPr>
          <w:snapToGrid w:val="0"/>
        </w:rPr>
      </w:pPr>
      <w:bookmarkStart w:id="471" w:name="_Toc45288822"/>
      <w:r>
        <w:rPr>
          <w:rStyle w:val="CharSectno"/>
        </w:rPr>
        <w:t>138</w:t>
      </w:r>
      <w:r>
        <w:rPr>
          <w:snapToGrid w:val="0"/>
        </w:rPr>
        <w:t>.</w:t>
      </w:r>
      <w:r>
        <w:rPr>
          <w:snapToGrid w:val="0"/>
        </w:rPr>
        <w:tab/>
        <w:t>Pardon, effect of</w:t>
      </w:r>
      <w:bookmarkEnd w:id="471"/>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472" w:name="_Toc45288823"/>
      <w:r>
        <w:rPr>
          <w:rStyle w:val="CharSectno"/>
        </w:rPr>
        <w:t>139</w:t>
      </w:r>
      <w:r>
        <w:rPr>
          <w:snapToGrid w:val="0"/>
        </w:rPr>
        <w:t>.</w:t>
      </w:r>
      <w:r>
        <w:rPr>
          <w:snapToGrid w:val="0"/>
        </w:rPr>
        <w:tab/>
        <w:t>Order to pay money, Governor may remit</w:t>
      </w:r>
      <w:bookmarkEnd w:id="472"/>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No. 41 of 2006 s. 79.]</w:t>
      </w:r>
    </w:p>
    <w:p>
      <w:pPr>
        <w:pStyle w:val="Heading5"/>
        <w:rPr>
          <w:snapToGrid w:val="0"/>
        </w:rPr>
      </w:pPr>
      <w:bookmarkStart w:id="473" w:name="_Toc45288824"/>
      <w:r>
        <w:rPr>
          <w:rStyle w:val="CharSectno"/>
        </w:rPr>
        <w:t>140</w:t>
      </w:r>
      <w:r>
        <w:rPr>
          <w:snapToGrid w:val="0"/>
        </w:rPr>
        <w:t>.</w:t>
      </w:r>
      <w:r>
        <w:rPr>
          <w:snapToGrid w:val="0"/>
        </w:rPr>
        <w:tab/>
        <w:t>Petition for mercy may be referred to Court of Appeal</w:t>
      </w:r>
      <w:bookmarkEnd w:id="473"/>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No. 45 of 2004 s. 37; No. 84 of 2004 s. 63.]</w:t>
      </w:r>
    </w:p>
    <w:p>
      <w:pPr>
        <w:pStyle w:val="Heading5"/>
        <w:rPr>
          <w:snapToGrid w:val="0"/>
        </w:rPr>
      </w:pPr>
      <w:bookmarkStart w:id="474" w:name="_Toc45288825"/>
      <w:r>
        <w:rPr>
          <w:rStyle w:val="CharSectno"/>
        </w:rPr>
        <w:t>141</w:t>
      </w:r>
      <w:r>
        <w:rPr>
          <w:snapToGrid w:val="0"/>
        </w:rPr>
        <w:t>.</w:t>
      </w:r>
      <w:r>
        <w:rPr>
          <w:snapToGrid w:val="0"/>
        </w:rPr>
        <w:tab/>
        <w:t>Offender may be paroled</w:t>
      </w:r>
      <w:bookmarkEnd w:id="474"/>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No. 50 of 2003 s. 29(3).]</w:t>
      </w:r>
    </w:p>
    <w:p>
      <w:pPr>
        <w:pStyle w:val="Heading5"/>
        <w:rPr>
          <w:snapToGrid w:val="0"/>
        </w:rPr>
      </w:pPr>
      <w:bookmarkStart w:id="475" w:name="_Toc45288826"/>
      <w:r>
        <w:rPr>
          <w:rStyle w:val="CharSectno"/>
        </w:rPr>
        <w:t>142</w:t>
      </w:r>
      <w:r>
        <w:rPr>
          <w:snapToGrid w:val="0"/>
        </w:rPr>
        <w:t>.</w:t>
      </w:r>
      <w:r>
        <w:rPr>
          <w:snapToGrid w:val="0"/>
        </w:rPr>
        <w:tab/>
        <w:t>Strict security life imprisonment, exercise of Prerogative in case of</w:t>
      </w:r>
      <w:bookmarkEnd w:id="475"/>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No. 29 of 2008 s. 22(3).]</w:t>
      </w:r>
    </w:p>
    <w:p>
      <w:pPr>
        <w:pStyle w:val="Heading2"/>
      </w:pPr>
      <w:bookmarkStart w:id="476" w:name="_Toc45283220"/>
      <w:bookmarkStart w:id="477" w:name="_Toc45283510"/>
      <w:bookmarkStart w:id="478" w:name="_Toc45287197"/>
      <w:bookmarkStart w:id="479" w:name="_Toc45288354"/>
      <w:bookmarkStart w:id="480" w:name="_Toc45288827"/>
      <w:r>
        <w:rPr>
          <w:rStyle w:val="CharPartNo"/>
        </w:rPr>
        <w:t>Part 20</w:t>
      </w:r>
      <w:r>
        <w:rPr>
          <w:rStyle w:val="CharDivNo"/>
        </w:rPr>
        <w:t> </w:t>
      </w:r>
      <w:r>
        <w:t>—</w:t>
      </w:r>
      <w:r>
        <w:rPr>
          <w:rStyle w:val="CharDivText"/>
        </w:rPr>
        <w:t> </w:t>
      </w:r>
      <w:r>
        <w:rPr>
          <w:rStyle w:val="CharPartText"/>
        </w:rPr>
        <w:t>Miscellaneous</w:t>
      </w:r>
      <w:bookmarkEnd w:id="476"/>
      <w:bookmarkEnd w:id="477"/>
      <w:bookmarkEnd w:id="478"/>
      <w:bookmarkEnd w:id="479"/>
      <w:bookmarkEnd w:id="480"/>
    </w:p>
    <w:p>
      <w:pPr>
        <w:pStyle w:val="Heading5"/>
        <w:rPr>
          <w:snapToGrid w:val="0"/>
        </w:rPr>
      </w:pPr>
      <w:bookmarkStart w:id="481" w:name="_Toc45288828"/>
      <w:r>
        <w:rPr>
          <w:rStyle w:val="CharSectno"/>
        </w:rPr>
        <w:t>143</w:t>
      </w:r>
      <w:r>
        <w:rPr>
          <w:snapToGrid w:val="0"/>
        </w:rPr>
        <w:t>.</w:t>
      </w:r>
      <w:r>
        <w:rPr>
          <w:snapToGrid w:val="0"/>
        </w:rPr>
        <w:tab/>
        <w:t>Guideline judgments by Court of Appeal</w:t>
      </w:r>
      <w:bookmarkEnd w:id="481"/>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No. 45 of 2004 s. 37.]</w:t>
      </w:r>
    </w:p>
    <w:p>
      <w:pPr>
        <w:pStyle w:val="Heading5"/>
      </w:pPr>
      <w:bookmarkStart w:id="482" w:name="_Toc45288829"/>
      <w:r>
        <w:rPr>
          <w:rStyle w:val="CharSectno"/>
        </w:rPr>
        <w:t>143A</w:t>
      </w:r>
      <w:r>
        <w:t>.</w:t>
      </w:r>
      <w:r>
        <w:tab/>
        <w:t>Sentencing guidelines for courts of summary jurisdiction</w:t>
      </w:r>
      <w:bookmarkEnd w:id="482"/>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No. 57 of 1999 s. 39; amended: No. 59 of 2004 s. 141.]</w:t>
      </w:r>
    </w:p>
    <w:p>
      <w:pPr>
        <w:pStyle w:val="Heading5"/>
        <w:rPr>
          <w:snapToGrid w:val="0"/>
        </w:rPr>
      </w:pPr>
      <w:bookmarkStart w:id="483" w:name="_Toc45288830"/>
      <w:r>
        <w:rPr>
          <w:rStyle w:val="CharSectno"/>
        </w:rPr>
        <w:t>144</w:t>
      </w:r>
      <w:r>
        <w:rPr>
          <w:snapToGrid w:val="0"/>
        </w:rPr>
        <w:t>.</w:t>
      </w:r>
      <w:r>
        <w:rPr>
          <w:snapToGrid w:val="0"/>
        </w:rPr>
        <w:tab/>
        <w:t>Chief Justice may report to Parliament</w:t>
      </w:r>
      <w:bookmarkEnd w:id="483"/>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484" w:name="_Toc45288831"/>
      <w:r>
        <w:rPr>
          <w:rStyle w:val="CharSectno"/>
        </w:rPr>
        <w:t>145</w:t>
      </w:r>
      <w:r>
        <w:rPr>
          <w:snapToGrid w:val="0"/>
        </w:rPr>
        <w:t>.</w:t>
      </w:r>
      <w:r>
        <w:rPr>
          <w:snapToGrid w:val="0"/>
        </w:rPr>
        <w:tab/>
        <w:t>Non-compliance with procedural requirements, effect of</w:t>
      </w:r>
      <w:bookmarkEnd w:id="484"/>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pPr>
      <w:bookmarkStart w:id="485" w:name="_Toc45288832"/>
      <w:r>
        <w:rPr>
          <w:rStyle w:val="CharSectno"/>
        </w:rPr>
        <w:t>145A</w:t>
      </w:r>
      <w:r>
        <w:t>.</w:t>
      </w:r>
      <w:r>
        <w:tab/>
        <w:t>Existence of circumstances of aggravation is question for judge to determine</w:t>
      </w:r>
      <w:bookmarkEnd w:id="485"/>
    </w:p>
    <w:p>
      <w:pPr>
        <w:pStyle w:val="Subsection"/>
      </w:pPr>
      <w:r>
        <w:tab/>
        <w:t>(1)</w:t>
      </w:r>
      <w:r>
        <w:tab/>
        <w:t xml:space="preserve">In this section — </w:t>
      </w:r>
    </w:p>
    <w:p>
      <w:pPr>
        <w:pStyle w:val="Defstart"/>
      </w:pPr>
      <w:r>
        <w:tab/>
      </w:r>
      <w:r>
        <w:rPr>
          <w:rStyle w:val="CharDefText"/>
        </w:rPr>
        <w:t>circumstances of aggravation</w:t>
      </w:r>
      <w:r>
        <w:t xml:space="preserve"> means circumstances in which an offence is committed that — </w:t>
      </w:r>
    </w:p>
    <w:p>
      <w:pPr>
        <w:pStyle w:val="Defpara"/>
      </w:pPr>
      <w:r>
        <w:tab/>
        <w:t>(a)</w:t>
      </w:r>
      <w:r>
        <w:tab/>
        <w:t>are not elements of the offence; and</w:t>
      </w:r>
    </w:p>
    <w:p>
      <w:pPr>
        <w:pStyle w:val="Defpara"/>
      </w:pPr>
      <w:r>
        <w:tab/>
        <w:t>(b)</w:t>
      </w:r>
      <w:r>
        <w:tab/>
        <w:t>increase the statutory penalty for the offence.</w:t>
      </w:r>
    </w:p>
    <w:p>
      <w:pPr>
        <w:pStyle w:val="Subsection"/>
      </w:pPr>
      <w:r>
        <w:tab/>
        <w:t>(2)</w:t>
      </w:r>
      <w:r>
        <w:tab/>
        <w:t>If, on a plea of guilty by the accused, a superior court is required to determine in proceedings under this Act whether the offence was committed in circumstances of aggravation, that determination is the determination of a question of fact for the purposes of section 146.</w:t>
      </w:r>
    </w:p>
    <w:p>
      <w:pPr>
        <w:pStyle w:val="Footnotesection"/>
      </w:pPr>
      <w:r>
        <w:tab/>
        <w:t>[Section 145A inserted: No. 45 of 2016 s. 46.]</w:t>
      </w:r>
    </w:p>
    <w:p>
      <w:pPr>
        <w:pStyle w:val="Heading5"/>
        <w:keepNext w:val="0"/>
        <w:keepLines w:val="0"/>
        <w:rPr>
          <w:snapToGrid w:val="0"/>
        </w:rPr>
      </w:pPr>
      <w:bookmarkStart w:id="486" w:name="_Toc45288833"/>
      <w:r>
        <w:rPr>
          <w:rStyle w:val="CharSectno"/>
        </w:rPr>
        <w:t>146</w:t>
      </w:r>
      <w:r>
        <w:rPr>
          <w:snapToGrid w:val="0"/>
        </w:rPr>
        <w:t>.</w:t>
      </w:r>
      <w:r>
        <w:rPr>
          <w:snapToGrid w:val="0"/>
        </w:rPr>
        <w:tab/>
        <w:t>Questions of fact in superior courts</w:t>
      </w:r>
      <w:bookmarkEnd w:id="486"/>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487" w:name="_Toc45288834"/>
      <w:r>
        <w:rPr>
          <w:rStyle w:val="CharSectno"/>
        </w:rPr>
        <w:t>147</w:t>
      </w:r>
      <w:r>
        <w:rPr>
          <w:snapToGrid w:val="0"/>
        </w:rPr>
        <w:t>.</w:t>
      </w:r>
      <w:r>
        <w:rPr>
          <w:snapToGrid w:val="0"/>
        </w:rPr>
        <w:tab/>
        <w:t>Operation of other Acts not affected</w:t>
      </w:r>
      <w:bookmarkEnd w:id="487"/>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pPr>
      <w:bookmarkStart w:id="488" w:name="_Toc45288835"/>
      <w:r>
        <w:rPr>
          <w:rStyle w:val="CharSectno"/>
        </w:rPr>
        <w:t>147A</w:t>
      </w:r>
      <w:r>
        <w:t>.</w:t>
      </w:r>
      <w:r>
        <w:tab/>
        <w:t>Monitoring requirements: additional provisions</w:t>
      </w:r>
      <w:bookmarkEnd w:id="488"/>
    </w:p>
    <w:p>
      <w:pPr>
        <w:pStyle w:val="Subsection"/>
      </w:pPr>
      <w:r>
        <w:tab/>
        <w:t>(1)</w:t>
      </w:r>
      <w:r>
        <w:tab/>
        <w:t>A CCO may give any reasonable direction to an offender as is necessary for the proper administration of a requirement imposed on the offender by or under this Act in relation to an electronic monitoring device.</w:t>
      </w:r>
    </w:p>
    <w:p>
      <w:pPr>
        <w:pStyle w:val="Subsection"/>
      </w:pPr>
      <w:r>
        <w:tab/>
        <w:t>(2)</w:t>
      </w:r>
      <w:r>
        <w:tab/>
        <w:t>A CCO may suspend the electronic monitoring of an offender under this Act —</w:t>
      </w:r>
    </w:p>
    <w:p>
      <w:pPr>
        <w:pStyle w:val="Indenta"/>
      </w:pPr>
      <w:r>
        <w:tab/>
        <w:t>(a)</w:t>
      </w:r>
      <w:r>
        <w:tab/>
        <w:t>while satisfied that it is not practicable to subject the offender to electronic monitoring; or</w:t>
      </w:r>
    </w:p>
    <w:p>
      <w:pPr>
        <w:pStyle w:val="Indenta"/>
      </w:pPr>
      <w:r>
        <w:tab/>
        <w:t>(b)</w:t>
      </w:r>
      <w:r>
        <w:tab/>
        <w:t>while satisfied that it is not necessary for the person to be subject to electronic monitoring.</w:t>
      </w:r>
    </w:p>
    <w:p>
      <w:pPr>
        <w:pStyle w:val="Footnotesection"/>
      </w:pPr>
      <w:r>
        <w:tab/>
        <w:t>[Section 147A inserted: No. 13 of 2020 s. 12.]</w:t>
      </w:r>
    </w:p>
    <w:p>
      <w:pPr>
        <w:pStyle w:val="Heading5"/>
        <w:rPr>
          <w:snapToGrid w:val="0"/>
        </w:rPr>
      </w:pPr>
      <w:bookmarkStart w:id="489" w:name="_Toc45288836"/>
      <w:r>
        <w:rPr>
          <w:rStyle w:val="CharSectno"/>
        </w:rPr>
        <w:t>148</w:t>
      </w:r>
      <w:r>
        <w:rPr>
          <w:snapToGrid w:val="0"/>
        </w:rPr>
        <w:t>.</w:t>
      </w:r>
      <w:r>
        <w:rPr>
          <w:snapToGrid w:val="0"/>
        </w:rPr>
        <w:tab/>
        <w:t>Regulations</w:t>
      </w:r>
      <w:bookmarkEnd w:id="48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No. 65 of 2006 s. 48.]</w:t>
      </w:r>
    </w:p>
    <w:p>
      <w:pPr>
        <w:pStyle w:val="Heading5"/>
        <w:rPr>
          <w:snapToGrid w:val="0"/>
        </w:rPr>
      </w:pPr>
      <w:bookmarkStart w:id="490" w:name="_Toc45288837"/>
      <w:r>
        <w:rPr>
          <w:rStyle w:val="CharSectno"/>
        </w:rPr>
        <w:t>149</w:t>
      </w:r>
      <w:r>
        <w:rPr>
          <w:snapToGrid w:val="0"/>
        </w:rPr>
        <w:t>.</w:t>
      </w:r>
      <w:r>
        <w:rPr>
          <w:snapToGrid w:val="0"/>
        </w:rPr>
        <w:tab/>
        <w:t>Rules of court</w:t>
      </w:r>
      <w:bookmarkEnd w:id="490"/>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491" w:name="_Toc45283231"/>
      <w:bookmarkStart w:id="492" w:name="_Toc45283521"/>
      <w:bookmarkStart w:id="493" w:name="_Toc45287208"/>
      <w:bookmarkStart w:id="494" w:name="_Toc45288365"/>
      <w:bookmarkStart w:id="495" w:name="_Toc45288838"/>
      <w:r>
        <w:rPr>
          <w:rStyle w:val="CharPartNo"/>
        </w:rPr>
        <w:t>Part 21</w:t>
      </w:r>
      <w:r>
        <w:rPr>
          <w:rStyle w:val="CharDivNo"/>
        </w:rPr>
        <w:t> </w:t>
      </w:r>
      <w:r>
        <w:t>—</w:t>
      </w:r>
      <w:r>
        <w:rPr>
          <w:rStyle w:val="CharDivText"/>
        </w:rPr>
        <w:t> </w:t>
      </w:r>
      <w:r>
        <w:rPr>
          <w:rStyle w:val="CharPartText"/>
        </w:rPr>
        <w:t>Transitional and review provisions</w:t>
      </w:r>
      <w:bookmarkEnd w:id="491"/>
      <w:bookmarkEnd w:id="492"/>
      <w:bookmarkEnd w:id="493"/>
      <w:bookmarkEnd w:id="494"/>
      <w:bookmarkEnd w:id="495"/>
    </w:p>
    <w:p>
      <w:pPr>
        <w:pStyle w:val="Footnoteheading"/>
      </w:pPr>
      <w:r>
        <w:tab/>
        <w:t>[Heading inserted: No. 42 of 2012 s. 5.]</w:t>
      </w:r>
    </w:p>
    <w:p>
      <w:pPr>
        <w:pStyle w:val="Heading5"/>
      </w:pPr>
      <w:bookmarkStart w:id="496" w:name="_Toc45288839"/>
      <w:r>
        <w:rPr>
          <w:rStyle w:val="CharSectno"/>
        </w:rPr>
        <w:t>150A</w:t>
      </w:r>
      <w:r>
        <w:t>.</w:t>
      </w:r>
      <w:r>
        <w:tab/>
      </w:r>
      <w:r>
        <w:rPr>
          <w:i/>
        </w:rPr>
        <w:t xml:space="preserve">Sentencing Amendment Act 2012 </w:t>
      </w:r>
      <w:r>
        <w:t>amendments, application of</w:t>
      </w:r>
      <w:bookmarkEnd w:id="496"/>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No. 42 of 2012 s. 6.]</w:t>
      </w:r>
    </w:p>
    <w:p>
      <w:pPr>
        <w:pStyle w:val="Heading5"/>
      </w:pPr>
      <w:bookmarkStart w:id="497" w:name="_Toc45288840"/>
      <w:r>
        <w:rPr>
          <w:rStyle w:val="CharSectno"/>
        </w:rPr>
        <w:t>150AB</w:t>
      </w:r>
      <w:r>
        <w:t>.</w:t>
      </w:r>
      <w:r>
        <w:tab/>
        <w:t xml:space="preserve">Application of </w:t>
      </w:r>
      <w:r>
        <w:rPr>
          <w:i/>
          <w:snapToGrid w:val="0"/>
        </w:rPr>
        <w:t>Sentencing Legislation Amendment Act 2016</w:t>
      </w:r>
      <w:r>
        <w:t xml:space="preserve"> amendments about circumstances of aggravation</w:t>
      </w:r>
      <w:bookmarkEnd w:id="497"/>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Legislation Amendment Act 2016</w:t>
      </w:r>
      <w:r>
        <w:t xml:space="preserve"> Part 4 Division 2.</w:t>
      </w:r>
    </w:p>
    <w:p>
      <w:pPr>
        <w:pStyle w:val="Subsection"/>
      </w:pPr>
      <w:r>
        <w:tab/>
        <w:t>(2)</w:t>
      </w:r>
      <w:r>
        <w:tab/>
        <w:t xml:space="preserve">This Act, as amended by the </w:t>
      </w:r>
      <w:r>
        <w:rPr>
          <w:i/>
        </w:rPr>
        <w:t>Sentencing Legislation Amendment Act 2016</w:t>
      </w:r>
      <w:r>
        <w:t xml:space="preserve"> Part 4 Division 2, applies to the determination under section 146 of whether an offence was committed in circumstances of aggravation — </w:t>
      </w:r>
    </w:p>
    <w:p>
      <w:pPr>
        <w:pStyle w:val="Indenta"/>
      </w:pPr>
      <w:r>
        <w:tab/>
        <w:t>(a)</w:t>
      </w:r>
      <w:r>
        <w:tab/>
        <w:t>even if the offence was committed before commencement; and</w:t>
      </w:r>
    </w:p>
    <w:p>
      <w:pPr>
        <w:pStyle w:val="Indenta"/>
      </w:pPr>
      <w:r>
        <w:tab/>
        <w:t>(b)</w:t>
      </w:r>
      <w:r>
        <w:tab/>
        <w:t>even if the offender pleaded guilty before commencement; and</w:t>
      </w:r>
    </w:p>
    <w:p>
      <w:pPr>
        <w:pStyle w:val="Indenta"/>
      </w:pPr>
      <w:r>
        <w:tab/>
        <w:t>(c)</w:t>
      </w:r>
      <w:r>
        <w:tab/>
        <w:t>even if the determination has arisen as a result of an appeal against a sentence imposed before commencement.</w:t>
      </w:r>
    </w:p>
    <w:p>
      <w:pPr>
        <w:pStyle w:val="Footnotesection"/>
      </w:pPr>
      <w:r>
        <w:tab/>
        <w:t>[Section 150AB inserted: No. 45 of 2016 s. 47.]</w:t>
      </w:r>
    </w:p>
    <w:p>
      <w:pPr>
        <w:pStyle w:val="Heading5"/>
      </w:pPr>
      <w:bookmarkStart w:id="498" w:name="_Toc45288841"/>
      <w:r>
        <w:rPr>
          <w:rStyle w:val="CharSectno"/>
        </w:rPr>
        <w:t>150B</w:t>
      </w:r>
      <w:r>
        <w:t>.</w:t>
      </w:r>
      <w:r>
        <w:tab/>
        <w:t>Review of s. 9AA</w:t>
      </w:r>
      <w:bookmarkEnd w:id="498"/>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No. 42 of 2012 s. 6.]</w:t>
      </w:r>
    </w:p>
    <w:p>
      <w:pPr>
        <w:pStyle w:val="Heading5"/>
      </w:pPr>
      <w:bookmarkStart w:id="499" w:name="_Toc45288842"/>
      <w:r>
        <w:rPr>
          <w:rStyle w:val="CharSectno"/>
        </w:rPr>
        <w:t>150</w:t>
      </w:r>
      <w:r>
        <w:t>.</w:t>
      </w:r>
      <w:r>
        <w:tab/>
        <w:t>Review of Act</w:t>
      </w:r>
      <w:bookmarkEnd w:id="499"/>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No. 41 of 2006 s. 78.]</w:t>
      </w:r>
    </w:p>
    <w:p>
      <w:pPr>
        <w:pStyle w:val="Heading5"/>
      </w:pPr>
      <w:bookmarkStart w:id="500" w:name="_Toc44494765"/>
      <w:bookmarkStart w:id="501" w:name="_Toc45273540"/>
      <w:bookmarkStart w:id="502" w:name="_Toc45288843"/>
      <w:r>
        <w:rPr>
          <w:rStyle w:val="CharSectno"/>
        </w:rPr>
        <w:t>151</w:t>
      </w:r>
      <w:r>
        <w:t>.</w:t>
      </w:r>
      <w:r>
        <w:tab/>
        <w:t xml:space="preserve">Review of amendments made by </w:t>
      </w:r>
      <w:r>
        <w:rPr>
          <w:i/>
          <w:iCs/>
        </w:rPr>
        <w:t>Family Violence Legislation Reform Act 2020</w:t>
      </w:r>
      <w:bookmarkEnd w:id="500"/>
      <w:bookmarkEnd w:id="501"/>
      <w:bookmarkEnd w:id="502"/>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13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151 inserted: No. 30 of 2020 s. 31.]</w:t>
      </w:r>
    </w:p>
    <w:p/>
    <w:p>
      <w:pPr>
        <w:rPr>
          <w:rStyle w:val="CharDivText"/>
        </w:rPr>
        <w:sectPr>
          <w:headerReference w:type="even" r:id="rId23"/>
          <w:headerReference w:type="default" r:id="rId24"/>
          <w:headerReference w:type="first" r:id="rId25"/>
          <w:type w:val="oddPage"/>
          <w:pgSz w:w="11907" w:h="16840" w:code="9"/>
          <w:pgMar w:top="2381" w:right="2409" w:bottom="3543" w:left="2409" w:header="720" w:footer="3380" w:gutter="0"/>
          <w:pgNumType w:start="1"/>
          <w:cols w:space="720"/>
          <w:noEndnote/>
          <w:titlePg/>
          <w:docGrid w:linePitch="326"/>
        </w:sectPr>
      </w:pPr>
    </w:p>
    <w:p>
      <w:pPr>
        <w:pStyle w:val="yScheduleHeading"/>
      </w:pPr>
      <w:bookmarkStart w:id="503" w:name="_Toc45283236"/>
      <w:bookmarkStart w:id="504" w:name="_Toc45283526"/>
      <w:bookmarkStart w:id="505" w:name="_Toc45287214"/>
      <w:bookmarkStart w:id="506" w:name="_Toc45288371"/>
      <w:bookmarkStart w:id="507" w:name="_Toc45288844"/>
      <w:r>
        <w:rPr>
          <w:rStyle w:val="CharSchNo"/>
        </w:rPr>
        <w:t>Schedule 1A</w:t>
      </w:r>
      <w:r>
        <w:t> — </w:t>
      </w:r>
      <w:r>
        <w:rPr>
          <w:rStyle w:val="CharSchText"/>
        </w:rPr>
        <w:t>Relevant indictable and simple offences for purposes of Part 2 Division 2A</w:t>
      </w:r>
      <w:bookmarkEnd w:id="503"/>
      <w:bookmarkEnd w:id="504"/>
      <w:bookmarkEnd w:id="505"/>
      <w:bookmarkEnd w:id="506"/>
      <w:bookmarkEnd w:id="507"/>
    </w:p>
    <w:p>
      <w:pPr>
        <w:pStyle w:val="yShoulderClause"/>
      </w:pPr>
      <w:r>
        <w:t>[s. 9A(1)]</w:t>
      </w:r>
    </w:p>
    <w:p>
      <w:pPr>
        <w:pStyle w:val="yFootnoteheading"/>
      </w:pPr>
      <w:r>
        <w:tab/>
        <w:t>[Heading inserted: No. 49 of 2012 s. 181(4).]</w:t>
      </w:r>
    </w:p>
    <w:p>
      <w:pPr>
        <w:pStyle w:val="yHeading3"/>
      </w:pPr>
      <w:bookmarkStart w:id="508" w:name="_Toc45283237"/>
      <w:bookmarkStart w:id="509" w:name="_Toc45283527"/>
      <w:bookmarkStart w:id="510" w:name="_Toc45287215"/>
      <w:bookmarkStart w:id="511" w:name="_Toc45288372"/>
      <w:bookmarkStart w:id="512" w:name="_Toc45288845"/>
      <w:r>
        <w:rPr>
          <w:rStyle w:val="CharSDivNo"/>
        </w:rPr>
        <w:t>Part 1</w:t>
      </w:r>
      <w:r>
        <w:t> — </w:t>
      </w:r>
      <w:r>
        <w:rPr>
          <w:rStyle w:val="CharSDivText"/>
        </w:rPr>
        <w:t>Relevant indictable offences</w:t>
      </w:r>
      <w:bookmarkEnd w:id="508"/>
      <w:bookmarkEnd w:id="509"/>
      <w:bookmarkEnd w:id="510"/>
      <w:bookmarkEnd w:id="511"/>
      <w:bookmarkEnd w:id="512"/>
    </w:p>
    <w:p>
      <w:pPr>
        <w:pStyle w:val="yFootnoteheading"/>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keepNext/>
            </w:pPr>
          </w:p>
        </w:tc>
        <w:tc>
          <w:tcPr>
            <w:tcW w:w="3000" w:type="dxa"/>
          </w:tcPr>
          <w:p>
            <w:pPr>
              <w:pStyle w:val="yTableNAm"/>
              <w:keepNext/>
              <w:keepLines/>
            </w:pPr>
            <w:r>
              <w:t>s. 331C</w:t>
            </w:r>
          </w:p>
        </w:tc>
        <w:tc>
          <w:tcPr>
            <w:tcW w:w="3360" w:type="dxa"/>
          </w:tcPr>
          <w:p>
            <w:pPr>
              <w:pStyle w:val="yTableNAm"/>
              <w:keepNext/>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b/>
              </w:rPr>
              <w:t>4.</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keepNext/>
              <w:keepLines/>
              <w:rPr>
                <w:b/>
              </w:rPr>
            </w:pPr>
            <w:r>
              <w:rPr>
                <w:b/>
              </w:rPr>
              <w:t>5.</w:t>
            </w:r>
          </w:p>
        </w:tc>
        <w:tc>
          <w:tcPr>
            <w:tcW w:w="3000" w:type="dxa"/>
          </w:tcPr>
          <w:p>
            <w:pPr>
              <w:pStyle w:val="yTableNAm"/>
              <w:keepNext/>
              <w:keepLines/>
            </w:pPr>
            <w:r>
              <w:rPr>
                <w:b/>
                <w:i/>
              </w:rPr>
              <w:t>Firearms Act 1973</w:t>
            </w:r>
          </w:p>
        </w:tc>
        <w:tc>
          <w:tcPr>
            <w:tcW w:w="3360" w:type="dxa"/>
          </w:tcPr>
          <w:p>
            <w:pPr>
              <w:pStyle w:val="yTableNAm"/>
              <w:keepNext/>
              <w:keepLines/>
            </w:pPr>
          </w:p>
        </w:tc>
      </w:tr>
      <w:tr>
        <w:trPr>
          <w:cantSplit/>
        </w:trPr>
        <w:tc>
          <w:tcPr>
            <w:tcW w:w="720" w:type="dxa"/>
          </w:tcPr>
          <w:p>
            <w:pPr>
              <w:pStyle w:val="zyTableNAm"/>
              <w:rPr>
                <w:i/>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No. 49 of 2012 s. 181(4); amended: No. 11 of 2014 s. 8(1); No. 35 of 2014 s. 39.]</w:t>
      </w:r>
    </w:p>
    <w:p>
      <w:pPr>
        <w:pStyle w:val="yHeading3"/>
        <w:keepNext w:val="0"/>
        <w:pageBreakBefore/>
        <w:spacing w:before="0"/>
      </w:pPr>
      <w:bookmarkStart w:id="513" w:name="_Toc45283238"/>
      <w:bookmarkStart w:id="514" w:name="_Toc45283528"/>
      <w:bookmarkStart w:id="515" w:name="_Toc45287216"/>
      <w:bookmarkStart w:id="516" w:name="_Toc45288373"/>
      <w:bookmarkStart w:id="517" w:name="_Toc45288846"/>
      <w:r>
        <w:rPr>
          <w:rStyle w:val="CharSDivNo"/>
        </w:rPr>
        <w:t>Part 2</w:t>
      </w:r>
      <w:r>
        <w:t> — </w:t>
      </w:r>
      <w:r>
        <w:rPr>
          <w:rStyle w:val="CharSDivText"/>
        </w:rPr>
        <w:t>Relevant simple offences</w:t>
      </w:r>
      <w:bookmarkEnd w:id="513"/>
      <w:bookmarkEnd w:id="514"/>
      <w:bookmarkEnd w:id="515"/>
      <w:bookmarkEnd w:id="516"/>
      <w:bookmarkEnd w:id="517"/>
    </w:p>
    <w:p>
      <w:pPr>
        <w:pStyle w:val="yFootnoteheading"/>
        <w:keepNext/>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keepNext/>
            </w:pPr>
            <w:r>
              <w:rPr>
                <w:rStyle w:val="CharSClsNo"/>
                <w:b/>
              </w:rPr>
              <w:t>3</w:t>
            </w:r>
            <w:r>
              <w:t>.</w:t>
            </w:r>
          </w:p>
        </w:tc>
        <w:tc>
          <w:tcPr>
            <w:tcW w:w="6360" w:type="dxa"/>
            <w:gridSpan w:val="2"/>
          </w:tcPr>
          <w:p>
            <w:pPr>
              <w:pStyle w:val="yTableNAm"/>
              <w:keepNext/>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keepNext/>
              <w:rPr>
                <w:i/>
              </w:rPr>
            </w:pPr>
          </w:p>
        </w:tc>
        <w:tc>
          <w:tcPr>
            <w:tcW w:w="3000" w:type="dxa"/>
          </w:tcPr>
          <w:p>
            <w:pPr>
              <w:pStyle w:val="yTableNAm"/>
              <w:keepNext/>
            </w:pPr>
            <w:r>
              <w:t>s. 8(1) and (2)</w:t>
            </w:r>
          </w:p>
        </w:tc>
        <w:tc>
          <w:tcPr>
            <w:tcW w:w="3360" w:type="dxa"/>
          </w:tcPr>
          <w:p>
            <w:pPr>
              <w:pStyle w:val="yTableNAm"/>
              <w:keepNext/>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rPr>
                <w:szCs w:val="22"/>
              </w:rPr>
              <w:t>s. 61(1), (1A),</w:t>
            </w:r>
            <w:r>
              <w:t xml:space="preserve">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keepNext/>
            </w:pPr>
            <w:r>
              <w:rPr>
                <w:rStyle w:val="CharSClsNo"/>
                <w:b/>
              </w:rPr>
              <w:t>9</w:t>
            </w:r>
            <w:r>
              <w:t>.</w:t>
            </w:r>
          </w:p>
        </w:tc>
        <w:tc>
          <w:tcPr>
            <w:tcW w:w="6360" w:type="dxa"/>
            <w:gridSpan w:val="2"/>
          </w:tcPr>
          <w:p>
            <w:pPr>
              <w:pStyle w:val="yTableNAm"/>
              <w:keepNext/>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No. 49 of 2012 s. 181(4); amended: No. 35 of 2014 s. 39; No. 6 of 2017 s. 12(5); No. 13 of 2020 s. 13.]</w:t>
      </w:r>
    </w:p>
    <w:p>
      <w:pPr>
        <w:sectPr>
          <w:headerReference w:type="even" r:id="rId26"/>
          <w:headerReference w:type="default" r:id="rId27"/>
          <w:pgSz w:w="11907" w:h="16840" w:code="9"/>
          <w:pgMar w:top="2381" w:right="2410" w:bottom="3544" w:left="2410" w:header="720" w:footer="3544" w:gutter="0"/>
          <w:cols w:space="720"/>
        </w:sectPr>
      </w:pPr>
    </w:p>
    <w:p>
      <w:pPr>
        <w:pStyle w:val="yScheduleHeading"/>
        <w:outlineLvl w:val="0"/>
      </w:pPr>
      <w:bookmarkStart w:id="519" w:name="_Toc45283239"/>
      <w:bookmarkStart w:id="520" w:name="_Toc45283529"/>
      <w:bookmarkStart w:id="521" w:name="_Toc45287217"/>
      <w:bookmarkStart w:id="522" w:name="_Toc45288374"/>
      <w:bookmarkStart w:id="523" w:name="_Toc45288847"/>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519"/>
      <w:bookmarkEnd w:id="520"/>
      <w:bookmarkEnd w:id="521"/>
      <w:bookmarkEnd w:id="522"/>
      <w:bookmarkEnd w:id="523"/>
    </w:p>
    <w:p>
      <w:pPr>
        <w:pStyle w:val="yShoulderClause"/>
        <w:spacing w:after="40"/>
        <w:rPr>
          <w:snapToGrid w:val="0"/>
        </w:rPr>
      </w:pPr>
      <w:r>
        <w:rPr>
          <w:snapToGrid w:val="0"/>
        </w:rPr>
        <w:t>[s. 60(2)]</w:t>
      </w:r>
    </w:p>
    <w:p>
      <w:pPr>
        <w:pStyle w:val="yFootnoteheading"/>
        <w:spacing w:after="120"/>
      </w:pPr>
      <w:r>
        <w:tab/>
        <w:t>[Heading amended: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Architects Board of Western Australia</w:t>
            </w:r>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(Western Australia) Act 1990</w:t>
            </w:r>
          </w:p>
        </w:tc>
        <w:tc>
          <w:tcPr>
            <w:tcW w:w="4649" w:type="dxa"/>
          </w:tcPr>
          <w:p>
            <w:pPr>
              <w:pStyle w:val="yTableNAm"/>
            </w:pPr>
            <w:r>
              <w:t>The Commonwealth</w:t>
            </w:r>
          </w:p>
        </w:tc>
      </w:tr>
      <w:tr>
        <w:tc>
          <w:tcPr>
            <w:tcW w:w="2552" w:type="dxa"/>
          </w:tcPr>
          <w:p>
            <w:pPr>
              <w:pStyle w:val="yTableNAm"/>
              <w:rPr>
                <w:i/>
              </w:rPr>
            </w:pPr>
            <w:r>
              <w:rPr>
                <w:i/>
              </w:rPr>
              <w:t>Curtin University Act 1966</w:t>
            </w:r>
          </w:p>
        </w:tc>
        <w:tc>
          <w:tcPr>
            <w:tcW w:w="4649" w:type="dxa"/>
          </w:tcPr>
          <w:p>
            <w:pPr>
              <w:pStyle w:val="yTableNAm"/>
              <w:rPr>
                <w:i/>
              </w:rPr>
            </w:pPr>
            <w:r>
              <w:t>Curtin University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(Miscellaneous Provisions)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2</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r>
              <w:rPr>
                <w:i/>
              </w:rPr>
              <w:t>Murdoch University Act 1973</w:t>
            </w:r>
          </w:p>
        </w:tc>
        <w:tc>
          <w:tcPr>
            <w:tcW w:w="4649" w:type="dxa"/>
          </w:tcPr>
          <w:p>
            <w:pPr>
              <w:pStyle w:val="yTableNAm"/>
            </w:pPr>
            <w:r>
              <w:t>Senate of Murdoch University</w:t>
            </w:r>
          </w:p>
        </w:tc>
      </w:tr>
      <w:tr>
        <w:tc>
          <w:tcPr>
            <w:tcW w:w="2552" w:type="dxa"/>
          </w:tcPr>
          <w:p>
            <w:pPr>
              <w:pStyle w:val="yTableNAm"/>
              <w:rPr>
                <w:i/>
              </w:rPr>
            </w:pPr>
            <w:r>
              <w:rPr>
                <w:i/>
              </w:rPr>
              <w:t>National Trust of Australia (W.A.) Act 1964</w:t>
            </w:r>
          </w:p>
        </w:tc>
        <w:tc>
          <w:tcPr>
            <w:tcW w:w="4649" w:type="dxa"/>
          </w:tcPr>
          <w:p>
            <w:pPr>
              <w:pStyle w:val="yTableNAm"/>
            </w:pPr>
            <w:r>
              <w:t>The National Trust of Australia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keepNext/>
              <w:rPr>
                <w:i/>
              </w:rPr>
            </w:pPr>
            <w:r>
              <w:rPr>
                <w:i/>
              </w:rPr>
              <w:t>Queen Elizabeth II Medical Centre Act 1966</w:t>
            </w:r>
          </w:p>
        </w:tc>
        <w:tc>
          <w:tcPr>
            <w:tcW w:w="4649" w:type="dxa"/>
          </w:tcPr>
          <w:p>
            <w:pPr>
              <w:pStyle w:val="yTableNAm"/>
              <w:keepNext/>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r>
              <w:rPr>
                <w:i/>
              </w:rPr>
              <w:t>Rottnest Island Authority Act 1987</w:t>
            </w:r>
          </w:p>
        </w:tc>
        <w:tc>
          <w:tcPr>
            <w:tcW w:w="4649" w:type="dxa"/>
          </w:tcPr>
          <w:p>
            <w:pPr>
              <w:pStyle w:val="yTableNAm"/>
            </w:pPr>
            <w:r>
              <w:t>Rottnest Island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r>
              <w:rPr>
                <w:i/>
              </w:rPr>
              <w:t>University of Notre Dame Australia Act 1989</w:t>
            </w:r>
          </w:p>
        </w:tc>
        <w:tc>
          <w:tcPr>
            <w:tcW w:w="4649" w:type="dxa"/>
          </w:tcPr>
          <w:p>
            <w:pPr>
              <w:pStyle w:val="yTableNAm"/>
            </w:pPr>
            <w:r>
              <w:t>The Board of Governors of The University of Notre Dame Australia</w:t>
            </w:r>
          </w:p>
        </w:tc>
      </w:tr>
      <w:tr>
        <w:tc>
          <w:tcPr>
            <w:tcW w:w="2552" w:type="dxa"/>
          </w:tcPr>
          <w:p>
            <w:pPr>
              <w:pStyle w:val="yTableNAm"/>
              <w:rPr>
                <w:i/>
              </w:rPr>
            </w:pPr>
            <w:r>
              <w:rPr>
                <w:i/>
              </w:rPr>
              <w:t>University of Western Australia Act 1911</w:t>
            </w:r>
          </w:p>
        </w:tc>
        <w:tc>
          <w:tcPr>
            <w:tcW w:w="4649" w:type="dxa"/>
          </w:tcPr>
          <w:p>
            <w:pPr>
              <w:pStyle w:val="yTableNAm"/>
            </w:pPr>
            <w:r>
              <w:t>Senate of The University of Western Australia</w:t>
            </w:r>
          </w:p>
        </w:tc>
      </w:tr>
      <w:tr>
        <w:tc>
          <w:tcPr>
            <w:tcW w:w="2552" w:type="dxa"/>
          </w:tcPr>
          <w:p>
            <w:pPr>
              <w:pStyle w:val="yTableNAm"/>
              <w:rPr>
                <w:vertAlign w:val="superscript"/>
              </w:rPr>
            </w:pPr>
            <w:r>
              <w:rPr>
                <w:i/>
              </w:rPr>
              <w:t>Water Boards Act 1904</w:t>
            </w:r>
            <w:r>
              <w:rPr>
                <w:vertAlign w:val="superscript"/>
              </w:rPr>
              <w:t> 2</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 No. 19 of 2016 s. 101; No. 32 of 2016 s. 195.]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9"/>
          <w:headerReference w:type="default" r:id="rId30"/>
          <w:pgSz w:w="11907" w:h="16840" w:code="9"/>
          <w:pgMar w:top="2381" w:right="2410" w:bottom="3544" w:left="2410" w:header="720" w:footer="3544" w:gutter="0"/>
          <w:cols w:space="720"/>
        </w:sectPr>
      </w:pPr>
    </w:p>
    <w:p>
      <w:pPr>
        <w:pStyle w:val="nHeading2"/>
      </w:pPr>
      <w:bookmarkStart w:id="524" w:name="_Toc45283240"/>
      <w:bookmarkStart w:id="525" w:name="_Toc45283530"/>
      <w:bookmarkStart w:id="526" w:name="_Toc45287218"/>
      <w:bookmarkStart w:id="527" w:name="_Toc45288375"/>
      <w:bookmarkStart w:id="528" w:name="_Toc45288848"/>
      <w:r>
        <w:t>Notes</w:t>
      </w:r>
      <w:bookmarkEnd w:id="524"/>
      <w:bookmarkEnd w:id="525"/>
      <w:bookmarkEnd w:id="526"/>
      <w:bookmarkEnd w:id="527"/>
      <w:bookmarkEnd w:id="528"/>
    </w:p>
    <w:p>
      <w:pPr>
        <w:pStyle w:val="nStatement"/>
      </w:pPr>
      <w:r>
        <w:t xml:space="preserve">This is a compilation of the </w:t>
      </w:r>
      <w:r>
        <w:rPr>
          <w:i/>
          <w:noProof/>
        </w:rPr>
        <w:t>Sentencing Act 1995</w:t>
      </w:r>
      <w:r>
        <w:t xml:space="preserve"> and includes amendments made by other written laws </w:t>
      </w:r>
      <w:r>
        <w:rPr>
          <w:vertAlign w:val="superscript"/>
        </w:rPr>
        <w:t>1M, 3</w:t>
      </w:r>
      <w:r>
        <w:t>. For provisions that have come into operation, and for information about any reprints, see the compilation table. For provisions that have not yet come into operation see the uncommenced provisions table.</w:t>
      </w:r>
    </w:p>
    <w:p>
      <w:pPr>
        <w:pStyle w:val="nHeading3"/>
      </w:pPr>
      <w:bookmarkStart w:id="529" w:name="_Toc45288849"/>
      <w:r>
        <w:t>Compilation table</w:t>
      </w:r>
      <w:bookmarkEnd w:id="529"/>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134" w:type="dxa"/>
          </w:tcPr>
          <w:p>
            <w:pPr>
              <w:pStyle w:val="nTable"/>
              <w:spacing w:after="40"/>
            </w:pPr>
            <w:r>
              <w:t>76 of 1995</w:t>
            </w:r>
          </w:p>
        </w:tc>
        <w:tc>
          <w:tcPr>
            <w:tcW w:w="1134" w:type="dxa"/>
          </w:tcPr>
          <w:p>
            <w:pPr>
              <w:pStyle w:val="nTable"/>
              <w:spacing w:after="40"/>
            </w:pPr>
            <w:r>
              <w:t>16 Jan 1996</w:t>
            </w:r>
          </w:p>
        </w:tc>
        <w:tc>
          <w:tcPr>
            <w:tcW w:w="2553" w:type="dxa"/>
          </w:tcPr>
          <w:p>
            <w:pPr>
              <w:pStyle w:val="nTable"/>
              <w:spacing w:after="40"/>
              <w:ind w:right="71"/>
            </w:pPr>
            <w:r>
              <w:t>s. 1 and 2: 16 Jan 1996;</w:t>
            </w:r>
            <w:r>
              <w:br/>
              <w:t>Act other than s. 1, 2 and 19, and Pt. 12</w:t>
            </w:r>
            <w:r>
              <w:rPr>
                <w:vertAlign w:val="superscript"/>
              </w:rPr>
              <w:t> 4</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134" w:type="dxa"/>
          </w:tcPr>
          <w:p>
            <w:pPr>
              <w:pStyle w:val="nTable"/>
              <w:spacing w:after="40"/>
            </w:pPr>
            <w:r>
              <w:t>59 of 1995</w:t>
            </w:r>
          </w:p>
        </w:tc>
        <w:tc>
          <w:tcPr>
            <w:tcW w:w="1134" w:type="dxa"/>
          </w:tcPr>
          <w:p>
            <w:pPr>
              <w:pStyle w:val="nTable"/>
              <w:spacing w:after="40"/>
            </w:pPr>
            <w:r>
              <w:t>20 Dec 1995</w:t>
            </w:r>
          </w:p>
        </w:tc>
        <w:tc>
          <w:tcPr>
            <w:tcW w:w="2553" w:type="dxa"/>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134" w:type="dxa"/>
          </w:tcPr>
          <w:p>
            <w:pPr>
              <w:pStyle w:val="nTable"/>
              <w:spacing w:after="40"/>
            </w:pPr>
            <w:r>
              <w:t>59 of 1996</w:t>
            </w:r>
          </w:p>
        </w:tc>
        <w:tc>
          <w:tcPr>
            <w:tcW w:w="1134" w:type="dxa"/>
          </w:tcPr>
          <w:p>
            <w:pPr>
              <w:pStyle w:val="nTable"/>
              <w:spacing w:after="40"/>
            </w:pPr>
            <w:r>
              <w:t>11 Nov 1996</w:t>
            </w:r>
          </w:p>
        </w:tc>
        <w:tc>
          <w:tcPr>
            <w:tcW w:w="2553" w:type="dxa"/>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134" w:type="dxa"/>
          </w:tcPr>
          <w:p>
            <w:pPr>
              <w:pStyle w:val="nTable"/>
              <w:spacing w:after="40"/>
            </w:pPr>
            <w:r>
              <w:t>76 of 1996</w:t>
            </w:r>
          </w:p>
        </w:tc>
        <w:tc>
          <w:tcPr>
            <w:tcW w:w="1134" w:type="dxa"/>
          </w:tcPr>
          <w:p>
            <w:pPr>
              <w:pStyle w:val="nTable"/>
              <w:spacing w:after="40"/>
            </w:pPr>
            <w:r>
              <w:t>14 Nov 1996</w:t>
            </w:r>
          </w:p>
        </w:tc>
        <w:tc>
          <w:tcPr>
            <w:tcW w:w="2553" w:type="dxa"/>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134" w:type="dxa"/>
          </w:tcPr>
          <w:p>
            <w:pPr>
              <w:pStyle w:val="nTable"/>
              <w:keepNext/>
              <w:keepLines/>
              <w:spacing w:after="40"/>
            </w:pPr>
            <w:r>
              <w:t>19 of 1997</w:t>
            </w:r>
          </w:p>
        </w:tc>
        <w:tc>
          <w:tcPr>
            <w:tcW w:w="1134" w:type="dxa"/>
          </w:tcPr>
          <w:p>
            <w:pPr>
              <w:pStyle w:val="nTable"/>
              <w:keepNext/>
              <w:keepLines/>
              <w:spacing w:after="40"/>
            </w:pPr>
            <w:r>
              <w:t>28 Aug 1997</w:t>
            </w:r>
          </w:p>
        </w:tc>
        <w:tc>
          <w:tcPr>
            <w:tcW w:w="2553" w:type="dxa"/>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3" w:type="dxa"/>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134" w:type="dxa"/>
          </w:tcPr>
          <w:p>
            <w:pPr>
              <w:pStyle w:val="nTable"/>
              <w:keepNext/>
              <w:keepLines/>
              <w:spacing w:after="40"/>
            </w:pPr>
            <w:r>
              <w:t>29 of 1998</w:t>
            </w:r>
          </w:p>
        </w:tc>
        <w:tc>
          <w:tcPr>
            <w:tcW w:w="1134" w:type="dxa"/>
          </w:tcPr>
          <w:p>
            <w:pPr>
              <w:pStyle w:val="nTable"/>
              <w:spacing w:after="40"/>
            </w:pPr>
            <w:r>
              <w:t>6 Jul 1998</w:t>
            </w:r>
          </w:p>
        </w:tc>
        <w:tc>
          <w:tcPr>
            <w:tcW w:w="2553" w:type="dxa"/>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134" w:type="dxa"/>
          </w:tcPr>
          <w:p>
            <w:pPr>
              <w:pStyle w:val="nTable"/>
              <w:keepNext/>
              <w:keepLines/>
              <w:spacing w:after="40"/>
            </w:pPr>
            <w:r>
              <w:t>38 of 1998</w:t>
            </w:r>
          </w:p>
        </w:tc>
        <w:tc>
          <w:tcPr>
            <w:tcW w:w="1134" w:type="dxa"/>
          </w:tcPr>
          <w:p>
            <w:pPr>
              <w:pStyle w:val="nTable"/>
              <w:spacing w:after="40"/>
            </w:pPr>
            <w:r>
              <w:t>25 Sep 1998</w:t>
            </w:r>
          </w:p>
        </w:tc>
        <w:tc>
          <w:tcPr>
            <w:tcW w:w="2553" w:type="dxa"/>
          </w:tcPr>
          <w:p>
            <w:pPr>
              <w:pStyle w:val="nTable"/>
              <w:spacing w:after="40"/>
              <w:ind w:right="71"/>
            </w:pPr>
            <w:r>
              <w:t>23 Oct 1998</w:t>
            </w:r>
          </w:p>
        </w:tc>
      </w:tr>
      <w:tr>
        <w:tc>
          <w:tcPr>
            <w:tcW w:w="2268" w:type="dxa"/>
          </w:tcPr>
          <w:p>
            <w:pPr>
              <w:pStyle w:val="nTable"/>
              <w:spacing w:after="40"/>
              <w:ind w:right="113"/>
            </w:pPr>
            <w:r>
              <w:rPr>
                <w:i/>
              </w:rPr>
              <w:t>Fire and Emergency Services Authority of Western Australia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3" w:type="dxa"/>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134" w:type="dxa"/>
          </w:tcPr>
          <w:p>
            <w:pPr>
              <w:pStyle w:val="nTable"/>
              <w:keepNext/>
              <w:keepLines/>
              <w:spacing w:after="40"/>
            </w:pPr>
            <w:r>
              <w:t>48 of 1998</w:t>
            </w:r>
          </w:p>
        </w:tc>
        <w:tc>
          <w:tcPr>
            <w:tcW w:w="1134" w:type="dxa"/>
          </w:tcPr>
          <w:p>
            <w:pPr>
              <w:pStyle w:val="nTable"/>
              <w:spacing w:after="40"/>
            </w:pPr>
            <w:r>
              <w:t>19 Nov 1998</w:t>
            </w:r>
          </w:p>
        </w:tc>
        <w:tc>
          <w:tcPr>
            <w:tcW w:w="2553" w:type="dxa"/>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t>Botanic Gardens and Parks Authority Act 1998</w:t>
            </w:r>
            <w:r>
              <w:t xml:space="preserve"> s. 56</w:t>
            </w:r>
          </w:p>
        </w:tc>
        <w:tc>
          <w:tcPr>
            <w:tcW w:w="1134" w:type="dxa"/>
          </w:tcPr>
          <w:p>
            <w:pPr>
              <w:pStyle w:val="nTable"/>
              <w:keepNext/>
              <w:keepLines/>
              <w:spacing w:after="40"/>
            </w:pPr>
            <w:r>
              <w:t>53 of 1998</w:t>
            </w:r>
          </w:p>
        </w:tc>
        <w:tc>
          <w:tcPr>
            <w:tcW w:w="1134" w:type="dxa"/>
          </w:tcPr>
          <w:p>
            <w:pPr>
              <w:pStyle w:val="nTable"/>
              <w:spacing w:after="40"/>
            </w:pPr>
            <w:r>
              <w:t>7 Dec 1998</w:t>
            </w:r>
          </w:p>
        </w:tc>
        <w:tc>
          <w:tcPr>
            <w:tcW w:w="2553" w:type="dxa"/>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134" w:type="dxa"/>
          </w:tcPr>
          <w:p>
            <w:pPr>
              <w:pStyle w:val="nTable"/>
              <w:keepNext/>
              <w:keepLines/>
              <w:spacing w:after="40"/>
            </w:pPr>
            <w:r>
              <w:t>5 of 1999</w:t>
            </w:r>
          </w:p>
        </w:tc>
        <w:tc>
          <w:tcPr>
            <w:tcW w:w="1134" w:type="dxa"/>
          </w:tcPr>
          <w:p>
            <w:pPr>
              <w:pStyle w:val="nTable"/>
              <w:spacing w:after="40"/>
            </w:pPr>
            <w:r>
              <w:t>13 Apr 1999</w:t>
            </w:r>
          </w:p>
        </w:tc>
        <w:tc>
          <w:tcPr>
            <w:tcW w:w="2553" w:type="dxa"/>
          </w:tcPr>
          <w:p>
            <w:pPr>
              <w:pStyle w:val="nTable"/>
              <w:spacing w:after="40"/>
              <w:ind w:right="71"/>
            </w:pPr>
            <w:r>
              <w:t xml:space="preserve">14 Aug 1999 (see s. 2 and </w:t>
            </w:r>
            <w:r>
              <w:rPr>
                <w:i/>
              </w:rPr>
              <w:t>Gazette</w:t>
            </w:r>
            <w:r>
              <w:t xml:space="preserve"> 13 Aug 1999 p. 3823)</w:t>
            </w:r>
          </w:p>
        </w:tc>
      </w:tr>
      <w:tr>
        <w:tc>
          <w:tcPr>
            <w:tcW w:w="7089" w:type="dxa"/>
            <w:gridSpan w:val="4"/>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r>
              <w:rPr>
                <w:i/>
              </w:rPr>
              <w:t>Perth Parking Management (Consequential Provisions) Act 1999</w:t>
            </w:r>
            <w:r>
              <w:t xml:space="preserve"> s. 7(5)</w:t>
            </w:r>
          </w:p>
        </w:tc>
        <w:tc>
          <w:tcPr>
            <w:tcW w:w="1134" w:type="dxa"/>
          </w:tcPr>
          <w:p>
            <w:pPr>
              <w:pStyle w:val="nTable"/>
              <w:keepNext/>
              <w:keepLines/>
              <w:spacing w:after="40"/>
            </w:pPr>
            <w:r>
              <w:t>16 of 1999</w:t>
            </w:r>
          </w:p>
        </w:tc>
        <w:tc>
          <w:tcPr>
            <w:tcW w:w="1134" w:type="dxa"/>
          </w:tcPr>
          <w:p>
            <w:pPr>
              <w:pStyle w:val="nTable"/>
              <w:spacing w:after="40"/>
            </w:pPr>
            <w:r>
              <w:t>19 May 1999</w:t>
            </w:r>
          </w:p>
        </w:tc>
        <w:tc>
          <w:tcPr>
            <w:tcW w:w="2553" w:type="dxa"/>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5</w:t>
            </w:r>
          </w:p>
        </w:tc>
        <w:tc>
          <w:tcPr>
            <w:tcW w:w="1134" w:type="dxa"/>
          </w:tcPr>
          <w:p>
            <w:pPr>
              <w:pStyle w:val="nTable"/>
              <w:keepNext/>
              <w:keepLines/>
              <w:spacing w:after="40"/>
            </w:pPr>
            <w:r>
              <w:t>57 of 1999 (amended by No. 62 of 2000 s. 4-6</w:t>
            </w:r>
            <w:r>
              <w:rPr>
                <w:vertAlign w:val="superscript"/>
              </w:rPr>
              <w:t> 6</w:t>
            </w:r>
            <w:r>
              <w:t>)</w:t>
            </w:r>
          </w:p>
        </w:tc>
        <w:tc>
          <w:tcPr>
            <w:tcW w:w="1134" w:type="dxa"/>
          </w:tcPr>
          <w:p>
            <w:pPr>
              <w:pStyle w:val="nTable"/>
              <w:spacing w:after="40"/>
            </w:pPr>
            <w:r>
              <w:t>16 Dec 1999</w:t>
            </w:r>
          </w:p>
        </w:tc>
        <w:tc>
          <w:tcPr>
            <w:tcW w:w="2553" w:type="dxa"/>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6" w:type="dxa"/>
            <w:gridSpan w:val="3"/>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3" w:type="dxa"/>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tcPr>
          <w:p>
            <w:pPr>
              <w:pStyle w:val="nTable"/>
              <w:keepNext/>
              <w:keepLines/>
              <w:spacing w:after="40"/>
            </w:pPr>
            <w:r>
              <w:t>9 of 2000</w:t>
            </w:r>
          </w:p>
        </w:tc>
        <w:tc>
          <w:tcPr>
            <w:tcW w:w="1134" w:type="dxa"/>
          </w:tcPr>
          <w:p>
            <w:pPr>
              <w:pStyle w:val="nTable"/>
              <w:spacing w:after="40"/>
            </w:pPr>
            <w:r>
              <w:t>19 May 2000</w:t>
            </w:r>
          </w:p>
        </w:tc>
        <w:tc>
          <w:tcPr>
            <w:tcW w:w="2553" w:type="dxa"/>
          </w:tcPr>
          <w:p>
            <w:pPr>
              <w:pStyle w:val="nTable"/>
              <w:spacing w:after="40"/>
              <w:ind w:right="71"/>
            </w:pPr>
            <w:r>
              <w:t xml:space="preserve">25 Aug 2000 (see s. 2 and </w:t>
            </w:r>
            <w:r>
              <w:rPr>
                <w:i/>
              </w:rPr>
              <w:t>Gazette</w:t>
            </w:r>
            <w:r>
              <w:t xml:space="preserve"> 25 Aug 2000 p. 4903)</w:t>
            </w:r>
          </w:p>
        </w:tc>
      </w:tr>
      <w:tr>
        <w:tc>
          <w:tcPr>
            <w:tcW w:w="7089" w:type="dxa"/>
            <w:gridSpan w:val="4"/>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tcPr>
          <w:p>
            <w:pPr>
              <w:pStyle w:val="nTable"/>
              <w:keepNext/>
              <w:keepLines/>
              <w:spacing w:after="40"/>
            </w:pPr>
            <w:r>
              <w:t>23 of 2001</w:t>
            </w:r>
          </w:p>
        </w:tc>
        <w:tc>
          <w:tcPr>
            <w:tcW w:w="1134" w:type="dxa"/>
          </w:tcPr>
          <w:p>
            <w:pPr>
              <w:pStyle w:val="nTable"/>
              <w:spacing w:after="40"/>
            </w:pPr>
            <w:r>
              <w:t>26 Nov 2001</w:t>
            </w:r>
          </w:p>
        </w:tc>
        <w:tc>
          <w:tcPr>
            <w:tcW w:w="2553" w:type="dxa"/>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tcPr>
          <w:p>
            <w:pPr>
              <w:pStyle w:val="nTable"/>
              <w:keepNext/>
              <w:keepLines/>
              <w:spacing w:after="40"/>
            </w:pPr>
            <w:r>
              <w:t>24 of 2001</w:t>
            </w:r>
          </w:p>
        </w:tc>
        <w:tc>
          <w:tcPr>
            <w:tcW w:w="1134" w:type="dxa"/>
          </w:tcPr>
          <w:p>
            <w:pPr>
              <w:pStyle w:val="nTable"/>
              <w:spacing w:after="40"/>
            </w:pPr>
            <w:r>
              <w:t>26 Nov 2001</w:t>
            </w:r>
          </w:p>
        </w:tc>
        <w:tc>
          <w:tcPr>
            <w:tcW w:w="2553" w:type="dxa"/>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tcPr>
          <w:p>
            <w:pPr>
              <w:pStyle w:val="nTable"/>
              <w:keepNext/>
              <w:keepLines/>
              <w:spacing w:after="40"/>
            </w:pPr>
            <w:r>
              <w:rPr>
                <w:snapToGrid w:val="0"/>
              </w:rPr>
              <w:t>7 of 2002</w:t>
            </w:r>
          </w:p>
        </w:tc>
        <w:tc>
          <w:tcPr>
            <w:tcW w:w="1134" w:type="dxa"/>
          </w:tcPr>
          <w:p>
            <w:pPr>
              <w:pStyle w:val="nTable"/>
              <w:spacing w:after="40"/>
            </w:pPr>
            <w:r>
              <w:t>19 Jun 2002</w:t>
            </w:r>
          </w:p>
        </w:tc>
        <w:tc>
          <w:tcPr>
            <w:tcW w:w="2553" w:type="dxa"/>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tcPr>
          <w:p>
            <w:pPr>
              <w:pStyle w:val="nTable"/>
              <w:keepNext/>
              <w:keepLines/>
              <w:spacing w:after="40"/>
              <w:rPr>
                <w:snapToGrid w:val="0"/>
              </w:rPr>
            </w:pPr>
            <w:r>
              <w:t>35 of 2003</w:t>
            </w:r>
          </w:p>
        </w:tc>
        <w:tc>
          <w:tcPr>
            <w:tcW w:w="1134" w:type="dxa"/>
          </w:tcPr>
          <w:p>
            <w:pPr>
              <w:pStyle w:val="nTable"/>
              <w:spacing w:after="40"/>
            </w:pPr>
            <w:r>
              <w:t>26 Jun 2003</w:t>
            </w:r>
          </w:p>
        </w:tc>
        <w:tc>
          <w:tcPr>
            <w:tcW w:w="2553" w:type="dxa"/>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t xml:space="preserve"> Pt. 2, s. 29(3) and 33</w:t>
            </w:r>
            <w:r>
              <w:rPr>
                <w:vertAlign w:val="superscript"/>
              </w:rPr>
              <w:t> 7</w:t>
            </w:r>
          </w:p>
        </w:tc>
        <w:tc>
          <w:tcPr>
            <w:tcW w:w="1134" w:type="dxa"/>
          </w:tcPr>
          <w:p>
            <w:pPr>
              <w:pStyle w:val="nTable"/>
              <w:keepNext/>
              <w:keepLines/>
              <w:spacing w:after="40"/>
            </w:pPr>
            <w:r>
              <w:t>50 of 2003 (amended by No. 41 of 2006 s. 94, No. 5 of 2008 s. 109</w:t>
            </w:r>
            <w:r>
              <w:rPr>
                <w:vertAlign w:val="superscript"/>
              </w:rPr>
              <w:t> 8</w:t>
            </w:r>
            <w:r>
              <w:t>, No. 49 of 2008 s. 3</w:t>
            </w:r>
            <w:r>
              <w:noBreakHyphen/>
              <w:t>5</w:t>
            </w:r>
            <w:r>
              <w:rPr>
                <w:vertAlign w:val="superscript"/>
              </w:rPr>
              <w:t> 9</w:t>
            </w:r>
            <w:r>
              <w:t>)</w:t>
            </w:r>
          </w:p>
        </w:tc>
        <w:tc>
          <w:tcPr>
            <w:tcW w:w="1134" w:type="dxa"/>
          </w:tcPr>
          <w:p>
            <w:pPr>
              <w:pStyle w:val="nTable"/>
              <w:spacing w:after="40"/>
            </w:pPr>
            <w:r>
              <w:t>9 Jul 2003</w:t>
            </w:r>
          </w:p>
        </w:tc>
        <w:tc>
          <w:tcPr>
            <w:tcW w:w="2553" w:type="dxa"/>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9" w:type="dxa"/>
            <w:gridSpan w:val="4"/>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tcPr>
          <w:p>
            <w:pPr>
              <w:pStyle w:val="nTable"/>
              <w:keepNext/>
              <w:keepLines/>
              <w:spacing w:after="40"/>
            </w:pPr>
            <w:r>
              <w:t>77 of 2003</w:t>
            </w:r>
          </w:p>
        </w:tc>
        <w:tc>
          <w:tcPr>
            <w:tcW w:w="1134" w:type="dxa"/>
          </w:tcPr>
          <w:p>
            <w:pPr>
              <w:pStyle w:val="nTable"/>
              <w:spacing w:after="40"/>
            </w:pPr>
            <w:r>
              <w:t>15 Dec 2003</w:t>
            </w:r>
          </w:p>
        </w:tc>
        <w:tc>
          <w:tcPr>
            <w:tcW w:w="2553" w:type="dxa"/>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tcPr>
          <w:p>
            <w:pPr>
              <w:pStyle w:val="nTable"/>
              <w:keepNext/>
              <w:keepLines/>
              <w:spacing w:after="40"/>
            </w:pPr>
            <w:r>
              <w:t>4 of 2004</w:t>
            </w:r>
          </w:p>
        </w:tc>
        <w:tc>
          <w:tcPr>
            <w:tcW w:w="1134" w:type="dxa"/>
          </w:tcPr>
          <w:p>
            <w:pPr>
              <w:pStyle w:val="nTable"/>
              <w:spacing w:after="40"/>
            </w:pPr>
            <w:r>
              <w:t>23 Apr 2004</w:t>
            </w:r>
          </w:p>
        </w:tc>
        <w:tc>
          <w:tcPr>
            <w:tcW w:w="2553" w:type="dxa"/>
          </w:tcPr>
          <w:p>
            <w:pPr>
              <w:pStyle w:val="nTable"/>
              <w:spacing w:after="40"/>
              <w:ind w:right="71"/>
            </w:pPr>
            <w:r>
              <w:t>21 May 2004 (see s. 2)</w:t>
            </w:r>
          </w:p>
        </w:tc>
      </w:tr>
      <w:tr>
        <w:tc>
          <w:tcPr>
            <w:tcW w:w="2268" w:type="dxa"/>
          </w:tcPr>
          <w:p>
            <w:pPr>
              <w:pStyle w:val="nTable"/>
              <w:spacing w:after="40"/>
              <w:ind w:right="113"/>
              <w:rPr>
                <w:i/>
              </w:rPr>
            </w:pPr>
            <w:r>
              <w:rPr>
                <w:i/>
              </w:rPr>
              <w:t>Western Australian College of Teaching Act 2004</w:t>
            </w:r>
            <w:r>
              <w:t xml:space="preserve"> s. 88 </w:t>
            </w:r>
          </w:p>
        </w:tc>
        <w:tc>
          <w:tcPr>
            <w:tcW w:w="1134" w:type="dxa"/>
          </w:tcPr>
          <w:p>
            <w:pPr>
              <w:pStyle w:val="nTable"/>
              <w:keepNext/>
              <w:keepLines/>
              <w:spacing w:after="40"/>
            </w:pPr>
            <w:r>
              <w:t>8 of 2004</w:t>
            </w:r>
          </w:p>
        </w:tc>
        <w:tc>
          <w:tcPr>
            <w:tcW w:w="1134" w:type="dxa"/>
          </w:tcPr>
          <w:p>
            <w:pPr>
              <w:pStyle w:val="nTable"/>
              <w:spacing w:after="40"/>
            </w:pPr>
            <w:r>
              <w:t>10 Jun 2004</w:t>
            </w:r>
          </w:p>
        </w:tc>
        <w:tc>
          <w:tcPr>
            <w:tcW w:w="2553" w:type="dxa"/>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tcPr>
          <w:p>
            <w:pPr>
              <w:pStyle w:val="nTable"/>
              <w:spacing w:after="40"/>
              <w:rPr>
                <w:snapToGrid w:val="0"/>
              </w:rPr>
            </w:pPr>
            <w:r>
              <w:t>26 of 2004</w:t>
            </w:r>
          </w:p>
        </w:tc>
        <w:tc>
          <w:tcPr>
            <w:tcW w:w="1134" w:type="dxa"/>
          </w:tcPr>
          <w:p>
            <w:pPr>
              <w:pStyle w:val="nTable"/>
              <w:spacing w:after="40"/>
            </w:pPr>
            <w:r>
              <w:t>7 Oct 2004</w:t>
            </w:r>
          </w:p>
        </w:tc>
        <w:tc>
          <w:tcPr>
            <w:tcW w:w="2553" w:type="dxa"/>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10</w:t>
            </w:r>
          </w:p>
        </w:tc>
        <w:tc>
          <w:tcPr>
            <w:tcW w:w="1134" w:type="dxa"/>
          </w:tcPr>
          <w:p>
            <w:pPr>
              <w:pStyle w:val="nTable"/>
              <w:keepNext/>
              <w:keepLines/>
              <w:spacing w:after="40"/>
            </w:pPr>
            <w:r>
              <w:t>27 of 2004</w:t>
            </w:r>
          </w:p>
        </w:tc>
        <w:tc>
          <w:tcPr>
            <w:tcW w:w="1134" w:type="dxa"/>
          </w:tcPr>
          <w:p>
            <w:pPr>
              <w:pStyle w:val="nTable"/>
              <w:spacing w:after="40"/>
            </w:pPr>
            <w:r>
              <w:t>14 Oct 2004</w:t>
            </w:r>
          </w:p>
        </w:tc>
        <w:tc>
          <w:tcPr>
            <w:tcW w:w="2553" w:type="dxa"/>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tcPr>
          <w:p>
            <w:pPr>
              <w:pStyle w:val="nTable"/>
              <w:spacing w:after="40"/>
            </w:pPr>
            <w:r>
              <w:rPr>
                <w:snapToGrid w:val="0"/>
              </w:rPr>
              <w:t>40 of 2004</w:t>
            </w:r>
          </w:p>
        </w:tc>
        <w:tc>
          <w:tcPr>
            <w:tcW w:w="1134" w:type="dxa"/>
          </w:tcPr>
          <w:p>
            <w:pPr>
              <w:pStyle w:val="nTable"/>
              <w:spacing w:after="40"/>
            </w:pPr>
            <w:r>
              <w:t>3 Nov 2004</w:t>
            </w:r>
          </w:p>
        </w:tc>
        <w:tc>
          <w:tcPr>
            <w:tcW w:w="2553" w:type="dxa"/>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keepNext/>
              <w:spacing w:after="40"/>
              <w:rPr>
                <w:snapToGrid w:val="0"/>
                <w:vertAlign w:val="superscript"/>
              </w:rPr>
            </w:pPr>
            <w:r>
              <w:rPr>
                <w:i/>
                <w:snapToGrid w:val="0"/>
              </w:rPr>
              <w:t>Workers’ Compensation Reform Act 2004</w:t>
            </w:r>
            <w:r>
              <w:rPr>
                <w:snapToGrid w:val="0"/>
              </w:rPr>
              <w:t xml:space="preserve"> s. 169 and 174</w:t>
            </w:r>
          </w:p>
        </w:tc>
        <w:tc>
          <w:tcPr>
            <w:tcW w:w="1134" w:type="dxa"/>
          </w:tcPr>
          <w:p>
            <w:pPr>
              <w:pStyle w:val="nTable"/>
              <w:keepNext/>
              <w:spacing w:after="40"/>
              <w:rPr>
                <w:snapToGrid w:val="0"/>
              </w:rPr>
            </w:pPr>
            <w:r>
              <w:rPr>
                <w:snapToGrid w:val="0"/>
              </w:rPr>
              <w:t>42 of 2004</w:t>
            </w:r>
          </w:p>
        </w:tc>
        <w:tc>
          <w:tcPr>
            <w:tcW w:w="1134" w:type="dxa"/>
          </w:tcPr>
          <w:p>
            <w:pPr>
              <w:pStyle w:val="nTable"/>
              <w:keepNext/>
              <w:spacing w:after="40"/>
              <w:rPr>
                <w:snapToGrid w:val="0"/>
              </w:rPr>
            </w:pPr>
            <w:r>
              <w:t>9 Nov 2004</w:t>
            </w:r>
          </w:p>
        </w:tc>
        <w:tc>
          <w:tcPr>
            <w:tcW w:w="2553" w:type="dxa"/>
          </w:tcPr>
          <w:p>
            <w:pPr>
              <w:pStyle w:val="nTable"/>
              <w:keepNext/>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3" w:type="dxa"/>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3" w:type="dxa"/>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tcPr>
          <w:p>
            <w:pPr>
              <w:pStyle w:val="nTable"/>
              <w:spacing w:after="40"/>
              <w:rPr>
                <w:snapToGrid w:val="0"/>
              </w:rPr>
            </w:pPr>
            <w:r>
              <w:rPr>
                <w:snapToGrid w:val="0"/>
              </w:rPr>
              <w:t>72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tcPr>
          <w:p>
            <w:pPr>
              <w:pStyle w:val="nTable"/>
              <w:spacing w:after="40"/>
              <w:rPr>
                <w:snapToGrid w:val="0"/>
              </w:rPr>
            </w:pPr>
            <w:r>
              <w:rPr>
                <w:snapToGrid w:val="0"/>
              </w:rPr>
              <w:t>75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11, 12</w:t>
            </w:r>
          </w:p>
        </w:tc>
        <w:tc>
          <w:tcPr>
            <w:tcW w:w="1134" w:type="dxa"/>
          </w:tcPr>
          <w:p>
            <w:pPr>
              <w:pStyle w:val="nTable"/>
              <w:spacing w:after="40"/>
              <w:rPr>
                <w:b/>
                <w:snapToGrid w:val="0"/>
              </w:rPr>
            </w:pPr>
            <w:r>
              <w:rPr>
                <w:snapToGrid w:val="0"/>
              </w:rPr>
              <w:t>84 of 2004</w:t>
            </w:r>
            <w:r>
              <w:rPr>
                <w:snapToGrid w:val="0"/>
              </w:rPr>
              <w:br/>
              <w:t>(amended by No. 41 of 2006 s. 74(2) and 75(2)</w:t>
            </w:r>
            <w:r>
              <w:rPr>
                <w:snapToGrid w:val="0"/>
                <w:vertAlign w:val="superscript"/>
              </w:rPr>
              <w:t> 13</w:t>
            </w:r>
            <w:r>
              <w:rPr>
                <w:snapToGrid w:val="0"/>
              </w:rPr>
              <w:t>)</w:t>
            </w:r>
          </w:p>
        </w:tc>
        <w:tc>
          <w:tcPr>
            <w:tcW w:w="1134" w:type="dxa"/>
          </w:tcPr>
          <w:p>
            <w:pPr>
              <w:pStyle w:val="nTable"/>
              <w:spacing w:after="40"/>
            </w:pPr>
            <w:r>
              <w:t>16 Dec 2004</w:t>
            </w:r>
          </w:p>
        </w:tc>
        <w:tc>
          <w:tcPr>
            <w:tcW w:w="2553" w:type="dxa"/>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9" w:type="dxa"/>
            <w:gridSpan w:val="4"/>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3" w:type="dxa"/>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tcPr>
          <w:p>
            <w:pPr>
              <w:pStyle w:val="nTable"/>
              <w:spacing w:after="40"/>
              <w:rPr>
                <w:snapToGrid w:val="0"/>
              </w:rPr>
            </w:pPr>
            <w:r>
              <w:rPr>
                <w:snapToGrid w:val="0"/>
              </w:rPr>
              <w:t>41 of 2006</w:t>
            </w:r>
          </w:p>
        </w:tc>
        <w:tc>
          <w:tcPr>
            <w:tcW w:w="1134" w:type="dxa"/>
          </w:tcPr>
          <w:p>
            <w:pPr>
              <w:pStyle w:val="nTable"/>
              <w:spacing w:after="40"/>
            </w:pPr>
            <w:r>
              <w:t>22 Sep 2006</w:t>
            </w:r>
          </w:p>
        </w:tc>
        <w:tc>
          <w:tcPr>
            <w:tcW w:w="2553" w:type="dxa"/>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3" w:type="dxa"/>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3" w:type="dxa"/>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3" w:type="dxa"/>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3" w:type="dxa"/>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tcPr>
          <w:p>
            <w:pPr>
              <w:pStyle w:val="nTable"/>
              <w:spacing w:after="40"/>
              <w:rPr>
                <w:snapToGrid w:val="0"/>
              </w:rPr>
            </w:pPr>
            <w:r>
              <w:rPr>
                <w:snapToGrid w:val="0"/>
              </w:rPr>
              <w:t>3 of 2008</w:t>
            </w:r>
          </w:p>
        </w:tc>
        <w:tc>
          <w:tcPr>
            <w:tcW w:w="1134" w:type="dxa"/>
          </w:tcPr>
          <w:p>
            <w:pPr>
              <w:pStyle w:val="nTable"/>
              <w:spacing w:after="40"/>
            </w:pPr>
            <w:r>
              <w:t>12 Mar 2008</w:t>
            </w:r>
          </w:p>
        </w:tc>
        <w:tc>
          <w:tcPr>
            <w:tcW w:w="2553" w:type="dxa"/>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tcPr>
          <w:p>
            <w:pPr>
              <w:pStyle w:val="nTable"/>
              <w:spacing w:after="40"/>
            </w:pPr>
            <w:r>
              <w:t>5 of 2008</w:t>
            </w:r>
          </w:p>
        </w:tc>
        <w:tc>
          <w:tcPr>
            <w:tcW w:w="1134" w:type="dxa"/>
          </w:tcPr>
          <w:p>
            <w:pPr>
              <w:pStyle w:val="nTable"/>
              <w:spacing w:after="40"/>
            </w:pPr>
            <w:r>
              <w:t>31 Mar 2008</w:t>
            </w:r>
          </w:p>
        </w:tc>
        <w:tc>
          <w:tcPr>
            <w:tcW w:w="2553" w:type="dxa"/>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tcPr>
          <w:p>
            <w:pPr>
              <w:pStyle w:val="nTable"/>
              <w:spacing w:after="40"/>
            </w:pPr>
            <w:r>
              <w:t>22 of 2008</w:t>
            </w:r>
          </w:p>
        </w:tc>
        <w:tc>
          <w:tcPr>
            <w:tcW w:w="1134" w:type="dxa"/>
          </w:tcPr>
          <w:p>
            <w:pPr>
              <w:pStyle w:val="nTable"/>
              <w:spacing w:after="40"/>
            </w:pPr>
            <w:r>
              <w:t>27 May 2008</w:t>
            </w:r>
          </w:p>
        </w:tc>
        <w:tc>
          <w:tcPr>
            <w:tcW w:w="2553" w:type="dxa"/>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tcPr>
          <w:p>
            <w:pPr>
              <w:pStyle w:val="nTable"/>
              <w:spacing w:after="40"/>
            </w:pPr>
            <w:r>
              <w:t>29 of 2008</w:t>
            </w:r>
          </w:p>
        </w:tc>
        <w:tc>
          <w:tcPr>
            <w:tcW w:w="1134" w:type="dxa"/>
          </w:tcPr>
          <w:p>
            <w:pPr>
              <w:pStyle w:val="nTable"/>
              <w:spacing w:after="40"/>
            </w:pPr>
            <w:r>
              <w:t>27 Jun 2008</w:t>
            </w:r>
          </w:p>
        </w:tc>
        <w:tc>
          <w:tcPr>
            <w:tcW w:w="2553" w:type="dxa"/>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3" w:type="dxa"/>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3"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3"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3"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9" w:type="dxa"/>
            <w:gridSpan w:val="4"/>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tcPr>
          <w:p>
            <w:pPr>
              <w:pStyle w:val="nTable"/>
            </w:pPr>
            <w:r>
              <w:rPr>
                <w:snapToGrid w:val="0"/>
              </w:rPr>
              <w:t>19 of 2011</w:t>
            </w:r>
          </w:p>
        </w:tc>
        <w:tc>
          <w:tcPr>
            <w:tcW w:w="1134" w:type="dxa"/>
          </w:tcPr>
          <w:p>
            <w:pPr>
              <w:pStyle w:val="nTable"/>
            </w:pPr>
            <w:r>
              <w:rPr>
                <w:snapToGrid w:val="0"/>
              </w:rPr>
              <w:t>22 Jun 2011</w:t>
            </w:r>
          </w:p>
        </w:tc>
        <w:tc>
          <w:tcPr>
            <w:tcW w:w="2553" w:type="dxa"/>
          </w:tcPr>
          <w:p>
            <w:pPr>
              <w:pStyle w:val="nTable"/>
            </w:pPr>
            <w:r>
              <w:rPr>
                <w:snapToGrid w:val="0"/>
              </w:rPr>
              <w:t xml:space="preserve">29 Aug 2011 (see s. 2(b) and </w:t>
            </w:r>
            <w:r>
              <w:rPr>
                <w:i/>
                <w:snapToGrid w:val="0"/>
              </w:rPr>
              <w:t>Gazette</w:t>
            </w:r>
            <w:r>
              <w:rPr>
                <w:snapToGrid w:val="0"/>
              </w:rPr>
              <w:t xml:space="preserve"> 26 Aug 2011 p. 3475</w:t>
            </w:r>
            <w:r>
              <w:rPr>
                <w:snapToGrid w:val="0"/>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tcPr>
          <w:p>
            <w:pPr>
              <w:pStyle w:val="nTable"/>
              <w:rPr>
                <w:snapToGrid w:val="0"/>
              </w:rPr>
            </w:pPr>
            <w:r>
              <w:rPr>
                <w:snapToGrid w:val="0"/>
              </w:rPr>
              <w:t>47 of 2011</w:t>
            </w:r>
          </w:p>
        </w:tc>
        <w:tc>
          <w:tcPr>
            <w:tcW w:w="1134" w:type="dxa"/>
          </w:tcPr>
          <w:p>
            <w:pPr>
              <w:pStyle w:val="nTable"/>
              <w:rPr>
                <w:snapToGrid w:val="0"/>
              </w:rPr>
            </w:pPr>
            <w:r>
              <w:rPr>
                <w:snapToGrid w:val="0"/>
              </w:rPr>
              <w:t>25 Oct 2011</w:t>
            </w:r>
          </w:p>
        </w:tc>
        <w:tc>
          <w:tcPr>
            <w:tcW w:w="2553" w:type="dxa"/>
          </w:tcPr>
          <w:p>
            <w:pPr>
              <w:pStyle w:val="nTable"/>
              <w:rPr>
                <w:snapToGrid w:val="0"/>
              </w:rPr>
            </w:pPr>
            <w:r>
              <w:rPr>
                <w:snapToGrid w:val="0"/>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tcPr>
          <w:p>
            <w:pPr>
              <w:pStyle w:val="nTable"/>
              <w:rPr>
                <w:snapToGrid w:val="0"/>
              </w:rPr>
            </w:pPr>
            <w:r>
              <w:rPr>
                <w:snapToGrid w:val="0"/>
              </w:rPr>
              <w:t>8 of 2012</w:t>
            </w:r>
          </w:p>
        </w:tc>
        <w:tc>
          <w:tcPr>
            <w:tcW w:w="1134" w:type="dxa"/>
          </w:tcPr>
          <w:p>
            <w:pPr>
              <w:pStyle w:val="nTable"/>
              <w:rPr>
                <w:snapToGrid w:val="0"/>
              </w:rPr>
            </w:pPr>
            <w:r>
              <w:t>21 May 2012</w:t>
            </w:r>
          </w:p>
        </w:tc>
        <w:tc>
          <w:tcPr>
            <w:tcW w:w="2553" w:type="dxa"/>
          </w:tcPr>
          <w:p>
            <w:pPr>
              <w:pStyle w:val="nTable"/>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shd w:val="clear" w:color="auto" w:fill="auto"/>
          </w:tcPr>
          <w:p>
            <w:pPr>
              <w:pStyle w:val="nTable"/>
              <w:rPr>
                <w:snapToGrid w:val="0"/>
              </w:rPr>
            </w:pPr>
            <w:r>
              <w:t>16 of 2012</w:t>
            </w:r>
          </w:p>
        </w:tc>
        <w:tc>
          <w:tcPr>
            <w:tcW w:w="1134" w:type="dxa"/>
            <w:shd w:val="clear" w:color="auto" w:fill="auto"/>
          </w:tcPr>
          <w:p>
            <w:pPr>
              <w:pStyle w:val="nTable"/>
              <w:rPr>
                <w:snapToGrid w:val="0"/>
              </w:rPr>
            </w:pPr>
            <w:r>
              <w:t>3 Jul 2012</w:t>
            </w:r>
          </w:p>
        </w:tc>
        <w:tc>
          <w:tcPr>
            <w:tcW w:w="2553" w:type="dxa"/>
            <w:shd w:val="clear" w:color="auto" w:fill="auto"/>
          </w:tcPr>
          <w:p>
            <w:pPr>
              <w:pStyle w:val="nTable"/>
              <w:rPr>
                <w:snapToGrid w:val="0"/>
              </w:rPr>
            </w:pPr>
            <w:r>
              <w:rPr>
                <w:snapToGrid w:val="0"/>
              </w:rPr>
              <w:t xml:space="preserve">7 Dec 2012 (see s. 2(b) and </w:t>
            </w:r>
            <w:r>
              <w:rPr>
                <w:i/>
                <w:snapToGrid w:val="0"/>
              </w:rPr>
              <w:t>Gazette</w:t>
            </w:r>
            <w:r>
              <w:rPr>
                <w:snapToGrid w:val="0"/>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shd w:val="clear" w:color="auto" w:fill="auto"/>
          </w:tcPr>
          <w:p>
            <w:pPr>
              <w:pStyle w:val="nTable"/>
              <w:rPr>
                <w:snapToGrid w:val="0"/>
              </w:rPr>
            </w:pPr>
            <w:r>
              <w:rPr>
                <w:snapToGrid w:val="0"/>
              </w:rPr>
              <w:t>22 of 2012</w:t>
            </w:r>
          </w:p>
        </w:tc>
        <w:tc>
          <w:tcPr>
            <w:tcW w:w="1134" w:type="dxa"/>
            <w:shd w:val="clear" w:color="auto" w:fill="auto"/>
          </w:tcPr>
          <w:p>
            <w:pPr>
              <w:pStyle w:val="nTable"/>
              <w:rPr>
                <w:snapToGrid w:val="0"/>
              </w:rPr>
            </w:pPr>
            <w:r>
              <w:rPr>
                <w:snapToGrid w:val="0"/>
              </w:rPr>
              <w:t>29 Aug 2012</w:t>
            </w:r>
          </w:p>
        </w:tc>
        <w:tc>
          <w:tcPr>
            <w:tcW w:w="2553" w:type="dxa"/>
            <w:shd w:val="clear" w:color="auto" w:fill="auto"/>
          </w:tcPr>
          <w:p>
            <w:pPr>
              <w:pStyle w:val="nTable"/>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shd w:val="clear" w:color="auto" w:fill="auto"/>
          </w:tcPr>
          <w:p>
            <w:pPr>
              <w:pStyle w:val="nTable"/>
              <w:rPr>
                <w:snapToGrid w:val="0"/>
              </w:rPr>
            </w:pPr>
            <w:r>
              <w:rPr>
                <w:snapToGrid w:val="0"/>
              </w:rPr>
              <w:t>25 of 2012</w:t>
            </w:r>
          </w:p>
        </w:tc>
        <w:tc>
          <w:tcPr>
            <w:tcW w:w="1134" w:type="dxa"/>
            <w:shd w:val="clear" w:color="auto" w:fill="auto"/>
          </w:tcPr>
          <w:p>
            <w:pPr>
              <w:pStyle w:val="nTable"/>
              <w:rPr>
                <w:snapToGrid w:val="0"/>
              </w:rPr>
            </w:pPr>
            <w:r>
              <w:rPr>
                <w:snapToGrid w:val="0"/>
              </w:rPr>
              <w:t>3 Sep 2012</w:t>
            </w:r>
          </w:p>
        </w:tc>
        <w:tc>
          <w:tcPr>
            <w:tcW w:w="2553" w:type="dxa"/>
            <w:shd w:val="clear" w:color="auto" w:fill="auto"/>
          </w:tcPr>
          <w:p>
            <w:pPr>
              <w:pStyle w:val="nTable"/>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shd w:val="clear" w:color="auto" w:fill="auto"/>
          </w:tcPr>
          <w:p>
            <w:pPr>
              <w:pStyle w:val="nTable"/>
              <w:rPr>
                <w:snapToGrid w:val="0"/>
              </w:rPr>
            </w:pPr>
            <w:r>
              <w:rPr>
                <w:snapToGrid w:val="0"/>
              </w:rPr>
              <w:t>42 of 2012</w:t>
            </w:r>
          </w:p>
        </w:tc>
        <w:tc>
          <w:tcPr>
            <w:tcW w:w="1134" w:type="dxa"/>
            <w:shd w:val="clear" w:color="auto" w:fill="auto"/>
          </w:tcPr>
          <w:p>
            <w:pPr>
              <w:pStyle w:val="nTable"/>
              <w:rPr>
                <w:snapToGrid w:val="0"/>
              </w:rPr>
            </w:pPr>
            <w:r>
              <w:rPr>
                <w:snapToGrid w:val="0"/>
              </w:rPr>
              <w:t>22 Nov 2012</w:t>
            </w:r>
          </w:p>
        </w:tc>
        <w:tc>
          <w:tcPr>
            <w:tcW w:w="2553" w:type="dxa"/>
            <w:shd w:val="clear" w:color="auto" w:fill="auto"/>
          </w:tcPr>
          <w:p>
            <w:pPr>
              <w:pStyle w:val="nTable"/>
              <w:rPr>
                <w:snapToGrid w:val="0"/>
              </w:rPr>
            </w:pPr>
            <w:r>
              <w:rPr>
                <w:snapToGrid w:val="0"/>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shd w:val="clear" w:color="auto" w:fill="auto"/>
          </w:tcPr>
          <w:p>
            <w:pPr>
              <w:pStyle w:val="nTable"/>
              <w:rPr>
                <w:snapToGrid w:val="0"/>
              </w:rPr>
            </w:pPr>
            <w:r>
              <w:rPr>
                <w:snapToGrid w:val="0"/>
              </w:rPr>
              <w:t>48 of 2012</w:t>
            </w:r>
          </w:p>
        </w:tc>
        <w:tc>
          <w:tcPr>
            <w:tcW w:w="1134" w:type="dxa"/>
            <w:shd w:val="clear" w:color="auto" w:fill="auto"/>
          </w:tcPr>
          <w:p>
            <w:pPr>
              <w:pStyle w:val="nTable"/>
              <w:rPr>
                <w:snapToGrid w:val="0"/>
              </w:rPr>
            </w:pPr>
            <w:r>
              <w:t>29 Nov 2012</w:t>
            </w:r>
          </w:p>
        </w:tc>
        <w:tc>
          <w:tcPr>
            <w:tcW w:w="2553" w:type="dxa"/>
            <w:shd w:val="clear" w:color="auto" w:fill="auto"/>
          </w:tcPr>
          <w:p>
            <w:pPr>
              <w:pStyle w:val="nTable"/>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shd w:val="clear" w:color="auto" w:fill="auto"/>
          </w:tcPr>
          <w:p>
            <w:pPr>
              <w:pStyle w:val="nTable"/>
              <w:rPr>
                <w:snapToGrid w:val="0"/>
              </w:rPr>
            </w:pPr>
            <w:r>
              <w:rPr>
                <w:snapToGrid w:val="0"/>
              </w:rPr>
              <w:t>49 of 2012</w:t>
            </w:r>
          </w:p>
        </w:tc>
        <w:tc>
          <w:tcPr>
            <w:tcW w:w="1134" w:type="dxa"/>
            <w:shd w:val="clear" w:color="auto" w:fill="auto"/>
          </w:tcPr>
          <w:p>
            <w:pPr>
              <w:pStyle w:val="nTable"/>
            </w:pPr>
            <w:r>
              <w:t>29 Nov 2012</w:t>
            </w:r>
          </w:p>
        </w:tc>
        <w:tc>
          <w:tcPr>
            <w:tcW w:w="2553" w:type="dxa"/>
            <w:shd w:val="clear" w:color="auto" w:fill="auto"/>
          </w:tcPr>
          <w:p>
            <w:pPr>
              <w:pStyle w:val="nTable"/>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7089" w:type="dxa"/>
            <w:gridSpan w:val="4"/>
            <w:shd w:val="clear" w:color="auto" w:fill="auto"/>
          </w:tcPr>
          <w:p>
            <w:pPr>
              <w:pStyle w:val="nTable"/>
              <w:rPr>
                <w:snapToGrid w:val="0"/>
              </w:rPr>
            </w:pPr>
            <w:r>
              <w:rPr>
                <w:b/>
              </w:rPr>
              <w:t xml:space="preserve">Reprint 8: The Sentencing Act 1995 as at 8 Mar 2013 </w:t>
            </w:r>
            <w:r>
              <w:t xml:space="preserve">(includes amendments listed above except those in the </w:t>
            </w:r>
            <w:r>
              <w:rPr>
                <w:snapToGrid w:val="0"/>
              </w:rPr>
              <w:t xml:space="preserve">Road Traffic Legislation Amendment Act 2012, </w:t>
            </w:r>
            <w:r>
              <w:t>Water Services Legislation Amendment and Repeal Act 2012, Fines, Penalties and Infringement Notices Enforcement Amendment Act 2012 and the Criminal Organisations Control Act 2012)</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3"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3"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r>
              <w:rPr>
                <w:snapToGrid w:val="0"/>
                <w:vertAlign w:val="superscript"/>
              </w:rPr>
              <w:t> 14</w:t>
            </w:r>
          </w:p>
        </w:tc>
        <w:tc>
          <w:tcPr>
            <w:tcW w:w="1134" w:type="dxa"/>
            <w:tcBorders>
              <w:top w:val="nil"/>
              <w:left w:val="nil"/>
              <w:bottom w:val="nil"/>
              <w:right w:val="nil"/>
            </w:tcBorders>
          </w:tcPr>
          <w:p>
            <w:pPr>
              <w:pStyle w:val="nTable"/>
              <w:spacing w:after="40"/>
              <w:rPr>
                <w:snapToGrid w:val="0"/>
              </w:rPr>
            </w:pPr>
            <w:r>
              <w:rPr>
                <w:snapToGrid w:val="0"/>
              </w:rPr>
              <w:t>11 of 2014 (amended by No. 6 of 2017 s. 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3" w:type="dxa"/>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3" w:type="dxa"/>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rPr>
                <w:snapToGrid w:val="0"/>
              </w:rPr>
            </w:pPr>
            <w:r>
              <w:t>9 Dec 2014</w:t>
            </w:r>
          </w:p>
        </w:tc>
        <w:tc>
          <w:tcPr>
            <w:tcW w:w="2553"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Law Amendment (Home Burglary and Other Offences) Act 2015</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3" w:type="dxa"/>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Sentencing Amendment Act 2015</w:t>
            </w:r>
          </w:p>
        </w:tc>
        <w:tc>
          <w:tcPr>
            <w:tcW w:w="1134" w:type="dxa"/>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3" w:type="dxa"/>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7</w:t>
            </w:r>
          </w:p>
        </w:tc>
        <w:tc>
          <w:tcPr>
            <w:tcW w:w="1134" w:type="dxa"/>
            <w:tcBorders>
              <w:top w:val="nil"/>
              <w:left w:val="nil"/>
              <w:bottom w:val="nil"/>
              <w:right w:val="nil"/>
            </w:tcBorders>
          </w:tcPr>
          <w:p>
            <w:pPr>
              <w:pStyle w:val="nTable"/>
              <w:spacing w:after="40"/>
              <w:rPr>
                <w:snapToGrid w:val="0"/>
              </w:rPr>
            </w:pPr>
            <w:r>
              <w:t>17 of 2016</w:t>
            </w:r>
          </w:p>
        </w:tc>
        <w:tc>
          <w:tcPr>
            <w:tcW w:w="1134" w:type="dxa"/>
            <w:tcBorders>
              <w:top w:val="nil"/>
              <w:left w:val="nil"/>
              <w:bottom w:val="nil"/>
              <w:right w:val="nil"/>
            </w:tcBorders>
          </w:tcPr>
          <w:p>
            <w:pPr>
              <w:pStyle w:val="nTable"/>
              <w:spacing w:after="40"/>
            </w:pPr>
            <w:r>
              <w:t>11 Jul 2016</w:t>
            </w:r>
          </w:p>
        </w:tc>
        <w:tc>
          <w:tcPr>
            <w:tcW w:w="2553" w:type="dxa"/>
            <w:tcBorders>
              <w:top w:val="nil"/>
              <w:left w:val="nil"/>
              <w:bottom w:val="nil"/>
            </w:tcBorders>
          </w:tcPr>
          <w:p>
            <w:pPr>
              <w:pStyle w:val="nTable"/>
              <w:spacing w:after="40"/>
              <w:rPr>
                <w:snapToGrid w:val="0"/>
              </w:rPr>
            </w:pPr>
            <w:r>
              <w:rPr>
                <w:noProof/>
                <w:snapToGrid w:val="0"/>
              </w:rPr>
              <w:t xml:space="preserve">10 Sep 2016 (see s. 2(b) and </w:t>
            </w:r>
            <w:r>
              <w:rPr>
                <w:i/>
                <w:noProof/>
                <w:snapToGrid w:val="0"/>
              </w:rPr>
              <w:t>Gazette</w:t>
            </w:r>
            <w:r>
              <w:rPr>
                <w:noProof/>
                <w:snapToGrid w:val="0"/>
              </w:rPr>
              <w:t xml:space="preserve"> 9 Sep 2016 p. 3871)</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snapToGrid w:val="0"/>
              </w:rPr>
              <w:t xml:space="preserve">Public Health (Consequential Provisions) Act 2016 </w:t>
            </w:r>
            <w:r>
              <w:rPr>
                <w:snapToGrid w:val="0"/>
              </w:rPr>
              <w:t>s. 101</w:t>
            </w:r>
            <w:r>
              <w:rPr>
                <w:i/>
                <w:snapToGrid w:val="0"/>
              </w:rPr>
              <w:t xml:space="preserve"> </w:t>
            </w:r>
          </w:p>
        </w:tc>
        <w:tc>
          <w:tcPr>
            <w:tcW w:w="1134" w:type="dxa"/>
            <w:tcBorders>
              <w:top w:val="nil"/>
              <w:left w:val="nil"/>
              <w:bottom w:val="nil"/>
              <w:right w:val="nil"/>
            </w:tcBorders>
          </w:tcPr>
          <w:p>
            <w:pPr>
              <w:pStyle w:val="nTable"/>
              <w:keepLines/>
              <w:spacing w:after="40"/>
            </w:pPr>
            <w:r>
              <w:t>19 of 2016</w:t>
            </w:r>
          </w:p>
        </w:tc>
        <w:tc>
          <w:tcPr>
            <w:tcW w:w="1134" w:type="dxa"/>
            <w:tcBorders>
              <w:top w:val="nil"/>
              <w:left w:val="nil"/>
              <w:bottom w:val="nil"/>
              <w:right w:val="nil"/>
            </w:tcBorders>
          </w:tcPr>
          <w:p>
            <w:pPr>
              <w:pStyle w:val="nTable"/>
              <w:keepLines/>
              <w:spacing w:after="40"/>
            </w:pPr>
            <w:r>
              <w:t>25 Jul 2016</w:t>
            </w:r>
          </w:p>
        </w:tc>
        <w:tc>
          <w:tcPr>
            <w:tcW w:w="2553" w:type="dxa"/>
            <w:tcBorders>
              <w:top w:val="nil"/>
              <w:left w:val="nil"/>
              <w:bottom w:val="nil"/>
            </w:tcBorders>
          </w:tcPr>
          <w:p>
            <w:pPr>
              <w:pStyle w:val="nTable"/>
              <w:keepLines/>
              <w:spacing w:after="40"/>
              <w:rPr>
                <w:noProof/>
                <w:snapToGrid w:val="0"/>
              </w:rPr>
            </w:pPr>
            <w:r>
              <w:rPr>
                <w:noProof/>
                <w:snapToGrid w:val="0"/>
              </w:rPr>
              <w:t xml:space="preserve">24 Jan 2017 (see s. 2(1)(c) and </w:t>
            </w:r>
            <w:r>
              <w:rPr>
                <w:i/>
                <w:noProof/>
                <w:snapToGrid w:val="0"/>
              </w:rPr>
              <w:t>Gazette</w:t>
            </w:r>
            <w:r>
              <w:rPr>
                <w:noProof/>
                <w:snapToGrid w:val="0"/>
              </w:rPr>
              <w:t xml:space="preserve"> 10 Jan 2017 p. 165)</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rPr>
              <w:t>Universities Legislation Amendment Act 2016</w:t>
            </w:r>
            <w:r>
              <w:t xml:space="preserve"> Pt. 7 Div. 9</w:t>
            </w:r>
          </w:p>
        </w:tc>
        <w:tc>
          <w:tcPr>
            <w:tcW w:w="1134" w:type="dxa"/>
            <w:tcBorders>
              <w:top w:val="nil"/>
              <w:left w:val="nil"/>
              <w:bottom w:val="nil"/>
              <w:right w:val="nil"/>
            </w:tcBorders>
          </w:tcPr>
          <w:p>
            <w:pPr>
              <w:pStyle w:val="nTable"/>
              <w:keepLines/>
              <w:spacing w:after="40"/>
            </w:pPr>
            <w:r>
              <w:t>32 of 2016</w:t>
            </w:r>
          </w:p>
        </w:tc>
        <w:tc>
          <w:tcPr>
            <w:tcW w:w="1134" w:type="dxa"/>
            <w:tcBorders>
              <w:top w:val="nil"/>
              <w:left w:val="nil"/>
              <w:bottom w:val="nil"/>
              <w:right w:val="nil"/>
            </w:tcBorders>
          </w:tcPr>
          <w:p>
            <w:pPr>
              <w:pStyle w:val="nTable"/>
              <w:keepLines/>
              <w:spacing w:after="40"/>
            </w:pPr>
            <w:r>
              <w:t>19 Oct 2016</w:t>
            </w:r>
          </w:p>
        </w:tc>
        <w:tc>
          <w:tcPr>
            <w:tcW w:w="2553" w:type="dxa"/>
            <w:tcBorders>
              <w:top w:val="nil"/>
              <w:left w:val="nil"/>
              <w:bottom w:val="nil"/>
            </w:tcBorders>
          </w:tcPr>
          <w:p>
            <w:pPr>
              <w:pStyle w:val="nTable"/>
              <w:keepLines/>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snapToGrid w:val="0"/>
              </w:rPr>
              <w:t xml:space="preserve">Sentencing Legislation Amendment Act 2016 </w:t>
            </w:r>
            <w:r>
              <w:rPr>
                <w:snapToGrid w:val="0"/>
              </w:rPr>
              <w:t>Pt. 3 Div. 1 and Pt. 4 (other than Div. 5 and s. 69 and 73)</w:t>
            </w:r>
          </w:p>
        </w:tc>
        <w:tc>
          <w:tcPr>
            <w:tcW w:w="1134" w:type="dxa"/>
            <w:tcBorders>
              <w:top w:val="nil"/>
              <w:left w:val="nil"/>
              <w:bottom w:val="nil"/>
              <w:right w:val="nil"/>
            </w:tcBorders>
          </w:tcPr>
          <w:p>
            <w:pPr>
              <w:pStyle w:val="nTable"/>
              <w:keepLines/>
              <w:spacing w:after="40"/>
            </w:pPr>
            <w:r>
              <w:t>45 of 2016</w:t>
            </w:r>
          </w:p>
        </w:tc>
        <w:tc>
          <w:tcPr>
            <w:tcW w:w="1134" w:type="dxa"/>
            <w:tcBorders>
              <w:top w:val="nil"/>
              <w:left w:val="nil"/>
              <w:bottom w:val="nil"/>
              <w:right w:val="nil"/>
            </w:tcBorders>
          </w:tcPr>
          <w:p>
            <w:pPr>
              <w:pStyle w:val="nTable"/>
              <w:keepLines/>
              <w:spacing w:after="40"/>
            </w:pPr>
            <w:r>
              <w:t>7 Dec 2016</w:t>
            </w:r>
          </w:p>
        </w:tc>
        <w:tc>
          <w:tcPr>
            <w:tcW w:w="2553" w:type="dxa"/>
            <w:tcBorders>
              <w:top w:val="nil"/>
              <w:left w:val="nil"/>
              <w:bottom w:val="nil"/>
            </w:tcBorders>
          </w:tcPr>
          <w:p>
            <w:pPr>
              <w:pStyle w:val="nTable"/>
              <w:keepLines/>
              <w:spacing w:after="40"/>
              <w:rPr>
                <w:snapToGrid w:val="0"/>
              </w:rPr>
            </w:pPr>
            <w:r>
              <w:rPr>
                <w:noProof/>
                <w:snapToGrid w:val="0"/>
              </w:rPr>
              <w:t>Pt. 4 Div. 1 and 2: 8 Dec 2016 (see s. 2(b));</w:t>
            </w:r>
            <w:r>
              <w:rPr>
                <w:noProof/>
                <w:snapToGrid w:val="0"/>
              </w:rPr>
              <w:br/>
              <w:t xml:space="preserve">Pt. 3 Div. 1: 1 Jul 2017 (see s. 2(c) and </w:t>
            </w:r>
            <w:r>
              <w:rPr>
                <w:i/>
                <w:noProof/>
                <w:snapToGrid w:val="0"/>
              </w:rPr>
              <w:t>Gazette</w:t>
            </w:r>
            <w:r>
              <w:rPr>
                <w:noProof/>
                <w:snapToGrid w:val="0"/>
              </w:rPr>
              <w:t xml:space="preserve"> 7 Feb 2017 p. 1159);</w:t>
            </w:r>
            <w:r>
              <w:rPr>
                <w:noProof/>
                <w:snapToGrid w:val="0"/>
              </w:rPr>
              <w:br/>
              <w:t xml:space="preserve">Pt. 4 Div. 3, 4 and 6 (other than s. 69 and 73: 1 Oct 2017 (see s. 2(c) and </w:t>
            </w:r>
            <w:r>
              <w:rPr>
                <w:i/>
                <w:noProof/>
                <w:snapToGrid w:val="0"/>
              </w:rPr>
              <w:t>Gazette</w:t>
            </w:r>
            <w:r>
              <w:rPr>
                <w:noProof/>
                <w:snapToGrid w:val="0"/>
              </w:rPr>
              <w:t xml:space="preserve"> 29 Sep 2017 p. 4983)</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i/>
                <w:snapToGrid w:val="0"/>
              </w:rPr>
            </w:pPr>
            <w:r>
              <w:rPr>
                <w:i/>
                <w:snapToGrid w:val="0"/>
              </w:rPr>
              <w:t>Statutes (Minor Amendments) Act 2017</w:t>
            </w:r>
            <w:r>
              <w:rPr>
                <w:snapToGrid w:val="0"/>
              </w:rPr>
              <w:t xml:space="preserve"> s. 12</w:t>
            </w:r>
          </w:p>
        </w:tc>
        <w:tc>
          <w:tcPr>
            <w:tcW w:w="1134" w:type="dxa"/>
            <w:tcBorders>
              <w:top w:val="nil"/>
              <w:left w:val="nil"/>
              <w:bottom w:val="nil"/>
              <w:right w:val="nil"/>
            </w:tcBorders>
          </w:tcPr>
          <w:p>
            <w:pPr>
              <w:pStyle w:val="nTable"/>
              <w:keepNext/>
              <w:keepLines/>
              <w:spacing w:after="40"/>
            </w:pPr>
            <w:r>
              <w:rPr>
                <w:snapToGrid w:val="0"/>
              </w:rPr>
              <w:t>6 of 2017</w:t>
            </w:r>
          </w:p>
        </w:tc>
        <w:tc>
          <w:tcPr>
            <w:tcW w:w="1134" w:type="dxa"/>
            <w:tcBorders>
              <w:top w:val="nil"/>
              <w:left w:val="nil"/>
              <w:bottom w:val="nil"/>
              <w:right w:val="nil"/>
            </w:tcBorders>
          </w:tcPr>
          <w:p>
            <w:pPr>
              <w:pStyle w:val="nTable"/>
              <w:keepNext/>
              <w:keepLines/>
              <w:spacing w:after="40"/>
            </w:pPr>
            <w:r>
              <w:rPr>
                <w:snapToGrid w:val="0"/>
              </w:rPr>
              <w:t>12 Sep 2017</w:t>
            </w:r>
          </w:p>
        </w:tc>
        <w:tc>
          <w:tcPr>
            <w:tcW w:w="2553" w:type="dxa"/>
            <w:tcBorders>
              <w:top w:val="nil"/>
              <w:left w:val="nil"/>
              <w:bottom w:val="nil"/>
            </w:tcBorders>
          </w:tcPr>
          <w:p>
            <w:pPr>
              <w:pStyle w:val="nTable"/>
              <w:keepNext/>
              <w:keepLines/>
              <w:spacing w:after="40"/>
              <w:rPr>
                <w:noProof/>
                <w:snapToGrid w:val="0"/>
              </w:rPr>
            </w:pPr>
            <w:r>
              <w:rPr>
                <w:snapToGrid w:val="0"/>
              </w:rPr>
              <w:t>13 Sep 2017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40"/>
              <w:rPr>
                <w:snapToGrid w:val="0"/>
              </w:rPr>
            </w:pPr>
            <w:r>
              <w:rPr>
                <w:b/>
                <w:snapToGrid w:val="0"/>
              </w:rPr>
              <w:t xml:space="preserve">Reprint 10: The </w:t>
            </w:r>
            <w:r>
              <w:rPr>
                <w:b/>
                <w:i/>
                <w:noProof/>
                <w:snapToGrid w:val="0"/>
              </w:rPr>
              <w:t>Sentencing Act 1995</w:t>
            </w:r>
            <w:r>
              <w:rPr>
                <w:b/>
                <w:snapToGrid w:val="0"/>
              </w:rPr>
              <w:t xml:space="preserve"> as at 8 Dec 2017</w:t>
            </w:r>
            <w:r>
              <w:rPr>
                <w:snapToGrid w:val="0"/>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snapToGrid w:val="0"/>
              </w:rPr>
            </w:pPr>
            <w:r>
              <w:rPr>
                <w:i/>
                <w:snapToGrid w:val="0"/>
              </w:rPr>
              <w:t>Family Violence Legislation Reform (COVID-19 Response) Act 2020</w:t>
            </w:r>
            <w:r>
              <w:rPr>
                <w:snapToGrid w:val="0"/>
              </w:rPr>
              <w:t xml:space="preserve"> Pt. 2</w:t>
            </w:r>
          </w:p>
        </w:tc>
        <w:tc>
          <w:tcPr>
            <w:tcW w:w="1134" w:type="dxa"/>
            <w:tcBorders>
              <w:top w:val="nil"/>
              <w:left w:val="nil"/>
              <w:bottom w:val="nil"/>
              <w:right w:val="nil"/>
            </w:tcBorders>
          </w:tcPr>
          <w:p>
            <w:pPr>
              <w:pStyle w:val="nTable"/>
              <w:keepNext/>
              <w:keepLines/>
              <w:spacing w:after="40"/>
            </w:pPr>
            <w:r>
              <w:t>13 of 2020</w:t>
            </w:r>
          </w:p>
        </w:tc>
        <w:tc>
          <w:tcPr>
            <w:tcW w:w="1134" w:type="dxa"/>
            <w:tcBorders>
              <w:top w:val="nil"/>
              <w:left w:val="nil"/>
              <w:bottom w:val="nil"/>
              <w:right w:val="nil"/>
            </w:tcBorders>
          </w:tcPr>
          <w:p>
            <w:pPr>
              <w:pStyle w:val="nTable"/>
              <w:keepNext/>
              <w:keepLines/>
              <w:spacing w:after="40"/>
            </w:pPr>
            <w:r>
              <w:t>6 Apr 2020</w:t>
            </w:r>
          </w:p>
        </w:tc>
        <w:tc>
          <w:tcPr>
            <w:tcW w:w="2553" w:type="dxa"/>
            <w:tcBorders>
              <w:top w:val="nil"/>
              <w:left w:val="nil"/>
              <w:bottom w:val="nil"/>
            </w:tcBorders>
          </w:tcPr>
          <w:p>
            <w:pPr>
              <w:pStyle w:val="nTable"/>
              <w:keepNext/>
              <w:keepLines/>
              <w:spacing w:after="40"/>
              <w:rPr>
                <w:noProof/>
                <w:snapToGrid w:val="0"/>
              </w:rPr>
            </w:pPr>
            <w:r>
              <w:rPr>
                <w:noProof/>
                <w:snapToGrid w:val="0"/>
              </w:rPr>
              <w:t>7 Apr 2020 (see s. 2(b))</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right w:val="nil"/>
            </w:tcBorders>
          </w:tcPr>
          <w:p>
            <w:pPr>
              <w:pStyle w:val="nTable"/>
              <w:keepNext/>
              <w:keepLines/>
              <w:spacing w:after="40"/>
              <w:rPr>
                <w:snapToGrid w:val="0"/>
              </w:rPr>
            </w:pPr>
            <w:r>
              <w:rPr>
                <w:i/>
                <w:snapToGrid w:val="0"/>
              </w:rPr>
              <w:t>Family Violence Legislation Reform Act 2020</w:t>
            </w:r>
            <w:r>
              <w:rPr>
                <w:snapToGrid w:val="0"/>
              </w:rPr>
              <w:t xml:space="preserve"> s. 31</w:t>
            </w:r>
          </w:p>
        </w:tc>
        <w:tc>
          <w:tcPr>
            <w:tcW w:w="1134" w:type="dxa"/>
            <w:tcBorders>
              <w:top w:val="nil"/>
              <w:left w:val="nil"/>
              <w:bottom w:val="single" w:sz="4" w:space="0" w:color="auto"/>
              <w:right w:val="nil"/>
            </w:tcBorders>
          </w:tcPr>
          <w:p>
            <w:pPr>
              <w:pStyle w:val="nTable"/>
              <w:keepNext/>
              <w:keepLines/>
              <w:spacing w:after="40"/>
            </w:pPr>
            <w:r>
              <w:t>30 of 2020</w:t>
            </w:r>
          </w:p>
        </w:tc>
        <w:tc>
          <w:tcPr>
            <w:tcW w:w="1134" w:type="dxa"/>
            <w:tcBorders>
              <w:top w:val="nil"/>
              <w:left w:val="nil"/>
              <w:bottom w:val="single" w:sz="4" w:space="0" w:color="auto"/>
              <w:right w:val="nil"/>
            </w:tcBorders>
          </w:tcPr>
          <w:p>
            <w:pPr>
              <w:pStyle w:val="nTable"/>
              <w:keepNext/>
              <w:keepLines/>
              <w:spacing w:after="40"/>
            </w:pPr>
            <w:r>
              <w:t>9 Jul 2020</w:t>
            </w:r>
          </w:p>
        </w:tc>
        <w:tc>
          <w:tcPr>
            <w:tcW w:w="2553" w:type="dxa"/>
            <w:tcBorders>
              <w:top w:val="nil"/>
              <w:left w:val="nil"/>
              <w:bottom w:val="single" w:sz="4" w:space="0" w:color="auto"/>
            </w:tcBorders>
          </w:tcPr>
          <w:p>
            <w:pPr>
              <w:pStyle w:val="nTable"/>
              <w:keepNext/>
              <w:keepLines/>
              <w:spacing w:after="40"/>
              <w:rPr>
                <w:noProof/>
                <w:snapToGrid w:val="0"/>
              </w:rPr>
            </w:pPr>
            <w:r>
              <w:rPr>
                <w:noProof/>
                <w:snapToGrid w:val="0"/>
              </w:rPr>
              <w:t>10 Jul 2020 (see s. 2(1)(b))</w:t>
            </w:r>
          </w:p>
        </w:tc>
      </w:tr>
    </w:tbl>
    <w:p>
      <w:pPr>
        <w:pStyle w:val="nHeading3"/>
        <w:keepLines/>
      </w:pPr>
      <w:bookmarkStart w:id="530" w:name="_Toc45288850"/>
      <w:r>
        <w:t>Uncommenced provisions table</w:t>
      </w:r>
      <w:bookmarkEnd w:id="530"/>
    </w:p>
    <w:p>
      <w:pPr>
        <w:pStyle w:val="nStatement"/>
        <w:keepNext/>
        <w:keepLines/>
        <w:spacing w:after="240"/>
      </w:pPr>
      <w:r>
        <w:t xml:space="preserve">To view the text of the uncommenced provisions see </w:t>
      </w:r>
      <w:r>
        <w:rPr>
          <w:i/>
        </w:rPr>
        <w:t>Acts as passed</w:t>
      </w:r>
      <w:r>
        <w:t xml:space="preserve"> on the WA Legislation website.</w:t>
      </w:r>
    </w:p>
    <w:tbl>
      <w:tblPr>
        <w:tblW w:w="7082" w:type="dxa"/>
        <w:tblInd w:w="63"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49"/>
        <w:gridCol w:w="6"/>
        <w:gridCol w:w="1124"/>
        <w:gridCol w:w="10"/>
        <w:gridCol w:w="1120"/>
        <w:gridCol w:w="14"/>
        <w:gridCol w:w="2552"/>
      </w:tblGrid>
      <w:tr>
        <w:trPr>
          <w:tblHeader/>
        </w:trPr>
        <w:tc>
          <w:tcPr>
            <w:tcW w:w="225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6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rPr>
          <w:cantSplit/>
        </w:trPr>
        <w:tc>
          <w:tcPr>
            <w:tcW w:w="2256" w:type="dxa"/>
            <w:gridSpan w:val="2"/>
            <w:tcBorders>
              <w:top w:val="nil"/>
              <w:bottom w:val="nil"/>
              <w:right w:val="nil"/>
            </w:tcBorders>
          </w:tcPr>
          <w:p>
            <w:pPr>
              <w:pStyle w:val="nTable"/>
              <w:keepNext/>
              <w:keepLines/>
              <w:spacing w:after="40"/>
              <w:rPr>
                <w:i/>
                <w:snapToGrid w:val="0"/>
                <w:vertAlign w:val="superscript"/>
              </w:rPr>
            </w:pPr>
            <w:r>
              <w:rPr>
                <w:i/>
                <w:snapToGrid w:val="0"/>
              </w:rPr>
              <w:t>Courts and Tribunals (Electronic Processes Facilitation) Act 2013</w:t>
            </w:r>
            <w:r>
              <w:rPr>
                <w:snapToGrid w:val="0"/>
              </w:rPr>
              <w:t xml:space="preserve"> s. 124 and 127</w:t>
            </w:r>
          </w:p>
        </w:tc>
        <w:tc>
          <w:tcPr>
            <w:tcW w:w="1130" w:type="dxa"/>
            <w:gridSpan w:val="2"/>
            <w:tcBorders>
              <w:top w:val="nil"/>
              <w:left w:val="nil"/>
              <w:bottom w:val="nil"/>
              <w:right w:val="nil"/>
            </w:tcBorders>
          </w:tcPr>
          <w:p>
            <w:pPr>
              <w:pStyle w:val="nTable"/>
              <w:keepNext/>
              <w:keepLines/>
              <w:spacing w:after="40"/>
              <w:rPr>
                <w:snapToGrid w:val="0"/>
              </w:rPr>
            </w:pPr>
            <w:r>
              <w:rPr>
                <w:snapToGrid w:val="0"/>
              </w:rPr>
              <w:t>20 of 2013</w:t>
            </w:r>
          </w:p>
        </w:tc>
        <w:tc>
          <w:tcPr>
            <w:tcW w:w="1130" w:type="dxa"/>
            <w:gridSpan w:val="2"/>
            <w:tcBorders>
              <w:top w:val="nil"/>
              <w:left w:val="nil"/>
              <w:bottom w:val="nil"/>
              <w:right w:val="nil"/>
            </w:tcBorders>
          </w:tcPr>
          <w:p>
            <w:pPr>
              <w:pStyle w:val="nTable"/>
              <w:keepNext/>
              <w:keepLines/>
              <w:spacing w:after="40"/>
              <w:rPr>
                <w:snapToGrid w:val="0"/>
              </w:rPr>
            </w:pPr>
            <w:r>
              <w:rPr>
                <w:snapToGrid w:val="0"/>
              </w:rPr>
              <w:t>4 Nov 2013</w:t>
            </w:r>
          </w:p>
        </w:tc>
        <w:tc>
          <w:tcPr>
            <w:tcW w:w="2566" w:type="dxa"/>
            <w:gridSpan w:val="2"/>
            <w:tcBorders>
              <w:top w:val="nil"/>
              <w:left w:val="nil"/>
              <w:bottom w:val="nil"/>
            </w:tcBorders>
          </w:tcPr>
          <w:p>
            <w:pPr>
              <w:pStyle w:val="nTable"/>
              <w:keepNext/>
              <w:keepLines/>
              <w:spacing w:after="40"/>
              <w:rPr>
                <w:snapToGrid w:val="0"/>
              </w:rPr>
            </w:pPr>
            <w:r>
              <w:rPr>
                <w:snapToGrid w:val="0"/>
              </w:rPr>
              <w:t>To be proclaimed (see s. 2(b))</w:t>
            </w:r>
          </w:p>
        </w:tc>
      </w:tr>
      <w:tr>
        <w:trPr>
          <w:gridBefore w:val="1"/>
          <w:wBefore w:w="7" w:type="dxa"/>
        </w:trPr>
        <w:tc>
          <w:tcPr>
            <w:tcW w:w="2249" w:type="dxa"/>
            <w:tcBorders>
              <w:top w:val="nil"/>
              <w:bottom w:val="nil"/>
            </w:tcBorders>
          </w:tcPr>
          <w:p>
            <w:pPr>
              <w:pStyle w:val="nTable"/>
              <w:keepNext/>
              <w:keepLines/>
              <w:spacing w:after="40"/>
              <w:rPr>
                <w:i/>
                <w:snapToGrid w:val="0"/>
              </w:rPr>
            </w:pPr>
            <w:r>
              <w:rPr>
                <w:i/>
              </w:rPr>
              <w:t>Public Health (Consequential Provisions) Act 2016</w:t>
            </w:r>
            <w:r>
              <w:t xml:space="preserve"> Pt. 5 Div. 23</w:t>
            </w:r>
          </w:p>
        </w:tc>
        <w:tc>
          <w:tcPr>
            <w:tcW w:w="1130" w:type="dxa"/>
            <w:gridSpan w:val="2"/>
            <w:tcBorders>
              <w:top w:val="nil"/>
              <w:bottom w:val="nil"/>
            </w:tcBorders>
          </w:tcPr>
          <w:p>
            <w:pPr>
              <w:pStyle w:val="nTable"/>
              <w:keepNext/>
              <w:keepLines/>
              <w:spacing w:after="40"/>
            </w:pPr>
            <w:r>
              <w:t>19 of 2016</w:t>
            </w:r>
          </w:p>
        </w:tc>
        <w:tc>
          <w:tcPr>
            <w:tcW w:w="1130" w:type="dxa"/>
            <w:gridSpan w:val="2"/>
            <w:tcBorders>
              <w:top w:val="nil"/>
              <w:bottom w:val="nil"/>
            </w:tcBorders>
          </w:tcPr>
          <w:p>
            <w:pPr>
              <w:pStyle w:val="nTable"/>
              <w:keepNext/>
              <w:keepLines/>
              <w:spacing w:after="40"/>
            </w:pPr>
            <w:r>
              <w:t>25 Jul 2016</w:t>
            </w:r>
          </w:p>
        </w:tc>
        <w:tc>
          <w:tcPr>
            <w:tcW w:w="2566" w:type="dxa"/>
            <w:gridSpan w:val="2"/>
            <w:tcBorders>
              <w:top w:val="nil"/>
              <w:bottom w:val="nil"/>
            </w:tcBorders>
          </w:tcPr>
          <w:p>
            <w:pPr>
              <w:pStyle w:val="nTable"/>
              <w:keepNext/>
              <w:keepLines/>
              <w:spacing w:after="40"/>
            </w:pPr>
            <w:r>
              <w:t>To</w:t>
            </w:r>
            <w:r>
              <w:rPr>
                <w:snapToGrid w:val="0"/>
              </w:rPr>
              <w:t xml:space="preserve"> be proclaimed (see s. 2(1)(c))</w:t>
            </w:r>
          </w:p>
        </w:tc>
      </w:tr>
      <w:tr>
        <w:trPr>
          <w:gridBefore w:val="1"/>
          <w:wBefore w:w="7" w:type="dxa"/>
          <w:cantSplit/>
          <w:trHeight w:val="1026"/>
        </w:trPr>
        <w:tc>
          <w:tcPr>
            <w:tcW w:w="2255" w:type="dxa"/>
            <w:gridSpan w:val="2"/>
            <w:tcBorders>
              <w:top w:val="nil"/>
              <w:bottom w:val="nil"/>
              <w:right w:val="nil"/>
            </w:tcBorders>
          </w:tcPr>
          <w:p>
            <w:pPr>
              <w:pStyle w:val="nTable"/>
              <w:keepNext/>
              <w:keepLines/>
              <w:spacing w:after="40"/>
              <w:rPr>
                <w:snapToGrid w:val="0"/>
              </w:rPr>
            </w:pPr>
            <w:r>
              <w:rPr>
                <w:i/>
                <w:snapToGrid w:val="0"/>
              </w:rPr>
              <w:t>Sentencing Legislation Amendment Act 2016</w:t>
            </w:r>
            <w:r>
              <w:rPr>
                <w:snapToGrid w:val="0"/>
              </w:rPr>
              <w:t xml:space="preserve"> </w:t>
            </w:r>
            <w:r>
              <w:rPr>
                <w:snapToGrid w:val="0"/>
              </w:rPr>
              <w:br/>
              <w:t>Pt. 4 Div. 5 and s. 69 and 73</w:t>
            </w:r>
          </w:p>
        </w:tc>
        <w:tc>
          <w:tcPr>
            <w:tcW w:w="1134" w:type="dxa"/>
            <w:gridSpan w:val="2"/>
            <w:tcBorders>
              <w:top w:val="nil"/>
              <w:left w:val="nil"/>
              <w:bottom w:val="nil"/>
              <w:right w:val="nil"/>
            </w:tcBorders>
          </w:tcPr>
          <w:p>
            <w:pPr>
              <w:pStyle w:val="nTable"/>
              <w:keepNext/>
              <w:keepLines/>
              <w:spacing w:after="40"/>
            </w:pPr>
            <w:r>
              <w:t>45 of 2016</w:t>
            </w:r>
          </w:p>
        </w:tc>
        <w:tc>
          <w:tcPr>
            <w:tcW w:w="1134" w:type="dxa"/>
            <w:gridSpan w:val="2"/>
            <w:tcBorders>
              <w:top w:val="nil"/>
              <w:left w:val="nil"/>
              <w:bottom w:val="nil"/>
              <w:right w:val="nil"/>
            </w:tcBorders>
          </w:tcPr>
          <w:p>
            <w:pPr>
              <w:pStyle w:val="nTable"/>
              <w:keepNext/>
              <w:keepLines/>
              <w:spacing w:after="40"/>
            </w:pPr>
            <w:r>
              <w:t>7 Dec 2016</w:t>
            </w:r>
          </w:p>
        </w:tc>
        <w:tc>
          <w:tcPr>
            <w:tcW w:w="2552" w:type="dxa"/>
            <w:tcBorders>
              <w:top w:val="nil"/>
              <w:left w:val="nil"/>
              <w:bottom w:val="nil"/>
            </w:tcBorders>
          </w:tcPr>
          <w:p>
            <w:pPr>
              <w:pStyle w:val="nTable"/>
              <w:keepNext/>
              <w:keepLines/>
              <w:spacing w:after="40"/>
              <w:rPr>
                <w:noProof/>
                <w:snapToGrid w:val="0"/>
              </w:rPr>
            </w:pPr>
            <w:r>
              <w:rPr>
                <w:noProof/>
                <w:snapToGrid w:val="0"/>
              </w:rPr>
              <w:t>To be proclaimed (see s. 2(c))</w:t>
            </w:r>
          </w:p>
        </w:tc>
      </w:tr>
      <w:tr>
        <w:trPr>
          <w:gridBefore w:val="1"/>
          <w:wBefore w:w="7" w:type="dxa"/>
          <w:cantSplit/>
        </w:trPr>
        <w:tc>
          <w:tcPr>
            <w:tcW w:w="2255" w:type="dxa"/>
            <w:gridSpan w:val="2"/>
            <w:tcBorders>
              <w:top w:val="nil"/>
              <w:bottom w:val="nil"/>
              <w:right w:val="nil"/>
            </w:tcBorders>
          </w:tcPr>
          <w:p>
            <w:pPr>
              <w:pStyle w:val="nTable"/>
              <w:keepLines/>
              <w:spacing w:after="40"/>
              <w:rPr>
                <w:i/>
              </w:rPr>
            </w:pPr>
            <w:r>
              <w:rPr>
                <w:i/>
              </w:rPr>
              <w:t xml:space="preserve">Fines, Penalties and Infringement Notices Enforcement Amendment </w:t>
            </w:r>
          </w:p>
          <w:p>
            <w:pPr>
              <w:pStyle w:val="nTable"/>
              <w:keepNext/>
              <w:keepLines/>
              <w:spacing w:after="40"/>
              <w:rPr>
                <w:i/>
                <w:snapToGrid w:val="0"/>
              </w:rPr>
            </w:pPr>
            <w:r>
              <w:rPr>
                <w:i/>
              </w:rPr>
              <w:t>Act 2020</w:t>
            </w:r>
            <w:r>
              <w:t xml:space="preserve"> Pt. 3 Div. 8</w:t>
            </w:r>
          </w:p>
        </w:tc>
        <w:tc>
          <w:tcPr>
            <w:tcW w:w="1134" w:type="dxa"/>
            <w:gridSpan w:val="2"/>
            <w:tcBorders>
              <w:top w:val="nil"/>
              <w:left w:val="nil"/>
              <w:bottom w:val="nil"/>
              <w:right w:val="nil"/>
            </w:tcBorders>
          </w:tcPr>
          <w:p>
            <w:pPr>
              <w:pStyle w:val="nTable"/>
              <w:keepNext/>
              <w:keepLines/>
              <w:spacing w:after="40"/>
            </w:pPr>
            <w:r>
              <w:t>25 of 2020</w:t>
            </w:r>
          </w:p>
        </w:tc>
        <w:tc>
          <w:tcPr>
            <w:tcW w:w="1134" w:type="dxa"/>
            <w:gridSpan w:val="2"/>
            <w:tcBorders>
              <w:top w:val="nil"/>
              <w:left w:val="nil"/>
              <w:bottom w:val="nil"/>
              <w:right w:val="nil"/>
            </w:tcBorders>
          </w:tcPr>
          <w:p>
            <w:pPr>
              <w:pStyle w:val="nTable"/>
              <w:keepNext/>
              <w:keepLines/>
              <w:spacing w:after="40"/>
            </w:pPr>
            <w:r>
              <w:t>19 Jun 2020</w:t>
            </w:r>
          </w:p>
        </w:tc>
        <w:tc>
          <w:tcPr>
            <w:tcW w:w="2552" w:type="dxa"/>
            <w:tcBorders>
              <w:top w:val="nil"/>
              <w:left w:val="nil"/>
              <w:bottom w:val="nil"/>
            </w:tcBorders>
          </w:tcPr>
          <w:p>
            <w:pPr>
              <w:pStyle w:val="nTable"/>
              <w:keepNext/>
              <w:keepLines/>
              <w:spacing w:after="40"/>
              <w:rPr>
                <w:noProof/>
                <w:snapToGrid w:val="0"/>
              </w:rPr>
            </w:pPr>
            <w:r>
              <w:rPr>
                <w:snapToGrid w:val="0"/>
              </w:rPr>
              <w:t>To be proclaimed (see s. 2(1)(c))</w:t>
            </w:r>
          </w:p>
        </w:tc>
      </w:tr>
      <w:tr>
        <w:trPr>
          <w:gridBefore w:val="1"/>
          <w:wBefore w:w="7" w:type="dxa"/>
          <w:cantSplit/>
        </w:trPr>
        <w:tc>
          <w:tcPr>
            <w:tcW w:w="2255" w:type="dxa"/>
            <w:gridSpan w:val="2"/>
            <w:tcBorders>
              <w:top w:val="nil"/>
              <w:bottom w:val="nil"/>
              <w:right w:val="nil"/>
            </w:tcBorders>
          </w:tcPr>
          <w:p>
            <w:pPr>
              <w:pStyle w:val="nTable"/>
              <w:keepLines/>
              <w:spacing w:after="40"/>
            </w:pPr>
            <w:r>
              <w:rPr>
                <w:i/>
              </w:rPr>
              <w:t>High Risk Serious Offenders Act 2020</w:t>
            </w:r>
            <w:r>
              <w:t xml:space="preserve"> s. 120 and 121</w:t>
            </w:r>
          </w:p>
        </w:tc>
        <w:tc>
          <w:tcPr>
            <w:tcW w:w="1134" w:type="dxa"/>
            <w:gridSpan w:val="2"/>
            <w:tcBorders>
              <w:top w:val="nil"/>
              <w:left w:val="nil"/>
              <w:bottom w:val="nil"/>
              <w:right w:val="nil"/>
            </w:tcBorders>
          </w:tcPr>
          <w:p>
            <w:pPr>
              <w:pStyle w:val="nTable"/>
              <w:keepNext/>
              <w:keepLines/>
              <w:spacing w:after="40"/>
            </w:pPr>
            <w:r>
              <w:t>29 of 2020</w:t>
            </w:r>
          </w:p>
        </w:tc>
        <w:tc>
          <w:tcPr>
            <w:tcW w:w="1134" w:type="dxa"/>
            <w:gridSpan w:val="2"/>
            <w:tcBorders>
              <w:top w:val="nil"/>
              <w:left w:val="nil"/>
              <w:bottom w:val="nil"/>
              <w:right w:val="nil"/>
            </w:tcBorders>
          </w:tcPr>
          <w:p>
            <w:pPr>
              <w:pStyle w:val="nTable"/>
              <w:keepNext/>
              <w:keepLines/>
              <w:spacing w:after="40"/>
            </w:pPr>
            <w:r>
              <w:t>9 Jul 2020</w:t>
            </w:r>
          </w:p>
        </w:tc>
        <w:tc>
          <w:tcPr>
            <w:tcW w:w="2552" w:type="dxa"/>
            <w:tcBorders>
              <w:top w:val="nil"/>
              <w:left w:val="nil"/>
              <w:bottom w:val="nil"/>
            </w:tcBorders>
          </w:tcPr>
          <w:p>
            <w:pPr>
              <w:pStyle w:val="nTable"/>
              <w:keepNext/>
              <w:keepLines/>
              <w:spacing w:after="40"/>
              <w:rPr>
                <w:snapToGrid w:val="0"/>
              </w:rPr>
            </w:pPr>
            <w:r>
              <w:rPr>
                <w:snapToGrid w:val="0"/>
              </w:rPr>
              <w:t>To be proclaimed (see s. 2(1)(c))</w:t>
            </w:r>
          </w:p>
        </w:tc>
      </w:tr>
      <w:tr>
        <w:trPr>
          <w:gridBefore w:val="1"/>
          <w:wBefore w:w="7" w:type="dxa"/>
          <w:cantSplit/>
        </w:trPr>
        <w:tc>
          <w:tcPr>
            <w:tcW w:w="2255" w:type="dxa"/>
            <w:gridSpan w:val="2"/>
            <w:tcBorders>
              <w:top w:val="nil"/>
              <w:bottom w:val="single" w:sz="4" w:space="0" w:color="auto"/>
              <w:right w:val="nil"/>
            </w:tcBorders>
          </w:tcPr>
          <w:p>
            <w:pPr>
              <w:pStyle w:val="nTable"/>
              <w:keepLines/>
              <w:spacing w:after="40"/>
              <w:rPr>
                <w:i/>
              </w:rPr>
            </w:pPr>
            <w:r>
              <w:rPr>
                <w:i/>
                <w:snapToGrid w:val="0"/>
              </w:rPr>
              <w:t>Family Violence Legislation Reform Act 2020</w:t>
            </w:r>
            <w:r>
              <w:rPr>
                <w:snapToGrid w:val="0"/>
              </w:rPr>
              <w:t xml:space="preserve"> Pt.  3 (other than s. 31)</w:t>
            </w:r>
          </w:p>
        </w:tc>
        <w:tc>
          <w:tcPr>
            <w:tcW w:w="1134" w:type="dxa"/>
            <w:gridSpan w:val="2"/>
            <w:tcBorders>
              <w:top w:val="nil"/>
              <w:left w:val="nil"/>
              <w:bottom w:val="single" w:sz="4" w:space="0" w:color="auto"/>
              <w:right w:val="nil"/>
            </w:tcBorders>
          </w:tcPr>
          <w:p>
            <w:pPr>
              <w:pStyle w:val="nTable"/>
              <w:keepNext/>
              <w:keepLines/>
              <w:spacing w:after="40"/>
            </w:pPr>
            <w:r>
              <w:t>30 of 2020</w:t>
            </w:r>
          </w:p>
        </w:tc>
        <w:tc>
          <w:tcPr>
            <w:tcW w:w="1134" w:type="dxa"/>
            <w:gridSpan w:val="2"/>
            <w:tcBorders>
              <w:top w:val="nil"/>
              <w:left w:val="nil"/>
              <w:bottom w:val="single" w:sz="4" w:space="0" w:color="auto"/>
              <w:right w:val="nil"/>
            </w:tcBorders>
          </w:tcPr>
          <w:p>
            <w:pPr>
              <w:pStyle w:val="nTable"/>
              <w:keepNext/>
              <w:keepLines/>
              <w:spacing w:after="40"/>
            </w:pPr>
            <w:r>
              <w:t>9 Jul 2020</w:t>
            </w:r>
          </w:p>
        </w:tc>
        <w:tc>
          <w:tcPr>
            <w:tcW w:w="2552" w:type="dxa"/>
            <w:tcBorders>
              <w:top w:val="nil"/>
              <w:left w:val="nil"/>
              <w:bottom w:val="single" w:sz="4" w:space="0" w:color="auto"/>
            </w:tcBorders>
          </w:tcPr>
          <w:p>
            <w:pPr>
              <w:pStyle w:val="nTable"/>
              <w:keepNext/>
              <w:keepLines/>
              <w:spacing w:after="40"/>
              <w:rPr>
                <w:snapToGrid w:val="0"/>
              </w:rPr>
            </w:pPr>
            <w:r>
              <w:rPr>
                <w:snapToGrid w:val="0"/>
              </w:rPr>
              <w:t>To be proclaimed (see s. 2(1)(c))</w:t>
            </w:r>
          </w:p>
        </w:tc>
      </w:tr>
    </w:tbl>
    <w:p>
      <w:pPr>
        <w:pStyle w:val="nHeading3"/>
        <w:keepLines/>
      </w:pPr>
      <w:bookmarkStart w:id="531" w:name="_Toc45288851"/>
      <w:r>
        <w:t>Other notes</w:t>
      </w:r>
      <w:bookmarkEnd w:id="531"/>
    </w:p>
    <w:p>
      <w:pPr>
        <w:pStyle w:val="nNote"/>
        <w:keepNext/>
        <w:keepLines/>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spacing w:before="40"/>
      </w:pPr>
      <w:r>
        <w:rPr>
          <w:vertAlign w:val="superscript"/>
        </w:rPr>
        <w:t>1</w:t>
      </w:r>
      <w:r>
        <w:tab/>
        <w:t xml:space="preserve">Repealed by the </w:t>
      </w:r>
      <w:r>
        <w:rPr>
          <w:i/>
        </w:rPr>
        <w:t>Sentencing Legislation Amendment and Repeal Act 2003</w:t>
      </w:r>
      <w:r>
        <w:t>.</w:t>
      </w:r>
    </w:p>
    <w:p>
      <w:pPr>
        <w:pStyle w:val="nNote"/>
        <w:rPr>
          <w:snapToGrid w:val="0"/>
        </w:rPr>
      </w:pPr>
      <w:r>
        <w:rPr>
          <w:snapToGrid w:val="0"/>
          <w:vertAlign w:val="superscript"/>
        </w:rPr>
        <w:t>2</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Note"/>
      </w:pPr>
      <w:r>
        <w:rPr>
          <w:vertAlign w:val="superscript"/>
        </w:rPr>
        <w:t>3</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Note"/>
      </w:pPr>
      <w:r>
        <w:rPr>
          <w:vertAlign w:val="superscript"/>
        </w:rPr>
        <w:t>4</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Note"/>
      </w:pPr>
      <w:r>
        <w:rPr>
          <w:vertAlign w:val="superscript"/>
        </w:rPr>
        <w:t>5</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Note"/>
      </w:pPr>
      <w:r>
        <w:rPr>
          <w:vertAlign w:val="superscript"/>
        </w:rPr>
        <w:t>6</w:t>
      </w:r>
      <w:r>
        <w:tab/>
        <w:t xml:space="preserve">The </w:t>
      </w:r>
      <w:r>
        <w:rPr>
          <w:i/>
          <w:iCs/>
        </w:rPr>
        <w:t>Sentencing Amendment (Adjustment of Sentences) Act 2000</w:t>
      </w:r>
      <w:r>
        <w:t xml:space="preserve"> s. 4-6 commenced 7 Dec 2000.</w:t>
      </w:r>
    </w:p>
    <w:p>
      <w:pPr>
        <w:pStyle w:val="nNote"/>
      </w:pPr>
      <w:r>
        <w:rPr>
          <w:vertAlign w:val="superscript"/>
        </w:rPr>
        <w:t>7</w:t>
      </w:r>
      <w:r>
        <w:tab/>
        <w:t xml:space="preserve">The </w:t>
      </w:r>
      <w:r>
        <w:rPr>
          <w:i/>
        </w:rPr>
        <w:t>Sentencing Legislation Amendment and Repeal Act 2003</w:t>
      </w:r>
      <w:r>
        <w:t xml:space="preserve"> s. 22 and Sch. 1 </w:t>
      </w:r>
      <w:r>
        <w:rPr>
          <w:sz w:val="19"/>
        </w:rPr>
        <w:t>(which was amended by No. 5 of 2008 s. 109</w:t>
      </w:r>
      <w:r>
        <w:rPr>
          <w:sz w:val="19"/>
          <w:vertAlign w:val="superscript"/>
        </w:rPr>
        <w:t> 8</w:t>
      </w:r>
      <w:r>
        <w:rPr>
          <w:sz w:val="19"/>
        </w:rPr>
        <w:t xml:space="preserve"> and No. 49 of 2008 s. 3</w:t>
      </w:r>
      <w:r>
        <w:rPr>
          <w:sz w:val="19"/>
        </w:rPr>
        <w:noBreakHyphen/>
        <w:t>5</w:t>
      </w:r>
      <w:r>
        <w:rPr>
          <w:sz w:val="19"/>
          <w:vertAlign w:val="superscript"/>
        </w:rPr>
        <w:t> 9</w:t>
      </w:r>
      <w:r>
        <w:rPr>
          <w:sz w:val="19"/>
        </w:rPr>
        <w:t>)</w:t>
      </w:r>
      <w:r>
        <w:t xml:space="preserve"> read as follows:</w:t>
      </w:r>
    </w:p>
    <w:p>
      <w:pPr>
        <w:pStyle w:val="BlankOpen"/>
        <w:rPr>
          <w:sz w:val="20"/>
          <w:szCs w:val="20"/>
        </w:rPr>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rPr>
          <w:sz w:val="20"/>
          <w:szCs w:val="20"/>
        </w:rPr>
      </w:pPr>
    </w:p>
    <w:p>
      <w:pPr>
        <w:pStyle w:val="BlankOpen"/>
        <w:rPr>
          <w:sz w:val="20"/>
          <w:szCs w:val="20"/>
        </w:rPr>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No. 5 of 2008 s. 109.]</w:t>
      </w:r>
    </w:p>
    <w:p>
      <w:pPr>
        <w:pStyle w:val="nzHeading5"/>
        <w:keepNext w:val="0"/>
        <w:keepLines w:val="0"/>
        <w:tabs>
          <w:tab w:val="left" w:pos="2506"/>
        </w:tabs>
      </w:pPr>
      <w:r>
        <w:t>6.</w:t>
      </w:r>
      <w:r>
        <w:tab/>
        <w:t>Early release orders made before commencement</w:t>
      </w:r>
    </w:p>
    <w:p>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Lines w:val="0"/>
        <w:tabs>
          <w:tab w:val="left" w:pos="2506"/>
        </w:tabs>
      </w:pPr>
      <w:r>
        <w:t>7.</w:t>
      </w:r>
      <w:r>
        <w:tab/>
        <w:t>WROs</w:t>
      </w:r>
    </w:p>
    <w:p>
      <w:pPr>
        <w:pStyle w:val="nzSubsection"/>
        <w:keepNext/>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No. 49 of 2008 s. 5.]</w:t>
      </w:r>
    </w:p>
    <w:p>
      <w:pPr>
        <w:pStyle w:val="BlankClose"/>
      </w:pPr>
    </w:p>
    <w:p>
      <w:pPr>
        <w:pStyle w:val="nNote"/>
        <w:spacing w:before="160"/>
      </w:pPr>
      <w:r>
        <w:rPr>
          <w:vertAlign w:val="superscript"/>
        </w:rPr>
        <w:t>8</w:t>
      </w:r>
      <w:r>
        <w:tab/>
        <w:t xml:space="preserve">The </w:t>
      </w:r>
      <w:r>
        <w:rPr>
          <w:i/>
          <w:iCs/>
        </w:rPr>
        <w:t>Acts Amendment (Justice) Act 2008</w:t>
      </w:r>
      <w:r>
        <w:t xml:space="preserve"> s. 109 commenced 30 Sep 2008.</w:t>
      </w:r>
    </w:p>
    <w:p>
      <w:pPr>
        <w:pStyle w:val="nNote"/>
        <w:spacing w:before="160"/>
      </w:pPr>
      <w:r>
        <w:rPr>
          <w:vertAlign w:val="superscript"/>
        </w:rPr>
        <w:t>9</w:t>
      </w:r>
      <w:r>
        <w:tab/>
        <w:t xml:space="preserve">The </w:t>
      </w:r>
      <w:r>
        <w:rPr>
          <w:i/>
          <w:iCs/>
        </w:rPr>
        <w:t>Sentencing Legislation (Transitional Provisions) Amendment Act 2008</w:t>
      </w:r>
      <w:r>
        <w:t xml:space="preserve"> s. 3</w:t>
      </w:r>
      <w:r>
        <w:noBreakHyphen/>
        <w:t>5 commenced 14 Jan 2009.</w:t>
      </w:r>
    </w:p>
    <w:p>
      <w:pPr>
        <w:pStyle w:val="nNote"/>
        <w:spacing w:before="160"/>
      </w:pPr>
      <w:r>
        <w:rPr>
          <w:vertAlign w:val="superscript"/>
        </w:rPr>
        <w:t>10</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Note"/>
        <w:spacing w:before="160"/>
        <w:rPr>
          <w:iCs/>
        </w:rPr>
      </w:pPr>
      <w:r>
        <w:rPr>
          <w:iCs/>
          <w:vertAlign w:val="superscript"/>
        </w:rPr>
        <w:t>11</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13</w:t>
      </w:r>
      <w:r>
        <w:rPr>
          <w:iCs/>
        </w:rPr>
        <w:t>.</w:t>
      </w:r>
    </w:p>
    <w:p>
      <w:pPr>
        <w:pStyle w:val="nNote"/>
        <w:keepNext/>
        <w:keepLines/>
        <w:spacing w:before="120"/>
        <w:rPr>
          <w:iCs/>
        </w:rPr>
      </w:pPr>
      <w:r>
        <w:rPr>
          <w:iCs/>
          <w:vertAlign w:val="superscript"/>
        </w:rPr>
        <w:t>12</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13</w:t>
      </w:r>
      <w:r>
        <w:rPr>
          <w:iCs/>
        </w:rPr>
        <w:t>.</w:t>
      </w:r>
    </w:p>
    <w:p>
      <w:pPr>
        <w:pStyle w:val="nNote"/>
        <w:spacing w:before="120"/>
      </w:pPr>
      <w:r>
        <w:rPr>
          <w:vertAlign w:val="superscript"/>
        </w:rPr>
        <w:t>13</w:t>
      </w:r>
      <w:r>
        <w:tab/>
        <w:t xml:space="preserve">The </w:t>
      </w:r>
      <w:r>
        <w:rPr>
          <w:i/>
          <w:iCs/>
        </w:rPr>
        <w:t>Parole and Sentencing Legislation Amendment Act 2006</w:t>
      </w:r>
      <w:r>
        <w:t xml:space="preserve"> s. 74(2) and 75(2) commenced 22 Sep 2006.</w:t>
      </w:r>
    </w:p>
    <w:p>
      <w:pPr>
        <w:pStyle w:val="nNote"/>
        <w:keepNext/>
      </w:pPr>
      <w:r>
        <w:rPr>
          <w:snapToGrid w:val="0"/>
          <w:vertAlign w:val="superscript"/>
        </w:rPr>
        <w:t>14</w:t>
      </w:r>
      <w:r>
        <w:rPr>
          <w:snapToGrid w:val="0"/>
        </w:rPr>
        <w:tab/>
      </w:r>
      <w:r>
        <w:t xml:space="preserve">The </w:t>
      </w:r>
      <w:r>
        <w:rPr>
          <w:i/>
        </w:rPr>
        <w:t>Criminal Code Amendment (Unlawful Possession) Act 2014</w:t>
      </w:r>
      <w:r>
        <w:t xml:space="preserve"> s. 8(2) had not come into operation when it was deleted by the </w:t>
      </w:r>
      <w:r>
        <w:rPr>
          <w:i/>
        </w:rPr>
        <w:t>Statutes (Minor Amendments Act 2017</w:t>
      </w:r>
      <w:r>
        <w:t xml:space="preserve"> s. 4(2).</w:t>
      </w:r>
    </w:p>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533" w:name="_Toc45283244"/>
      <w:bookmarkStart w:id="534" w:name="_Toc45283534"/>
      <w:bookmarkStart w:id="535" w:name="_Toc45287222"/>
      <w:bookmarkStart w:id="536" w:name="_Toc45288379"/>
      <w:bookmarkStart w:id="537" w:name="_Toc45288852"/>
      <w:r>
        <w:rPr>
          <w:sz w:val="28"/>
        </w:rPr>
        <w:t>Defined terms</w:t>
      </w:r>
      <w:bookmarkEnd w:id="533"/>
      <w:bookmarkEnd w:id="534"/>
      <w:bookmarkEnd w:id="535"/>
      <w:bookmarkEnd w:id="536"/>
      <w:bookmarkEnd w:id="5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ammunition</w:t>
      </w:r>
      <w:r>
        <w:tab/>
        <w:t>106(5)</w:t>
      </w:r>
    </w:p>
    <w:p>
      <w:pPr>
        <w:pStyle w:val="DefinedTerms"/>
      </w:pPr>
      <w:r>
        <w:t>approved electronic monitoring device</w:t>
      </w:r>
      <w:r>
        <w:tab/>
        <w:t>4(1)</w:t>
      </w:r>
    </w:p>
    <w:p>
      <w:pPr>
        <w:pStyle w:val="DefinedTerms"/>
      </w:pPr>
      <w:r>
        <w:t>award</w:t>
      </w:r>
      <w:r>
        <w:tab/>
        <w:t>115(2)</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w:t>
      </w:r>
      <w:r>
        <w:tab/>
        <w:t>136G</w:t>
      </w:r>
    </w:p>
    <w:p>
      <w:pPr>
        <w:pStyle w:val="DefinedTerms"/>
      </w:pPr>
      <w:r>
        <w:t>CEO (corrections)</w:t>
      </w:r>
      <w:r>
        <w:tab/>
        <w:t>4(1)</w:t>
      </w:r>
    </w:p>
    <w:p>
      <w:pPr>
        <w:pStyle w:val="DefinedTerms"/>
      </w:pPr>
      <w:r>
        <w:t>circumstances of aggravation</w:t>
      </w:r>
      <w:r>
        <w:tab/>
        <w:t>145A(1)</w:t>
      </w:r>
    </w:p>
    <w:p>
      <w:pPr>
        <w:pStyle w:val="DefinedTerms"/>
      </w:pPr>
      <w:r>
        <w:t>COC Act</w:t>
      </w:r>
      <w:r>
        <w:tab/>
        <w:t>9A(1)</w:t>
      </w:r>
    </w:p>
    <w:p>
      <w:pPr>
        <w:pStyle w:val="DefinedTerms"/>
      </w:pPr>
      <w:r>
        <w:t>COC Act offence</w:t>
      </w:r>
      <w:r>
        <w:tab/>
        <w:t>9A(1)</w:t>
      </w:r>
    </w:p>
    <w:p>
      <w:pPr>
        <w:pStyle w:val="DefinedTerms"/>
      </w:pPr>
      <w:r>
        <w:t>commencement</w:t>
      </w:r>
      <w:r>
        <w:tab/>
        <w:t>150A(1), 150AB(1)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order</w:t>
      </w:r>
      <w:r>
        <w:tab/>
        <w:t>136G</w:t>
      </w:r>
    </w:p>
    <w:p>
      <w:pPr>
        <w:pStyle w:val="DefinedTerms"/>
      </w:pPr>
      <w:r>
        <w:t>conditional release order</w:t>
      </w:r>
      <w:r>
        <w:tab/>
        <w:t>4(1)</w:t>
      </w:r>
    </w:p>
    <w:p>
      <w:pPr>
        <w:pStyle w:val="DefinedTerms"/>
      </w:pPr>
      <w:r>
        <w:t>conditional suspended imprisonment</w:t>
      </w:r>
      <w:r>
        <w:tab/>
        <w:t>4(1)</w:t>
      </w:r>
    </w:p>
    <w:p>
      <w:pPr>
        <w:pStyle w:val="DefinedTerms"/>
      </w:pPr>
      <w:r>
        <w:t>court</w:t>
      </w:r>
      <w:r>
        <w:tab/>
        <w:t>136B</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declared criminal organisation</w:t>
      </w:r>
      <w:r>
        <w:tab/>
        <w:t>9A(1)</w:t>
      </w:r>
    </w:p>
    <w:p>
      <w:pPr>
        <w:pStyle w:val="DefinedTerms"/>
      </w:pPr>
      <w:r>
        <w:t>derived property</w:t>
      </w:r>
      <w:r>
        <w:tab/>
        <w:t>8(6)</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electronic monitoring requirement</w:t>
      </w:r>
      <w:r>
        <w:tab/>
        <w:t>76A(2), 84CA(2)</w:t>
      </w:r>
    </w:p>
    <w:p>
      <w:pPr>
        <w:pStyle w:val="DefinedTerms"/>
      </w:pPr>
      <w:r>
        <w:t>excluded offence</w:t>
      </w:r>
      <w:r>
        <w:tab/>
        <w:t>33A(1)</w:t>
      </w:r>
    </w:p>
    <w:p>
      <w:pPr>
        <w:pStyle w:val="DefinedTerms"/>
      </w:pPr>
      <w:r>
        <w:t>family relationship</w:t>
      </w:r>
      <w:r>
        <w:tab/>
        <w:t>97A(1)</w:t>
      </w:r>
    </w:p>
    <w:p>
      <w:pPr>
        <w:pStyle w:val="DefinedTerms"/>
      </w:pPr>
      <w:r>
        <w:t>family victim</w:t>
      </w:r>
      <w:r>
        <w:tab/>
        <w:t>23A</w:t>
      </w:r>
    </w:p>
    <w:p>
      <w:pPr>
        <w:pStyle w:val="DefinedTerms"/>
      </w:pPr>
      <w:r>
        <w:t>fine</w:t>
      </w:r>
      <w:r>
        <w:tab/>
        <w:t>57(1)</w:t>
      </w:r>
    </w:p>
    <w:p>
      <w:pPr>
        <w:pStyle w:val="DefinedTerms"/>
      </w:pPr>
      <w:r>
        <w:t>firearm</w:t>
      </w:r>
      <w:r>
        <w:tab/>
        <w:t>106(5)</w:t>
      </w:r>
    </w:p>
    <w:p>
      <w:pPr>
        <w:pStyle w:val="DefinedTerms"/>
      </w:pPr>
      <w:r>
        <w:t>firearms offence</w:t>
      </w:r>
      <w:r>
        <w:tab/>
        <w:t>106(5)</w:t>
      </w:r>
    </w:p>
    <w:p>
      <w:pPr>
        <w:pStyle w:val="DefinedTerms"/>
      </w:pPr>
      <w:r>
        <w:t>fixed term</w:t>
      </w:r>
      <w:r>
        <w:tab/>
        <w:t>9AA(1), 85(1)</w:t>
      </w:r>
    </w:p>
    <w:p>
      <w:pPr>
        <w:pStyle w:val="DefinedTerms"/>
      </w:pPr>
      <w:r>
        <w:t>full sentence</w:t>
      </w:r>
      <w:r>
        <w:tab/>
        <w:t>37A(1)</w:t>
      </w:r>
    </w:p>
    <w:p>
      <w:pPr>
        <w:pStyle w:val="DefinedTerms"/>
      </w:pPr>
      <w:r>
        <w:t>head sentence</w:t>
      </w:r>
      <w:r>
        <w:tab/>
        <w:t>9AA(1)</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ISO</w:t>
      </w:r>
      <w:r>
        <w:tab/>
        <w:t>4(2)</w:t>
      </w:r>
    </w:p>
    <w:p>
      <w:pPr>
        <w:pStyle w:val="DefinedTerms"/>
      </w:pPr>
      <w:r>
        <w:t>joint offenders</w:t>
      </w:r>
      <w:r>
        <w:tab/>
        <w:t>55(3)</w:t>
      </w:r>
    </w:p>
    <w:p>
      <w:pPr>
        <w:pStyle w:val="DefinedTerms"/>
      </w:pPr>
      <w:r>
        <w:t>mandatory minimum sentence</w:t>
      </w:r>
      <w:r>
        <w:tab/>
        <w:t>85(1)</w:t>
      </w:r>
    </w:p>
    <w:p>
      <w:pPr>
        <w:pStyle w:val="DefinedTerms"/>
      </w:pPr>
      <w:r>
        <w:t>marine offence</w:t>
      </w:r>
      <w:r>
        <w:tab/>
        <w:t>107(5)</w:t>
      </w:r>
    </w:p>
    <w:p>
      <w:pPr>
        <w:pStyle w:val="DefinedTerms"/>
      </w:pPr>
      <w:r>
        <w:t>marine qualification</w:t>
      </w:r>
      <w:r>
        <w:tab/>
        <w:t>107(5)</w:t>
      </w:r>
    </w:p>
    <w:p>
      <w:pPr>
        <w:pStyle w:val="DefinedTerms"/>
      </w:pPr>
      <w:r>
        <w:t>member of the primary victim’s immediate family</w:t>
      </w:r>
      <w:r>
        <w:tab/>
        <w:t>23A</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 97A(1)</w:t>
      </w:r>
    </w:p>
    <w:p>
      <w:pPr>
        <w:pStyle w:val="DefinedTerms"/>
      </w:pPr>
      <w:r>
        <w:t>offender</w:t>
      </w:r>
      <w:r>
        <w:tab/>
        <w:t>4(1), 60D(1), 79(1), 84E(1), 129(1)</w:t>
      </w:r>
    </w:p>
    <w:p>
      <w:pPr>
        <w:pStyle w:val="DefinedTerms"/>
      </w:pPr>
      <w:r>
        <w:t>original offence</w:t>
      </w:r>
      <w:r>
        <w:tab/>
        <w:t>32(1)</w:t>
      </w:r>
    </w:p>
    <w:p>
      <w:pPr>
        <w:pStyle w:val="DefinedTerms"/>
      </w:pPr>
      <w:r>
        <w:t>parole eligibility order</w:t>
      </w:r>
      <w:r>
        <w:tab/>
        <w:t>4(1), 89(1)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personal harm</w:t>
      </w:r>
      <w:r>
        <w:tab/>
        <w:t>23A</w:t>
      </w:r>
    </w:p>
    <w:p>
      <w:pPr>
        <w:pStyle w:val="DefinedTerms"/>
      </w:pPr>
      <w:r>
        <w:t>prescribed</w:t>
      </w:r>
      <w:r>
        <w:tab/>
        <w:t>4(1)</w:t>
      </w:r>
    </w:p>
    <w:p>
      <w:pPr>
        <w:pStyle w:val="DefinedTerms"/>
      </w:pPr>
      <w:r>
        <w:t>prescribed offence</w:t>
      </w:r>
      <w:r>
        <w:tab/>
        <w:t>85(1)</w:t>
      </w:r>
    </w:p>
    <w:p>
      <w:pPr>
        <w:pStyle w:val="DefinedTerms"/>
      </w:pPr>
      <w:r>
        <w:t>prescribed term</w:t>
      </w:r>
      <w:r>
        <w:tab/>
        <w:t>85(1)</w:t>
      </w:r>
    </w:p>
    <w:p>
      <w:pPr>
        <w:pStyle w:val="DefinedTerms"/>
      </w:pPr>
      <w:r>
        <w:t>pre</w:t>
      </w:r>
      <w:r>
        <w:noBreakHyphen/>
        <w:t>sentence order</w:t>
      </w:r>
      <w:r>
        <w:tab/>
        <w:t>4(1)</w:t>
      </w:r>
    </w:p>
    <w:p>
      <w:pPr>
        <w:pStyle w:val="DefinedTerms"/>
      </w:pPr>
      <w:r>
        <w:t>primary victim</w:t>
      </w:r>
      <w:r>
        <w:tab/>
        <w:t>23A</w:t>
      </w:r>
    </w:p>
    <w:p>
      <w:pPr>
        <w:pStyle w:val="DefinedTerms"/>
      </w:pPr>
      <w:r>
        <w:t>prisoner</w:t>
      </w:r>
      <w:r>
        <w:tab/>
        <w:t>85(1)</w:t>
      </w:r>
    </w:p>
    <w:p>
      <w:pPr>
        <w:pStyle w:val="DefinedTerms"/>
      </w:pPr>
      <w:r>
        <w:t>Prisoners Review Board</w:t>
      </w:r>
      <w:r>
        <w:tab/>
        <w:t>4(1)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relevant indictable offence</w:t>
      </w:r>
      <w:r>
        <w:tab/>
        <w:t>9A(1)</w:t>
      </w:r>
    </w:p>
    <w:p>
      <w:pPr>
        <w:pStyle w:val="DefinedTerms"/>
      </w:pPr>
      <w:r>
        <w:t>relevant simple offence</w:t>
      </w:r>
      <w:r>
        <w:tab/>
        <w:t>9A(1)</w:t>
      </w:r>
    </w:p>
    <w:p>
      <w:pPr>
        <w:pStyle w:val="DefinedTerms"/>
      </w:pPr>
      <w:r>
        <w:t>reparation order</w:t>
      </w:r>
      <w:r>
        <w:tab/>
        <w:t>109</w:t>
      </w:r>
    </w:p>
    <w:p>
      <w:pPr>
        <w:pStyle w:val="DefinedTerms"/>
      </w:pPr>
      <w:r>
        <w:t>requirement</w:t>
      </w:r>
      <w:r>
        <w:tab/>
        <w:t>33L(1)</w:t>
      </w:r>
    </w:p>
    <w:p>
      <w:pPr>
        <w:pStyle w:val="DefinedTerms"/>
      </w:pPr>
      <w:r>
        <w:t>requirements</w:t>
      </w:r>
      <w:r>
        <w:tab/>
        <w:t>125(1)</w:t>
      </w:r>
    </w:p>
    <w:p>
      <w:pPr>
        <w:pStyle w:val="DefinedTerms"/>
      </w:pPr>
      <w:r>
        <w:t>requiring care</w:t>
      </w:r>
      <w:r>
        <w:tab/>
        <w:t>23A</w:t>
      </w:r>
    </w:p>
    <w:p>
      <w:pPr>
        <w:pStyle w:val="DefinedTerms"/>
      </w:pPr>
      <w:r>
        <w:t>sentence</w:t>
      </w:r>
      <w:r>
        <w:tab/>
        <w:t>37(5), 37A(5)</w:t>
      </w:r>
    </w:p>
    <w:p>
      <w:pPr>
        <w:pStyle w:val="DefinedTerms"/>
      </w:pPr>
      <w:r>
        <w:t>sentencing</w:t>
      </w:r>
      <w:r>
        <w:tab/>
        <w:t>150A(1)</w:t>
      </w:r>
    </w:p>
    <w:p>
      <w:pPr>
        <w:pStyle w:val="DefinedTerms"/>
      </w:pPr>
      <w:r>
        <w:t>sentencing day</w:t>
      </w:r>
      <w:r>
        <w:tab/>
        <w:t>33B(1)</w:t>
      </w:r>
    </w:p>
    <w:p>
      <w:pPr>
        <w:pStyle w:val="DefinedTerms"/>
      </w:pPr>
      <w:r>
        <w:t>speciality court</w:t>
      </w:r>
      <w:r>
        <w:tab/>
        <w:t>4(1), 84N(2)</w:t>
      </w:r>
    </w:p>
    <w:p>
      <w:pPr>
        <w:pStyle w:val="DefinedTerms"/>
      </w:pPr>
      <w:r>
        <w:t>specified</w:t>
      </w:r>
      <w:r>
        <w:tab/>
        <w:t>33H(15), 75(15), 84C(15)</w:t>
      </w:r>
    </w:p>
    <w:p>
      <w:pPr>
        <w:pStyle w:val="DefinedTerms"/>
      </w:pPr>
      <w:r>
        <w:t>specified place</w:t>
      </w:r>
      <w:r>
        <w:tab/>
        <w:t>33H(2), 75(2), 84C(2)</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term imposed</w:t>
      </w:r>
      <w:r>
        <w:tab/>
        <w:t>35(1)</w:t>
      </w:r>
    </w:p>
    <w:p>
      <w:pPr>
        <w:pStyle w:val="DefinedTerms"/>
      </w:pPr>
      <w:r>
        <w:t>third party</w:t>
      </w:r>
      <w:r>
        <w:tab/>
        <w:t>118(1), 120(1)</w:t>
      </w:r>
    </w:p>
    <w:p>
      <w:pPr>
        <w:pStyle w:val="DefinedTerms"/>
      </w:pPr>
      <w:r>
        <w:t xml:space="preserve">translated sentence </w:t>
      </w:r>
      <w:r>
        <w:tab/>
        <w:t>85(1)</w:t>
      </w:r>
    </w:p>
    <w:p>
      <w:pPr>
        <w:pStyle w:val="DefinedTerms"/>
      </w:pPr>
      <w:r>
        <w:t>vessel</w:t>
      </w:r>
      <w:r>
        <w:tab/>
        <w:t>107(5)</w:t>
      </w:r>
    </w:p>
    <w:p>
      <w:pPr>
        <w:pStyle w:val="DefinedTerms"/>
      </w:pPr>
      <w:r>
        <w:t>victim</w:t>
      </w:r>
      <w:r>
        <w:tab/>
        <w:t>9AA(1), 13, 23A, 97A(1), 116, 120(1)</w:t>
      </w:r>
    </w:p>
    <w:p>
      <w:pPr>
        <w:pStyle w:val="DefinedTerms"/>
      </w:pPr>
      <w:r>
        <w:t>victim impact statement</w:t>
      </w:r>
      <w:r>
        <w:tab/>
        <w:t>23A</w:t>
      </w:r>
    </w:p>
    <w:p>
      <w:pPr>
        <w:pStyle w:val="DefinedTerms"/>
      </w:pPr>
      <w:r>
        <w:t>video link</w:t>
      </w:r>
      <w:r>
        <w:tab/>
        <w:t>14A(4)</w:t>
      </w:r>
    </w:p>
    <w:p>
      <w:pPr>
        <w:pStyle w:val="DefinedTerms"/>
      </w:pPr>
      <w:r>
        <w:t>WDO</w:t>
      </w:r>
      <w:r>
        <w:tab/>
        <w:t>57A(4)</w:t>
      </w:r>
    </w:p>
    <w:p>
      <w:pPr>
        <w:pStyle w:val="DefinedTerms"/>
      </w:pPr>
      <w:r>
        <w:t>written reasons</w:t>
      </w:r>
      <w:r>
        <w:tab/>
        <w:t>4(1), 80(5A)</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518" w:name="Schedule"/>
    <w:bookmarkEnd w:id="5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Part 2</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32" w:name="Compilation"/>
    <w:bookmarkEnd w:id="53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8" w:name="DefinedTerms"/>
    <w:bookmarkEnd w:id="53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9" w:name="Coversheet"/>
    <w:bookmarkEnd w:id="53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lvlText w:val="%1."/>
      <w:lvlJc w:val="left"/>
      <w:pPr>
        <w:tabs>
          <w:tab w:val="num" w:pos="1800"/>
        </w:tabs>
        <w:ind w:left="1800" w:hanging="360"/>
      </w:pPr>
    </w:lvl>
  </w:abstractNum>
  <w:abstractNum w:abstractNumId="1">
    <w:nsid w:val="FFFFFF7D"/>
    <w:multiLevelType w:val="singleLevel"/>
    <w:tmpl w:val="A4F6FFC6"/>
    <w:lvl w:ilvl="0">
      <w:start w:val="1"/>
      <w:numFmt w:val="decimal"/>
      <w:lvlText w:val="%1."/>
      <w:lvlJc w:val="left"/>
      <w:pPr>
        <w:tabs>
          <w:tab w:val="num" w:pos="1440"/>
        </w:tabs>
        <w:ind w:left="1440" w:hanging="360"/>
      </w:pPr>
    </w:lvl>
  </w:abstractNum>
  <w:abstractNum w:abstractNumId="2">
    <w:nsid w:val="FFFFFF7E"/>
    <w:multiLevelType w:val="singleLevel"/>
    <w:tmpl w:val="DA4C15E8"/>
    <w:lvl w:ilvl="0">
      <w:start w:val="1"/>
      <w:numFmt w:val="decimal"/>
      <w:lvlText w:val="%1."/>
      <w:lvlJc w:val="left"/>
      <w:pPr>
        <w:tabs>
          <w:tab w:val="num" w:pos="1080"/>
        </w:tabs>
        <w:ind w:left="1080" w:hanging="360"/>
      </w:pPr>
    </w:lvl>
  </w:abstractNum>
  <w:abstractNum w:abstractNumId="3">
    <w:nsid w:val="FFFFFF7F"/>
    <w:multiLevelType w:val="singleLevel"/>
    <w:tmpl w:val="00B22154"/>
    <w:lvl w:ilvl="0">
      <w:start w:val="1"/>
      <w:numFmt w:val="decimal"/>
      <w:lvlText w:val="%1."/>
      <w:lvlJc w:val="left"/>
      <w:pPr>
        <w:tabs>
          <w:tab w:val="num" w:pos="720"/>
        </w:tabs>
        <w:ind w:left="720" w:hanging="360"/>
      </w:pPr>
    </w:lvl>
  </w:abstractNum>
  <w:abstractNum w:abstractNumId="4">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lvlText w:val="%1."/>
      <w:lvlJc w:val="left"/>
      <w:pPr>
        <w:tabs>
          <w:tab w:val="num" w:pos="360"/>
        </w:tabs>
        <w:ind w:left="360" w:hanging="360"/>
      </w:pPr>
    </w:lvl>
  </w:abstractNum>
  <w:abstractNum w:abstractNumId="9">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10091301"/>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 w:name="WAFER_20170111140905" w:val="RemoveTocBookmarks,RemoveUnusedBookmarks,RemoveLanguageTags,UsedStyles,ResetPageSize"/>
    <w:docVar w:name="WAFER_20170111140905_GUID" w:val="ca042332-4c69-4825-87b8-d80dc2c8cb8c"/>
    <w:docVar w:name="WAFER_20170120161744" w:val="RemoveTocBookmarks,RemoveUnusedBookmarks,RemoveLanguageTags,UsedStyles,ResetPageSize"/>
    <w:docVar w:name="WAFER_20170120161744_GUID" w:val="e37e332b-dcbe-424b-bc6e-f0fae8619564"/>
    <w:docVar w:name="WAFER_20170928134611" w:val="RemoveTocBookmarks,RemoveUnusedBookmarks,RemoveLanguageTags,UsedStyles,ResetPageSize"/>
    <w:docVar w:name="WAFER_20170928134611_GUID" w:val="58d98e82-ccf5-4b9a-9dbc-6fcdf5dcd55c"/>
    <w:docVar w:name="WAFER_20171009092403" w:val="RemoveTocBookmarks,RemoveUnusedBookmarks,RemoveLanguageTags,UsedStyles,ResetPageSize,RemoveCustomizations"/>
    <w:docVar w:name="WAFER_20171009092403_GUID" w:val="d065060d-7e72-46e1-8f69-bedc1cffe2de"/>
    <w:docVar w:name="WAFER_20171109153439" w:val="RemoveTocBookmarks,RemoveUnusedBookmarks,RemoveLanguageTags,UsedStyles,RemoveTrackChanges"/>
    <w:docVar w:name="WAFER_20171109153439_GUID" w:val="c9b9565a-f934-4c82-8116-7a16f82bd91f"/>
    <w:docVar w:name="WAFER_20171109153453" w:val="RemoveTocBookmarks,RemoveLanguageTags,RemoveTrackChanges,RunningHeaders"/>
    <w:docVar w:name="WAFER_20171109153453_GUID" w:val="440b3134-fab1-4e72-977b-245929394ec8"/>
    <w:docVar w:name="WAFER_202002121436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3606_GUID" w:val="4f1d6d62-6f7b-45c2-9205-b7c2527980bf"/>
    <w:docVar w:name="WAFER_202004071118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11824_GUID" w:val="3932a572-c818-41a4-aa12-fb77ac840062"/>
    <w:docVar w:name="WAFER_2020062216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25_GUID" w:val="f67d7c04-ed41-4d04-b6e0-6a73ab276840"/>
    <w:docVar w:name="WAFER_202007100913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301_GUID" w:val="b762be4b-9c1e-49cb-9cbe-8e6503a58f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Heading5Char">
    <w:name w:val="Heading 5 Char"/>
    <w:basedOn w:val="DefaultParagraphFont"/>
    <w:link w:val="Heading5"/>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0.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image" Target="media/image2.png"/><Relationship Id="rId36" Type="http://schemas.openxmlformats.org/officeDocument/2006/relationships/header" Target="header19.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310CB-77C2-421C-9BE8-36DEBA430DCE}">
  <ds:schemaRefs>
    <ds:schemaRef ds:uri="http://schemas.openxmlformats.org/officeDocument/2006/bibliography"/>
  </ds:schemaRefs>
</ds:datastoreItem>
</file>

<file path=customXml/itemProps2.xml><?xml version="1.0" encoding="utf-8"?>
<ds:datastoreItem xmlns:ds="http://schemas.openxmlformats.org/officeDocument/2006/customXml" ds:itemID="{51EF32A9-D6FA-4738-A004-58E973C25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225</Pages>
  <Words>53759</Words>
  <Characters>248367</Characters>
  <Application>Microsoft Office Word</Application>
  <DocSecurity>0</DocSecurity>
  <Lines>7304</Lines>
  <Paragraphs>4443</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297683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1995 - 10-d0-00</dc:title>
  <dc:subject/>
  <dc:creator/>
  <cp:keywords/>
  <dc:description/>
  <cp:lastModifiedBy>svcMRProcess</cp:lastModifiedBy>
  <cp:revision>4</cp:revision>
  <cp:lastPrinted>2019-06-26T03:44:00Z</cp:lastPrinted>
  <dcterms:created xsi:type="dcterms:W3CDTF">2020-07-10T11:09:00Z</dcterms:created>
  <dcterms:modified xsi:type="dcterms:W3CDTF">2020-07-10T11:09:00Z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2017-12-07T16:00:00Z</vt:filetime>
  </property>
  <property fmtid="{D5CDD505-2E9C-101B-9397-08002B2CF9AE}" pid="6" name="ReprintNo">
    <vt:lpwstr>10</vt:lpwstr>
  </property>
  <property fmtid="{D5CDD505-2E9C-101B-9397-08002B2CF9AE}" pid="7" name="AsAtDate">
    <vt:lpwstr>10 Jul 2020</vt:lpwstr>
  </property>
  <property fmtid="{D5CDD505-2E9C-101B-9397-08002B2CF9AE}" pid="8" name="Suffix">
    <vt:lpwstr>10-d0-00</vt:lpwstr>
  </property>
  <property fmtid="{D5CDD505-2E9C-101B-9397-08002B2CF9AE}" pid="9" name="CommencementDate">
    <vt:lpwstr>20200710</vt:lpwstr>
  </property>
</Properties>
</file>