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Civil Judgments Enforcement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Civil Judgments Enforcement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_Toc47081959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_Toc47081960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_Toc47081961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Interest on judgment debts</w:t>
      </w:r>
    </w:p>
    <w:p>
      <w:pPr>
        <w:pStyle w:val="TOC8"/>
        <w:rPr>
          <w:rFonts w:asciiTheme="minorHAnsi" w:eastAsiaTheme="minorEastAsia" w:hAnsiTheme="minorHAnsi" w:cstheme="minorBidi"/>
          <w:szCs w:val="22"/>
        </w:rPr>
      </w:pPr>
      <w:r>
        <w:t>4.</w:t>
      </w:r>
      <w:r>
        <w:tab/>
        <w:t>Interest on unpaid amount of judgment sum</w:t>
      </w:r>
      <w:r>
        <w:tab/>
      </w:r>
      <w:r>
        <w:fldChar w:fldCharType="begin"/>
      </w:r>
      <w:r>
        <w:instrText xml:space="preserve"> PAGEREF _Toc47081963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Provisions applying to all judgments</w:t>
      </w:r>
    </w:p>
    <w:p>
      <w:pPr>
        <w:pStyle w:val="TOC8"/>
        <w:rPr>
          <w:rFonts w:asciiTheme="minorHAnsi" w:eastAsiaTheme="minorEastAsia" w:hAnsiTheme="minorHAnsi" w:cstheme="minorBidi"/>
          <w:szCs w:val="22"/>
        </w:rPr>
      </w:pPr>
      <w:r>
        <w:t>5.</w:t>
      </w:r>
      <w:r>
        <w:tab/>
        <w:t>Application by one party under Act section 9(1)(b)</w:t>
      </w:r>
      <w:r>
        <w:tab/>
      </w:r>
      <w:r>
        <w:fldChar w:fldCharType="begin"/>
      </w:r>
      <w:r>
        <w:instrText xml:space="preserve"> PAGEREF _Toc47081965 \h </w:instrText>
      </w:r>
      <w:r>
        <w:fldChar w:fldCharType="separate"/>
      </w:r>
      <w:r>
        <w:t>4</w:t>
      </w:r>
      <w:r>
        <w:fldChar w:fldCharType="end"/>
      </w:r>
    </w:p>
    <w:p>
      <w:pPr>
        <w:pStyle w:val="TOC8"/>
        <w:rPr>
          <w:rFonts w:asciiTheme="minorHAnsi" w:eastAsiaTheme="minorEastAsia" w:hAnsiTheme="minorHAnsi" w:cstheme="minorBidi"/>
          <w:szCs w:val="22"/>
        </w:rPr>
      </w:pPr>
      <w:r>
        <w:t>6.</w:t>
      </w:r>
      <w:r>
        <w:tab/>
        <w:t>Costs against judgment creditor</w:t>
      </w:r>
      <w:r>
        <w:tab/>
      </w:r>
      <w:r>
        <w:fldChar w:fldCharType="begin"/>
      </w:r>
      <w:r>
        <w:instrText xml:space="preserve"> PAGEREF _Toc47081966 \h </w:instrText>
      </w:r>
      <w:r>
        <w:fldChar w:fldCharType="separate"/>
      </w:r>
      <w:r>
        <w:t>4</w:t>
      </w:r>
      <w:r>
        <w:fldChar w:fldCharType="end"/>
      </w:r>
    </w:p>
    <w:p>
      <w:pPr>
        <w:pStyle w:val="TOC8"/>
        <w:rPr>
          <w:rFonts w:asciiTheme="minorHAnsi" w:eastAsiaTheme="minorEastAsia" w:hAnsiTheme="minorHAnsi" w:cstheme="minorBidi"/>
          <w:szCs w:val="22"/>
        </w:rPr>
      </w:pPr>
      <w:r>
        <w:t>7.</w:t>
      </w:r>
      <w:r>
        <w:tab/>
        <w:t>Leave to enforce judgment</w:t>
      </w:r>
      <w:r>
        <w:tab/>
      </w:r>
      <w:r>
        <w:fldChar w:fldCharType="begin"/>
      </w:r>
      <w:r>
        <w:instrText xml:space="preserve"> PAGEREF _Toc47081967 \h </w:instrText>
      </w:r>
      <w:r>
        <w:fldChar w:fldCharType="separate"/>
      </w:r>
      <w:r>
        <w:t>4</w:t>
      </w:r>
      <w:r>
        <w:fldChar w:fldCharType="end"/>
      </w:r>
    </w:p>
    <w:p>
      <w:pPr>
        <w:pStyle w:val="TOC8"/>
        <w:rPr>
          <w:rFonts w:asciiTheme="minorHAnsi" w:eastAsiaTheme="minorEastAsia" w:hAnsiTheme="minorHAnsi" w:cstheme="minorBidi"/>
          <w:szCs w:val="22"/>
        </w:rPr>
      </w:pPr>
      <w:r>
        <w:t>8.</w:t>
      </w:r>
      <w:r>
        <w:tab/>
        <w:t>Conditional judgment</w:t>
      </w:r>
      <w:r>
        <w:tab/>
      </w:r>
      <w:r>
        <w:fldChar w:fldCharType="begin"/>
      </w:r>
      <w:r>
        <w:instrText xml:space="preserve"> PAGEREF _Toc47081968 \h </w:instrText>
      </w:r>
      <w:r>
        <w:fldChar w:fldCharType="separate"/>
      </w:r>
      <w:r>
        <w:t>4</w:t>
      </w:r>
      <w:r>
        <w:fldChar w:fldCharType="end"/>
      </w:r>
    </w:p>
    <w:p>
      <w:pPr>
        <w:pStyle w:val="TOC8"/>
        <w:rPr>
          <w:rFonts w:asciiTheme="minorHAnsi" w:eastAsiaTheme="minorEastAsia" w:hAnsiTheme="minorHAnsi" w:cstheme="minorBidi"/>
          <w:szCs w:val="22"/>
        </w:rPr>
      </w:pPr>
      <w:r>
        <w:t>9.</w:t>
      </w:r>
      <w:r>
        <w:tab/>
        <w:t>Suspension order</w:t>
      </w:r>
      <w:r>
        <w:tab/>
      </w:r>
      <w:r>
        <w:fldChar w:fldCharType="begin"/>
      </w:r>
      <w:r>
        <w:instrText xml:space="preserve"> PAGEREF _Toc47081969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Enforcement of monetary judgments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10.</w:t>
      </w:r>
      <w:r>
        <w:tab/>
        <w:t>Review of amount of judgment debt sought to be recovered</w:t>
      </w:r>
      <w:r>
        <w:tab/>
      </w:r>
      <w:r>
        <w:fldChar w:fldCharType="begin"/>
      </w:r>
      <w:r>
        <w:instrText xml:space="preserve"> PAGEREF _Toc47081972 \h </w:instrText>
      </w:r>
      <w:r>
        <w:fldChar w:fldCharType="separate"/>
      </w:r>
      <w:r>
        <w:t>6</w:t>
      </w:r>
      <w:r>
        <w:fldChar w:fldCharType="end"/>
      </w:r>
    </w:p>
    <w:p>
      <w:pPr>
        <w:pStyle w:val="TOC8"/>
        <w:rPr>
          <w:rFonts w:asciiTheme="minorHAnsi" w:eastAsiaTheme="minorEastAsia" w:hAnsiTheme="minorHAnsi" w:cstheme="minorBidi"/>
          <w:szCs w:val="22"/>
        </w:rPr>
      </w:pPr>
      <w:r>
        <w:t>11.</w:t>
      </w:r>
      <w:r>
        <w:tab/>
        <w:t>Error in calculation of amount of judgment debt</w:t>
      </w:r>
      <w:r>
        <w:tab/>
      </w:r>
      <w:r>
        <w:fldChar w:fldCharType="begin"/>
      </w:r>
      <w:r>
        <w:instrText xml:space="preserve"> PAGEREF _Toc47081973 \h </w:instrText>
      </w:r>
      <w:r>
        <w:fldChar w:fldCharType="separate"/>
      </w:r>
      <w:r>
        <w:t>6</w:t>
      </w:r>
      <w:r>
        <w:fldChar w:fldCharType="end"/>
      </w:r>
    </w:p>
    <w:p>
      <w:pPr>
        <w:pStyle w:val="TOC8"/>
        <w:rPr>
          <w:rFonts w:asciiTheme="minorHAnsi" w:eastAsiaTheme="minorEastAsia" w:hAnsiTheme="minorHAnsi" w:cstheme="minorBidi"/>
          <w:szCs w:val="22"/>
        </w:rPr>
      </w:pPr>
      <w:r>
        <w:t>12.</w:t>
      </w:r>
      <w:r>
        <w:tab/>
        <w:t>Application by judgment creditor under Act section 22(1)</w:t>
      </w:r>
      <w:r>
        <w:tab/>
      </w:r>
      <w:r>
        <w:fldChar w:fldCharType="begin"/>
      </w:r>
      <w:r>
        <w:instrText xml:space="preserve"> PAGEREF _Toc47081974 \h </w:instrText>
      </w:r>
      <w:r>
        <w:fldChar w:fldCharType="separate"/>
      </w:r>
      <w:r>
        <w:t>7</w:t>
      </w:r>
      <w:r>
        <w:fldChar w:fldCharType="end"/>
      </w:r>
    </w:p>
    <w:p>
      <w:pPr>
        <w:pStyle w:val="TOC8"/>
        <w:rPr>
          <w:rFonts w:asciiTheme="minorHAnsi" w:eastAsiaTheme="minorEastAsia" w:hAnsiTheme="minorHAnsi" w:cstheme="minorBidi"/>
          <w:szCs w:val="22"/>
        </w:rPr>
      </w:pPr>
      <w:r>
        <w:t>13.</w:t>
      </w:r>
      <w:r>
        <w:tab/>
        <w:t>Accounts: Act section 24(2)</w:t>
      </w:r>
      <w:r>
        <w:tab/>
      </w:r>
      <w:r>
        <w:fldChar w:fldCharType="begin"/>
      </w:r>
      <w:r>
        <w:instrText xml:space="preserve"> PAGEREF _Toc47081975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Means inquiry</w:t>
      </w:r>
    </w:p>
    <w:p>
      <w:pPr>
        <w:pStyle w:val="TOC8"/>
        <w:rPr>
          <w:rFonts w:asciiTheme="minorHAnsi" w:eastAsiaTheme="minorEastAsia" w:hAnsiTheme="minorHAnsi" w:cstheme="minorBidi"/>
          <w:szCs w:val="22"/>
        </w:rPr>
      </w:pPr>
      <w:r>
        <w:t>14.</w:t>
      </w:r>
      <w:r>
        <w:tab/>
        <w:t>Location of means inquiry</w:t>
      </w:r>
      <w:r>
        <w:tab/>
      </w:r>
      <w:r>
        <w:fldChar w:fldCharType="begin"/>
      </w:r>
      <w:r>
        <w:instrText xml:space="preserve"> PAGEREF _Toc47081977 \h </w:instrText>
      </w:r>
      <w:r>
        <w:fldChar w:fldCharType="separate"/>
      </w:r>
      <w:r>
        <w:t>7</w:t>
      </w:r>
      <w:r>
        <w:fldChar w:fldCharType="end"/>
      </w:r>
    </w:p>
    <w:p>
      <w:pPr>
        <w:pStyle w:val="TOC8"/>
        <w:rPr>
          <w:rFonts w:asciiTheme="minorHAnsi" w:eastAsiaTheme="minorEastAsia" w:hAnsiTheme="minorHAnsi" w:cstheme="minorBidi"/>
          <w:szCs w:val="22"/>
        </w:rPr>
      </w:pPr>
      <w:r>
        <w:lastRenderedPageBreak/>
        <w:t>15.</w:t>
      </w:r>
      <w:r>
        <w:tab/>
        <w:t>Issue and service of summons to attend means inquiry</w:t>
      </w:r>
      <w:r>
        <w:tab/>
      </w:r>
      <w:r>
        <w:fldChar w:fldCharType="begin"/>
      </w:r>
      <w:r>
        <w:instrText xml:space="preserve"> PAGEREF _Toc47081978 \h </w:instrText>
      </w:r>
      <w:r>
        <w:fldChar w:fldCharType="separate"/>
      </w:r>
      <w:r>
        <w:t>8</w:t>
      </w:r>
      <w:r>
        <w:fldChar w:fldCharType="end"/>
      </w:r>
    </w:p>
    <w:p>
      <w:pPr>
        <w:pStyle w:val="TOC8"/>
        <w:rPr>
          <w:rFonts w:asciiTheme="minorHAnsi" w:eastAsiaTheme="minorEastAsia" w:hAnsiTheme="minorHAnsi" w:cstheme="minorBidi"/>
          <w:szCs w:val="22"/>
        </w:rPr>
      </w:pPr>
      <w:r>
        <w:t>16.</w:t>
      </w:r>
      <w:r>
        <w:tab/>
        <w:t>Production before inquiry</w:t>
      </w:r>
      <w:r>
        <w:tab/>
      </w:r>
      <w:r>
        <w:fldChar w:fldCharType="begin"/>
      </w:r>
      <w:r>
        <w:instrText xml:space="preserve"> PAGEREF _Toc47081979 \h </w:instrText>
      </w:r>
      <w:r>
        <w:fldChar w:fldCharType="separate"/>
      </w:r>
      <w:r>
        <w:t>8</w:t>
      </w:r>
      <w:r>
        <w:fldChar w:fldCharType="end"/>
      </w:r>
    </w:p>
    <w:p>
      <w:pPr>
        <w:pStyle w:val="TOC8"/>
        <w:rPr>
          <w:rFonts w:asciiTheme="minorHAnsi" w:eastAsiaTheme="minorEastAsia" w:hAnsiTheme="minorHAnsi" w:cstheme="minorBidi"/>
          <w:szCs w:val="22"/>
        </w:rPr>
      </w:pPr>
      <w:r>
        <w:t>17.</w:t>
      </w:r>
      <w:r>
        <w:tab/>
        <w:t>Statement of financial affairs</w:t>
      </w:r>
      <w:r>
        <w:tab/>
      </w:r>
      <w:r>
        <w:fldChar w:fldCharType="begin"/>
      </w:r>
      <w:r>
        <w:instrText xml:space="preserve"> PAGEREF _Toc47081980 \h </w:instrText>
      </w:r>
      <w:r>
        <w:fldChar w:fldCharType="separate"/>
      </w:r>
      <w:r>
        <w:t>9</w:t>
      </w:r>
      <w:r>
        <w:fldChar w:fldCharType="end"/>
      </w:r>
    </w:p>
    <w:p>
      <w:pPr>
        <w:pStyle w:val="TOC8"/>
        <w:rPr>
          <w:rFonts w:asciiTheme="minorHAnsi" w:eastAsiaTheme="minorEastAsia" w:hAnsiTheme="minorHAnsi" w:cstheme="minorBidi"/>
          <w:szCs w:val="22"/>
        </w:rPr>
      </w:pPr>
      <w:r>
        <w:t>18.</w:t>
      </w:r>
      <w:r>
        <w:tab/>
        <w:t>Warrant: Act section 29(4)</w:t>
      </w:r>
      <w:r>
        <w:tab/>
      </w:r>
      <w:r>
        <w:fldChar w:fldCharType="begin"/>
      </w:r>
      <w:r>
        <w:instrText xml:space="preserve"> PAGEREF _Toc47081981 \h </w:instrText>
      </w:r>
      <w:r>
        <w:fldChar w:fldCharType="separate"/>
      </w:r>
      <w:r>
        <w:t>9</w:t>
      </w:r>
      <w:r>
        <w:fldChar w:fldCharType="end"/>
      </w:r>
    </w:p>
    <w:p>
      <w:pPr>
        <w:pStyle w:val="TOC8"/>
        <w:rPr>
          <w:rFonts w:asciiTheme="minorHAnsi" w:eastAsiaTheme="minorEastAsia" w:hAnsiTheme="minorHAnsi" w:cstheme="minorBidi"/>
          <w:szCs w:val="22"/>
        </w:rPr>
      </w:pPr>
      <w:r>
        <w:t>19A.</w:t>
      </w:r>
      <w:r>
        <w:tab/>
        <w:t>Requests for court to examine judgment debtor</w:t>
      </w:r>
      <w:r>
        <w:tab/>
      </w:r>
      <w:r>
        <w:fldChar w:fldCharType="begin"/>
      </w:r>
      <w:r>
        <w:instrText xml:space="preserve"> PAGEREF _Toc47081982 \h </w:instrText>
      </w:r>
      <w:r>
        <w:fldChar w:fldCharType="separate"/>
      </w:r>
      <w:r>
        <w:t>9</w:t>
      </w:r>
      <w:r>
        <w:fldChar w:fldCharType="end"/>
      </w:r>
    </w:p>
    <w:p>
      <w:pPr>
        <w:pStyle w:val="TOC8"/>
        <w:rPr>
          <w:rFonts w:asciiTheme="minorHAnsi" w:eastAsiaTheme="minorEastAsia" w:hAnsiTheme="minorHAnsi" w:cstheme="minorBidi"/>
          <w:szCs w:val="22"/>
        </w:rPr>
      </w:pPr>
      <w:r>
        <w:t>19.</w:t>
      </w:r>
      <w:r>
        <w:tab/>
        <w:t>Service of summons: Act section 31(3)</w:t>
      </w:r>
      <w:r>
        <w:tab/>
      </w:r>
      <w:r>
        <w:fldChar w:fldCharType="begin"/>
      </w:r>
      <w:r>
        <w:instrText xml:space="preserve"> PAGEREF _Toc47081983 \h </w:instrText>
      </w:r>
      <w:r>
        <w:fldChar w:fldCharType="separate"/>
      </w:r>
      <w:r>
        <w:t>10</w:t>
      </w:r>
      <w:r>
        <w:fldChar w:fldCharType="end"/>
      </w:r>
    </w:p>
    <w:p>
      <w:pPr>
        <w:pStyle w:val="TOC8"/>
        <w:rPr>
          <w:rFonts w:asciiTheme="minorHAnsi" w:eastAsiaTheme="minorEastAsia" w:hAnsiTheme="minorHAnsi" w:cstheme="minorBidi"/>
          <w:szCs w:val="22"/>
        </w:rPr>
      </w:pPr>
      <w:r>
        <w:t>20.</w:t>
      </w:r>
      <w:r>
        <w:tab/>
        <w:t>Review of amount of judgment debt sought to be recovered</w:t>
      </w:r>
      <w:r>
        <w:tab/>
      </w:r>
      <w:r>
        <w:fldChar w:fldCharType="begin"/>
      </w:r>
      <w:r>
        <w:instrText xml:space="preserve"> PAGEREF _Toc47081984 \h </w:instrText>
      </w:r>
      <w:r>
        <w:fldChar w:fldCharType="separate"/>
      </w:r>
      <w:r>
        <w:t>10</w:t>
      </w:r>
      <w:r>
        <w:fldChar w:fldCharType="end"/>
      </w:r>
    </w:p>
    <w:p>
      <w:pPr>
        <w:pStyle w:val="TOC8"/>
        <w:rPr>
          <w:rFonts w:asciiTheme="minorHAnsi" w:eastAsiaTheme="minorEastAsia" w:hAnsiTheme="minorHAnsi" w:cstheme="minorBidi"/>
          <w:szCs w:val="22"/>
        </w:rPr>
      </w:pPr>
      <w:r>
        <w:t>21.</w:t>
      </w:r>
      <w:r>
        <w:tab/>
        <w:t>Notice of certain orders</w:t>
      </w:r>
      <w:r>
        <w:tab/>
      </w:r>
      <w:r>
        <w:fldChar w:fldCharType="begin"/>
      </w:r>
      <w:r>
        <w:instrText xml:space="preserve"> PAGEREF _Toc47081985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Earnings appropriation order</w:t>
      </w:r>
    </w:p>
    <w:p>
      <w:pPr>
        <w:pStyle w:val="TOC8"/>
        <w:rPr>
          <w:rFonts w:asciiTheme="minorHAnsi" w:eastAsiaTheme="minorEastAsia" w:hAnsiTheme="minorHAnsi" w:cstheme="minorBidi"/>
          <w:szCs w:val="22"/>
        </w:rPr>
      </w:pPr>
      <w:r>
        <w:t>22.</w:t>
      </w:r>
      <w:r>
        <w:tab/>
        <w:t>Service of earnings appropriation order</w:t>
      </w:r>
      <w:r>
        <w:tab/>
      </w:r>
      <w:r>
        <w:fldChar w:fldCharType="begin"/>
      </w:r>
      <w:r>
        <w:instrText xml:space="preserve"> PAGEREF _Toc47081987 \h </w:instrText>
      </w:r>
      <w:r>
        <w:fldChar w:fldCharType="separate"/>
      </w:r>
      <w:r>
        <w:t>11</w:t>
      </w:r>
      <w:r>
        <w:fldChar w:fldCharType="end"/>
      </w:r>
    </w:p>
    <w:p>
      <w:pPr>
        <w:pStyle w:val="TOC8"/>
        <w:rPr>
          <w:rFonts w:asciiTheme="minorHAnsi" w:eastAsiaTheme="minorEastAsia" w:hAnsiTheme="minorHAnsi" w:cstheme="minorBidi"/>
          <w:szCs w:val="22"/>
        </w:rPr>
      </w:pPr>
      <w:r>
        <w:t>23.</w:t>
      </w:r>
      <w:r>
        <w:tab/>
        <w:t>Service of notice under Act section 37(4)</w:t>
      </w:r>
      <w:r>
        <w:tab/>
      </w:r>
      <w:r>
        <w:fldChar w:fldCharType="begin"/>
      </w:r>
      <w:r>
        <w:instrText xml:space="preserve"> PAGEREF _Toc47081988 \h </w:instrText>
      </w:r>
      <w:r>
        <w:fldChar w:fldCharType="separate"/>
      </w:r>
      <w:r>
        <w:t>11</w:t>
      </w:r>
      <w:r>
        <w:fldChar w:fldCharType="end"/>
      </w:r>
    </w:p>
    <w:p>
      <w:pPr>
        <w:pStyle w:val="TOC8"/>
        <w:rPr>
          <w:rFonts w:asciiTheme="minorHAnsi" w:eastAsiaTheme="minorEastAsia" w:hAnsiTheme="minorHAnsi" w:cstheme="minorBidi"/>
          <w:szCs w:val="22"/>
        </w:rPr>
      </w:pPr>
      <w:r>
        <w:t>24.</w:t>
      </w:r>
      <w:r>
        <w:tab/>
        <w:t>Expenses of obeying earnings appropriation order</w:t>
      </w:r>
      <w:r>
        <w:tab/>
      </w:r>
      <w:r>
        <w:fldChar w:fldCharType="begin"/>
      </w:r>
      <w:r>
        <w:instrText xml:space="preserve"> PAGEREF _Toc47081989 \h </w:instrText>
      </w:r>
      <w:r>
        <w:fldChar w:fldCharType="separate"/>
      </w:r>
      <w:r>
        <w:t>11</w:t>
      </w:r>
      <w:r>
        <w:fldChar w:fldCharType="end"/>
      </w:r>
    </w:p>
    <w:p>
      <w:pPr>
        <w:pStyle w:val="TOC8"/>
        <w:rPr>
          <w:rFonts w:asciiTheme="minorHAnsi" w:eastAsiaTheme="minorEastAsia" w:hAnsiTheme="minorHAnsi" w:cstheme="minorBidi"/>
          <w:szCs w:val="22"/>
        </w:rPr>
      </w:pPr>
      <w:r>
        <w:t>25.</w:t>
      </w:r>
      <w:r>
        <w:tab/>
        <w:t>Service of objection to earnings appropriation order</w:t>
      </w:r>
      <w:r>
        <w:tab/>
      </w:r>
      <w:r>
        <w:fldChar w:fldCharType="begin"/>
      </w:r>
      <w:r>
        <w:instrText xml:space="preserve"> PAGEREF _Toc47081990 \h </w:instrText>
      </w:r>
      <w:r>
        <w:fldChar w:fldCharType="separate"/>
      </w:r>
      <w:r>
        <w:t>11</w:t>
      </w:r>
      <w:r>
        <w:fldChar w:fldCharType="end"/>
      </w:r>
    </w:p>
    <w:p>
      <w:pPr>
        <w:pStyle w:val="TOC8"/>
        <w:rPr>
          <w:rFonts w:asciiTheme="minorHAnsi" w:eastAsiaTheme="minorEastAsia" w:hAnsiTheme="minorHAnsi" w:cstheme="minorBidi"/>
          <w:szCs w:val="22"/>
        </w:rPr>
      </w:pPr>
      <w:r>
        <w:t>26.</w:t>
      </w:r>
      <w:r>
        <w:tab/>
        <w:t>Notice to court of allowance of objection by judgment creditor</w:t>
      </w:r>
      <w:r>
        <w:tab/>
      </w:r>
      <w:r>
        <w:fldChar w:fldCharType="begin"/>
      </w:r>
      <w:r>
        <w:instrText xml:space="preserve"> PAGEREF _Toc47081991 \h </w:instrText>
      </w:r>
      <w:r>
        <w:fldChar w:fldCharType="separate"/>
      </w:r>
      <w:r>
        <w:t>11</w:t>
      </w:r>
      <w:r>
        <w:fldChar w:fldCharType="end"/>
      </w:r>
    </w:p>
    <w:p>
      <w:pPr>
        <w:pStyle w:val="TOC8"/>
        <w:rPr>
          <w:rFonts w:asciiTheme="minorHAnsi" w:eastAsiaTheme="minorEastAsia" w:hAnsiTheme="minorHAnsi" w:cstheme="minorBidi"/>
          <w:szCs w:val="22"/>
        </w:rPr>
      </w:pPr>
      <w:r>
        <w:t>27.</w:t>
      </w:r>
      <w:r>
        <w:tab/>
        <w:t>Objection to earnings appropriation order</w:t>
      </w:r>
      <w:r>
        <w:tab/>
      </w:r>
      <w:r>
        <w:fldChar w:fldCharType="begin"/>
      </w:r>
      <w:r>
        <w:instrText xml:space="preserve"> PAGEREF _Toc47081992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Debt appropriation order</w:t>
      </w:r>
    </w:p>
    <w:p>
      <w:pPr>
        <w:pStyle w:val="TOC8"/>
        <w:rPr>
          <w:rFonts w:asciiTheme="minorHAnsi" w:eastAsiaTheme="minorEastAsia" w:hAnsiTheme="minorHAnsi" w:cstheme="minorBidi"/>
          <w:szCs w:val="22"/>
        </w:rPr>
      </w:pPr>
      <w:r>
        <w:t>28.</w:t>
      </w:r>
      <w:r>
        <w:tab/>
        <w:t>Application</w:t>
      </w:r>
      <w:r>
        <w:tab/>
      </w:r>
      <w:r>
        <w:fldChar w:fldCharType="begin"/>
      </w:r>
      <w:r>
        <w:instrText xml:space="preserve"> PAGEREF _Toc47081994 \h </w:instrText>
      </w:r>
      <w:r>
        <w:fldChar w:fldCharType="separate"/>
      </w:r>
      <w:r>
        <w:t>12</w:t>
      </w:r>
      <w:r>
        <w:fldChar w:fldCharType="end"/>
      </w:r>
    </w:p>
    <w:p>
      <w:pPr>
        <w:pStyle w:val="TOC8"/>
        <w:rPr>
          <w:rFonts w:asciiTheme="minorHAnsi" w:eastAsiaTheme="minorEastAsia" w:hAnsiTheme="minorHAnsi" w:cstheme="minorBidi"/>
          <w:szCs w:val="22"/>
        </w:rPr>
      </w:pPr>
      <w:r>
        <w:t>29.</w:t>
      </w:r>
      <w:r>
        <w:tab/>
        <w:t>Service of debt appropriation order</w:t>
      </w:r>
      <w:r>
        <w:tab/>
      </w:r>
      <w:r>
        <w:fldChar w:fldCharType="begin"/>
      </w:r>
      <w:r>
        <w:instrText xml:space="preserve"> PAGEREF _Toc47081995 \h </w:instrText>
      </w:r>
      <w:r>
        <w:fldChar w:fldCharType="separate"/>
      </w:r>
      <w:r>
        <w:t>12</w:t>
      </w:r>
      <w:r>
        <w:fldChar w:fldCharType="end"/>
      </w:r>
    </w:p>
    <w:p>
      <w:pPr>
        <w:pStyle w:val="TOC8"/>
        <w:rPr>
          <w:rFonts w:asciiTheme="minorHAnsi" w:eastAsiaTheme="minorEastAsia" w:hAnsiTheme="minorHAnsi" w:cstheme="minorBidi"/>
          <w:szCs w:val="22"/>
        </w:rPr>
      </w:pPr>
      <w:r>
        <w:t>30.</w:t>
      </w:r>
      <w:r>
        <w:tab/>
        <w:t>Service of notice under Act section 51(7)</w:t>
      </w:r>
      <w:r>
        <w:tab/>
      </w:r>
      <w:r>
        <w:fldChar w:fldCharType="begin"/>
      </w:r>
      <w:r>
        <w:instrText xml:space="preserve"> PAGEREF _Toc47081996 \h </w:instrText>
      </w:r>
      <w:r>
        <w:fldChar w:fldCharType="separate"/>
      </w:r>
      <w:r>
        <w:t>12</w:t>
      </w:r>
      <w:r>
        <w:fldChar w:fldCharType="end"/>
      </w:r>
    </w:p>
    <w:p>
      <w:pPr>
        <w:pStyle w:val="TOC8"/>
        <w:rPr>
          <w:rFonts w:asciiTheme="minorHAnsi" w:eastAsiaTheme="minorEastAsia" w:hAnsiTheme="minorHAnsi" w:cstheme="minorBidi"/>
          <w:szCs w:val="22"/>
        </w:rPr>
      </w:pPr>
      <w:r>
        <w:t>31.</w:t>
      </w:r>
      <w:r>
        <w:tab/>
        <w:t>Expenses of obeying a debt appropriation order: Act section 53(1)</w:t>
      </w:r>
      <w:r>
        <w:tab/>
      </w:r>
      <w:r>
        <w:fldChar w:fldCharType="begin"/>
      </w:r>
      <w:r>
        <w:instrText xml:space="preserve"> PAGEREF _Toc47081997 \h </w:instrText>
      </w:r>
      <w:r>
        <w:fldChar w:fldCharType="separate"/>
      </w:r>
      <w:r>
        <w:t>12</w:t>
      </w:r>
      <w:r>
        <w:fldChar w:fldCharType="end"/>
      </w:r>
    </w:p>
    <w:p>
      <w:pPr>
        <w:pStyle w:val="TOC8"/>
        <w:rPr>
          <w:rFonts w:asciiTheme="minorHAnsi" w:eastAsiaTheme="minorEastAsia" w:hAnsiTheme="minorHAnsi" w:cstheme="minorBidi"/>
          <w:szCs w:val="22"/>
        </w:rPr>
      </w:pPr>
      <w:r>
        <w:t>32.</w:t>
      </w:r>
      <w:r>
        <w:tab/>
        <w:t>Service of objection to debt appropriation order</w:t>
      </w:r>
      <w:r>
        <w:tab/>
      </w:r>
      <w:r>
        <w:fldChar w:fldCharType="begin"/>
      </w:r>
      <w:r>
        <w:instrText xml:space="preserve"> PAGEREF _Toc47081998 \h </w:instrText>
      </w:r>
      <w:r>
        <w:fldChar w:fldCharType="separate"/>
      </w:r>
      <w:r>
        <w:t>12</w:t>
      </w:r>
      <w:r>
        <w:fldChar w:fldCharType="end"/>
      </w:r>
    </w:p>
    <w:p>
      <w:pPr>
        <w:pStyle w:val="TOC8"/>
        <w:rPr>
          <w:rFonts w:asciiTheme="minorHAnsi" w:eastAsiaTheme="minorEastAsia" w:hAnsiTheme="minorHAnsi" w:cstheme="minorBidi"/>
          <w:szCs w:val="22"/>
        </w:rPr>
      </w:pPr>
      <w:r>
        <w:t>33.</w:t>
      </w:r>
      <w:r>
        <w:tab/>
        <w:t>Notice to court of allowance of objection by judgment creditor</w:t>
      </w:r>
      <w:r>
        <w:tab/>
      </w:r>
      <w:r>
        <w:fldChar w:fldCharType="begin"/>
      </w:r>
      <w:r>
        <w:instrText xml:space="preserve"> PAGEREF _Toc47081999 \h </w:instrText>
      </w:r>
      <w:r>
        <w:fldChar w:fldCharType="separate"/>
      </w:r>
      <w:r>
        <w:t>12</w:t>
      </w:r>
      <w:r>
        <w:fldChar w:fldCharType="end"/>
      </w:r>
    </w:p>
    <w:p>
      <w:pPr>
        <w:pStyle w:val="TOC8"/>
        <w:rPr>
          <w:rFonts w:asciiTheme="minorHAnsi" w:eastAsiaTheme="minorEastAsia" w:hAnsiTheme="minorHAnsi" w:cstheme="minorBidi"/>
          <w:szCs w:val="22"/>
        </w:rPr>
      </w:pPr>
      <w:r>
        <w:t>34.</w:t>
      </w:r>
      <w:r>
        <w:tab/>
        <w:t>Objection to debt appropriation order</w:t>
      </w:r>
      <w:r>
        <w:tab/>
      </w:r>
      <w:r>
        <w:fldChar w:fldCharType="begin"/>
      </w:r>
      <w:r>
        <w:instrText xml:space="preserve"> PAGEREF _Toc47082000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5 — Property (seizure and sale) order</w:t>
      </w:r>
    </w:p>
    <w:p>
      <w:pPr>
        <w:pStyle w:val="TOC8"/>
        <w:rPr>
          <w:rFonts w:asciiTheme="minorHAnsi" w:eastAsiaTheme="minorEastAsia" w:hAnsiTheme="minorHAnsi" w:cstheme="minorBidi"/>
          <w:szCs w:val="22"/>
        </w:rPr>
      </w:pPr>
      <w:r>
        <w:t>35.</w:t>
      </w:r>
      <w:r>
        <w:tab/>
        <w:t>Property that cannot be seized and sold under property (seizure and sale) order</w:t>
      </w:r>
      <w:r>
        <w:tab/>
      </w:r>
      <w:r>
        <w:fldChar w:fldCharType="begin"/>
      </w:r>
      <w:r>
        <w:instrText xml:space="preserve"> PAGEREF _Toc47082002 \h </w:instrText>
      </w:r>
      <w:r>
        <w:fldChar w:fldCharType="separate"/>
      </w:r>
      <w:r>
        <w:t>13</w:t>
      </w:r>
      <w:r>
        <w:fldChar w:fldCharType="end"/>
      </w:r>
    </w:p>
    <w:p>
      <w:pPr>
        <w:pStyle w:val="TOC8"/>
        <w:rPr>
          <w:rFonts w:asciiTheme="minorHAnsi" w:eastAsiaTheme="minorEastAsia" w:hAnsiTheme="minorHAnsi" w:cstheme="minorBidi"/>
          <w:szCs w:val="22"/>
        </w:rPr>
      </w:pPr>
      <w:r>
        <w:t>36.</w:t>
      </w:r>
      <w:r>
        <w:tab/>
        <w:t>Separate property (seizure and sale) order for costs</w:t>
      </w:r>
      <w:r>
        <w:tab/>
      </w:r>
      <w:r>
        <w:fldChar w:fldCharType="begin"/>
      </w:r>
      <w:r>
        <w:instrText xml:space="preserve"> PAGEREF _Toc47082003 \h </w:instrText>
      </w:r>
      <w:r>
        <w:fldChar w:fldCharType="separate"/>
      </w:r>
      <w:r>
        <w:t>14</w:t>
      </w:r>
      <w:r>
        <w:fldChar w:fldCharType="end"/>
      </w:r>
    </w:p>
    <w:p>
      <w:pPr>
        <w:pStyle w:val="TOC8"/>
        <w:rPr>
          <w:rFonts w:asciiTheme="minorHAnsi" w:eastAsiaTheme="minorEastAsia" w:hAnsiTheme="minorHAnsi" w:cstheme="minorBidi"/>
          <w:szCs w:val="22"/>
        </w:rPr>
      </w:pPr>
      <w:r>
        <w:t>37.</w:t>
      </w:r>
      <w:r>
        <w:tab/>
        <w:t>Other information to be included in property (seizure and sale) order</w:t>
      </w:r>
      <w:r>
        <w:tab/>
      </w:r>
      <w:r>
        <w:fldChar w:fldCharType="begin"/>
      </w:r>
      <w:r>
        <w:instrText xml:space="preserve"> PAGEREF _Toc47082004 \h </w:instrText>
      </w:r>
      <w:r>
        <w:fldChar w:fldCharType="separate"/>
      </w:r>
      <w:r>
        <w:t>14</w:t>
      </w:r>
      <w:r>
        <w:fldChar w:fldCharType="end"/>
      </w:r>
    </w:p>
    <w:p>
      <w:pPr>
        <w:pStyle w:val="TOC8"/>
        <w:rPr>
          <w:rFonts w:asciiTheme="minorHAnsi" w:eastAsiaTheme="minorEastAsia" w:hAnsiTheme="minorHAnsi" w:cstheme="minorBidi"/>
          <w:szCs w:val="22"/>
        </w:rPr>
      </w:pPr>
      <w:r>
        <w:t>38.</w:t>
      </w:r>
      <w:r>
        <w:tab/>
        <w:t>Service of property (seizure and sale) order on Sheriff</w:t>
      </w:r>
      <w:r>
        <w:tab/>
      </w:r>
      <w:r>
        <w:fldChar w:fldCharType="begin"/>
      </w:r>
      <w:r>
        <w:instrText xml:space="preserve"> PAGEREF _Toc47082005 \h </w:instrText>
      </w:r>
      <w:r>
        <w:fldChar w:fldCharType="separate"/>
      </w:r>
      <w:r>
        <w:t>15</w:t>
      </w:r>
      <w:r>
        <w:fldChar w:fldCharType="end"/>
      </w:r>
    </w:p>
    <w:p>
      <w:pPr>
        <w:pStyle w:val="TOC8"/>
        <w:rPr>
          <w:rFonts w:asciiTheme="minorHAnsi" w:eastAsiaTheme="minorEastAsia" w:hAnsiTheme="minorHAnsi" w:cstheme="minorBidi"/>
          <w:szCs w:val="22"/>
        </w:rPr>
      </w:pPr>
      <w:r>
        <w:t>39.</w:t>
      </w:r>
      <w:r>
        <w:tab/>
        <w:t>Notice of application under Act section 69(2)</w:t>
      </w:r>
      <w:r>
        <w:tab/>
      </w:r>
      <w:r>
        <w:fldChar w:fldCharType="begin"/>
      </w:r>
      <w:r>
        <w:instrText xml:space="preserve"> PAGEREF _Toc47082006 \h </w:instrText>
      </w:r>
      <w:r>
        <w:fldChar w:fldCharType="separate"/>
      </w:r>
      <w:r>
        <w:t>15</w:t>
      </w:r>
      <w:r>
        <w:fldChar w:fldCharType="end"/>
      </w:r>
    </w:p>
    <w:p>
      <w:pPr>
        <w:pStyle w:val="TOC8"/>
        <w:rPr>
          <w:rFonts w:asciiTheme="minorHAnsi" w:eastAsiaTheme="minorEastAsia" w:hAnsiTheme="minorHAnsi" w:cstheme="minorBidi"/>
          <w:szCs w:val="22"/>
        </w:rPr>
      </w:pPr>
      <w:r>
        <w:t>40.</w:t>
      </w:r>
      <w:r>
        <w:tab/>
        <w:t>Seizure notice, further information</w:t>
      </w:r>
      <w:r>
        <w:tab/>
      </w:r>
      <w:r>
        <w:fldChar w:fldCharType="begin"/>
      </w:r>
      <w:r>
        <w:instrText xml:space="preserve"> PAGEREF _Toc47082007 \h </w:instrText>
      </w:r>
      <w:r>
        <w:fldChar w:fldCharType="separate"/>
      </w:r>
      <w:r>
        <w:t>15</w:t>
      </w:r>
      <w:r>
        <w:fldChar w:fldCharType="end"/>
      </w:r>
    </w:p>
    <w:p>
      <w:pPr>
        <w:pStyle w:val="TOC8"/>
        <w:rPr>
          <w:rFonts w:asciiTheme="minorHAnsi" w:eastAsiaTheme="minorEastAsia" w:hAnsiTheme="minorHAnsi" w:cstheme="minorBidi"/>
          <w:szCs w:val="22"/>
        </w:rPr>
      </w:pPr>
      <w:r>
        <w:t>41.</w:t>
      </w:r>
      <w:r>
        <w:tab/>
        <w:t>Certain notices to judgment debtor and Sheriff</w:t>
      </w:r>
      <w:r>
        <w:tab/>
      </w:r>
      <w:r>
        <w:fldChar w:fldCharType="begin"/>
      </w:r>
      <w:r>
        <w:instrText xml:space="preserve"> PAGEREF _Toc47082008 \h </w:instrText>
      </w:r>
      <w:r>
        <w:fldChar w:fldCharType="separate"/>
      </w:r>
      <w:r>
        <w:t>15</w:t>
      </w:r>
      <w:r>
        <w:fldChar w:fldCharType="end"/>
      </w:r>
    </w:p>
    <w:p>
      <w:pPr>
        <w:pStyle w:val="TOC8"/>
        <w:rPr>
          <w:rFonts w:asciiTheme="minorHAnsi" w:eastAsiaTheme="minorEastAsia" w:hAnsiTheme="minorHAnsi" w:cstheme="minorBidi"/>
          <w:szCs w:val="22"/>
        </w:rPr>
      </w:pPr>
      <w:r>
        <w:t>42.</w:t>
      </w:r>
      <w:r>
        <w:tab/>
        <w:t>Mode of sale</w:t>
      </w:r>
      <w:r>
        <w:tab/>
      </w:r>
      <w:r>
        <w:fldChar w:fldCharType="begin"/>
      </w:r>
      <w:r>
        <w:instrText xml:space="preserve"> PAGEREF _Toc47082009 \h </w:instrText>
      </w:r>
      <w:r>
        <w:fldChar w:fldCharType="separate"/>
      </w:r>
      <w:r>
        <w:t>18</w:t>
      </w:r>
      <w:r>
        <w:fldChar w:fldCharType="end"/>
      </w:r>
    </w:p>
    <w:p>
      <w:pPr>
        <w:pStyle w:val="TOC8"/>
        <w:rPr>
          <w:rFonts w:asciiTheme="minorHAnsi" w:eastAsiaTheme="minorEastAsia" w:hAnsiTheme="minorHAnsi" w:cstheme="minorBidi"/>
          <w:szCs w:val="22"/>
        </w:rPr>
      </w:pPr>
      <w:r>
        <w:t>43.</w:t>
      </w:r>
      <w:r>
        <w:tab/>
        <w:t>Priority of orders, establishing by ballot</w:t>
      </w:r>
      <w:r>
        <w:tab/>
      </w:r>
      <w:r>
        <w:fldChar w:fldCharType="begin"/>
      </w:r>
      <w:r>
        <w:instrText xml:space="preserve"> PAGEREF _Toc47082010 \h </w:instrText>
      </w:r>
      <w:r>
        <w:fldChar w:fldCharType="separate"/>
      </w:r>
      <w:r>
        <w:t>18</w:t>
      </w:r>
      <w:r>
        <w:fldChar w:fldCharType="end"/>
      </w:r>
    </w:p>
    <w:p>
      <w:pPr>
        <w:pStyle w:val="TOC8"/>
        <w:rPr>
          <w:rFonts w:asciiTheme="minorHAnsi" w:eastAsiaTheme="minorEastAsia" w:hAnsiTheme="minorHAnsi" w:cstheme="minorBidi"/>
          <w:szCs w:val="22"/>
        </w:rPr>
      </w:pPr>
      <w:r>
        <w:t>44.</w:t>
      </w:r>
      <w:r>
        <w:tab/>
        <w:t>Procedure for conducting ballot</w:t>
      </w:r>
      <w:r>
        <w:tab/>
      </w:r>
      <w:r>
        <w:fldChar w:fldCharType="begin"/>
      </w:r>
      <w:r>
        <w:instrText xml:space="preserve"> PAGEREF _Toc47082011 \h </w:instrText>
      </w:r>
      <w:r>
        <w:fldChar w:fldCharType="separate"/>
      </w:r>
      <w:r>
        <w:t>18</w:t>
      </w:r>
      <w:r>
        <w:fldChar w:fldCharType="end"/>
      </w:r>
    </w:p>
    <w:p>
      <w:pPr>
        <w:pStyle w:val="TOC8"/>
        <w:rPr>
          <w:rFonts w:asciiTheme="minorHAnsi" w:eastAsiaTheme="minorEastAsia" w:hAnsiTheme="minorHAnsi" w:cstheme="minorBidi"/>
          <w:szCs w:val="22"/>
        </w:rPr>
      </w:pPr>
      <w:r>
        <w:t>45.</w:t>
      </w:r>
      <w:r>
        <w:tab/>
        <w:t>Account of sale under property (seizure and sale) order</w:t>
      </w:r>
      <w:r>
        <w:tab/>
      </w:r>
      <w:r>
        <w:fldChar w:fldCharType="begin"/>
      </w:r>
      <w:r>
        <w:instrText xml:space="preserve"> PAGEREF _Toc47082012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6 — Interpleader</w:t>
      </w:r>
    </w:p>
    <w:p>
      <w:pPr>
        <w:pStyle w:val="TOC8"/>
        <w:rPr>
          <w:rFonts w:asciiTheme="minorHAnsi" w:eastAsiaTheme="minorEastAsia" w:hAnsiTheme="minorHAnsi" w:cstheme="minorBidi"/>
          <w:szCs w:val="22"/>
        </w:rPr>
      </w:pPr>
      <w:r>
        <w:t>46.</w:t>
      </w:r>
      <w:r>
        <w:tab/>
        <w:t>Notice of claim</w:t>
      </w:r>
      <w:r>
        <w:tab/>
      </w:r>
      <w:r>
        <w:fldChar w:fldCharType="begin"/>
      </w:r>
      <w:r>
        <w:instrText xml:space="preserve"> PAGEREF _Toc47082014 \h </w:instrText>
      </w:r>
      <w:r>
        <w:fldChar w:fldCharType="separate"/>
      </w:r>
      <w:r>
        <w:t>19</w:t>
      </w:r>
      <w:r>
        <w:fldChar w:fldCharType="end"/>
      </w:r>
    </w:p>
    <w:p>
      <w:pPr>
        <w:pStyle w:val="TOC8"/>
        <w:rPr>
          <w:rFonts w:asciiTheme="minorHAnsi" w:eastAsiaTheme="minorEastAsia" w:hAnsiTheme="minorHAnsi" w:cstheme="minorBidi"/>
          <w:szCs w:val="22"/>
        </w:rPr>
      </w:pPr>
      <w:r>
        <w:t>47.</w:t>
      </w:r>
      <w:r>
        <w:tab/>
        <w:t>Notice by Sheriff to judgment creditor</w:t>
      </w:r>
      <w:r>
        <w:tab/>
      </w:r>
      <w:r>
        <w:fldChar w:fldCharType="begin"/>
      </w:r>
      <w:r>
        <w:instrText xml:space="preserve"> PAGEREF _Toc47082015 \h </w:instrText>
      </w:r>
      <w:r>
        <w:fldChar w:fldCharType="separate"/>
      </w:r>
      <w:r>
        <w:t>19</w:t>
      </w:r>
      <w:r>
        <w:fldChar w:fldCharType="end"/>
      </w:r>
    </w:p>
    <w:p>
      <w:pPr>
        <w:pStyle w:val="TOC8"/>
        <w:rPr>
          <w:rFonts w:asciiTheme="minorHAnsi" w:eastAsiaTheme="minorEastAsia" w:hAnsiTheme="minorHAnsi" w:cstheme="minorBidi"/>
          <w:szCs w:val="22"/>
        </w:rPr>
      </w:pPr>
      <w:r>
        <w:t>48.</w:t>
      </w:r>
      <w:r>
        <w:tab/>
        <w:t>Admitting claim</w:t>
      </w:r>
      <w:r>
        <w:tab/>
      </w:r>
      <w:r>
        <w:fldChar w:fldCharType="begin"/>
      </w:r>
      <w:r>
        <w:instrText xml:space="preserve"> PAGEREF _Toc47082016 \h </w:instrText>
      </w:r>
      <w:r>
        <w:fldChar w:fldCharType="separate"/>
      </w:r>
      <w:r>
        <w:t>20</w:t>
      </w:r>
      <w:r>
        <w:fldChar w:fldCharType="end"/>
      </w:r>
    </w:p>
    <w:p>
      <w:pPr>
        <w:pStyle w:val="TOC8"/>
        <w:rPr>
          <w:rFonts w:asciiTheme="minorHAnsi" w:eastAsiaTheme="minorEastAsia" w:hAnsiTheme="minorHAnsi" w:cstheme="minorBidi"/>
          <w:szCs w:val="22"/>
        </w:rPr>
      </w:pPr>
      <w:r>
        <w:t>49.</w:t>
      </w:r>
      <w:r>
        <w:tab/>
        <w:t>Application by Sheriff</w:t>
      </w:r>
      <w:r>
        <w:tab/>
      </w:r>
      <w:r>
        <w:fldChar w:fldCharType="begin"/>
      </w:r>
      <w:r>
        <w:instrText xml:space="preserve"> PAGEREF _Toc47082017 \h </w:instrText>
      </w:r>
      <w:r>
        <w:fldChar w:fldCharType="separate"/>
      </w:r>
      <w:r>
        <w:t>20</w:t>
      </w:r>
      <w:r>
        <w:fldChar w:fldCharType="end"/>
      </w:r>
    </w:p>
    <w:p>
      <w:pPr>
        <w:pStyle w:val="TOC8"/>
        <w:rPr>
          <w:rFonts w:asciiTheme="minorHAnsi" w:eastAsiaTheme="minorEastAsia" w:hAnsiTheme="minorHAnsi" w:cstheme="minorBidi"/>
          <w:szCs w:val="22"/>
        </w:rPr>
      </w:pPr>
      <w:r>
        <w:t>50.</w:t>
      </w:r>
      <w:r>
        <w:tab/>
        <w:t>Location of interpleader proceedings</w:t>
      </w:r>
      <w:r>
        <w:tab/>
      </w:r>
      <w:r>
        <w:fldChar w:fldCharType="begin"/>
      </w:r>
      <w:r>
        <w:instrText xml:space="preserve"> PAGEREF _Toc47082018 \h </w:instrText>
      </w:r>
      <w:r>
        <w:fldChar w:fldCharType="separate"/>
      </w:r>
      <w:r>
        <w:t>21</w:t>
      </w:r>
      <w:r>
        <w:fldChar w:fldCharType="end"/>
      </w:r>
    </w:p>
    <w:p>
      <w:pPr>
        <w:pStyle w:val="TOC8"/>
        <w:rPr>
          <w:rFonts w:asciiTheme="minorHAnsi" w:eastAsiaTheme="minorEastAsia" w:hAnsiTheme="minorHAnsi" w:cstheme="minorBidi"/>
          <w:szCs w:val="22"/>
        </w:rPr>
      </w:pPr>
      <w:r>
        <w:t>51.</w:t>
      </w:r>
      <w:r>
        <w:tab/>
        <w:t>Interpleader proceedings</w:t>
      </w:r>
      <w:r>
        <w:tab/>
      </w:r>
      <w:r>
        <w:fldChar w:fldCharType="begin"/>
      </w:r>
      <w:r>
        <w:instrText xml:space="preserve"> PAGEREF _Toc47082019 \h </w:instrText>
      </w:r>
      <w:r>
        <w:fldChar w:fldCharType="separate"/>
      </w:r>
      <w:r>
        <w:t>21</w:t>
      </w:r>
      <w:r>
        <w:fldChar w:fldCharType="end"/>
      </w:r>
    </w:p>
    <w:p>
      <w:pPr>
        <w:pStyle w:val="TOC8"/>
        <w:rPr>
          <w:rFonts w:asciiTheme="minorHAnsi" w:eastAsiaTheme="minorEastAsia" w:hAnsiTheme="minorHAnsi" w:cstheme="minorBidi"/>
          <w:szCs w:val="22"/>
        </w:rPr>
      </w:pPr>
      <w:r>
        <w:t>52.</w:t>
      </w:r>
      <w:r>
        <w:tab/>
        <w:t>Power to delay sale</w:t>
      </w:r>
      <w:r>
        <w:tab/>
      </w:r>
      <w:r>
        <w:fldChar w:fldCharType="begin"/>
      </w:r>
      <w:r>
        <w:instrText xml:space="preserve"> PAGEREF _Toc47082020 \h </w:instrText>
      </w:r>
      <w:r>
        <w:fldChar w:fldCharType="separate"/>
      </w:r>
      <w:r>
        <w:t>21</w:t>
      </w:r>
      <w:r>
        <w:fldChar w:fldCharType="end"/>
      </w:r>
    </w:p>
    <w:p>
      <w:pPr>
        <w:pStyle w:val="TOC8"/>
        <w:rPr>
          <w:rFonts w:asciiTheme="minorHAnsi" w:eastAsiaTheme="minorEastAsia" w:hAnsiTheme="minorHAnsi" w:cstheme="minorBidi"/>
          <w:szCs w:val="22"/>
        </w:rPr>
      </w:pPr>
      <w:r>
        <w:t>53.</w:t>
      </w:r>
      <w:r>
        <w:tab/>
        <w:t>Other information as to claim</w:t>
      </w:r>
      <w:r>
        <w:tab/>
      </w:r>
      <w:r>
        <w:fldChar w:fldCharType="begin"/>
      </w:r>
      <w:r>
        <w:instrText xml:space="preserve"> PAGEREF _Toc47082021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7 — Receivers and special remedies</w:t>
      </w:r>
    </w:p>
    <w:p>
      <w:pPr>
        <w:pStyle w:val="TOC8"/>
        <w:rPr>
          <w:rFonts w:asciiTheme="minorHAnsi" w:eastAsiaTheme="minorEastAsia" w:hAnsiTheme="minorHAnsi" w:cstheme="minorBidi"/>
          <w:szCs w:val="22"/>
        </w:rPr>
      </w:pPr>
      <w:r>
        <w:t>54.</w:t>
      </w:r>
      <w:r>
        <w:tab/>
        <w:t>Application</w:t>
      </w:r>
      <w:r>
        <w:tab/>
      </w:r>
      <w:r>
        <w:fldChar w:fldCharType="begin"/>
      </w:r>
      <w:r>
        <w:instrText xml:space="preserve"> PAGEREF _Toc47082023 \h </w:instrText>
      </w:r>
      <w:r>
        <w:fldChar w:fldCharType="separate"/>
      </w:r>
      <w:r>
        <w:t>22</w:t>
      </w:r>
      <w:r>
        <w:fldChar w:fldCharType="end"/>
      </w:r>
    </w:p>
    <w:p>
      <w:pPr>
        <w:pStyle w:val="TOC8"/>
        <w:rPr>
          <w:rFonts w:asciiTheme="minorHAnsi" w:eastAsiaTheme="minorEastAsia" w:hAnsiTheme="minorHAnsi" w:cstheme="minorBidi"/>
          <w:szCs w:val="22"/>
        </w:rPr>
      </w:pPr>
      <w:r>
        <w:t>55.</w:t>
      </w:r>
      <w:r>
        <w:tab/>
        <w:t>Form of order</w:t>
      </w:r>
      <w:r>
        <w:tab/>
      </w:r>
      <w:r>
        <w:fldChar w:fldCharType="begin"/>
      </w:r>
      <w:r>
        <w:instrText xml:space="preserve"> PAGEREF _Toc47082024 \h </w:instrText>
      </w:r>
      <w:r>
        <w:fldChar w:fldCharType="separate"/>
      </w:r>
      <w:r>
        <w:t>23</w:t>
      </w:r>
      <w:r>
        <w:fldChar w:fldCharType="end"/>
      </w:r>
    </w:p>
    <w:p>
      <w:pPr>
        <w:pStyle w:val="TOC8"/>
        <w:rPr>
          <w:rFonts w:asciiTheme="minorHAnsi" w:eastAsiaTheme="minorEastAsia" w:hAnsiTheme="minorHAnsi" w:cstheme="minorBidi"/>
          <w:szCs w:val="22"/>
        </w:rPr>
      </w:pPr>
      <w:r>
        <w:t>56.</w:t>
      </w:r>
      <w:r>
        <w:tab/>
        <w:t>Receiver’s security</w:t>
      </w:r>
      <w:r>
        <w:tab/>
      </w:r>
      <w:r>
        <w:fldChar w:fldCharType="begin"/>
      </w:r>
      <w:r>
        <w:instrText xml:space="preserve"> PAGEREF _Toc47082025 \h </w:instrText>
      </w:r>
      <w:r>
        <w:fldChar w:fldCharType="separate"/>
      </w:r>
      <w:r>
        <w:t>23</w:t>
      </w:r>
      <w:r>
        <w:fldChar w:fldCharType="end"/>
      </w:r>
    </w:p>
    <w:p>
      <w:pPr>
        <w:pStyle w:val="TOC8"/>
        <w:rPr>
          <w:rFonts w:asciiTheme="minorHAnsi" w:eastAsiaTheme="minorEastAsia" w:hAnsiTheme="minorHAnsi" w:cstheme="minorBidi"/>
          <w:szCs w:val="22"/>
        </w:rPr>
      </w:pPr>
      <w:r>
        <w:t>57.</w:t>
      </w:r>
      <w:r>
        <w:tab/>
        <w:t>Accounts</w:t>
      </w:r>
      <w:r>
        <w:tab/>
      </w:r>
      <w:r>
        <w:fldChar w:fldCharType="begin"/>
      </w:r>
      <w:r>
        <w:instrText xml:space="preserve"> PAGEREF _Toc47082026 \h </w:instrText>
      </w:r>
      <w:r>
        <w:fldChar w:fldCharType="separate"/>
      </w:r>
      <w:r>
        <w:t>23</w:t>
      </w:r>
      <w:r>
        <w:fldChar w:fldCharType="end"/>
      </w:r>
    </w:p>
    <w:p>
      <w:pPr>
        <w:pStyle w:val="TOC8"/>
        <w:rPr>
          <w:rFonts w:asciiTheme="minorHAnsi" w:eastAsiaTheme="minorEastAsia" w:hAnsiTheme="minorHAnsi" w:cstheme="minorBidi"/>
          <w:szCs w:val="22"/>
        </w:rPr>
      </w:pPr>
      <w:r>
        <w:t>58.</w:t>
      </w:r>
      <w:r>
        <w:tab/>
        <w:t>Payment of balances by receiver</w:t>
      </w:r>
      <w:r>
        <w:tab/>
      </w:r>
      <w:r>
        <w:fldChar w:fldCharType="begin"/>
      </w:r>
      <w:r>
        <w:instrText xml:space="preserve"> PAGEREF _Toc47082027 \h </w:instrText>
      </w:r>
      <w:r>
        <w:fldChar w:fldCharType="separate"/>
      </w:r>
      <w:r>
        <w:t>24</w:t>
      </w:r>
      <w:r>
        <w:fldChar w:fldCharType="end"/>
      </w:r>
    </w:p>
    <w:p>
      <w:pPr>
        <w:pStyle w:val="TOC8"/>
        <w:rPr>
          <w:rFonts w:asciiTheme="minorHAnsi" w:eastAsiaTheme="minorEastAsia" w:hAnsiTheme="minorHAnsi" w:cstheme="minorBidi"/>
          <w:szCs w:val="22"/>
        </w:rPr>
      </w:pPr>
      <w:r>
        <w:t>59.</w:t>
      </w:r>
      <w:r>
        <w:tab/>
        <w:t>Default by receiver</w:t>
      </w:r>
      <w:r>
        <w:tab/>
      </w:r>
      <w:r>
        <w:fldChar w:fldCharType="begin"/>
      </w:r>
      <w:r>
        <w:instrText xml:space="preserve"> PAGEREF _Toc47082028 \h </w:instrText>
      </w:r>
      <w:r>
        <w:fldChar w:fldCharType="separate"/>
      </w:r>
      <w:r>
        <w:t>24</w:t>
      </w:r>
      <w:r>
        <w:fldChar w:fldCharType="end"/>
      </w:r>
    </w:p>
    <w:p>
      <w:pPr>
        <w:pStyle w:val="TOC8"/>
        <w:rPr>
          <w:rFonts w:asciiTheme="minorHAnsi" w:eastAsiaTheme="minorEastAsia" w:hAnsiTheme="minorHAnsi" w:cstheme="minorBidi"/>
          <w:szCs w:val="22"/>
        </w:rPr>
      </w:pPr>
      <w:r>
        <w:t>60.</w:t>
      </w:r>
      <w:r>
        <w:tab/>
        <w:t>Accounts to be deposited</w:t>
      </w:r>
      <w:r>
        <w:tab/>
      </w:r>
      <w:r>
        <w:fldChar w:fldCharType="begin"/>
      </w:r>
      <w:r>
        <w:instrText xml:space="preserve"> PAGEREF _Toc47082029 \h </w:instrText>
      </w:r>
      <w:r>
        <w:fldChar w:fldCharType="separate"/>
      </w:r>
      <w:r>
        <w:t>25</w:t>
      </w:r>
      <w:r>
        <w:fldChar w:fldCharType="end"/>
      </w:r>
    </w:p>
    <w:p>
      <w:pPr>
        <w:pStyle w:val="TOC8"/>
        <w:rPr>
          <w:rFonts w:asciiTheme="minorHAnsi" w:eastAsiaTheme="minorEastAsia" w:hAnsiTheme="minorHAnsi" w:cstheme="minorBidi"/>
          <w:szCs w:val="22"/>
        </w:rPr>
      </w:pPr>
      <w:r>
        <w:t>61.</w:t>
      </w:r>
      <w:r>
        <w:tab/>
        <w:t>Sheriff may be appointed as receiver</w:t>
      </w:r>
      <w:r>
        <w:tab/>
      </w:r>
      <w:r>
        <w:fldChar w:fldCharType="begin"/>
      </w:r>
      <w:r>
        <w:instrText xml:space="preserve"> PAGEREF _Toc47082030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8 — Disobeying time for payment orders and instalment orders</w:t>
      </w:r>
    </w:p>
    <w:p>
      <w:pPr>
        <w:pStyle w:val="TOC8"/>
        <w:rPr>
          <w:rFonts w:asciiTheme="minorHAnsi" w:eastAsiaTheme="minorEastAsia" w:hAnsiTheme="minorHAnsi" w:cstheme="minorBidi"/>
          <w:szCs w:val="22"/>
        </w:rPr>
      </w:pPr>
      <w:r>
        <w:t>62.</w:t>
      </w:r>
      <w:r>
        <w:tab/>
        <w:t>Location of default inquiry</w:t>
      </w:r>
      <w:r>
        <w:tab/>
      </w:r>
      <w:r>
        <w:fldChar w:fldCharType="begin"/>
      </w:r>
      <w:r>
        <w:instrText xml:space="preserve"> PAGEREF _Toc47082032 \h </w:instrText>
      </w:r>
      <w:r>
        <w:fldChar w:fldCharType="separate"/>
      </w:r>
      <w:r>
        <w:t>25</w:t>
      </w:r>
      <w:r>
        <w:fldChar w:fldCharType="end"/>
      </w:r>
    </w:p>
    <w:p>
      <w:pPr>
        <w:pStyle w:val="TOC8"/>
        <w:rPr>
          <w:rFonts w:asciiTheme="minorHAnsi" w:eastAsiaTheme="minorEastAsia" w:hAnsiTheme="minorHAnsi" w:cstheme="minorBidi"/>
          <w:szCs w:val="22"/>
        </w:rPr>
      </w:pPr>
      <w:r>
        <w:t>63.</w:t>
      </w:r>
      <w:r>
        <w:tab/>
        <w:t>Notice to judgment creditor</w:t>
      </w:r>
      <w:r>
        <w:tab/>
      </w:r>
      <w:r>
        <w:fldChar w:fldCharType="begin"/>
      </w:r>
      <w:r>
        <w:instrText xml:space="preserve"> PAGEREF _Toc47082033 \h </w:instrText>
      </w:r>
      <w:r>
        <w:fldChar w:fldCharType="separate"/>
      </w:r>
      <w:r>
        <w:t>26</w:t>
      </w:r>
      <w:r>
        <w:fldChar w:fldCharType="end"/>
      </w:r>
    </w:p>
    <w:p>
      <w:pPr>
        <w:pStyle w:val="TOC8"/>
        <w:rPr>
          <w:rFonts w:asciiTheme="minorHAnsi" w:eastAsiaTheme="minorEastAsia" w:hAnsiTheme="minorHAnsi" w:cstheme="minorBidi"/>
          <w:szCs w:val="22"/>
        </w:rPr>
      </w:pPr>
      <w:r>
        <w:t>64.</w:t>
      </w:r>
      <w:r>
        <w:tab/>
        <w:t>Default inquiry summons: Act section 89(1)</w:t>
      </w:r>
      <w:r>
        <w:tab/>
      </w:r>
      <w:r>
        <w:fldChar w:fldCharType="begin"/>
      </w:r>
      <w:r>
        <w:instrText xml:space="preserve"> PAGEREF _Toc47082034 \h </w:instrText>
      </w:r>
      <w:r>
        <w:fldChar w:fldCharType="separate"/>
      </w:r>
      <w:r>
        <w:t>26</w:t>
      </w:r>
      <w:r>
        <w:fldChar w:fldCharType="end"/>
      </w:r>
    </w:p>
    <w:p>
      <w:pPr>
        <w:pStyle w:val="TOC8"/>
        <w:rPr>
          <w:rFonts w:asciiTheme="minorHAnsi" w:eastAsiaTheme="minorEastAsia" w:hAnsiTheme="minorHAnsi" w:cstheme="minorBidi"/>
          <w:szCs w:val="22"/>
        </w:rPr>
      </w:pPr>
      <w:r>
        <w:t>65.</w:t>
      </w:r>
      <w:r>
        <w:tab/>
        <w:t>Warrant: Act section 89(4)</w:t>
      </w:r>
      <w:r>
        <w:tab/>
      </w:r>
      <w:r>
        <w:fldChar w:fldCharType="begin"/>
      </w:r>
      <w:r>
        <w:instrText xml:space="preserve"> PAGEREF _Toc47082035 \h </w:instrText>
      </w:r>
      <w:r>
        <w:fldChar w:fldCharType="separate"/>
      </w:r>
      <w:r>
        <w:t>26</w:t>
      </w:r>
      <w:r>
        <w:fldChar w:fldCharType="end"/>
      </w:r>
    </w:p>
    <w:p>
      <w:pPr>
        <w:pStyle w:val="TOC8"/>
        <w:rPr>
          <w:rFonts w:asciiTheme="minorHAnsi" w:eastAsiaTheme="minorEastAsia" w:hAnsiTheme="minorHAnsi" w:cstheme="minorBidi"/>
          <w:szCs w:val="22"/>
        </w:rPr>
      </w:pPr>
      <w:r>
        <w:t>66.</w:t>
      </w:r>
      <w:r>
        <w:tab/>
        <w:t>Proof of non</w:t>
      </w:r>
      <w:r>
        <w:noBreakHyphen/>
        <w:t>compliance</w:t>
      </w:r>
      <w:r>
        <w:tab/>
      </w:r>
      <w:r>
        <w:fldChar w:fldCharType="begin"/>
      </w:r>
      <w:r>
        <w:instrText xml:space="preserve"> PAGEREF _Toc47082036 \h </w:instrText>
      </w:r>
      <w:r>
        <w:fldChar w:fldCharType="separate"/>
      </w:r>
      <w:r>
        <w:t>26</w:t>
      </w:r>
      <w:r>
        <w:fldChar w:fldCharType="end"/>
      </w:r>
    </w:p>
    <w:p>
      <w:pPr>
        <w:pStyle w:val="TOC8"/>
        <w:rPr>
          <w:rFonts w:asciiTheme="minorHAnsi" w:eastAsiaTheme="minorEastAsia" w:hAnsiTheme="minorHAnsi" w:cstheme="minorBidi"/>
          <w:szCs w:val="22"/>
        </w:rPr>
      </w:pPr>
      <w:r>
        <w:t>67.</w:t>
      </w:r>
      <w:r>
        <w:tab/>
        <w:t>Judgment creditor’s advice</w:t>
      </w:r>
      <w:r>
        <w:tab/>
      </w:r>
      <w:r>
        <w:fldChar w:fldCharType="begin"/>
      </w:r>
      <w:r>
        <w:instrText xml:space="preserve"> PAGEREF _Toc47082037 \h </w:instrText>
      </w:r>
      <w:r>
        <w:fldChar w:fldCharType="separate"/>
      </w:r>
      <w:r>
        <w:t>26</w:t>
      </w:r>
      <w:r>
        <w:fldChar w:fldCharType="end"/>
      </w:r>
    </w:p>
    <w:p>
      <w:pPr>
        <w:pStyle w:val="TOC8"/>
        <w:rPr>
          <w:rFonts w:asciiTheme="minorHAnsi" w:eastAsiaTheme="minorEastAsia" w:hAnsiTheme="minorHAnsi" w:cstheme="minorBidi"/>
          <w:szCs w:val="22"/>
        </w:rPr>
      </w:pPr>
      <w:r>
        <w:t>68.</w:t>
      </w:r>
      <w:r>
        <w:tab/>
        <w:t>Notice of arrest of person</w:t>
      </w:r>
      <w:r>
        <w:tab/>
      </w:r>
      <w:r>
        <w:fldChar w:fldCharType="begin"/>
      </w:r>
      <w:r>
        <w:instrText xml:space="preserve"> PAGEREF _Toc47082038 \h </w:instrText>
      </w:r>
      <w:r>
        <w:fldChar w:fldCharType="separate"/>
      </w:r>
      <w:r>
        <w:t>27</w:t>
      </w:r>
      <w:r>
        <w:fldChar w:fldCharType="end"/>
      </w:r>
    </w:p>
    <w:p>
      <w:pPr>
        <w:pStyle w:val="TOC8"/>
        <w:rPr>
          <w:rFonts w:asciiTheme="minorHAnsi" w:eastAsiaTheme="minorEastAsia" w:hAnsiTheme="minorHAnsi" w:cstheme="minorBidi"/>
          <w:szCs w:val="22"/>
        </w:rPr>
      </w:pPr>
      <w:r>
        <w:t>69.</w:t>
      </w:r>
      <w:r>
        <w:tab/>
        <w:t>Advice that judgment debtor should be released</w:t>
      </w:r>
      <w:r>
        <w:tab/>
      </w:r>
      <w:r>
        <w:fldChar w:fldCharType="begin"/>
      </w:r>
      <w:r>
        <w:instrText xml:space="preserve"> PAGEREF _Toc47082039 \h </w:instrText>
      </w:r>
      <w:r>
        <w:fldChar w:fldCharType="separate"/>
      </w:r>
      <w:r>
        <w:t>27</w:t>
      </w:r>
      <w:r>
        <w:fldChar w:fldCharType="end"/>
      </w:r>
    </w:p>
    <w:p>
      <w:pPr>
        <w:pStyle w:val="TOC8"/>
        <w:rPr>
          <w:rFonts w:asciiTheme="minorHAnsi" w:eastAsiaTheme="minorEastAsia" w:hAnsiTheme="minorHAnsi" w:cstheme="minorBidi"/>
          <w:szCs w:val="22"/>
        </w:rPr>
      </w:pPr>
      <w:r>
        <w:t>70.</w:t>
      </w:r>
      <w:r>
        <w:tab/>
        <w:t>Judgment creditor’s request that person be released</w:t>
      </w:r>
      <w:r>
        <w:tab/>
      </w:r>
      <w:r>
        <w:fldChar w:fldCharType="begin"/>
      </w:r>
      <w:r>
        <w:instrText xml:space="preserve"> PAGEREF _Toc47082040 \h </w:instrText>
      </w:r>
      <w:r>
        <w:fldChar w:fldCharType="separate"/>
      </w:r>
      <w:r>
        <w:t>27</w:t>
      </w:r>
      <w:r>
        <w:fldChar w:fldCharType="end"/>
      </w:r>
    </w:p>
    <w:p>
      <w:pPr>
        <w:pStyle w:val="TOC8"/>
        <w:rPr>
          <w:rFonts w:asciiTheme="minorHAnsi" w:eastAsiaTheme="minorEastAsia" w:hAnsiTheme="minorHAnsi" w:cstheme="minorBidi"/>
          <w:szCs w:val="22"/>
        </w:rPr>
      </w:pPr>
      <w:r>
        <w:t>71.</w:t>
      </w:r>
      <w:r>
        <w:tab/>
        <w:t>Superintendent to be advised of judgment debt outstanding</w:t>
      </w:r>
      <w:r>
        <w:tab/>
      </w:r>
      <w:r>
        <w:fldChar w:fldCharType="begin"/>
      </w:r>
      <w:r>
        <w:instrText xml:space="preserve"> PAGEREF _Toc47082041 \h </w:instrText>
      </w:r>
      <w:r>
        <w:fldChar w:fldCharType="separate"/>
      </w:r>
      <w:r>
        <w:t>27</w:t>
      </w:r>
      <w:r>
        <w:fldChar w:fldCharType="end"/>
      </w:r>
    </w:p>
    <w:p>
      <w:pPr>
        <w:pStyle w:val="TOC8"/>
        <w:rPr>
          <w:rFonts w:asciiTheme="minorHAnsi" w:eastAsiaTheme="minorEastAsia" w:hAnsiTheme="minorHAnsi" w:cstheme="minorBidi"/>
          <w:szCs w:val="22"/>
        </w:rPr>
      </w:pPr>
      <w:r>
        <w:t>72.</w:t>
      </w:r>
      <w:r>
        <w:tab/>
        <w:t>Notice of release of person</w:t>
      </w:r>
      <w:r>
        <w:tab/>
      </w:r>
      <w:r>
        <w:fldChar w:fldCharType="begin"/>
      </w:r>
      <w:r>
        <w:instrText xml:space="preserve"> PAGEREF _Toc47082042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 — Miscellaneous enforcement provisions</w:t>
      </w:r>
    </w:p>
    <w:p>
      <w:pPr>
        <w:pStyle w:val="TOC8"/>
        <w:rPr>
          <w:rFonts w:asciiTheme="minorHAnsi" w:eastAsiaTheme="minorEastAsia" w:hAnsiTheme="minorHAnsi" w:cstheme="minorBidi"/>
          <w:szCs w:val="22"/>
        </w:rPr>
      </w:pPr>
      <w:r>
        <w:t>73.</w:t>
      </w:r>
      <w:r>
        <w:tab/>
        <w:t>More than one enforcement order</w:t>
      </w:r>
      <w:r>
        <w:tab/>
      </w:r>
      <w:r>
        <w:fldChar w:fldCharType="begin"/>
      </w:r>
      <w:r>
        <w:instrText xml:space="preserve"> PAGEREF _Toc47082044 \h </w:instrText>
      </w:r>
      <w:r>
        <w:fldChar w:fldCharType="separate"/>
      </w:r>
      <w:r>
        <w:t>29</w:t>
      </w:r>
      <w:r>
        <w:fldChar w:fldCharType="end"/>
      </w:r>
    </w:p>
    <w:p>
      <w:pPr>
        <w:pStyle w:val="TOC8"/>
        <w:rPr>
          <w:rFonts w:asciiTheme="minorHAnsi" w:eastAsiaTheme="minorEastAsia" w:hAnsiTheme="minorHAnsi" w:cstheme="minorBidi"/>
          <w:szCs w:val="22"/>
        </w:rPr>
      </w:pPr>
      <w:r>
        <w:t>74.</w:t>
      </w:r>
      <w:r>
        <w:tab/>
        <w:t>Application for renewal of order or warrant</w:t>
      </w:r>
      <w:r>
        <w:tab/>
      </w:r>
      <w:r>
        <w:fldChar w:fldCharType="begin"/>
      </w:r>
      <w:r>
        <w:instrText xml:space="preserve"> PAGEREF _Toc47082045 \h </w:instrText>
      </w:r>
      <w:r>
        <w:fldChar w:fldCharType="separate"/>
      </w:r>
      <w:r>
        <w:t>29</w:t>
      </w:r>
      <w:r>
        <w:fldChar w:fldCharType="end"/>
      </w:r>
    </w:p>
    <w:p>
      <w:pPr>
        <w:pStyle w:val="TOC8"/>
        <w:rPr>
          <w:rFonts w:asciiTheme="minorHAnsi" w:eastAsiaTheme="minorEastAsia" w:hAnsiTheme="minorHAnsi" w:cstheme="minorBidi"/>
          <w:szCs w:val="22"/>
        </w:rPr>
      </w:pPr>
      <w:r>
        <w:t>75.</w:t>
      </w:r>
      <w:r>
        <w:tab/>
        <w:t>Amending or cancelling orders</w:t>
      </w:r>
      <w:r>
        <w:tab/>
      </w:r>
      <w:r>
        <w:fldChar w:fldCharType="begin"/>
      </w:r>
      <w:r>
        <w:instrText xml:space="preserve"> PAGEREF _Toc47082046 \h </w:instrText>
      </w:r>
      <w:r>
        <w:fldChar w:fldCharType="separate"/>
      </w:r>
      <w:r>
        <w:t>29</w:t>
      </w:r>
      <w:r>
        <w:fldChar w:fldCharType="end"/>
      </w:r>
    </w:p>
    <w:p>
      <w:pPr>
        <w:pStyle w:val="TOC8"/>
        <w:rPr>
          <w:rFonts w:asciiTheme="minorHAnsi" w:eastAsiaTheme="minorEastAsia" w:hAnsiTheme="minorHAnsi" w:cstheme="minorBidi"/>
          <w:szCs w:val="22"/>
        </w:rPr>
      </w:pPr>
      <w:r>
        <w:t>76.</w:t>
      </w:r>
      <w:r>
        <w:tab/>
        <w:t>Suspension of enforcement</w:t>
      </w:r>
      <w:r>
        <w:tab/>
      </w:r>
      <w:r>
        <w:fldChar w:fldCharType="begin"/>
      </w:r>
      <w:r>
        <w:instrText xml:space="preserve"> PAGEREF _Toc47082047 \h </w:instrText>
      </w:r>
      <w:r>
        <w:fldChar w:fldCharType="separate"/>
      </w:r>
      <w:r>
        <w:t>29</w:t>
      </w:r>
      <w:r>
        <w:fldChar w:fldCharType="end"/>
      </w:r>
    </w:p>
    <w:p>
      <w:pPr>
        <w:pStyle w:val="TOC8"/>
        <w:rPr>
          <w:rFonts w:asciiTheme="minorHAnsi" w:eastAsiaTheme="minorEastAsia" w:hAnsiTheme="minorHAnsi" w:cstheme="minorBidi"/>
          <w:szCs w:val="22"/>
        </w:rPr>
      </w:pPr>
      <w:r>
        <w:t>77.</w:t>
      </w:r>
      <w:r>
        <w:tab/>
        <w:t>Return to enforcement order</w:t>
      </w:r>
      <w:r>
        <w:tab/>
      </w:r>
      <w:r>
        <w:fldChar w:fldCharType="begin"/>
      </w:r>
      <w:r>
        <w:instrText xml:space="preserve"> PAGEREF _Toc47082048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6 — Service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78.</w:t>
      </w:r>
      <w:r>
        <w:tab/>
        <w:t>Personal service: how effected</w:t>
      </w:r>
      <w:r>
        <w:tab/>
      </w:r>
      <w:r>
        <w:fldChar w:fldCharType="begin"/>
      </w:r>
      <w:r>
        <w:instrText xml:space="preserve"> PAGEREF _Toc47082051 \h </w:instrText>
      </w:r>
      <w:r>
        <w:fldChar w:fldCharType="separate"/>
      </w:r>
      <w:r>
        <w:t>31</w:t>
      </w:r>
      <w:r>
        <w:fldChar w:fldCharType="end"/>
      </w:r>
    </w:p>
    <w:p>
      <w:pPr>
        <w:pStyle w:val="TOC8"/>
        <w:rPr>
          <w:rFonts w:asciiTheme="minorHAnsi" w:eastAsiaTheme="minorEastAsia" w:hAnsiTheme="minorHAnsi" w:cstheme="minorBidi"/>
          <w:szCs w:val="22"/>
        </w:rPr>
      </w:pPr>
      <w:r>
        <w:t>79.</w:t>
      </w:r>
      <w:r>
        <w:tab/>
        <w:t>Ordinary service: how effected</w:t>
      </w:r>
      <w:r>
        <w:tab/>
      </w:r>
      <w:r>
        <w:fldChar w:fldCharType="begin"/>
      </w:r>
      <w:r>
        <w:instrText xml:space="preserve"> PAGEREF _Toc47082052 \h </w:instrText>
      </w:r>
      <w:r>
        <w:fldChar w:fldCharType="separate"/>
      </w:r>
      <w:r>
        <w:t>31</w:t>
      </w:r>
      <w:r>
        <w:fldChar w:fldCharType="end"/>
      </w:r>
    </w:p>
    <w:p>
      <w:pPr>
        <w:pStyle w:val="TOC8"/>
        <w:rPr>
          <w:rFonts w:asciiTheme="minorHAnsi" w:eastAsiaTheme="minorEastAsia" w:hAnsiTheme="minorHAnsi" w:cstheme="minorBidi"/>
          <w:szCs w:val="22"/>
        </w:rPr>
      </w:pPr>
      <w:r>
        <w:t>80.</w:t>
      </w:r>
      <w:r>
        <w:tab/>
        <w:t>Address for service</w:t>
      </w:r>
      <w:r>
        <w:tab/>
      </w:r>
      <w:r>
        <w:fldChar w:fldCharType="begin"/>
      </w:r>
      <w:r>
        <w:instrText xml:space="preserve"> PAGEREF _Toc47082053 \h </w:instrText>
      </w:r>
      <w:r>
        <w:fldChar w:fldCharType="separate"/>
      </w:r>
      <w:r>
        <w:t>31</w:t>
      </w:r>
      <w:r>
        <w:fldChar w:fldCharType="end"/>
      </w:r>
    </w:p>
    <w:p>
      <w:pPr>
        <w:pStyle w:val="TOC8"/>
        <w:rPr>
          <w:rFonts w:asciiTheme="minorHAnsi" w:eastAsiaTheme="minorEastAsia" w:hAnsiTheme="minorHAnsi" w:cstheme="minorBidi"/>
          <w:szCs w:val="22"/>
        </w:rPr>
      </w:pPr>
      <w:r>
        <w:t>80A.</w:t>
      </w:r>
      <w:r>
        <w:tab/>
        <w:t>Applications and requests to specify address for service</w:t>
      </w:r>
      <w:r>
        <w:tab/>
      </w:r>
      <w:r>
        <w:fldChar w:fldCharType="begin"/>
      </w:r>
      <w:r>
        <w:instrText xml:space="preserve"> PAGEREF _Toc47082054 \h </w:instrText>
      </w:r>
      <w:r>
        <w:fldChar w:fldCharType="separate"/>
      </w:r>
      <w:r>
        <w:t>32</w:t>
      </w:r>
      <w:r>
        <w:fldChar w:fldCharType="end"/>
      </w:r>
    </w:p>
    <w:p>
      <w:pPr>
        <w:pStyle w:val="TOC8"/>
        <w:rPr>
          <w:rFonts w:asciiTheme="minorHAnsi" w:eastAsiaTheme="minorEastAsia" w:hAnsiTheme="minorHAnsi" w:cstheme="minorBidi"/>
          <w:szCs w:val="22"/>
        </w:rPr>
      </w:pPr>
      <w:r>
        <w:t>81.</w:t>
      </w:r>
      <w:r>
        <w:tab/>
        <w:t>Acceptance by lawyer or agent</w:t>
      </w:r>
      <w:r>
        <w:tab/>
      </w:r>
      <w:r>
        <w:fldChar w:fldCharType="begin"/>
      </w:r>
      <w:r>
        <w:instrText xml:space="preserve"> PAGEREF _Toc47082055 \h </w:instrText>
      </w:r>
      <w:r>
        <w:fldChar w:fldCharType="separate"/>
      </w:r>
      <w:r>
        <w:t>32</w:t>
      </w:r>
      <w:r>
        <w:fldChar w:fldCharType="end"/>
      </w:r>
    </w:p>
    <w:p>
      <w:pPr>
        <w:pStyle w:val="TOC8"/>
        <w:rPr>
          <w:rFonts w:asciiTheme="minorHAnsi" w:eastAsiaTheme="minorEastAsia" w:hAnsiTheme="minorHAnsi" w:cstheme="minorBidi"/>
          <w:szCs w:val="22"/>
        </w:rPr>
      </w:pPr>
      <w:r>
        <w:t>82.</w:t>
      </w:r>
      <w:r>
        <w:tab/>
        <w:t>Apparently ineffective service</w:t>
      </w:r>
      <w:r>
        <w:tab/>
      </w:r>
      <w:r>
        <w:fldChar w:fldCharType="begin"/>
      </w:r>
      <w:r>
        <w:instrText xml:space="preserve"> PAGEREF _Toc47082056 \h </w:instrText>
      </w:r>
      <w:r>
        <w:fldChar w:fldCharType="separate"/>
      </w:r>
      <w:r>
        <w:t>33</w:t>
      </w:r>
      <w:r>
        <w:fldChar w:fldCharType="end"/>
      </w:r>
    </w:p>
    <w:p>
      <w:pPr>
        <w:pStyle w:val="TOC8"/>
        <w:rPr>
          <w:rFonts w:asciiTheme="minorHAnsi" w:eastAsiaTheme="minorEastAsia" w:hAnsiTheme="minorHAnsi" w:cstheme="minorBidi"/>
          <w:szCs w:val="22"/>
        </w:rPr>
      </w:pPr>
      <w:r>
        <w:t>83.</w:t>
      </w:r>
      <w:r>
        <w:tab/>
        <w:t>Substituted service</w:t>
      </w:r>
      <w:r>
        <w:tab/>
      </w:r>
      <w:r>
        <w:fldChar w:fldCharType="begin"/>
      </w:r>
      <w:r>
        <w:instrText xml:space="preserve"> PAGEREF _Toc47082057 \h </w:instrText>
      </w:r>
      <w:r>
        <w:fldChar w:fldCharType="separate"/>
      </w:r>
      <w:r>
        <w:t>33</w:t>
      </w:r>
      <w:r>
        <w:fldChar w:fldCharType="end"/>
      </w:r>
    </w:p>
    <w:p>
      <w:pPr>
        <w:pStyle w:val="TOC8"/>
        <w:rPr>
          <w:rFonts w:asciiTheme="minorHAnsi" w:eastAsiaTheme="minorEastAsia" w:hAnsiTheme="minorHAnsi" w:cstheme="minorBidi"/>
          <w:szCs w:val="22"/>
        </w:rPr>
      </w:pPr>
      <w:r>
        <w:t>84.</w:t>
      </w:r>
      <w:r>
        <w:tab/>
        <w:t>Documents served by enforcement officer</w:t>
      </w:r>
      <w:r>
        <w:tab/>
      </w:r>
      <w:r>
        <w:fldChar w:fldCharType="begin"/>
      </w:r>
      <w:r>
        <w:instrText xml:space="preserve"> PAGEREF _Toc47082058 \h </w:instrText>
      </w:r>
      <w:r>
        <w:fldChar w:fldCharType="separate"/>
      </w:r>
      <w:r>
        <w:t>33</w:t>
      </w:r>
      <w:r>
        <w:fldChar w:fldCharType="end"/>
      </w:r>
    </w:p>
    <w:p>
      <w:pPr>
        <w:pStyle w:val="TOC8"/>
        <w:rPr>
          <w:rFonts w:asciiTheme="minorHAnsi" w:eastAsiaTheme="minorEastAsia" w:hAnsiTheme="minorHAnsi" w:cstheme="minorBidi"/>
          <w:szCs w:val="22"/>
        </w:rPr>
      </w:pPr>
      <w:r>
        <w:t>85.</w:t>
      </w:r>
      <w:r>
        <w:tab/>
        <w:t>Documents served by other persons</w:t>
      </w:r>
      <w:r>
        <w:tab/>
      </w:r>
      <w:r>
        <w:fldChar w:fldCharType="begin"/>
      </w:r>
      <w:r>
        <w:instrText xml:space="preserve"> PAGEREF _Toc47082059 \h </w:instrText>
      </w:r>
      <w:r>
        <w:fldChar w:fldCharType="separate"/>
      </w:r>
      <w:r>
        <w:t>33</w:t>
      </w:r>
      <w:r>
        <w:fldChar w:fldCharType="end"/>
      </w:r>
    </w:p>
    <w:p>
      <w:pPr>
        <w:pStyle w:val="TOC8"/>
        <w:rPr>
          <w:rFonts w:asciiTheme="minorHAnsi" w:eastAsiaTheme="minorEastAsia" w:hAnsiTheme="minorHAnsi" w:cstheme="minorBidi"/>
          <w:szCs w:val="22"/>
        </w:rPr>
      </w:pPr>
      <w:r>
        <w:t>86.</w:t>
      </w:r>
      <w:r>
        <w:tab/>
        <w:t>Court may inquire into service</w:t>
      </w:r>
      <w:r>
        <w:tab/>
      </w:r>
      <w:r>
        <w:fldChar w:fldCharType="begin"/>
      </w:r>
      <w:r>
        <w:instrText xml:space="preserve"> PAGEREF _Toc47082060 \h </w:instrText>
      </w:r>
      <w:r>
        <w:fldChar w:fldCharType="separate"/>
      </w:r>
      <w:r>
        <w:t>34</w:t>
      </w:r>
      <w:r>
        <w:fldChar w:fldCharType="end"/>
      </w:r>
    </w:p>
    <w:p>
      <w:pPr>
        <w:pStyle w:val="TOC8"/>
        <w:rPr>
          <w:rFonts w:asciiTheme="minorHAnsi" w:eastAsiaTheme="minorEastAsia" w:hAnsiTheme="minorHAnsi" w:cstheme="minorBidi"/>
          <w:szCs w:val="22"/>
        </w:rPr>
      </w:pPr>
      <w:r>
        <w:t>87.</w:t>
      </w:r>
      <w:r>
        <w:tab/>
        <w:t>Time of service</w:t>
      </w:r>
      <w:r>
        <w:tab/>
      </w:r>
      <w:r>
        <w:fldChar w:fldCharType="begin"/>
      </w:r>
      <w:r>
        <w:instrText xml:space="preserve"> PAGEREF _Toc47082061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Personal service</w:t>
      </w:r>
    </w:p>
    <w:p>
      <w:pPr>
        <w:pStyle w:val="TOC8"/>
        <w:rPr>
          <w:rFonts w:asciiTheme="minorHAnsi" w:eastAsiaTheme="minorEastAsia" w:hAnsiTheme="minorHAnsi" w:cstheme="minorBidi"/>
          <w:szCs w:val="22"/>
        </w:rPr>
      </w:pPr>
      <w:r>
        <w:t>88.</w:t>
      </w:r>
      <w:r>
        <w:tab/>
        <w:t>Service of document on individual</w:t>
      </w:r>
      <w:r>
        <w:tab/>
      </w:r>
      <w:r>
        <w:fldChar w:fldCharType="begin"/>
      </w:r>
      <w:r>
        <w:instrText xml:space="preserve"> PAGEREF _Toc47082063 \h </w:instrText>
      </w:r>
      <w:r>
        <w:fldChar w:fldCharType="separate"/>
      </w:r>
      <w:r>
        <w:t>34</w:t>
      </w:r>
      <w:r>
        <w:fldChar w:fldCharType="end"/>
      </w:r>
    </w:p>
    <w:p>
      <w:pPr>
        <w:pStyle w:val="TOC8"/>
        <w:rPr>
          <w:rFonts w:asciiTheme="minorHAnsi" w:eastAsiaTheme="minorEastAsia" w:hAnsiTheme="minorHAnsi" w:cstheme="minorBidi"/>
          <w:szCs w:val="22"/>
        </w:rPr>
      </w:pPr>
      <w:r>
        <w:t>89.</w:t>
      </w:r>
      <w:r>
        <w:tab/>
        <w:t>Service of document on partnership</w:t>
      </w:r>
      <w:r>
        <w:tab/>
      </w:r>
      <w:r>
        <w:fldChar w:fldCharType="begin"/>
      </w:r>
      <w:r>
        <w:instrText xml:space="preserve"> PAGEREF _Toc47082064 \h </w:instrText>
      </w:r>
      <w:r>
        <w:fldChar w:fldCharType="separate"/>
      </w:r>
      <w:r>
        <w:t>35</w:t>
      </w:r>
      <w:r>
        <w:fldChar w:fldCharType="end"/>
      </w:r>
    </w:p>
    <w:p>
      <w:pPr>
        <w:pStyle w:val="TOC8"/>
        <w:rPr>
          <w:rFonts w:asciiTheme="minorHAnsi" w:eastAsiaTheme="minorEastAsia" w:hAnsiTheme="minorHAnsi" w:cstheme="minorBidi"/>
          <w:szCs w:val="22"/>
        </w:rPr>
      </w:pPr>
      <w:r>
        <w:t>90.</w:t>
      </w:r>
      <w:r>
        <w:tab/>
        <w:t>Service of document on corporation</w:t>
      </w:r>
      <w:r>
        <w:tab/>
      </w:r>
      <w:r>
        <w:fldChar w:fldCharType="begin"/>
      </w:r>
      <w:r>
        <w:instrText xml:space="preserve"> PAGEREF _Toc47082065 \h </w:instrText>
      </w:r>
      <w:r>
        <w:fldChar w:fldCharType="separate"/>
      </w:r>
      <w:r>
        <w:t>35</w:t>
      </w:r>
      <w:r>
        <w:fldChar w:fldCharType="end"/>
      </w:r>
    </w:p>
    <w:p>
      <w:pPr>
        <w:pStyle w:val="TOC8"/>
        <w:rPr>
          <w:rFonts w:asciiTheme="minorHAnsi" w:eastAsiaTheme="minorEastAsia" w:hAnsiTheme="minorHAnsi" w:cstheme="minorBidi"/>
          <w:szCs w:val="22"/>
        </w:rPr>
      </w:pPr>
      <w:r>
        <w:t>91.</w:t>
      </w:r>
      <w:r>
        <w:tab/>
        <w:t>Service of a document on public authority</w:t>
      </w:r>
      <w:r>
        <w:tab/>
      </w:r>
      <w:r>
        <w:fldChar w:fldCharType="begin"/>
      </w:r>
      <w:r>
        <w:instrText xml:space="preserve"> PAGEREF _Toc47082066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 — Ordinary service</w:t>
      </w:r>
    </w:p>
    <w:p>
      <w:pPr>
        <w:pStyle w:val="TOC8"/>
        <w:rPr>
          <w:rFonts w:asciiTheme="minorHAnsi" w:eastAsiaTheme="minorEastAsia" w:hAnsiTheme="minorHAnsi" w:cstheme="minorBidi"/>
          <w:szCs w:val="22"/>
        </w:rPr>
      </w:pPr>
      <w:r>
        <w:t>92.</w:t>
      </w:r>
      <w:r>
        <w:tab/>
        <w:t>Ordinary service</w:t>
      </w:r>
      <w:r>
        <w:tab/>
      </w:r>
      <w:r>
        <w:fldChar w:fldCharType="begin"/>
      </w:r>
      <w:r>
        <w:instrText xml:space="preserve"> PAGEREF _Toc47082068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Service by email or fax</w:t>
      </w:r>
    </w:p>
    <w:p>
      <w:pPr>
        <w:pStyle w:val="TOC8"/>
        <w:rPr>
          <w:rFonts w:asciiTheme="minorHAnsi" w:eastAsiaTheme="minorEastAsia" w:hAnsiTheme="minorHAnsi" w:cstheme="minorBidi"/>
          <w:szCs w:val="22"/>
        </w:rPr>
      </w:pPr>
      <w:r>
        <w:t>93.</w:t>
      </w:r>
      <w:r>
        <w:tab/>
        <w:t>Email and fax address for service</w:t>
      </w:r>
      <w:r>
        <w:tab/>
      </w:r>
      <w:r>
        <w:fldChar w:fldCharType="begin"/>
      </w:r>
      <w:r>
        <w:instrText xml:space="preserve"> PAGEREF _Toc47082070 \h </w:instrText>
      </w:r>
      <w:r>
        <w:fldChar w:fldCharType="separate"/>
      </w:r>
      <w:r>
        <w:t>36</w:t>
      </w:r>
      <w:r>
        <w:fldChar w:fldCharType="end"/>
      </w:r>
    </w:p>
    <w:p>
      <w:pPr>
        <w:pStyle w:val="TOC8"/>
        <w:rPr>
          <w:rFonts w:asciiTheme="minorHAnsi" w:eastAsiaTheme="minorEastAsia" w:hAnsiTheme="minorHAnsi" w:cstheme="minorBidi"/>
          <w:szCs w:val="22"/>
        </w:rPr>
      </w:pPr>
      <w:r>
        <w:t>94.</w:t>
      </w:r>
      <w:r>
        <w:tab/>
        <w:t>Service of documents by email</w:t>
      </w:r>
      <w:r>
        <w:tab/>
      </w:r>
      <w:r>
        <w:fldChar w:fldCharType="begin"/>
      </w:r>
      <w:r>
        <w:instrText xml:space="preserve"> PAGEREF _Toc47082071 \h </w:instrText>
      </w:r>
      <w:r>
        <w:fldChar w:fldCharType="separate"/>
      </w:r>
      <w:r>
        <w:t>37</w:t>
      </w:r>
      <w:r>
        <w:fldChar w:fldCharType="end"/>
      </w:r>
    </w:p>
    <w:p>
      <w:pPr>
        <w:pStyle w:val="TOC8"/>
        <w:rPr>
          <w:rFonts w:asciiTheme="minorHAnsi" w:eastAsiaTheme="minorEastAsia" w:hAnsiTheme="minorHAnsi" w:cstheme="minorBidi"/>
          <w:szCs w:val="22"/>
        </w:rPr>
      </w:pPr>
      <w:r>
        <w:t>95.</w:t>
      </w:r>
      <w:r>
        <w:tab/>
        <w:t>Service of documents by fax</w:t>
      </w:r>
      <w:r>
        <w:tab/>
      </w:r>
      <w:r>
        <w:fldChar w:fldCharType="begin"/>
      </w:r>
      <w:r>
        <w:instrText xml:space="preserve"> PAGEREF _Toc47082072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95A.</w:t>
      </w:r>
      <w:r>
        <w:tab/>
        <w:t>Terms used</w:t>
      </w:r>
      <w:r>
        <w:tab/>
      </w:r>
      <w:r>
        <w:fldChar w:fldCharType="begin"/>
      </w:r>
      <w:r>
        <w:instrText xml:space="preserve"> PAGEREF _Toc47082074 \h </w:instrText>
      </w:r>
      <w:r>
        <w:fldChar w:fldCharType="separate"/>
      </w:r>
      <w:r>
        <w:t>38</w:t>
      </w:r>
      <w:r>
        <w:fldChar w:fldCharType="end"/>
      </w:r>
    </w:p>
    <w:p>
      <w:pPr>
        <w:pStyle w:val="TOC8"/>
        <w:rPr>
          <w:rFonts w:asciiTheme="minorHAnsi" w:eastAsiaTheme="minorEastAsia" w:hAnsiTheme="minorHAnsi" w:cstheme="minorBidi"/>
          <w:szCs w:val="22"/>
        </w:rPr>
      </w:pPr>
      <w:r>
        <w:t>95B.</w:t>
      </w:r>
      <w:r>
        <w:tab/>
        <w:t>Warrants issued electronically</w:t>
      </w:r>
      <w:r>
        <w:tab/>
      </w:r>
      <w:r>
        <w:fldChar w:fldCharType="begin"/>
      </w:r>
      <w:r>
        <w:instrText xml:space="preserve"> PAGEREF _Toc47082075 \h </w:instrText>
      </w:r>
      <w:r>
        <w:fldChar w:fldCharType="separate"/>
      </w:r>
      <w:r>
        <w:t>38</w:t>
      </w:r>
      <w:r>
        <w:fldChar w:fldCharType="end"/>
      </w:r>
    </w:p>
    <w:p>
      <w:pPr>
        <w:pStyle w:val="TOC8"/>
        <w:rPr>
          <w:rFonts w:asciiTheme="minorHAnsi" w:eastAsiaTheme="minorEastAsia" w:hAnsiTheme="minorHAnsi" w:cstheme="minorBidi"/>
          <w:szCs w:val="22"/>
        </w:rPr>
      </w:pPr>
      <w:r>
        <w:t>96.</w:t>
      </w:r>
      <w:r>
        <w:tab/>
        <w:t>Warrants, effect of and procedure on</w:t>
      </w:r>
      <w:r>
        <w:tab/>
      </w:r>
      <w:r>
        <w:fldChar w:fldCharType="begin"/>
      </w:r>
      <w:r>
        <w:instrText xml:space="preserve"> PAGEREF _Toc47082076 \h </w:instrText>
      </w:r>
      <w:r>
        <w:fldChar w:fldCharType="separate"/>
      </w:r>
      <w:r>
        <w:t>38</w:t>
      </w:r>
      <w:r>
        <w:fldChar w:fldCharType="end"/>
      </w:r>
    </w:p>
    <w:p>
      <w:pPr>
        <w:pStyle w:val="TOC8"/>
        <w:rPr>
          <w:rFonts w:asciiTheme="minorHAnsi" w:eastAsiaTheme="minorEastAsia" w:hAnsiTheme="minorHAnsi" w:cstheme="minorBidi"/>
          <w:szCs w:val="22"/>
        </w:rPr>
      </w:pPr>
      <w:r>
        <w:t>97.</w:t>
      </w:r>
      <w:r>
        <w:tab/>
        <w:t>Register</w:t>
      </w:r>
      <w:r>
        <w:tab/>
      </w:r>
      <w:r>
        <w:fldChar w:fldCharType="begin"/>
      </w:r>
      <w:r>
        <w:instrText xml:space="preserve"> PAGEREF _Toc47082077 \h </w:instrText>
      </w:r>
      <w:r>
        <w:fldChar w:fldCharType="separate"/>
      </w:r>
      <w:r>
        <w:t>43</w:t>
      </w:r>
      <w:r>
        <w:fldChar w:fldCharType="end"/>
      </w:r>
    </w:p>
    <w:p>
      <w:pPr>
        <w:pStyle w:val="TOC8"/>
        <w:rPr>
          <w:rFonts w:asciiTheme="minorHAnsi" w:eastAsiaTheme="minorEastAsia" w:hAnsiTheme="minorHAnsi" w:cstheme="minorBidi"/>
          <w:szCs w:val="22"/>
        </w:rPr>
      </w:pPr>
      <w:r>
        <w:t>98.</w:t>
      </w:r>
      <w:r>
        <w:tab/>
        <w:t>Bailiff to keep records</w:t>
      </w:r>
      <w:r>
        <w:tab/>
      </w:r>
      <w:r>
        <w:fldChar w:fldCharType="begin"/>
      </w:r>
      <w:r>
        <w:instrText xml:space="preserve"> PAGEREF _Toc47082078 \h </w:instrText>
      </w:r>
      <w:r>
        <w:fldChar w:fldCharType="separate"/>
      </w:r>
      <w:r>
        <w:t>43</w:t>
      </w:r>
      <w:r>
        <w:fldChar w:fldCharType="end"/>
      </w:r>
    </w:p>
    <w:p>
      <w:pPr>
        <w:pStyle w:val="TOC8"/>
        <w:rPr>
          <w:rFonts w:asciiTheme="minorHAnsi" w:eastAsiaTheme="minorEastAsia" w:hAnsiTheme="minorHAnsi" w:cstheme="minorBidi"/>
          <w:szCs w:val="22"/>
        </w:rPr>
      </w:pPr>
      <w:r>
        <w:t>99.</w:t>
      </w:r>
      <w:r>
        <w:tab/>
        <w:t>Other duties of bailiff</w:t>
      </w:r>
      <w:r>
        <w:tab/>
      </w:r>
      <w:r>
        <w:fldChar w:fldCharType="begin"/>
      </w:r>
      <w:r>
        <w:instrText xml:space="preserve"> PAGEREF _Toc47082079 \h </w:instrText>
      </w:r>
      <w:r>
        <w:fldChar w:fldCharType="separate"/>
      </w:r>
      <w:r>
        <w:t>43</w:t>
      </w:r>
      <w:r>
        <w:fldChar w:fldCharType="end"/>
      </w:r>
    </w:p>
    <w:p>
      <w:pPr>
        <w:pStyle w:val="TOC8"/>
        <w:rPr>
          <w:rFonts w:asciiTheme="minorHAnsi" w:eastAsiaTheme="minorEastAsia" w:hAnsiTheme="minorHAnsi" w:cstheme="minorBidi"/>
          <w:szCs w:val="22"/>
        </w:rPr>
      </w:pPr>
      <w:r>
        <w:t>100.</w:t>
      </w:r>
      <w:r>
        <w:tab/>
        <w:t>Extension or abridgment of time</w:t>
      </w:r>
      <w:r>
        <w:tab/>
      </w:r>
      <w:r>
        <w:fldChar w:fldCharType="begin"/>
      </w:r>
      <w:r>
        <w:instrText xml:space="preserve"> PAGEREF _Toc47082080 \h </w:instrText>
      </w:r>
      <w:r>
        <w:fldChar w:fldCharType="separate"/>
      </w:r>
      <w:r>
        <w:t>43</w:t>
      </w:r>
      <w:r>
        <w:fldChar w:fldCharType="end"/>
      </w:r>
    </w:p>
    <w:p>
      <w:pPr>
        <w:pStyle w:val="TOC8"/>
        <w:rPr>
          <w:rFonts w:asciiTheme="minorHAnsi" w:eastAsiaTheme="minorEastAsia" w:hAnsiTheme="minorHAnsi" w:cstheme="minorBidi"/>
          <w:szCs w:val="22"/>
        </w:rPr>
      </w:pPr>
      <w:r>
        <w:t>101.</w:t>
      </w:r>
      <w:r>
        <w:tab/>
        <w:t>False or misleading information</w:t>
      </w:r>
      <w:r>
        <w:tab/>
      </w:r>
      <w:r>
        <w:fldChar w:fldCharType="begin"/>
      </w:r>
      <w:r>
        <w:instrText xml:space="preserve"> PAGEREF _Toc47082081 \h </w:instrText>
      </w:r>
      <w:r>
        <w:fldChar w:fldCharType="separate"/>
      </w:r>
      <w:r>
        <w:t>44</w:t>
      </w:r>
      <w:r>
        <w:fldChar w:fldCharType="end"/>
      </w:r>
    </w:p>
    <w:p>
      <w:pPr>
        <w:pStyle w:val="TOC8"/>
        <w:rPr>
          <w:rFonts w:asciiTheme="minorHAnsi" w:eastAsiaTheme="minorEastAsia" w:hAnsiTheme="minorHAnsi" w:cstheme="minorBidi"/>
          <w:szCs w:val="22"/>
        </w:rPr>
      </w:pPr>
      <w:r>
        <w:t>102.</w:t>
      </w:r>
      <w:r>
        <w:tab/>
        <w:t>Seal</w:t>
      </w:r>
      <w:r>
        <w:tab/>
      </w:r>
      <w:r>
        <w:fldChar w:fldCharType="begin"/>
      </w:r>
      <w:r>
        <w:instrText xml:space="preserve"> PAGEREF _Toc47082082 \h </w:instrText>
      </w:r>
      <w:r>
        <w:fldChar w:fldCharType="separate"/>
      </w:r>
      <w:r>
        <w:t>45</w:t>
      </w:r>
      <w:r>
        <w:fldChar w:fldCharType="end"/>
      </w:r>
    </w:p>
    <w:p>
      <w:pPr>
        <w:pStyle w:val="TOC8"/>
        <w:rPr>
          <w:rFonts w:asciiTheme="minorHAnsi" w:eastAsiaTheme="minorEastAsia" w:hAnsiTheme="minorHAnsi" w:cstheme="minorBidi"/>
          <w:szCs w:val="22"/>
        </w:rPr>
      </w:pPr>
      <w:r>
        <w:t>103.</w:t>
      </w:r>
      <w:r>
        <w:tab/>
        <w:t>Approval of forms by chief executive officer</w:t>
      </w:r>
      <w:r>
        <w:tab/>
      </w:r>
      <w:r>
        <w:fldChar w:fldCharType="begin"/>
      </w:r>
      <w:r>
        <w:instrText xml:space="preserve"> PAGEREF _Toc47082083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8 — Enforcement costs</w:t>
      </w:r>
    </w:p>
    <w:p>
      <w:pPr>
        <w:pStyle w:val="TOC8"/>
        <w:rPr>
          <w:rFonts w:asciiTheme="minorHAnsi" w:eastAsiaTheme="minorEastAsia" w:hAnsiTheme="minorHAnsi" w:cstheme="minorBidi"/>
          <w:szCs w:val="22"/>
        </w:rPr>
      </w:pPr>
      <w:r>
        <w:t>104.</w:t>
      </w:r>
      <w:r>
        <w:tab/>
        <w:t>Terms used</w:t>
      </w:r>
      <w:r>
        <w:tab/>
      </w:r>
      <w:r>
        <w:fldChar w:fldCharType="begin"/>
      </w:r>
      <w:r>
        <w:instrText xml:space="preserve"> PAGEREF _Toc47082085 \h </w:instrText>
      </w:r>
      <w:r>
        <w:fldChar w:fldCharType="separate"/>
      </w:r>
      <w:r>
        <w:t>46</w:t>
      </w:r>
      <w:r>
        <w:fldChar w:fldCharType="end"/>
      </w:r>
    </w:p>
    <w:p>
      <w:pPr>
        <w:pStyle w:val="TOC8"/>
        <w:rPr>
          <w:rFonts w:asciiTheme="minorHAnsi" w:eastAsiaTheme="minorEastAsia" w:hAnsiTheme="minorHAnsi" w:cstheme="minorBidi"/>
          <w:szCs w:val="22"/>
        </w:rPr>
      </w:pPr>
      <w:r>
        <w:t>105.</w:t>
      </w:r>
      <w:r>
        <w:tab/>
        <w:t>General fees</w:t>
      </w:r>
      <w:r>
        <w:tab/>
      </w:r>
      <w:r>
        <w:fldChar w:fldCharType="begin"/>
      </w:r>
      <w:r>
        <w:instrText xml:space="preserve"> PAGEREF _Toc47082086 \h </w:instrText>
      </w:r>
      <w:r>
        <w:fldChar w:fldCharType="separate"/>
      </w:r>
      <w:r>
        <w:t>47</w:t>
      </w:r>
      <w:r>
        <w:fldChar w:fldCharType="end"/>
      </w:r>
    </w:p>
    <w:p>
      <w:pPr>
        <w:pStyle w:val="TOC8"/>
        <w:rPr>
          <w:rFonts w:asciiTheme="minorHAnsi" w:eastAsiaTheme="minorEastAsia" w:hAnsiTheme="minorHAnsi" w:cstheme="minorBidi"/>
          <w:szCs w:val="22"/>
        </w:rPr>
      </w:pPr>
      <w:r>
        <w:t>106.</w:t>
      </w:r>
      <w:r>
        <w:tab/>
        <w:t>Fees to be paid in advance</w:t>
      </w:r>
      <w:r>
        <w:tab/>
      </w:r>
      <w:r>
        <w:fldChar w:fldCharType="begin"/>
      </w:r>
      <w:r>
        <w:instrText xml:space="preserve"> PAGEREF _Toc47082087 \h </w:instrText>
      </w:r>
      <w:r>
        <w:fldChar w:fldCharType="separate"/>
      </w:r>
      <w:r>
        <w:t>48</w:t>
      </w:r>
      <w:r>
        <w:fldChar w:fldCharType="end"/>
      </w:r>
    </w:p>
    <w:p>
      <w:pPr>
        <w:pStyle w:val="TOC8"/>
        <w:rPr>
          <w:rFonts w:asciiTheme="minorHAnsi" w:eastAsiaTheme="minorEastAsia" w:hAnsiTheme="minorHAnsi" w:cstheme="minorBidi"/>
          <w:szCs w:val="22"/>
        </w:rPr>
      </w:pPr>
      <w:r>
        <w:t>107A.</w:t>
      </w:r>
      <w:r>
        <w:tab/>
        <w:t>To whom fees must be paid</w:t>
      </w:r>
      <w:r>
        <w:tab/>
      </w:r>
      <w:r>
        <w:fldChar w:fldCharType="begin"/>
      </w:r>
      <w:r>
        <w:instrText xml:space="preserve"> PAGEREF _Toc47082088 \h </w:instrText>
      </w:r>
      <w:r>
        <w:fldChar w:fldCharType="separate"/>
      </w:r>
      <w:r>
        <w:t>48</w:t>
      </w:r>
      <w:r>
        <w:fldChar w:fldCharType="end"/>
      </w:r>
    </w:p>
    <w:p>
      <w:pPr>
        <w:pStyle w:val="TOC8"/>
        <w:rPr>
          <w:rFonts w:asciiTheme="minorHAnsi" w:eastAsiaTheme="minorEastAsia" w:hAnsiTheme="minorHAnsi" w:cstheme="minorBidi"/>
          <w:szCs w:val="22"/>
        </w:rPr>
      </w:pPr>
      <w:r>
        <w:t>107B.</w:t>
      </w:r>
      <w:r>
        <w:tab/>
        <w:t>Fees for small businesses and non</w:t>
      </w:r>
      <w:r>
        <w:noBreakHyphen/>
        <w:t>profit associations</w:t>
      </w:r>
      <w:r>
        <w:tab/>
      </w:r>
      <w:r>
        <w:fldChar w:fldCharType="begin"/>
      </w:r>
      <w:r>
        <w:instrText xml:space="preserve"> PAGEREF _Toc47082089 \h </w:instrText>
      </w:r>
      <w:r>
        <w:fldChar w:fldCharType="separate"/>
      </w:r>
      <w:r>
        <w:t>49</w:t>
      </w:r>
      <w:r>
        <w:fldChar w:fldCharType="end"/>
      </w:r>
    </w:p>
    <w:p>
      <w:pPr>
        <w:pStyle w:val="TOC8"/>
        <w:rPr>
          <w:rFonts w:asciiTheme="minorHAnsi" w:eastAsiaTheme="minorEastAsia" w:hAnsiTheme="minorHAnsi" w:cstheme="minorBidi"/>
          <w:szCs w:val="22"/>
        </w:rPr>
      </w:pPr>
      <w:r>
        <w:t>107C.</w:t>
      </w:r>
      <w:r>
        <w:tab/>
        <w:t>Who is an eligible individual or eligible entity</w:t>
      </w:r>
      <w:r>
        <w:tab/>
      </w:r>
      <w:r>
        <w:fldChar w:fldCharType="begin"/>
      </w:r>
      <w:r>
        <w:instrText xml:space="preserve"> PAGEREF _Toc47082090 \h </w:instrText>
      </w:r>
      <w:r>
        <w:fldChar w:fldCharType="separate"/>
      </w:r>
      <w:r>
        <w:t>50</w:t>
      </w:r>
      <w:r>
        <w:fldChar w:fldCharType="end"/>
      </w:r>
    </w:p>
    <w:p>
      <w:pPr>
        <w:pStyle w:val="TOC8"/>
        <w:rPr>
          <w:rFonts w:asciiTheme="minorHAnsi" w:eastAsiaTheme="minorEastAsia" w:hAnsiTheme="minorHAnsi" w:cstheme="minorBidi"/>
          <w:szCs w:val="22"/>
        </w:rPr>
      </w:pPr>
      <w:r>
        <w:t>107D.</w:t>
      </w:r>
      <w:r>
        <w:tab/>
        <w:t>Application to be recognised as eligible individual or eligible entity</w:t>
      </w:r>
      <w:r>
        <w:tab/>
      </w:r>
      <w:r>
        <w:fldChar w:fldCharType="begin"/>
      </w:r>
      <w:r>
        <w:instrText xml:space="preserve"> PAGEREF _Toc47082091 \h </w:instrText>
      </w:r>
      <w:r>
        <w:fldChar w:fldCharType="separate"/>
      </w:r>
      <w:r>
        <w:t>51</w:t>
      </w:r>
      <w:r>
        <w:fldChar w:fldCharType="end"/>
      </w:r>
    </w:p>
    <w:p>
      <w:pPr>
        <w:pStyle w:val="TOC8"/>
        <w:rPr>
          <w:rFonts w:asciiTheme="minorHAnsi" w:eastAsiaTheme="minorEastAsia" w:hAnsiTheme="minorHAnsi" w:cstheme="minorBidi"/>
          <w:szCs w:val="22"/>
        </w:rPr>
      </w:pPr>
      <w:r>
        <w:t>107E.</w:t>
      </w:r>
      <w:r>
        <w:tab/>
        <w:t>Recognition as eligible individual or eligible entity</w:t>
      </w:r>
      <w:r>
        <w:tab/>
      </w:r>
      <w:r>
        <w:fldChar w:fldCharType="begin"/>
      </w:r>
      <w:r>
        <w:instrText xml:space="preserve"> PAGEREF _Toc47082092 \h </w:instrText>
      </w:r>
      <w:r>
        <w:fldChar w:fldCharType="separate"/>
      </w:r>
      <w:r>
        <w:t>52</w:t>
      </w:r>
      <w:r>
        <w:fldChar w:fldCharType="end"/>
      </w:r>
    </w:p>
    <w:p>
      <w:pPr>
        <w:pStyle w:val="TOC8"/>
        <w:rPr>
          <w:rFonts w:asciiTheme="minorHAnsi" w:eastAsiaTheme="minorEastAsia" w:hAnsiTheme="minorHAnsi" w:cstheme="minorBidi"/>
          <w:szCs w:val="22"/>
        </w:rPr>
      </w:pPr>
      <w:r>
        <w:t>107F.</w:t>
      </w:r>
      <w:r>
        <w:tab/>
        <w:t>Revocation of directions for providing false or misleading information</w:t>
      </w:r>
      <w:r>
        <w:tab/>
      </w:r>
      <w:r>
        <w:fldChar w:fldCharType="begin"/>
      </w:r>
      <w:r>
        <w:instrText xml:space="preserve"> PAGEREF _Toc47082093 \h </w:instrText>
      </w:r>
      <w:r>
        <w:fldChar w:fldCharType="separate"/>
      </w:r>
      <w:r>
        <w:t>53</w:t>
      </w:r>
      <w:r>
        <w:fldChar w:fldCharType="end"/>
      </w:r>
    </w:p>
    <w:p>
      <w:pPr>
        <w:pStyle w:val="TOC8"/>
        <w:rPr>
          <w:rFonts w:asciiTheme="minorHAnsi" w:eastAsiaTheme="minorEastAsia" w:hAnsiTheme="minorHAnsi" w:cstheme="minorBidi"/>
          <w:szCs w:val="22"/>
        </w:rPr>
      </w:pPr>
      <w:r>
        <w:t>107G.</w:t>
      </w:r>
      <w:r>
        <w:tab/>
        <w:t>Refunds</w:t>
      </w:r>
      <w:r>
        <w:tab/>
      </w:r>
      <w:r>
        <w:fldChar w:fldCharType="begin"/>
      </w:r>
      <w:r>
        <w:instrText xml:space="preserve"> PAGEREF _Toc47082094 \h </w:instrText>
      </w:r>
      <w:r>
        <w:fldChar w:fldCharType="separate"/>
      </w:r>
      <w:r>
        <w:t>54</w:t>
      </w:r>
      <w:r>
        <w:fldChar w:fldCharType="end"/>
      </w:r>
    </w:p>
    <w:p>
      <w:pPr>
        <w:pStyle w:val="TOC8"/>
        <w:rPr>
          <w:rFonts w:asciiTheme="minorHAnsi" w:eastAsiaTheme="minorEastAsia" w:hAnsiTheme="minorHAnsi" w:cstheme="minorBidi"/>
          <w:szCs w:val="22"/>
        </w:rPr>
      </w:pPr>
      <w:r>
        <w:t>108.</w:t>
      </w:r>
      <w:r>
        <w:tab/>
        <w:t>Resolution of disputes as to enforcement costs</w:t>
      </w:r>
      <w:r>
        <w:tab/>
      </w:r>
      <w:r>
        <w:fldChar w:fldCharType="begin"/>
      </w:r>
      <w:r>
        <w:instrText xml:space="preserve"> PAGEREF _Toc47082095 \h </w:instrText>
      </w:r>
      <w:r>
        <w:fldChar w:fldCharType="separate"/>
      </w:r>
      <w:r>
        <w:t>54</w:t>
      </w:r>
      <w:r>
        <w:fldChar w:fldCharType="end"/>
      </w:r>
    </w:p>
    <w:p>
      <w:pPr>
        <w:pStyle w:val="TOC8"/>
        <w:rPr>
          <w:rFonts w:asciiTheme="minorHAnsi" w:eastAsiaTheme="minorEastAsia" w:hAnsiTheme="minorHAnsi" w:cstheme="minorBidi"/>
          <w:szCs w:val="22"/>
        </w:rPr>
      </w:pPr>
      <w:r>
        <w:t>109.</w:t>
      </w:r>
      <w:r>
        <w:tab/>
        <w:t>Recovery of unpaid fees</w:t>
      </w:r>
      <w:r>
        <w:tab/>
      </w:r>
      <w:r>
        <w:fldChar w:fldCharType="begin"/>
      </w:r>
      <w:r>
        <w:instrText xml:space="preserve"> PAGEREF _Toc47082096 \h </w:instrText>
      </w:r>
      <w:r>
        <w:fldChar w:fldCharType="separate"/>
      </w:r>
      <w:r>
        <w:t>55</w:t>
      </w:r>
      <w:r>
        <w:fldChar w:fldCharType="end"/>
      </w:r>
    </w:p>
    <w:p>
      <w:pPr>
        <w:pStyle w:val="TOC8"/>
        <w:rPr>
          <w:rFonts w:asciiTheme="minorHAnsi" w:eastAsiaTheme="minorEastAsia" w:hAnsiTheme="minorHAnsi" w:cstheme="minorBidi"/>
          <w:szCs w:val="22"/>
        </w:rPr>
      </w:pPr>
      <w:r>
        <w:t>110.</w:t>
      </w:r>
      <w:r>
        <w:tab/>
        <w:t>Enforcement costs where Sheriff does not perform function</w:t>
      </w:r>
      <w:r>
        <w:tab/>
      </w:r>
      <w:r>
        <w:fldChar w:fldCharType="begin"/>
      </w:r>
      <w:r>
        <w:instrText xml:space="preserve"> PAGEREF _Toc47082097 \h </w:instrText>
      </w:r>
      <w:r>
        <w:fldChar w:fldCharType="separate"/>
      </w:r>
      <w:r>
        <w:t>55</w:t>
      </w:r>
      <w:r>
        <w:fldChar w:fldCharType="end"/>
      </w:r>
    </w:p>
    <w:p>
      <w:pPr>
        <w:pStyle w:val="TOC8"/>
        <w:rPr>
          <w:rFonts w:asciiTheme="minorHAnsi" w:eastAsiaTheme="minorEastAsia" w:hAnsiTheme="minorHAnsi" w:cstheme="minorBidi"/>
          <w:szCs w:val="22"/>
        </w:rPr>
      </w:pPr>
      <w:r>
        <w:t>111.</w:t>
      </w:r>
      <w:r>
        <w:tab/>
        <w:t>Deposit on account of certain fees or expenses</w:t>
      </w:r>
      <w:r>
        <w:tab/>
      </w:r>
      <w:r>
        <w:fldChar w:fldCharType="begin"/>
      </w:r>
      <w:r>
        <w:instrText xml:space="preserve"> PAGEREF _Toc47082098 \h </w:instrText>
      </w:r>
      <w:r>
        <w:fldChar w:fldCharType="separate"/>
      </w:r>
      <w:r>
        <w:t>55</w:t>
      </w:r>
      <w:r>
        <w:fldChar w:fldCharType="end"/>
      </w:r>
    </w:p>
    <w:p>
      <w:pPr>
        <w:pStyle w:val="TOC8"/>
        <w:rPr>
          <w:rFonts w:asciiTheme="minorHAnsi" w:eastAsiaTheme="minorEastAsia" w:hAnsiTheme="minorHAnsi" w:cstheme="minorBidi"/>
          <w:szCs w:val="22"/>
        </w:rPr>
      </w:pPr>
      <w:r>
        <w:t>112.</w:t>
      </w:r>
      <w:r>
        <w:tab/>
        <w:t>Enforcement costs if enforcement of judgment does not proceed</w:t>
      </w:r>
      <w:r>
        <w:tab/>
      </w:r>
      <w:r>
        <w:fldChar w:fldCharType="begin"/>
      </w:r>
      <w:r>
        <w:instrText xml:space="preserve"> PAGEREF _Toc47082099 \h </w:instrText>
      </w:r>
      <w:r>
        <w:fldChar w:fldCharType="separate"/>
      </w:r>
      <w:r>
        <w:t>56</w:t>
      </w:r>
      <w:r>
        <w:fldChar w:fldCharType="end"/>
      </w:r>
    </w:p>
    <w:p>
      <w:pPr>
        <w:pStyle w:val="TOC8"/>
        <w:rPr>
          <w:rFonts w:asciiTheme="minorHAnsi" w:eastAsiaTheme="minorEastAsia" w:hAnsiTheme="minorHAnsi" w:cstheme="minorBidi"/>
          <w:szCs w:val="22"/>
        </w:rPr>
      </w:pPr>
      <w:r>
        <w:t>113.</w:t>
      </w:r>
      <w:r>
        <w:tab/>
        <w:t>Particulars of arrangement where enforcement by property (seizure and sale) order is discontinued</w:t>
      </w:r>
      <w:r>
        <w:tab/>
      </w:r>
      <w:r>
        <w:fldChar w:fldCharType="begin"/>
      </w:r>
      <w:r>
        <w:instrText xml:space="preserve"> PAGEREF _Toc47082100 \h </w:instrText>
      </w:r>
      <w:r>
        <w:fldChar w:fldCharType="separate"/>
      </w:r>
      <w:r>
        <w:t>57</w:t>
      </w:r>
      <w:r>
        <w:fldChar w:fldCharType="end"/>
      </w:r>
    </w:p>
    <w:p>
      <w:pPr>
        <w:pStyle w:val="TOC8"/>
        <w:rPr>
          <w:rFonts w:asciiTheme="minorHAnsi" w:eastAsiaTheme="minorEastAsia" w:hAnsiTheme="minorHAnsi" w:cstheme="minorBidi"/>
          <w:szCs w:val="22"/>
        </w:rPr>
      </w:pPr>
      <w:r>
        <w:t>114.</w:t>
      </w:r>
      <w:r>
        <w:tab/>
        <w:t>Particulars of arrangement where enforcement by property (seizure and delivery) order is discontinued</w:t>
      </w:r>
      <w:r>
        <w:tab/>
      </w:r>
      <w:r>
        <w:fldChar w:fldCharType="begin"/>
      </w:r>
      <w:r>
        <w:instrText xml:space="preserve"> PAGEREF _Toc47082101 \h </w:instrText>
      </w:r>
      <w:r>
        <w:fldChar w:fldCharType="separate"/>
      </w:r>
      <w:r>
        <w:t>57</w:t>
      </w:r>
      <w:r>
        <w:fldChar w:fldCharType="end"/>
      </w:r>
    </w:p>
    <w:p>
      <w:pPr>
        <w:pStyle w:val="TOC8"/>
        <w:rPr>
          <w:rFonts w:asciiTheme="minorHAnsi" w:eastAsiaTheme="minorEastAsia" w:hAnsiTheme="minorHAnsi" w:cstheme="minorBidi"/>
          <w:szCs w:val="22"/>
        </w:rPr>
      </w:pPr>
      <w:r>
        <w:t>115.</w:t>
      </w:r>
      <w:r>
        <w:tab/>
        <w:t>Transitional:</w:t>
      </w:r>
      <w:r>
        <w:rPr>
          <w:i/>
          <w:iCs/>
        </w:rPr>
        <w:t xml:space="preserve"> Courts Legislation Amendment and Repeal Act 2004</w:t>
      </w:r>
      <w:r>
        <w:t xml:space="preserve"> section 148(1)</w:t>
      </w:r>
      <w:r>
        <w:tab/>
      </w:r>
      <w:r>
        <w:fldChar w:fldCharType="begin"/>
      </w:r>
      <w:r>
        <w:instrText xml:space="preserve"> PAGEREF _Toc47082102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Schedule 1 — Court fees</w:t>
      </w:r>
    </w:p>
    <w:p>
      <w:pPr>
        <w:pStyle w:val="TOC2"/>
        <w:tabs>
          <w:tab w:val="right" w:leader="dot" w:pos="7077"/>
        </w:tabs>
        <w:rPr>
          <w:rFonts w:asciiTheme="minorHAnsi" w:eastAsiaTheme="minorEastAsia" w:hAnsiTheme="minorHAnsi" w:cstheme="minorBidi"/>
          <w:b w:val="0"/>
          <w:sz w:val="22"/>
          <w:szCs w:val="22"/>
        </w:rPr>
      </w:pPr>
      <w:r>
        <w:t>Schedule 2 — Sheriff’s fees</w:t>
      </w:r>
    </w:p>
    <w:p>
      <w:pPr>
        <w:pStyle w:val="TOC2"/>
        <w:tabs>
          <w:tab w:val="right" w:leader="dot" w:pos="7077"/>
        </w:tabs>
        <w:rPr>
          <w:rFonts w:asciiTheme="minorHAnsi" w:eastAsiaTheme="minorEastAsia" w:hAnsiTheme="minorHAnsi" w:cstheme="minorBidi"/>
          <w:b w:val="0"/>
          <w:sz w:val="22"/>
          <w:szCs w:val="22"/>
        </w:rPr>
      </w:pPr>
      <w:r>
        <w:t>Schedule 3 — Fees to be paid for anything done by the Marshal in Admiralty</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8"/>
        <w:rPr>
          <w:rFonts w:asciiTheme="minorHAnsi" w:eastAsiaTheme="minorEastAsia" w:hAnsiTheme="minorHAnsi" w:cstheme="minorBidi"/>
          <w:szCs w:val="22"/>
        </w:rPr>
      </w:pPr>
      <w:r>
        <w:t>1.</w:t>
      </w:r>
      <w:r>
        <w:tab/>
        <w:t>Warrant: the Act section 29(4) or 89(4)</w:t>
      </w:r>
      <w:r>
        <w:tab/>
      </w:r>
      <w:r>
        <w:fldChar w:fldCharType="begin"/>
      </w:r>
      <w:r>
        <w:instrText xml:space="preserve"> PAGEREF _Toc47082107 \h </w:instrText>
      </w:r>
      <w:r>
        <w:fldChar w:fldCharType="separate"/>
      </w:r>
      <w:r>
        <w:t>71</w:t>
      </w:r>
      <w:r>
        <w:fldChar w:fldCharType="end"/>
      </w:r>
    </w:p>
    <w:p>
      <w:pPr>
        <w:pStyle w:val="TOC8"/>
        <w:rPr>
          <w:rFonts w:asciiTheme="minorHAnsi" w:eastAsiaTheme="minorEastAsia" w:hAnsiTheme="minorHAnsi" w:cstheme="minorBidi"/>
          <w:szCs w:val="22"/>
        </w:rPr>
      </w:pPr>
      <w:r>
        <w:t>2.</w:t>
      </w:r>
      <w:r>
        <w:tab/>
        <w:t>Undertaking to appear: regulation 96</w:t>
      </w:r>
      <w:r>
        <w:tab/>
      </w:r>
      <w:r>
        <w:fldChar w:fldCharType="begin"/>
      </w:r>
      <w:r>
        <w:instrText xml:space="preserve"> PAGEREF _Toc47082108 \h </w:instrText>
      </w:r>
      <w:r>
        <w:fldChar w:fldCharType="separate"/>
      </w:r>
      <w:r>
        <w:t>73</w:t>
      </w:r>
      <w:r>
        <w:fldChar w:fldCharType="end"/>
      </w:r>
    </w:p>
    <w:p>
      <w:pPr>
        <w:pStyle w:val="TOC8"/>
        <w:rPr>
          <w:rFonts w:asciiTheme="minorHAnsi" w:eastAsiaTheme="minorEastAsia" w:hAnsiTheme="minorHAnsi" w:cstheme="minorBidi"/>
          <w:szCs w:val="22"/>
        </w:rPr>
      </w:pPr>
      <w:r>
        <w:t>3.</w:t>
      </w:r>
      <w:r>
        <w:tab/>
        <w:t>Declaration that a person is a small business or a non</w:t>
      </w:r>
      <w:r>
        <w:noBreakHyphen/>
        <w:t>profit association</w:t>
      </w:r>
      <w:r>
        <w:tab/>
      </w:r>
      <w:r>
        <w:fldChar w:fldCharType="begin"/>
      </w:r>
      <w:r>
        <w:instrText xml:space="preserve"> PAGEREF _Toc47082109 \h </w:instrText>
      </w:r>
      <w:r>
        <w:fldChar w:fldCharType="separate"/>
      </w:r>
      <w:r>
        <w:t>75</w:t>
      </w:r>
      <w:r>
        <w:fldChar w:fldCharType="end"/>
      </w:r>
    </w:p>
    <w:p>
      <w:pPr>
        <w:pStyle w:val="TOC8"/>
        <w:rPr>
          <w:rFonts w:asciiTheme="minorHAnsi" w:eastAsiaTheme="minorEastAsia" w:hAnsiTheme="minorHAnsi" w:cstheme="minorBidi"/>
          <w:szCs w:val="22"/>
        </w:rPr>
      </w:pPr>
      <w:r>
        <w:t>4.</w:t>
      </w:r>
      <w:r>
        <w:tab/>
        <w:t>Application to reduce fee</w:t>
      </w:r>
      <w:r>
        <w:tab/>
      </w:r>
      <w:r>
        <w:fldChar w:fldCharType="begin"/>
      </w:r>
      <w:r>
        <w:instrText xml:space="preserve"> PAGEREF _Toc47082110 \h </w:instrText>
      </w:r>
      <w:r>
        <w:fldChar w:fldCharType="separate"/>
      </w:r>
      <w:r>
        <w:t>77</w:t>
      </w:r>
      <w:r>
        <w:fldChar w:fldCharType="end"/>
      </w:r>
    </w:p>
    <w:p>
      <w:pPr>
        <w:pStyle w:val="TOC8"/>
        <w:rPr>
          <w:rFonts w:asciiTheme="minorHAnsi" w:eastAsiaTheme="minorEastAsia" w:hAnsiTheme="minorHAnsi" w:cstheme="minorBidi"/>
          <w:szCs w:val="22"/>
        </w:rPr>
      </w:pPr>
      <w:r>
        <w:t>5.</w:t>
      </w:r>
      <w:r>
        <w:tab/>
        <w:t>Application for determination of dispute about enforcement costs</w:t>
      </w:r>
      <w:r>
        <w:tab/>
      </w:r>
      <w:r>
        <w:fldChar w:fldCharType="begin"/>
      </w:r>
      <w:r>
        <w:instrText xml:space="preserve"> PAGEREF _Toc47082111 \h </w:instrText>
      </w:r>
      <w:r>
        <w:fldChar w:fldCharType="separate"/>
      </w:r>
      <w:r>
        <w:t>82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_Toc47082113 \h </w:instrText>
      </w:r>
      <w:r>
        <w:fldChar w:fldCharType="separate"/>
      </w:r>
      <w:r>
        <w:t>83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_Toc47082114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Civil Judgments Enforcement Act 2004</w:t>
      </w:r>
    </w:p>
    <w:p>
      <w:pPr>
        <w:pStyle w:val="NameofActReg"/>
        <w:spacing w:after="720"/>
      </w:pPr>
      <w:r>
        <w:t>Civil Judgments Enforcement Regulations 2005</w:t>
      </w:r>
    </w:p>
    <w:p>
      <w:pPr>
        <w:pStyle w:val="Heading2"/>
        <w:pageBreakBefore w:val="0"/>
        <w:spacing w:before="240"/>
      </w:pPr>
      <w:bookmarkStart w:id="3" w:name="_Toc47014381"/>
      <w:bookmarkStart w:id="4" w:name="_Toc47014944"/>
      <w:bookmarkStart w:id="5" w:name="_Toc47081958"/>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7081959"/>
      <w:r>
        <w:rPr>
          <w:rStyle w:val="CharSectno"/>
        </w:rPr>
        <w:t>1</w:t>
      </w:r>
      <w:r>
        <w:t>.</w:t>
      </w:r>
      <w:r>
        <w:tab/>
        <w:t>Citation</w:t>
      </w:r>
      <w:bookmarkEnd w:id="6"/>
    </w:p>
    <w:p>
      <w:pPr>
        <w:pStyle w:val="Subsection"/>
        <w:rPr>
          <w:i/>
        </w:rPr>
      </w:pPr>
      <w:r>
        <w:tab/>
      </w:r>
      <w:r>
        <w:tab/>
      </w:r>
      <w:r>
        <w:rPr>
          <w:spacing w:val="-2"/>
        </w:rPr>
        <w:t>These</w:t>
      </w:r>
      <w:r>
        <w:t xml:space="preserve"> regulations are the </w:t>
      </w:r>
      <w:r>
        <w:rPr>
          <w:i/>
        </w:rPr>
        <w:t>Civil Judgments Enforcement Regulations 2005</w:t>
      </w:r>
      <w:r>
        <w:t>.</w:t>
      </w:r>
    </w:p>
    <w:p>
      <w:pPr>
        <w:pStyle w:val="Heading5"/>
      </w:pPr>
      <w:bookmarkStart w:id="7" w:name="_Toc47081960"/>
      <w:r>
        <w:rPr>
          <w:rStyle w:val="CharSectno"/>
        </w:rPr>
        <w:t>2</w:t>
      </w:r>
      <w:r>
        <w:t>.</w:t>
      </w:r>
      <w:r>
        <w:tab/>
        <w:t>Commencement</w:t>
      </w:r>
      <w:bookmarkEnd w:id="7"/>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p>
    <w:p>
      <w:pPr>
        <w:pStyle w:val="Heading5"/>
      </w:pPr>
      <w:bookmarkStart w:id="8" w:name="_Toc47081961"/>
      <w:r>
        <w:rPr>
          <w:rStyle w:val="CharSectno"/>
        </w:rPr>
        <w:t>3</w:t>
      </w:r>
      <w:r>
        <w:t>.</w:t>
      </w:r>
      <w:r>
        <w:tab/>
        <w:t>Terms used</w:t>
      </w:r>
      <w:bookmarkEnd w:id="8"/>
    </w:p>
    <w:p>
      <w:pPr>
        <w:pStyle w:val="Subsection"/>
      </w:pPr>
      <w:r>
        <w:tab/>
      </w:r>
      <w:r>
        <w:tab/>
        <w:t>In these regulations, unless the contrary intention appears —</w:t>
      </w:r>
    </w:p>
    <w:p>
      <w:pPr>
        <w:pStyle w:val="Defstart"/>
      </w:pPr>
      <w:r>
        <w:tab/>
      </w:r>
      <w:r>
        <w:rPr>
          <w:rStyle w:val="CharDefText"/>
        </w:rPr>
        <w:t>Act</w:t>
      </w:r>
      <w:r>
        <w:t xml:space="preserve"> means the </w:t>
      </w:r>
      <w:r>
        <w:rPr>
          <w:i/>
        </w:rPr>
        <w:t>Civil Judgments Enforcement Act 2004</w:t>
      </w:r>
      <w:r>
        <w:t>;</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tab/>
      </w:r>
      <w:r>
        <w:rPr>
          <w:rStyle w:val="CharDefText"/>
        </w:rPr>
        <w:t>lawyer</w:t>
      </w:r>
      <w:r>
        <w:t xml:space="preserve"> means a certificated practitioner within the meaning of the </w:t>
      </w:r>
      <w:r>
        <w:rPr>
          <w:i/>
          <w:iCs/>
        </w:rPr>
        <w:t>Legal Practice Act 2003</w:t>
      </w:r>
      <w:r>
        <w:rPr>
          <w:vertAlign w:val="superscript"/>
        </w:rPr>
        <w:t> 1</w:t>
      </w:r>
      <w:r>
        <w:t>;</w:t>
      </w:r>
    </w:p>
    <w:p>
      <w:pPr>
        <w:pStyle w:val="Defstart"/>
      </w:pPr>
      <w:r>
        <w:rPr>
          <w:b/>
        </w:rPr>
        <w:tab/>
      </w:r>
      <w:r>
        <w:rPr>
          <w:rStyle w:val="CharDefText"/>
        </w:rPr>
        <w:t>ordinary service</w:t>
      </w:r>
      <w:r>
        <w:t xml:space="preserve"> means to serve in accordance with regulation 79;</w:t>
      </w:r>
    </w:p>
    <w:p>
      <w:pPr>
        <w:pStyle w:val="Defstart"/>
      </w:pPr>
      <w:r>
        <w:rPr>
          <w:b/>
        </w:rPr>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serve personally</w:t>
      </w:r>
      <w:r>
        <w:t xml:space="preserve"> means to serve in accordance with regulation 78.</w:t>
      </w:r>
    </w:p>
    <w:p>
      <w:pPr>
        <w:pStyle w:val="Footnotesection"/>
      </w:pPr>
      <w:r>
        <w:tab/>
        <w:t>[Regulation 3 amended: Gazette 27 Nov 2009 p. 4784.]</w:t>
      </w:r>
    </w:p>
    <w:p>
      <w:pPr>
        <w:pStyle w:val="Heading2"/>
      </w:pPr>
      <w:bookmarkStart w:id="9" w:name="_Toc47014385"/>
      <w:bookmarkStart w:id="10" w:name="_Toc47014948"/>
      <w:bookmarkStart w:id="11" w:name="_Toc47081962"/>
      <w:r>
        <w:rPr>
          <w:rStyle w:val="CharPartNo"/>
        </w:rPr>
        <w:t>Part 2</w:t>
      </w:r>
      <w:r>
        <w:rPr>
          <w:rStyle w:val="CharDivNo"/>
        </w:rPr>
        <w:t> </w:t>
      </w:r>
      <w:r>
        <w:t>—</w:t>
      </w:r>
      <w:r>
        <w:rPr>
          <w:rStyle w:val="CharDivText"/>
        </w:rPr>
        <w:t> </w:t>
      </w:r>
      <w:r>
        <w:rPr>
          <w:rStyle w:val="CharPartText"/>
        </w:rPr>
        <w:t>Interest on judgment debts</w:t>
      </w:r>
      <w:bookmarkEnd w:id="9"/>
      <w:bookmarkEnd w:id="10"/>
      <w:bookmarkEnd w:id="11"/>
    </w:p>
    <w:p>
      <w:pPr>
        <w:pStyle w:val="Heading5"/>
      </w:pPr>
      <w:bookmarkStart w:id="12" w:name="_Toc47081963"/>
      <w:r>
        <w:rPr>
          <w:rStyle w:val="CharSectno"/>
        </w:rPr>
        <w:t>4</w:t>
      </w:r>
      <w:r>
        <w:t>.</w:t>
      </w:r>
      <w:r>
        <w:tab/>
        <w:t>Interest on unpaid amount of judgment sum</w:t>
      </w:r>
      <w:bookmarkEnd w:id="12"/>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13" w:name="_Toc47014387"/>
      <w:bookmarkStart w:id="14" w:name="_Toc47014950"/>
      <w:bookmarkStart w:id="15" w:name="_Toc47081964"/>
      <w:r>
        <w:rPr>
          <w:rStyle w:val="CharPartNo"/>
        </w:rPr>
        <w:t>Part 3</w:t>
      </w:r>
      <w:r>
        <w:rPr>
          <w:rStyle w:val="CharDivNo"/>
        </w:rPr>
        <w:t> </w:t>
      </w:r>
      <w:r>
        <w:t>—</w:t>
      </w:r>
      <w:r>
        <w:rPr>
          <w:rStyle w:val="CharDivText"/>
        </w:rPr>
        <w:t> </w:t>
      </w:r>
      <w:r>
        <w:rPr>
          <w:rStyle w:val="CharPartText"/>
        </w:rPr>
        <w:t>Provisions applying to all judgments</w:t>
      </w:r>
      <w:bookmarkEnd w:id="13"/>
      <w:bookmarkEnd w:id="14"/>
      <w:bookmarkEnd w:id="15"/>
    </w:p>
    <w:p>
      <w:pPr>
        <w:pStyle w:val="Heading5"/>
      </w:pPr>
      <w:bookmarkStart w:id="16" w:name="_Toc47081965"/>
      <w:r>
        <w:rPr>
          <w:rStyle w:val="CharSectno"/>
        </w:rPr>
        <w:t>5</w:t>
      </w:r>
      <w:r>
        <w:t>.</w:t>
      </w:r>
      <w:r>
        <w:tab/>
        <w:t>Application by one party under Act section 9(1)(b)</w:t>
      </w:r>
      <w:bookmarkEnd w:id="16"/>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17" w:name="_Toc47081966"/>
      <w:r>
        <w:rPr>
          <w:rStyle w:val="CharSectno"/>
        </w:rPr>
        <w:t>6</w:t>
      </w:r>
      <w:r>
        <w:t>.</w:t>
      </w:r>
      <w:r>
        <w:tab/>
        <w:t>Costs against judgment creditor</w:t>
      </w:r>
      <w:bookmarkEnd w:id="17"/>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18" w:name="_Toc47081967"/>
      <w:r>
        <w:rPr>
          <w:rStyle w:val="CharSectno"/>
        </w:rPr>
        <w:t>7</w:t>
      </w:r>
      <w:r>
        <w:t>.</w:t>
      </w:r>
      <w:r>
        <w:tab/>
        <w:t>Leave to enforce judgment</w:t>
      </w:r>
      <w:bookmarkEnd w:id="18"/>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19" w:name="_Toc47081968"/>
      <w:r>
        <w:rPr>
          <w:rStyle w:val="CharSectno"/>
        </w:rPr>
        <w:t>8</w:t>
      </w:r>
      <w:r>
        <w:t>.</w:t>
      </w:r>
      <w:r>
        <w:tab/>
        <w:t>Conditional judgment</w:t>
      </w:r>
      <w:bookmarkEnd w:id="19"/>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spacing w:before="60"/>
      </w:pPr>
      <w:r>
        <w:tab/>
        <w:t>(a)</w:t>
      </w:r>
      <w:r>
        <w:tab/>
        <w:t>are warranted by the judgment; or</w:t>
      </w:r>
    </w:p>
    <w:p>
      <w:pPr>
        <w:pStyle w:val="Indenta"/>
        <w:spacing w:before="60"/>
      </w:pPr>
      <w:r>
        <w:tab/>
        <w:t>(b)</w:t>
      </w:r>
      <w:r>
        <w:tab/>
        <w:t>might have been taken if no such judgment had been given.</w:t>
      </w:r>
    </w:p>
    <w:p>
      <w:pPr>
        <w:pStyle w:val="Heading5"/>
        <w:spacing w:before="180"/>
      </w:pPr>
      <w:bookmarkStart w:id="20" w:name="_Toc47081969"/>
      <w:r>
        <w:rPr>
          <w:rStyle w:val="CharSectno"/>
        </w:rPr>
        <w:t>9</w:t>
      </w:r>
      <w:r>
        <w:t>.</w:t>
      </w:r>
      <w:r>
        <w:tab/>
        <w:t>Suspension order</w:t>
      </w:r>
      <w:bookmarkEnd w:id="20"/>
    </w:p>
    <w:p>
      <w:pPr>
        <w:pStyle w:val="Subsection"/>
        <w:spacing w:before="120"/>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spacing w:before="120"/>
      </w:pPr>
      <w:r>
        <w:tab/>
        <w:t>(2)</w:t>
      </w:r>
      <w:r>
        <w:tab/>
        <w:t>A person who makes an application under the Act section 15(1) must, not less than 3 working days before the hearing of the application, personally serve a copy of the application and affidavit on —</w:t>
      </w:r>
    </w:p>
    <w:p>
      <w:pPr>
        <w:pStyle w:val="Indenta"/>
        <w:spacing w:before="60"/>
      </w:pPr>
      <w:r>
        <w:tab/>
        <w:t>(a)</w:t>
      </w:r>
      <w:r>
        <w:tab/>
        <w:t>the person entitled to the benefit of the judgment; or</w:t>
      </w:r>
    </w:p>
    <w:p>
      <w:pPr>
        <w:pStyle w:val="Indenta"/>
        <w:spacing w:before="60"/>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spacing w:before="120"/>
      </w:pPr>
      <w:r>
        <w:tab/>
        <w:t>(3)</w:t>
      </w:r>
      <w:r>
        <w:tab/>
        <w:t xml:space="preserve">In subregulation (2) — </w:t>
      </w:r>
    </w:p>
    <w:p>
      <w:pPr>
        <w:pStyle w:val="Defstart"/>
        <w:spacing w:before="60"/>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spacing w:before="120"/>
      </w:pPr>
      <w:r>
        <w:tab/>
        <w:t>(4)</w:t>
      </w:r>
      <w:r>
        <w:tab/>
        <w:t xml:space="preserve">If a person against whom a judgment is given — </w:t>
      </w:r>
    </w:p>
    <w:p>
      <w:pPr>
        <w:pStyle w:val="Indenta"/>
        <w:spacing w:before="60"/>
      </w:pPr>
      <w:r>
        <w:tab/>
        <w:t>(a)</w:t>
      </w:r>
      <w:r>
        <w:tab/>
        <w:t>obtains, under the Act section 15, an order suspending the enforcement of all or part of a judgment; and</w:t>
      </w:r>
    </w:p>
    <w:p>
      <w:pPr>
        <w:pStyle w:val="Indenta"/>
        <w:spacing w:before="60"/>
      </w:pPr>
      <w:r>
        <w:tab/>
        <w:t>(b)</w:t>
      </w:r>
      <w:r>
        <w:tab/>
        <w:t>knows that the Sheriff has been given an enforcement order relating to the judgment,</w:t>
      </w:r>
    </w:p>
    <w:p>
      <w:pPr>
        <w:pStyle w:val="Subsection"/>
        <w:spacing w:before="120"/>
      </w:pPr>
      <w:r>
        <w:tab/>
      </w:r>
      <w:r>
        <w:tab/>
        <w:t>that person must, by ordinary service, give a copy of the suspension order to the Sheriff.</w:t>
      </w:r>
    </w:p>
    <w:p>
      <w:pPr>
        <w:pStyle w:val="Footnotesection"/>
        <w:keepLines w:val="0"/>
        <w:tabs>
          <w:tab w:val="left" w:pos="508"/>
        </w:tabs>
        <w:spacing w:before="60"/>
        <w:ind w:left="890" w:hanging="890"/>
      </w:pPr>
      <w:r>
        <w:tab/>
      </w:r>
      <w:r>
        <w:tab/>
        <w:t>[Regulation 9 amended: Gazette 14 Dec 2007 p. 6239</w:t>
      </w:r>
      <w:r>
        <w:noBreakHyphen/>
        <w:t>40.]</w:t>
      </w:r>
    </w:p>
    <w:p>
      <w:pPr>
        <w:pStyle w:val="Heading2"/>
      </w:pPr>
      <w:bookmarkStart w:id="21" w:name="_Toc47014393"/>
      <w:bookmarkStart w:id="22" w:name="_Toc47014956"/>
      <w:bookmarkStart w:id="23" w:name="_Toc47081970"/>
      <w:r>
        <w:rPr>
          <w:rStyle w:val="CharPartNo"/>
        </w:rPr>
        <w:t>Part 4</w:t>
      </w:r>
      <w:r>
        <w:t> — </w:t>
      </w:r>
      <w:r>
        <w:rPr>
          <w:rStyle w:val="CharPartText"/>
        </w:rPr>
        <w:t>Enforcement of monetary judgments</w:t>
      </w:r>
      <w:bookmarkEnd w:id="21"/>
      <w:bookmarkEnd w:id="22"/>
      <w:bookmarkEnd w:id="23"/>
    </w:p>
    <w:p>
      <w:pPr>
        <w:pStyle w:val="Heading3"/>
      </w:pPr>
      <w:bookmarkStart w:id="24" w:name="_Toc47014394"/>
      <w:bookmarkStart w:id="25" w:name="_Toc47014957"/>
      <w:bookmarkStart w:id="26" w:name="_Toc47081971"/>
      <w:r>
        <w:rPr>
          <w:rStyle w:val="CharDivNo"/>
        </w:rPr>
        <w:t>Division 1</w:t>
      </w:r>
      <w:r>
        <w:t> — </w:t>
      </w:r>
      <w:r>
        <w:rPr>
          <w:rStyle w:val="CharDivText"/>
        </w:rPr>
        <w:t>General</w:t>
      </w:r>
      <w:bookmarkEnd w:id="24"/>
      <w:bookmarkEnd w:id="25"/>
      <w:bookmarkEnd w:id="26"/>
    </w:p>
    <w:p>
      <w:pPr>
        <w:pStyle w:val="Heading5"/>
        <w:spacing w:before="180"/>
      </w:pPr>
      <w:bookmarkStart w:id="27" w:name="_Toc47081972"/>
      <w:r>
        <w:rPr>
          <w:rStyle w:val="CharSectno"/>
        </w:rPr>
        <w:t>10</w:t>
      </w:r>
      <w:r>
        <w:t>.</w:t>
      </w:r>
      <w:r>
        <w:tab/>
        <w:t>Review of amount of judgment debt sought to be recovered</w:t>
      </w:r>
      <w:bookmarkEnd w:id="27"/>
    </w:p>
    <w:p>
      <w:pPr>
        <w:pStyle w:val="Subsection"/>
        <w:spacing w:before="120"/>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spacing w:before="120"/>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spacing w:before="120"/>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spacing w:before="180"/>
      </w:pPr>
      <w:bookmarkStart w:id="28" w:name="_Toc47081973"/>
      <w:r>
        <w:rPr>
          <w:rStyle w:val="CharSectno"/>
        </w:rPr>
        <w:t>11</w:t>
      </w:r>
      <w:r>
        <w:t>.</w:t>
      </w:r>
      <w:r>
        <w:tab/>
        <w:t>Error in calculation of amount of judgment debt</w:t>
      </w:r>
      <w:bookmarkEnd w:id="28"/>
    </w:p>
    <w:p>
      <w:pPr>
        <w:pStyle w:val="Subsection"/>
        <w:spacing w:before="120"/>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spacing w:before="120"/>
      </w:pPr>
      <w:r>
        <w:tab/>
        <w:t>(2)</w:t>
      </w:r>
      <w:r>
        <w:tab/>
        <w:t>The judgment debtor must give the judgment creditor a copy of the application and affidavit by ordinary service.</w:t>
      </w:r>
    </w:p>
    <w:p>
      <w:pPr>
        <w:pStyle w:val="Subsection"/>
        <w:spacing w:before="120"/>
      </w:pPr>
      <w:r>
        <w:tab/>
        <w:t>(3)</w:t>
      </w:r>
      <w:r>
        <w:tab/>
        <w:t>The judgment creditor may make a response to the court in writing supported by an affidavit.</w:t>
      </w:r>
    </w:p>
    <w:p>
      <w:pPr>
        <w:pStyle w:val="Subsection"/>
        <w:spacing w:before="120"/>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spacing w:before="180"/>
      </w:pPr>
      <w:bookmarkStart w:id="29" w:name="_Toc47081974"/>
      <w:r>
        <w:rPr>
          <w:rStyle w:val="CharSectno"/>
        </w:rPr>
        <w:t>12</w:t>
      </w:r>
      <w:r>
        <w:t>.</w:t>
      </w:r>
      <w:r>
        <w:tab/>
        <w:t>Application by judgment creditor under Act section 22(1)</w:t>
      </w:r>
      <w:bookmarkEnd w:id="29"/>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spacing w:before="180"/>
      </w:pPr>
      <w:bookmarkStart w:id="30" w:name="_Toc47081975"/>
      <w:r>
        <w:rPr>
          <w:rStyle w:val="CharSectno"/>
        </w:rPr>
        <w:t>13</w:t>
      </w:r>
      <w:r>
        <w:t>.</w:t>
      </w:r>
      <w:r>
        <w:tab/>
        <w:t>Accounts: Act section 24(2)</w:t>
      </w:r>
      <w:bookmarkEnd w:id="30"/>
    </w:p>
    <w:p>
      <w:pPr>
        <w:pStyle w:val="Subsection"/>
      </w:pPr>
      <w:r>
        <w:tab/>
        <w:t>(1)</w:t>
      </w:r>
      <w:r>
        <w:tab/>
        <w:t xml:space="preserve">A request for an account under the Act section 24(2) is — </w:t>
      </w:r>
    </w:p>
    <w:p>
      <w:pPr>
        <w:pStyle w:val="Indenta"/>
      </w:pPr>
      <w:r>
        <w:tab/>
        <w:t>(a)</w:t>
      </w:r>
      <w:r>
        <w:tab/>
        <w:t>to be in writing; and</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spacing w:before="120"/>
      </w:pPr>
      <w:r>
        <w:tab/>
        <w:t>(2)</w:t>
      </w:r>
      <w:r>
        <w:tab/>
        <w:t>An account given in response to a request under the Act section 24(2) is —</w:t>
      </w:r>
    </w:p>
    <w:p>
      <w:pPr>
        <w:pStyle w:val="Indenta"/>
      </w:pPr>
      <w:r>
        <w:tab/>
        <w:t>(a)</w:t>
      </w:r>
      <w:r>
        <w:tab/>
        <w:t>to be in writing; and</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keepNext w:val="0"/>
        <w:spacing w:before="200"/>
      </w:pPr>
      <w:bookmarkStart w:id="31" w:name="_Toc47014399"/>
      <w:bookmarkStart w:id="32" w:name="_Toc47014962"/>
      <w:bookmarkStart w:id="33" w:name="_Toc47081976"/>
      <w:r>
        <w:rPr>
          <w:rStyle w:val="CharDivNo"/>
        </w:rPr>
        <w:t>Division 2</w:t>
      </w:r>
      <w:r>
        <w:t> — </w:t>
      </w:r>
      <w:r>
        <w:rPr>
          <w:rStyle w:val="CharDivText"/>
        </w:rPr>
        <w:t>Means inquiry</w:t>
      </w:r>
      <w:bookmarkEnd w:id="31"/>
      <w:bookmarkEnd w:id="32"/>
      <w:bookmarkEnd w:id="33"/>
    </w:p>
    <w:p>
      <w:pPr>
        <w:pStyle w:val="Heading5"/>
        <w:keepNext w:val="0"/>
        <w:keepLines w:val="0"/>
        <w:spacing w:before="180"/>
      </w:pPr>
      <w:bookmarkStart w:id="34" w:name="_Toc47081977"/>
      <w:r>
        <w:rPr>
          <w:rStyle w:val="CharSectno"/>
        </w:rPr>
        <w:t>14</w:t>
      </w:r>
      <w:r>
        <w:t>.</w:t>
      </w:r>
      <w:r>
        <w:tab/>
        <w:t>Location of means inquiry</w:t>
      </w:r>
      <w:bookmarkEnd w:id="34"/>
    </w:p>
    <w:p>
      <w:pPr>
        <w:pStyle w:val="Subsection"/>
        <w:spacing w:before="120"/>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35" w:name="_Toc47081978"/>
      <w:r>
        <w:rPr>
          <w:rStyle w:val="CharSectno"/>
        </w:rPr>
        <w:t>15</w:t>
      </w:r>
      <w:r>
        <w:t>.</w:t>
      </w:r>
      <w:r>
        <w:tab/>
        <w:t>Issue and service of summons to attend means inquiry</w:t>
      </w:r>
      <w:bookmarkEnd w:id="35"/>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36" w:name="_Toc47081979"/>
      <w:r>
        <w:rPr>
          <w:rStyle w:val="CharSectno"/>
        </w:rPr>
        <w:t>16</w:t>
      </w:r>
      <w:r>
        <w:t>.</w:t>
      </w:r>
      <w:r>
        <w:tab/>
        <w:t>Production before inquiry</w:t>
      </w:r>
      <w:bookmarkEnd w:id="36"/>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Gazette 14 Dec 2007 p. 6240.]</w:t>
      </w:r>
    </w:p>
    <w:p>
      <w:pPr>
        <w:pStyle w:val="Heading5"/>
      </w:pPr>
      <w:bookmarkStart w:id="37" w:name="_Toc47081980"/>
      <w:r>
        <w:rPr>
          <w:rStyle w:val="CharSectno"/>
        </w:rPr>
        <w:t>17</w:t>
      </w:r>
      <w:r>
        <w:t>.</w:t>
      </w:r>
      <w:r>
        <w:tab/>
        <w:t>Statement of financial affairs</w:t>
      </w:r>
      <w:bookmarkEnd w:id="37"/>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Gazette 14 Dec 2007 p. 6240.]</w:t>
      </w:r>
    </w:p>
    <w:p>
      <w:pPr>
        <w:pStyle w:val="Heading5"/>
        <w:spacing w:before="180"/>
      </w:pPr>
      <w:bookmarkStart w:id="38" w:name="_Toc47081981"/>
      <w:r>
        <w:rPr>
          <w:rStyle w:val="CharSectno"/>
        </w:rPr>
        <w:t>18</w:t>
      </w:r>
      <w:r>
        <w:t>.</w:t>
      </w:r>
      <w:r>
        <w:tab/>
        <w:t>Warrant: Act section 29(4)</w:t>
      </w:r>
      <w:bookmarkEnd w:id="38"/>
    </w:p>
    <w:p>
      <w:pPr>
        <w:pStyle w:val="Subsection"/>
      </w:pPr>
      <w:r>
        <w:tab/>
      </w:r>
      <w:r>
        <w:tab/>
        <w:t>A warrant to arrest a person under the Act section 29(4) must be in the form of Form 1.</w:t>
      </w:r>
    </w:p>
    <w:p>
      <w:pPr>
        <w:pStyle w:val="Heading5"/>
        <w:spacing w:before="180"/>
      </w:pPr>
      <w:bookmarkStart w:id="39" w:name="_Toc47081982"/>
      <w:r>
        <w:rPr>
          <w:rStyle w:val="CharSectno"/>
        </w:rPr>
        <w:t>19A</w:t>
      </w:r>
      <w:r>
        <w:t>.</w:t>
      </w:r>
      <w:r>
        <w:tab/>
        <w:t>Requests for court to examine judgment debtor</w:t>
      </w:r>
      <w:bookmarkEnd w:id="39"/>
    </w:p>
    <w:p>
      <w:pPr>
        <w:pStyle w:val="Subsection"/>
        <w:spacing w:before="120"/>
      </w:pPr>
      <w:r>
        <w:tab/>
        <w:t>(1)</w:t>
      </w:r>
      <w:r>
        <w:tab/>
        <w:t>A request under the Act section 30(7) for the Magistrates Court to examine a judgment debtor must be in an approved form supported by an affidavit.</w:t>
      </w:r>
    </w:p>
    <w:p>
      <w:pPr>
        <w:pStyle w:val="Subsection"/>
        <w:spacing w:before="120"/>
      </w:pPr>
      <w:r>
        <w:tab/>
        <w:t>(2)</w:t>
      </w:r>
      <w:r>
        <w:tab/>
        <w:t>A request under the Act section 30(8) for the Magistrates Court to examine a judgment debtor may be made in an approved form before the means inquiry or orally at the means inquiry.</w:t>
      </w:r>
    </w:p>
    <w:p>
      <w:pPr>
        <w:pStyle w:val="Footnotesection"/>
        <w:spacing w:before="80"/>
        <w:ind w:left="890" w:hanging="890"/>
      </w:pPr>
      <w:r>
        <w:tab/>
        <w:t>[Regulation 19A inserted: Gazette 16 May 2008 p. 1908</w:t>
      </w:r>
      <w:r>
        <w:noBreakHyphen/>
        <w:t>9.]</w:t>
      </w:r>
    </w:p>
    <w:p>
      <w:pPr>
        <w:pStyle w:val="Heading5"/>
        <w:spacing w:before="240"/>
      </w:pPr>
      <w:bookmarkStart w:id="40" w:name="_Toc47081983"/>
      <w:r>
        <w:rPr>
          <w:rStyle w:val="CharSectno"/>
        </w:rPr>
        <w:t>19</w:t>
      </w:r>
      <w:r>
        <w:t>.</w:t>
      </w:r>
      <w:r>
        <w:tab/>
        <w:t>Service of summons: Act section 31(3)</w:t>
      </w:r>
      <w:bookmarkEnd w:id="40"/>
    </w:p>
    <w:p>
      <w:pPr>
        <w:pStyle w:val="Subsection"/>
      </w:pPr>
      <w:r>
        <w:tab/>
      </w:r>
      <w:r>
        <w:tab/>
        <w:t>A summons issued under the Act section 31(3) must be served by personal service.</w:t>
      </w:r>
    </w:p>
    <w:p>
      <w:pPr>
        <w:pStyle w:val="Heading5"/>
        <w:spacing w:before="240"/>
      </w:pPr>
      <w:bookmarkStart w:id="41" w:name="_Toc47081984"/>
      <w:r>
        <w:rPr>
          <w:rStyle w:val="CharSectno"/>
        </w:rPr>
        <w:t>20</w:t>
      </w:r>
      <w:r>
        <w:t>.</w:t>
      </w:r>
      <w:r>
        <w:tab/>
        <w:t>Review of amount of judgment debt sought to be recovered</w:t>
      </w:r>
      <w:bookmarkEnd w:id="41"/>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42" w:name="_Toc47081985"/>
      <w:r>
        <w:rPr>
          <w:rStyle w:val="CharSectno"/>
        </w:rPr>
        <w:t>21</w:t>
      </w:r>
      <w:r>
        <w:t>.</w:t>
      </w:r>
      <w:r>
        <w:tab/>
        <w:t>Notice of certain orders</w:t>
      </w:r>
      <w:bookmarkEnd w:id="42"/>
    </w:p>
    <w:p>
      <w:pPr>
        <w:pStyle w:val="Subsection"/>
      </w:pPr>
      <w:r>
        <w:tab/>
      </w:r>
      <w:r>
        <w:tab/>
        <w:t xml:space="preserve">If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ageBreakBefore/>
        <w:spacing w:before="0"/>
      </w:pPr>
      <w:bookmarkStart w:id="43" w:name="_Toc47014409"/>
      <w:bookmarkStart w:id="44" w:name="_Toc47014972"/>
      <w:bookmarkStart w:id="45" w:name="_Toc47081986"/>
      <w:r>
        <w:rPr>
          <w:rStyle w:val="CharDivNo"/>
        </w:rPr>
        <w:t>Division 3</w:t>
      </w:r>
      <w:r>
        <w:t> — </w:t>
      </w:r>
      <w:r>
        <w:rPr>
          <w:rStyle w:val="CharDivText"/>
        </w:rPr>
        <w:t>Earnings appropriation order</w:t>
      </w:r>
      <w:bookmarkEnd w:id="43"/>
      <w:bookmarkEnd w:id="44"/>
      <w:bookmarkEnd w:id="45"/>
    </w:p>
    <w:p>
      <w:pPr>
        <w:pStyle w:val="Heading5"/>
        <w:spacing w:before="180"/>
      </w:pPr>
      <w:bookmarkStart w:id="46" w:name="_Toc47081987"/>
      <w:r>
        <w:rPr>
          <w:rStyle w:val="CharSectno"/>
        </w:rPr>
        <w:t>22</w:t>
      </w:r>
      <w:r>
        <w:t>.</w:t>
      </w:r>
      <w:r>
        <w:tab/>
        <w:t>Service of earnings appropriation order</w:t>
      </w:r>
      <w:bookmarkEnd w:id="46"/>
    </w:p>
    <w:p>
      <w:pPr>
        <w:pStyle w:val="Subsection"/>
        <w:spacing w:before="120"/>
      </w:pPr>
      <w:r>
        <w:tab/>
      </w:r>
      <w:r>
        <w:tab/>
        <w:t>A judgment creditor must serve the earnings appropriation order on the third person under the Act section 36(2) by ordinary service.</w:t>
      </w:r>
    </w:p>
    <w:p>
      <w:pPr>
        <w:pStyle w:val="Heading5"/>
        <w:spacing w:before="180"/>
      </w:pPr>
      <w:bookmarkStart w:id="47" w:name="_Toc47081988"/>
      <w:r>
        <w:rPr>
          <w:rStyle w:val="CharSectno"/>
        </w:rPr>
        <w:t>23</w:t>
      </w:r>
      <w:r>
        <w:t>.</w:t>
      </w:r>
      <w:r>
        <w:tab/>
        <w:t>Service of notice under Act section 37(4)</w:t>
      </w:r>
      <w:bookmarkEnd w:id="47"/>
    </w:p>
    <w:p>
      <w:pPr>
        <w:pStyle w:val="Subsection"/>
        <w:spacing w:before="120"/>
      </w:pPr>
      <w:r>
        <w:tab/>
      </w:r>
      <w:r>
        <w:tab/>
        <w:t>A judgment creditor must give a notice to a third person under the Act section 37(4) by ordinary service.</w:t>
      </w:r>
    </w:p>
    <w:p>
      <w:pPr>
        <w:pStyle w:val="Heading5"/>
        <w:spacing w:before="180"/>
      </w:pPr>
      <w:bookmarkStart w:id="48" w:name="_Toc47081989"/>
      <w:r>
        <w:rPr>
          <w:rStyle w:val="CharSectno"/>
        </w:rPr>
        <w:t>24</w:t>
      </w:r>
      <w:r>
        <w:t>.</w:t>
      </w:r>
      <w:r>
        <w:tab/>
        <w:t>Expenses of obeying earnings appropriation order</w:t>
      </w:r>
      <w:bookmarkEnd w:id="48"/>
    </w:p>
    <w:p>
      <w:pPr>
        <w:pStyle w:val="Subsection"/>
        <w:spacing w:before="120"/>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spacing w:before="180"/>
      </w:pPr>
      <w:bookmarkStart w:id="49" w:name="_Toc47081990"/>
      <w:r>
        <w:rPr>
          <w:rStyle w:val="CharSectno"/>
        </w:rPr>
        <w:t>25</w:t>
      </w:r>
      <w:r>
        <w:t>.</w:t>
      </w:r>
      <w:r>
        <w:tab/>
        <w:t>Service of objection to earnings appropriation order</w:t>
      </w:r>
      <w:bookmarkEnd w:id="49"/>
    </w:p>
    <w:p>
      <w:pPr>
        <w:pStyle w:val="Subsection"/>
        <w:spacing w:before="120"/>
      </w:pPr>
      <w:r>
        <w:tab/>
      </w:r>
      <w:r>
        <w:tab/>
        <w:t>Service of a copy of the objection on the judgment creditor and judgment debtor under the Act section 40(3) must be by ordinary service.</w:t>
      </w:r>
    </w:p>
    <w:p>
      <w:pPr>
        <w:pStyle w:val="Heading5"/>
        <w:keepNext w:val="0"/>
        <w:keepLines w:val="0"/>
        <w:spacing w:before="180"/>
      </w:pPr>
      <w:bookmarkStart w:id="50" w:name="_Toc47081991"/>
      <w:r>
        <w:rPr>
          <w:rStyle w:val="CharSectno"/>
        </w:rPr>
        <w:t>26</w:t>
      </w:r>
      <w:r>
        <w:t>.</w:t>
      </w:r>
      <w:r>
        <w:tab/>
        <w:t>Notice to court of allowance of objection by judgment creditor</w:t>
      </w:r>
      <w:bookmarkEnd w:id="50"/>
    </w:p>
    <w:p>
      <w:pPr>
        <w:pStyle w:val="Subsection"/>
        <w:spacing w:before="120"/>
      </w:pPr>
      <w:r>
        <w:tab/>
      </w:r>
      <w:r>
        <w:tab/>
        <w:t>If a judgment creditor allows an objection under the Act section 41(1), the judgment creditor must give notice of the fact to the court by ordinary service within 7 days of the allowance being made.</w:t>
      </w:r>
    </w:p>
    <w:p>
      <w:pPr>
        <w:pStyle w:val="Penstart"/>
        <w:spacing w:before="60"/>
      </w:pPr>
      <w:r>
        <w:tab/>
        <w:t>Penalty: $500.</w:t>
      </w:r>
    </w:p>
    <w:p>
      <w:pPr>
        <w:pStyle w:val="Heading5"/>
        <w:keepNext w:val="0"/>
        <w:keepLines w:val="0"/>
        <w:spacing w:before="180"/>
      </w:pPr>
      <w:bookmarkStart w:id="51" w:name="_Toc47081992"/>
      <w:r>
        <w:rPr>
          <w:rStyle w:val="CharSectno"/>
        </w:rPr>
        <w:t>27</w:t>
      </w:r>
      <w:r>
        <w:t>.</w:t>
      </w:r>
      <w:r>
        <w:tab/>
        <w:t>Objection to earnings appropriation order</w:t>
      </w:r>
      <w:bookmarkEnd w:id="51"/>
    </w:p>
    <w:p>
      <w:pPr>
        <w:pStyle w:val="Subsection"/>
        <w:spacing w:before="120"/>
      </w:pPr>
      <w:r>
        <w:tab/>
        <w:t>(1)</w:t>
      </w:r>
      <w:r>
        <w:tab/>
        <w:t>A notice under the Act section 41(3) must be given by ordinary service.</w:t>
      </w:r>
    </w:p>
    <w:p>
      <w:pPr>
        <w:pStyle w:val="Subsection"/>
        <w:spacing w:before="120"/>
      </w:pPr>
      <w:r>
        <w:tab/>
        <w:t>(2)</w:t>
      </w:r>
      <w:r>
        <w:tab/>
        <w:t>Notice of the allowance of an objection required to be given under the Act section 41(5) must be given by ordinary service.</w:t>
      </w:r>
    </w:p>
    <w:p>
      <w:pPr>
        <w:pStyle w:val="Heading3"/>
        <w:spacing w:before="200"/>
      </w:pPr>
      <w:bookmarkStart w:id="52" w:name="_Toc47014416"/>
      <w:bookmarkStart w:id="53" w:name="_Toc47014979"/>
      <w:bookmarkStart w:id="54" w:name="_Toc47081993"/>
      <w:r>
        <w:rPr>
          <w:rStyle w:val="CharDivNo"/>
        </w:rPr>
        <w:t>Division 4</w:t>
      </w:r>
      <w:r>
        <w:t> — </w:t>
      </w:r>
      <w:r>
        <w:rPr>
          <w:rStyle w:val="CharDivText"/>
        </w:rPr>
        <w:t>Debt appropriation order</w:t>
      </w:r>
      <w:bookmarkEnd w:id="52"/>
      <w:bookmarkEnd w:id="53"/>
      <w:bookmarkEnd w:id="54"/>
    </w:p>
    <w:p>
      <w:pPr>
        <w:pStyle w:val="Heading5"/>
        <w:spacing w:before="180"/>
      </w:pPr>
      <w:bookmarkStart w:id="55" w:name="_Toc47081994"/>
      <w:r>
        <w:rPr>
          <w:rStyle w:val="CharSectno"/>
        </w:rPr>
        <w:t>28</w:t>
      </w:r>
      <w:r>
        <w:t>.</w:t>
      </w:r>
      <w:r>
        <w:tab/>
        <w:t>Application</w:t>
      </w:r>
      <w:bookmarkEnd w:id="55"/>
    </w:p>
    <w:p>
      <w:pPr>
        <w:pStyle w:val="Subsection"/>
        <w:spacing w:before="120"/>
      </w:pPr>
      <w:r>
        <w:tab/>
      </w:r>
      <w:r>
        <w:tab/>
        <w:t>An application for a debt appropriation order under the Act section 49(1) must be made in an approved form supported by an affidavit.</w:t>
      </w:r>
    </w:p>
    <w:p>
      <w:pPr>
        <w:pStyle w:val="Heading5"/>
        <w:spacing w:before="180"/>
      </w:pPr>
      <w:bookmarkStart w:id="56" w:name="_Toc47081995"/>
      <w:r>
        <w:rPr>
          <w:rStyle w:val="CharSectno"/>
        </w:rPr>
        <w:t>29</w:t>
      </w:r>
      <w:r>
        <w:t>.</w:t>
      </w:r>
      <w:r>
        <w:tab/>
        <w:t>Service of debt appropriation order</w:t>
      </w:r>
      <w:bookmarkEnd w:id="56"/>
    </w:p>
    <w:p>
      <w:pPr>
        <w:pStyle w:val="Subsection"/>
        <w:spacing w:before="120"/>
      </w:pPr>
      <w:r>
        <w:tab/>
      </w:r>
      <w:r>
        <w:tab/>
        <w:t>A judgment creditor must serve the debt appropriation order on the third person under the Act section 50(2) by ordinary service.</w:t>
      </w:r>
    </w:p>
    <w:p>
      <w:pPr>
        <w:pStyle w:val="Heading5"/>
        <w:spacing w:before="180"/>
      </w:pPr>
      <w:bookmarkStart w:id="57" w:name="_Toc47081996"/>
      <w:r>
        <w:rPr>
          <w:rStyle w:val="CharSectno"/>
        </w:rPr>
        <w:t>30</w:t>
      </w:r>
      <w:r>
        <w:t>.</w:t>
      </w:r>
      <w:r>
        <w:tab/>
        <w:t>Service of notice under Act section 51(7)</w:t>
      </w:r>
      <w:bookmarkEnd w:id="57"/>
    </w:p>
    <w:p>
      <w:pPr>
        <w:pStyle w:val="Subsection"/>
        <w:spacing w:before="120"/>
      </w:pPr>
      <w:r>
        <w:tab/>
      </w:r>
      <w:r>
        <w:tab/>
        <w:t>A judgment creditor must give a notice to a third person under the Act section 51(7) by ordinary service.</w:t>
      </w:r>
    </w:p>
    <w:p>
      <w:pPr>
        <w:pStyle w:val="Heading5"/>
        <w:keepNext w:val="0"/>
        <w:keepLines w:val="0"/>
        <w:spacing w:before="160"/>
      </w:pPr>
      <w:bookmarkStart w:id="58" w:name="_Toc47081997"/>
      <w:r>
        <w:rPr>
          <w:rStyle w:val="CharSectno"/>
        </w:rPr>
        <w:t>31</w:t>
      </w:r>
      <w:r>
        <w:t>.</w:t>
      </w:r>
      <w:r>
        <w:tab/>
        <w:t>Expenses of obeying a debt appropriation order: Act section 53(1)</w:t>
      </w:r>
      <w:bookmarkEnd w:id="58"/>
    </w:p>
    <w:p>
      <w:pPr>
        <w:pStyle w:val="Subsection"/>
        <w:spacing w:before="120"/>
      </w:pPr>
      <w:r>
        <w:tab/>
      </w:r>
      <w:r>
        <w:tab/>
        <w:t xml:space="preserve">For the purposes of the Act section 53(1), the prescribed amount is — </w:t>
      </w:r>
    </w:p>
    <w:p>
      <w:pPr>
        <w:pStyle w:val="Indenta"/>
        <w:spacing w:before="60"/>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59" w:name="_Toc47081998"/>
      <w:r>
        <w:rPr>
          <w:rStyle w:val="CharSectno"/>
        </w:rPr>
        <w:t>32</w:t>
      </w:r>
      <w:r>
        <w:t>.</w:t>
      </w:r>
      <w:r>
        <w:tab/>
        <w:t>Service of objection to debt appropriation order</w:t>
      </w:r>
      <w:bookmarkEnd w:id="59"/>
    </w:p>
    <w:p>
      <w:pPr>
        <w:pStyle w:val="Subsection"/>
      </w:pPr>
      <w:r>
        <w:tab/>
      </w:r>
      <w:r>
        <w:tab/>
        <w:t>The court must serve a copy of the objection on the persons referred to in the Act section 54(3) by ordinary service.</w:t>
      </w:r>
    </w:p>
    <w:p>
      <w:pPr>
        <w:pStyle w:val="Heading5"/>
        <w:spacing w:before="180"/>
      </w:pPr>
      <w:bookmarkStart w:id="60" w:name="_Toc47081999"/>
      <w:r>
        <w:rPr>
          <w:rStyle w:val="CharSectno"/>
        </w:rPr>
        <w:t>33</w:t>
      </w:r>
      <w:r>
        <w:t>.</w:t>
      </w:r>
      <w:r>
        <w:tab/>
        <w:t>Notice to court of allowance of objection by judgment creditor</w:t>
      </w:r>
      <w:bookmarkEnd w:id="60"/>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240"/>
      </w:pPr>
      <w:bookmarkStart w:id="61" w:name="_Toc47082000"/>
      <w:r>
        <w:rPr>
          <w:rStyle w:val="CharSectno"/>
        </w:rPr>
        <w:t>34</w:t>
      </w:r>
      <w:r>
        <w:t>.</w:t>
      </w:r>
      <w:r>
        <w:tab/>
        <w:t>Objection to debt appropriation order</w:t>
      </w:r>
      <w:bookmarkEnd w:id="61"/>
    </w:p>
    <w:p>
      <w:pPr>
        <w:pStyle w:val="Subsection"/>
      </w:pPr>
      <w:r>
        <w:tab/>
      </w:r>
      <w:r>
        <w:tab/>
        <w:t>A notice under the Act section 55(3) must be given by ordinary service.</w:t>
      </w:r>
    </w:p>
    <w:p>
      <w:pPr>
        <w:pStyle w:val="Heading3"/>
      </w:pPr>
      <w:bookmarkStart w:id="62" w:name="_Toc47014424"/>
      <w:bookmarkStart w:id="63" w:name="_Toc47014987"/>
      <w:bookmarkStart w:id="64" w:name="_Toc47082001"/>
      <w:r>
        <w:rPr>
          <w:rStyle w:val="CharDivNo"/>
        </w:rPr>
        <w:t>Division 5</w:t>
      </w:r>
      <w:r>
        <w:t> — </w:t>
      </w:r>
      <w:r>
        <w:rPr>
          <w:rStyle w:val="CharDivText"/>
        </w:rPr>
        <w:t>Property (seizure and sale) order</w:t>
      </w:r>
      <w:bookmarkEnd w:id="62"/>
      <w:bookmarkEnd w:id="63"/>
      <w:bookmarkEnd w:id="64"/>
    </w:p>
    <w:p>
      <w:pPr>
        <w:pStyle w:val="Heading5"/>
        <w:spacing w:before="240"/>
      </w:pPr>
      <w:bookmarkStart w:id="65" w:name="_Toc47082002"/>
      <w:r>
        <w:rPr>
          <w:rStyle w:val="CharSectno"/>
        </w:rPr>
        <w:t>35</w:t>
      </w:r>
      <w:r>
        <w:t>.</w:t>
      </w:r>
      <w:r>
        <w:tab/>
        <w:t>Property that cannot be seized and sold under property (seizure and sale) order</w:t>
      </w:r>
      <w:bookmarkEnd w:id="65"/>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spacing w:before="120"/>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Gazette 13 Dec 2005 p. 5984</w:t>
      </w:r>
      <w:r>
        <w:noBreakHyphen/>
        <w:t>5.]</w:t>
      </w:r>
    </w:p>
    <w:p>
      <w:pPr>
        <w:pStyle w:val="Heading5"/>
        <w:spacing w:before="180"/>
      </w:pPr>
      <w:bookmarkStart w:id="66" w:name="_Toc47082003"/>
      <w:r>
        <w:rPr>
          <w:rStyle w:val="CharSectno"/>
        </w:rPr>
        <w:t>36</w:t>
      </w:r>
      <w:r>
        <w:t>.</w:t>
      </w:r>
      <w:r>
        <w:tab/>
        <w:t>Separate property (seizure and sale) order for costs</w:t>
      </w:r>
      <w:bookmarkEnd w:id="66"/>
    </w:p>
    <w:p>
      <w:pPr>
        <w:pStyle w:val="Subsection"/>
        <w:spacing w:before="120"/>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spacing w:before="120"/>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spacing w:before="180"/>
      </w:pPr>
      <w:bookmarkStart w:id="67" w:name="_Toc47082004"/>
      <w:r>
        <w:rPr>
          <w:rStyle w:val="CharSectno"/>
        </w:rPr>
        <w:t>37</w:t>
      </w:r>
      <w:r>
        <w:t>.</w:t>
      </w:r>
      <w:r>
        <w:tab/>
        <w:t>Other information to be included in property (seizure and sale) order</w:t>
      </w:r>
      <w:bookmarkEnd w:id="67"/>
    </w:p>
    <w:p>
      <w:pPr>
        <w:pStyle w:val="Subsection"/>
        <w:spacing w:before="120"/>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spacing w:before="80"/>
        <w:ind w:left="890" w:hanging="890"/>
      </w:pPr>
      <w:r>
        <w:tab/>
        <w:t>[Regulation 37 amended: Gazette 14 Dec 2007 p. 6240.]</w:t>
      </w:r>
    </w:p>
    <w:p>
      <w:pPr>
        <w:pStyle w:val="Heading5"/>
      </w:pPr>
      <w:bookmarkStart w:id="68" w:name="_Toc47082005"/>
      <w:r>
        <w:rPr>
          <w:rStyle w:val="CharSectno"/>
        </w:rPr>
        <w:t>38</w:t>
      </w:r>
      <w:r>
        <w:t>.</w:t>
      </w:r>
      <w:r>
        <w:tab/>
        <w:t>Service of property (seizure and sale) order on Sheriff</w:t>
      </w:r>
      <w:bookmarkEnd w:id="68"/>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Magistrates Court is served on the Sheriff under the Act section 60(2) by serving it by ordinary service — </w:t>
      </w:r>
    </w:p>
    <w:p>
      <w:pPr>
        <w:pStyle w:val="Indenta"/>
      </w:pPr>
      <w:r>
        <w:tab/>
        <w:t>(a)</w:t>
      </w:r>
      <w:r>
        <w:tab/>
        <w:t>on the Sheriff at the Sheriff’s Office at Perth; or</w:t>
      </w:r>
    </w:p>
    <w:p>
      <w:pPr>
        <w:pStyle w:val="Indenta"/>
      </w:pPr>
      <w:r>
        <w:tab/>
        <w:t>(b)</w:t>
      </w:r>
      <w:r>
        <w:tab/>
        <w:t>on the bailiff whose office is nearest to the place where there is property that may be seized under the order.</w:t>
      </w:r>
    </w:p>
    <w:p>
      <w:pPr>
        <w:pStyle w:val="Heading5"/>
        <w:spacing w:before="180"/>
      </w:pPr>
      <w:bookmarkStart w:id="69" w:name="_Toc47082006"/>
      <w:r>
        <w:rPr>
          <w:rStyle w:val="CharSectno"/>
        </w:rPr>
        <w:t>39</w:t>
      </w:r>
      <w:r>
        <w:t>.</w:t>
      </w:r>
      <w:r>
        <w:tab/>
        <w:t>Notice of application under Act section 69(2)</w:t>
      </w:r>
      <w:bookmarkEnd w:id="69"/>
    </w:p>
    <w:p>
      <w:pPr>
        <w:pStyle w:val="Subsection"/>
      </w:pPr>
      <w:r>
        <w:tab/>
      </w:r>
      <w:r>
        <w:tab/>
        <w:t>An application under the Act section 69(2) must be given to the judgment debtor by ordinary service.</w:t>
      </w:r>
    </w:p>
    <w:p>
      <w:pPr>
        <w:pStyle w:val="Heading5"/>
        <w:spacing w:before="180"/>
      </w:pPr>
      <w:bookmarkStart w:id="70" w:name="_Toc47082007"/>
      <w:r>
        <w:rPr>
          <w:rStyle w:val="CharSectno"/>
        </w:rPr>
        <w:t>40</w:t>
      </w:r>
      <w:r>
        <w:t>.</w:t>
      </w:r>
      <w:r>
        <w:tab/>
        <w:t>Seizure notice, further information</w:t>
      </w:r>
      <w:bookmarkEnd w:id="70"/>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71" w:name="_Toc47082008"/>
      <w:r>
        <w:rPr>
          <w:rStyle w:val="CharSectno"/>
        </w:rPr>
        <w:t>41</w:t>
      </w:r>
      <w:r>
        <w:t>.</w:t>
      </w:r>
      <w:r>
        <w:tab/>
        <w:t>Certain notices to judgment debtor and Sheriff</w:t>
      </w:r>
      <w:bookmarkEnd w:id="71"/>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spacing w:before="80"/>
      </w:pPr>
      <w:r>
        <w:tab/>
      </w:r>
      <w:r>
        <w:tab/>
        <w:t>as the case may be.</w:t>
      </w:r>
    </w:p>
    <w:p>
      <w:pPr>
        <w:pStyle w:val="Footnotesection"/>
      </w:pPr>
      <w:r>
        <w:tab/>
        <w:t>[Regulation 41 amended: Gazette 14 Dec 2007 p. 6240</w:t>
      </w:r>
      <w:r>
        <w:noBreakHyphen/>
        <w:t>1.]</w:t>
      </w:r>
    </w:p>
    <w:p>
      <w:pPr>
        <w:pStyle w:val="Heading5"/>
      </w:pPr>
      <w:bookmarkStart w:id="72" w:name="_Toc47082009"/>
      <w:r>
        <w:rPr>
          <w:rStyle w:val="CharSectno"/>
        </w:rPr>
        <w:t>42</w:t>
      </w:r>
      <w:r>
        <w:t>.</w:t>
      </w:r>
      <w:r>
        <w:tab/>
        <w:t>Mode of sale</w:t>
      </w:r>
      <w:bookmarkEnd w:id="72"/>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73" w:name="_Toc47082010"/>
      <w:r>
        <w:rPr>
          <w:rStyle w:val="CharSectno"/>
        </w:rPr>
        <w:t>43</w:t>
      </w:r>
      <w:r>
        <w:t>.</w:t>
      </w:r>
      <w:r>
        <w:tab/>
        <w:t>Priority of orders, establishing by ballot</w:t>
      </w:r>
      <w:bookmarkEnd w:id="73"/>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 and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74" w:name="_Toc47082011"/>
      <w:r>
        <w:rPr>
          <w:rStyle w:val="CharSectno"/>
        </w:rPr>
        <w:t>44</w:t>
      </w:r>
      <w:r>
        <w:t>.</w:t>
      </w:r>
      <w:r>
        <w:tab/>
        <w:t>Procedure for conducting ballot</w:t>
      </w:r>
      <w:bookmarkEnd w:id="74"/>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75" w:name="_Toc47082012"/>
      <w:r>
        <w:rPr>
          <w:rStyle w:val="CharSectno"/>
        </w:rPr>
        <w:t>45</w:t>
      </w:r>
      <w:r>
        <w:t>.</w:t>
      </w:r>
      <w:r>
        <w:tab/>
        <w:t>Account of sale under property (seizure and sale) order</w:t>
      </w:r>
      <w:bookmarkEnd w:id="75"/>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76" w:name="_Toc47014436"/>
      <w:bookmarkStart w:id="77" w:name="_Toc47014999"/>
      <w:bookmarkStart w:id="78" w:name="_Toc47082013"/>
      <w:r>
        <w:rPr>
          <w:rStyle w:val="CharDivNo"/>
        </w:rPr>
        <w:t>Division 6</w:t>
      </w:r>
      <w:r>
        <w:t> — </w:t>
      </w:r>
      <w:r>
        <w:rPr>
          <w:rStyle w:val="CharDivText"/>
        </w:rPr>
        <w:t>Interpleader</w:t>
      </w:r>
      <w:bookmarkEnd w:id="76"/>
      <w:bookmarkEnd w:id="77"/>
      <w:bookmarkEnd w:id="78"/>
    </w:p>
    <w:p>
      <w:pPr>
        <w:pStyle w:val="Heading5"/>
      </w:pPr>
      <w:bookmarkStart w:id="79" w:name="_Toc47082014"/>
      <w:r>
        <w:rPr>
          <w:rStyle w:val="CharSectno"/>
        </w:rPr>
        <w:t>46</w:t>
      </w:r>
      <w:r>
        <w:t>.</w:t>
      </w:r>
      <w:r>
        <w:tab/>
        <w:t>Notice of claim</w:t>
      </w:r>
      <w:bookmarkEnd w:id="79"/>
    </w:p>
    <w:p>
      <w:pPr>
        <w:pStyle w:val="Subsection"/>
      </w:pPr>
      <w:r>
        <w:tab/>
      </w:r>
      <w:r>
        <w:tab/>
        <w:t>A claim under the Act section 83(1) must be given to the Sheriff by ordinary service.</w:t>
      </w:r>
    </w:p>
    <w:p>
      <w:pPr>
        <w:pStyle w:val="Heading5"/>
      </w:pPr>
      <w:bookmarkStart w:id="80" w:name="_Toc47082015"/>
      <w:r>
        <w:rPr>
          <w:rStyle w:val="CharSectno"/>
        </w:rPr>
        <w:t>47</w:t>
      </w:r>
      <w:r>
        <w:t>.</w:t>
      </w:r>
      <w:r>
        <w:tab/>
        <w:t>Notice by Sheriff to judgment creditor</w:t>
      </w:r>
      <w:bookmarkEnd w:id="80"/>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81" w:name="_Toc47082016"/>
      <w:r>
        <w:rPr>
          <w:rStyle w:val="CharSectno"/>
        </w:rPr>
        <w:t>48</w:t>
      </w:r>
      <w:r>
        <w:t>.</w:t>
      </w:r>
      <w:r>
        <w:tab/>
        <w:t>Admitting claim</w:t>
      </w:r>
      <w:bookmarkEnd w:id="81"/>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82" w:name="_Toc47082017"/>
      <w:r>
        <w:rPr>
          <w:rStyle w:val="CharSectno"/>
        </w:rPr>
        <w:t>49</w:t>
      </w:r>
      <w:r>
        <w:t>.</w:t>
      </w:r>
      <w:r>
        <w:tab/>
        <w:t>Application by Sheriff</w:t>
      </w:r>
      <w:bookmarkEnd w:id="82"/>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 and</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83" w:name="_Toc47082018"/>
      <w:r>
        <w:rPr>
          <w:rStyle w:val="CharSectno"/>
        </w:rPr>
        <w:t>50</w:t>
      </w:r>
      <w:r>
        <w:t>.</w:t>
      </w:r>
      <w:r>
        <w:tab/>
        <w:t>Location of interpleader proceedings</w:t>
      </w:r>
      <w:bookmarkEnd w:id="83"/>
    </w:p>
    <w:p>
      <w:pPr>
        <w:pStyle w:val="Subsection"/>
      </w:pPr>
      <w:r>
        <w:tab/>
        <w:t>(1)</w:t>
      </w:r>
      <w:r>
        <w:tab/>
        <w:t>In the case of interpleader proceedings in the District Court or the Magistrates Court,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spacing w:before="180"/>
      </w:pPr>
      <w:bookmarkStart w:id="84" w:name="_Toc47082019"/>
      <w:r>
        <w:rPr>
          <w:rStyle w:val="CharSectno"/>
        </w:rPr>
        <w:t>51</w:t>
      </w:r>
      <w:r>
        <w:t>.</w:t>
      </w:r>
      <w:r>
        <w:tab/>
        <w:t>Interpleader proceedings</w:t>
      </w:r>
      <w:bookmarkEnd w:id="84"/>
    </w:p>
    <w:p>
      <w:pPr>
        <w:pStyle w:val="Subsection"/>
        <w:spacing w:before="120"/>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spacing w:before="120"/>
      </w:pPr>
      <w:r>
        <w:tab/>
        <w:t>(2)</w:t>
      </w:r>
      <w:r>
        <w:tab/>
        <w:t>The name, address and description of the claimant must be fully set out in those particulars.</w:t>
      </w:r>
    </w:p>
    <w:p>
      <w:pPr>
        <w:pStyle w:val="Subsection"/>
        <w:spacing w:before="120"/>
      </w:pPr>
      <w:r>
        <w:tab/>
        <w:t>(3)</w:t>
      </w:r>
      <w:r>
        <w:tab/>
        <w:t>The court must immediately give the Sheriff and the judgment creditor a copy of the particulars by ordinary service.</w:t>
      </w:r>
    </w:p>
    <w:p>
      <w:pPr>
        <w:pStyle w:val="Subsection"/>
        <w:spacing w:before="120"/>
      </w:pPr>
      <w:r>
        <w:tab/>
        <w:t>(4)</w:t>
      </w:r>
      <w:r>
        <w:tab/>
        <w:t>A hearing in relation to a claim is to proceed as if the claimant were the plaintiff, and the judgment creditor the defendant.</w:t>
      </w:r>
    </w:p>
    <w:p>
      <w:pPr>
        <w:pStyle w:val="Subsection"/>
        <w:spacing w:before="120"/>
      </w:pPr>
      <w:r>
        <w:tab/>
        <w:t>(5)</w:t>
      </w:r>
      <w:r>
        <w:tab/>
        <w:t>The Sheriff need not attend the hearing unless required to do so by order of the court.</w:t>
      </w:r>
    </w:p>
    <w:p>
      <w:pPr>
        <w:pStyle w:val="Heading5"/>
        <w:spacing w:before="180"/>
      </w:pPr>
      <w:bookmarkStart w:id="85" w:name="_Toc47082020"/>
      <w:r>
        <w:rPr>
          <w:rStyle w:val="CharSectno"/>
        </w:rPr>
        <w:t>52</w:t>
      </w:r>
      <w:r>
        <w:t>.</w:t>
      </w:r>
      <w:r>
        <w:tab/>
        <w:t>Power to delay sale</w:t>
      </w:r>
      <w:bookmarkEnd w:id="85"/>
    </w:p>
    <w:p>
      <w:pPr>
        <w:pStyle w:val="Subsection"/>
        <w:spacing w:before="120"/>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86" w:name="_Toc47082021"/>
      <w:r>
        <w:rPr>
          <w:rStyle w:val="CharSectno"/>
        </w:rPr>
        <w:t>53</w:t>
      </w:r>
      <w:r>
        <w:t>.</w:t>
      </w:r>
      <w:r>
        <w:tab/>
        <w:t>Other information as to claim</w:t>
      </w:r>
      <w:bookmarkEnd w:id="86"/>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87" w:name="_Toc47014445"/>
      <w:bookmarkStart w:id="88" w:name="_Toc47015008"/>
      <w:bookmarkStart w:id="89" w:name="_Toc47082022"/>
      <w:r>
        <w:rPr>
          <w:rStyle w:val="CharDivNo"/>
        </w:rPr>
        <w:t>Division 7</w:t>
      </w:r>
      <w:r>
        <w:t> — </w:t>
      </w:r>
      <w:r>
        <w:rPr>
          <w:rStyle w:val="CharDivText"/>
        </w:rPr>
        <w:t>Receivers and special remedies</w:t>
      </w:r>
      <w:bookmarkEnd w:id="87"/>
      <w:bookmarkEnd w:id="88"/>
      <w:bookmarkEnd w:id="89"/>
    </w:p>
    <w:p>
      <w:pPr>
        <w:pStyle w:val="Heading5"/>
      </w:pPr>
      <w:bookmarkStart w:id="90" w:name="_Toc47082023"/>
      <w:r>
        <w:rPr>
          <w:rStyle w:val="CharSectno"/>
        </w:rPr>
        <w:t>54</w:t>
      </w:r>
      <w:r>
        <w:t>.</w:t>
      </w:r>
      <w:r>
        <w:tab/>
        <w:t>Application</w:t>
      </w:r>
      <w:bookmarkEnd w:id="90"/>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spacing w:before="60"/>
      </w:pPr>
      <w:r>
        <w:tab/>
        <w:t>(a)</w:t>
      </w:r>
      <w:r>
        <w:tab/>
        <w:t>make an order under the Act section 86(1)(c) or (d); and</w:t>
      </w:r>
    </w:p>
    <w:p>
      <w:pPr>
        <w:pStyle w:val="Indenta"/>
        <w:spacing w:before="60"/>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91" w:name="_Toc47082024"/>
      <w:r>
        <w:rPr>
          <w:rStyle w:val="CharSectno"/>
        </w:rPr>
        <w:t>55</w:t>
      </w:r>
      <w:r>
        <w:t>.</w:t>
      </w:r>
      <w:r>
        <w:tab/>
        <w:t>Form of order</w:t>
      </w:r>
      <w:bookmarkEnd w:id="91"/>
    </w:p>
    <w:p>
      <w:pPr>
        <w:pStyle w:val="Subsection"/>
      </w:pPr>
      <w:r>
        <w:tab/>
      </w:r>
      <w:r>
        <w:tab/>
        <w:t>An order under the Act section 86(1) must be in an approved form.</w:t>
      </w:r>
    </w:p>
    <w:p>
      <w:pPr>
        <w:pStyle w:val="Heading5"/>
      </w:pPr>
      <w:bookmarkStart w:id="92" w:name="_Toc47082025"/>
      <w:r>
        <w:rPr>
          <w:rStyle w:val="CharSectno"/>
        </w:rPr>
        <w:t>56</w:t>
      </w:r>
      <w:r>
        <w:t>.</w:t>
      </w:r>
      <w:r>
        <w:tab/>
        <w:t>Receiver’s security</w:t>
      </w:r>
      <w:bookmarkEnd w:id="92"/>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93" w:name="_Toc47082026"/>
      <w:r>
        <w:rPr>
          <w:rStyle w:val="CharSectno"/>
        </w:rPr>
        <w:t>57</w:t>
      </w:r>
      <w:r>
        <w:t>.</w:t>
      </w:r>
      <w:r>
        <w:tab/>
        <w:t>Accounts</w:t>
      </w:r>
      <w:bookmarkEnd w:id="93"/>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94" w:name="_Toc47082027"/>
      <w:r>
        <w:rPr>
          <w:rStyle w:val="CharSectno"/>
        </w:rPr>
        <w:t>58</w:t>
      </w:r>
      <w:r>
        <w:t>.</w:t>
      </w:r>
      <w:r>
        <w:tab/>
        <w:t>Payment of balances by receiver</w:t>
      </w:r>
      <w:bookmarkEnd w:id="94"/>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95" w:name="_Toc47082028"/>
      <w:r>
        <w:rPr>
          <w:rStyle w:val="CharSectno"/>
        </w:rPr>
        <w:t>59</w:t>
      </w:r>
      <w:r>
        <w:t>.</w:t>
      </w:r>
      <w:r>
        <w:tab/>
        <w:t>Default by receiver</w:t>
      </w:r>
      <w:bookmarkEnd w:id="95"/>
    </w:p>
    <w:p>
      <w:pPr>
        <w:pStyle w:val="Subsection"/>
        <w:keepNext/>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 xml:space="preserve">to file an account or affidavit; or </w:t>
      </w:r>
    </w:p>
    <w:p>
      <w:pPr>
        <w:pStyle w:val="Indenta"/>
      </w:pPr>
      <w:r>
        <w:tab/>
        <w:t>(b)</w:t>
      </w:r>
      <w:r>
        <w:tab/>
        <w:t>to attend for the passing of any account of the receiver; or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 and</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spacing w:before="180"/>
      </w:pPr>
      <w:bookmarkStart w:id="96" w:name="_Toc47082029"/>
      <w:r>
        <w:rPr>
          <w:rStyle w:val="CharSectno"/>
        </w:rPr>
        <w:t>60</w:t>
      </w:r>
      <w:r>
        <w:t>.</w:t>
      </w:r>
      <w:r>
        <w:tab/>
        <w:t>Accounts to be deposited</w:t>
      </w:r>
      <w:bookmarkEnd w:id="96"/>
    </w:p>
    <w:p>
      <w:pPr>
        <w:pStyle w:val="Subsection"/>
      </w:pPr>
      <w:r>
        <w:tab/>
      </w:r>
      <w:r>
        <w:tab/>
        <w:t>When a receivership has been completed, the accounts must be deposited with the court in which the receiver was appointed.</w:t>
      </w:r>
    </w:p>
    <w:p>
      <w:pPr>
        <w:pStyle w:val="Heading5"/>
      </w:pPr>
      <w:bookmarkStart w:id="97" w:name="_Toc47082030"/>
      <w:r>
        <w:rPr>
          <w:rStyle w:val="CharSectno"/>
        </w:rPr>
        <w:t>61</w:t>
      </w:r>
      <w:r>
        <w:t>.</w:t>
      </w:r>
      <w:r>
        <w:tab/>
        <w:t>Sheriff may be appointed as receiver</w:t>
      </w:r>
      <w:bookmarkEnd w:id="97"/>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98" w:name="_Toc47014454"/>
      <w:bookmarkStart w:id="99" w:name="_Toc47015017"/>
      <w:bookmarkStart w:id="100" w:name="_Toc47082031"/>
      <w:r>
        <w:rPr>
          <w:rStyle w:val="CharDivNo"/>
        </w:rPr>
        <w:t>Division 8</w:t>
      </w:r>
      <w:r>
        <w:t> — </w:t>
      </w:r>
      <w:r>
        <w:rPr>
          <w:rStyle w:val="CharDivText"/>
        </w:rPr>
        <w:t>Disobeying time for payment orders and instalment orders</w:t>
      </w:r>
      <w:bookmarkEnd w:id="98"/>
      <w:bookmarkEnd w:id="99"/>
      <w:bookmarkEnd w:id="100"/>
    </w:p>
    <w:p>
      <w:pPr>
        <w:pStyle w:val="Heading5"/>
        <w:spacing w:before="180"/>
      </w:pPr>
      <w:bookmarkStart w:id="101" w:name="_Toc47082032"/>
      <w:r>
        <w:rPr>
          <w:rStyle w:val="CharSectno"/>
        </w:rPr>
        <w:t>62</w:t>
      </w:r>
      <w:r>
        <w:t>.</w:t>
      </w:r>
      <w:r>
        <w:tab/>
        <w:t>Location of default inquiry</w:t>
      </w:r>
      <w:bookmarkEnd w:id="101"/>
    </w:p>
    <w:p>
      <w:pPr>
        <w:pStyle w:val="Subsection"/>
        <w:spacing w:before="120"/>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spacing w:before="120"/>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102" w:name="_Toc47082033"/>
      <w:r>
        <w:rPr>
          <w:rStyle w:val="CharSectno"/>
        </w:rPr>
        <w:t>63</w:t>
      </w:r>
      <w:r>
        <w:t>.</w:t>
      </w:r>
      <w:r>
        <w:tab/>
        <w:t>Notice to judgment creditor</w:t>
      </w:r>
      <w:bookmarkEnd w:id="102"/>
    </w:p>
    <w:p>
      <w:pPr>
        <w:pStyle w:val="Subsection"/>
      </w:pPr>
      <w:r>
        <w:tab/>
      </w:r>
      <w:r>
        <w:tab/>
        <w:t>A notice under the Act section 88(4) must be given by ordinary service.</w:t>
      </w:r>
    </w:p>
    <w:p>
      <w:pPr>
        <w:pStyle w:val="Heading5"/>
      </w:pPr>
      <w:bookmarkStart w:id="103" w:name="_Toc47082034"/>
      <w:r>
        <w:rPr>
          <w:rStyle w:val="CharSectno"/>
        </w:rPr>
        <w:t>64</w:t>
      </w:r>
      <w:r>
        <w:t>.</w:t>
      </w:r>
      <w:r>
        <w:tab/>
        <w:t>Default inquiry summons: Act section 89(1)</w:t>
      </w:r>
      <w:bookmarkEnd w:id="103"/>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104" w:name="_Toc47082035"/>
      <w:r>
        <w:rPr>
          <w:rStyle w:val="CharSectno"/>
        </w:rPr>
        <w:t>65</w:t>
      </w:r>
      <w:r>
        <w:t>.</w:t>
      </w:r>
      <w:r>
        <w:tab/>
        <w:t>Warrant: Act section 89(4)</w:t>
      </w:r>
      <w:bookmarkEnd w:id="104"/>
    </w:p>
    <w:p>
      <w:pPr>
        <w:pStyle w:val="Subsection"/>
      </w:pPr>
      <w:r>
        <w:tab/>
      </w:r>
      <w:r>
        <w:tab/>
        <w:t>A warrant to arrest a person under the Act section 89(4) must be in the form of Form 1.</w:t>
      </w:r>
    </w:p>
    <w:p>
      <w:pPr>
        <w:pStyle w:val="Heading5"/>
      </w:pPr>
      <w:bookmarkStart w:id="105" w:name="_Toc47082036"/>
      <w:r>
        <w:rPr>
          <w:rStyle w:val="CharSectno"/>
        </w:rPr>
        <w:t>66</w:t>
      </w:r>
      <w:r>
        <w:t>.</w:t>
      </w:r>
      <w:r>
        <w:tab/>
        <w:t>Proof of non</w:t>
      </w:r>
      <w:r>
        <w:noBreakHyphen/>
        <w:t>compliance</w:t>
      </w:r>
      <w:bookmarkEnd w:id="105"/>
    </w:p>
    <w:p>
      <w:pPr>
        <w:pStyle w:val="Subsection"/>
      </w:pPr>
      <w:r>
        <w:tab/>
      </w:r>
      <w:r>
        <w:tab/>
        <w:t>Proof of non</w:t>
      </w:r>
      <w:r>
        <w:noBreakHyphen/>
        <w:t>compliance under the Act section 90(5) must be provided by an affidavit.</w:t>
      </w:r>
    </w:p>
    <w:p>
      <w:pPr>
        <w:pStyle w:val="Heading5"/>
      </w:pPr>
      <w:bookmarkStart w:id="106" w:name="_Toc47082037"/>
      <w:r>
        <w:rPr>
          <w:rStyle w:val="CharSectno"/>
        </w:rPr>
        <w:t>67</w:t>
      </w:r>
      <w:r>
        <w:t>.</w:t>
      </w:r>
      <w:r>
        <w:tab/>
        <w:t>Judgment creditor’s advice</w:t>
      </w:r>
      <w:bookmarkEnd w:id="106"/>
    </w:p>
    <w:p>
      <w:pPr>
        <w:pStyle w:val="Subsection"/>
      </w:pPr>
      <w:r>
        <w:tab/>
      </w:r>
      <w:r>
        <w:tab/>
        <w:t>The advice that the judgment creditor is required to give the Sheriff under the Act section 91 must be given in writing by ordinary service.</w:t>
      </w:r>
    </w:p>
    <w:p>
      <w:pPr>
        <w:pStyle w:val="Heading5"/>
      </w:pPr>
      <w:bookmarkStart w:id="107" w:name="_Toc47082038"/>
      <w:r>
        <w:rPr>
          <w:rStyle w:val="CharSectno"/>
        </w:rPr>
        <w:t>68</w:t>
      </w:r>
      <w:r>
        <w:t>.</w:t>
      </w:r>
      <w:r>
        <w:tab/>
        <w:t>Notice of arrest of person</w:t>
      </w:r>
      <w:bookmarkEnd w:id="107"/>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108" w:name="_Toc47082039"/>
      <w:r>
        <w:rPr>
          <w:rStyle w:val="CharSectno"/>
        </w:rPr>
        <w:t>69</w:t>
      </w:r>
      <w:r>
        <w:t>.</w:t>
      </w:r>
      <w:r>
        <w:tab/>
        <w:t>Advice that judgment debtor should be released</w:t>
      </w:r>
      <w:bookmarkEnd w:id="108"/>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109" w:name="_Toc47082040"/>
      <w:r>
        <w:rPr>
          <w:rStyle w:val="CharSectno"/>
        </w:rPr>
        <w:t>70</w:t>
      </w:r>
      <w:r>
        <w:t>.</w:t>
      </w:r>
      <w:r>
        <w:tab/>
        <w:t>Judgment creditor’s request that person be released</w:t>
      </w:r>
      <w:bookmarkEnd w:id="109"/>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110" w:name="_Toc47082041"/>
      <w:r>
        <w:rPr>
          <w:rStyle w:val="CharSectno"/>
        </w:rPr>
        <w:t>71</w:t>
      </w:r>
      <w:r>
        <w:t>.</w:t>
      </w:r>
      <w:r>
        <w:tab/>
        <w:t>Superintendent to be advised of judgment debt outstanding</w:t>
      </w:r>
      <w:bookmarkEnd w:id="110"/>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 and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111" w:name="_Toc47082042"/>
      <w:r>
        <w:rPr>
          <w:rStyle w:val="CharSectno"/>
        </w:rPr>
        <w:t>72</w:t>
      </w:r>
      <w:r>
        <w:t>.</w:t>
      </w:r>
      <w:r>
        <w:tab/>
        <w:t>Notice of release of person</w:t>
      </w:r>
      <w:bookmarkEnd w:id="111"/>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112" w:name="_Toc47014466"/>
      <w:bookmarkStart w:id="113" w:name="_Toc47015029"/>
      <w:bookmarkStart w:id="114" w:name="_Toc47082043"/>
      <w:r>
        <w:rPr>
          <w:rStyle w:val="CharPartNo"/>
        </w:rPr>
        <w:t>Part 5</w:t>
      </w:r>
      <w:r>
        <w:rPr>
          <w:rStyle w:val="CharDivNo"/>
        </w:rPr>
        <w:t> </w:t>
      </w:r>
      <w:r>
        <w:t>—</w:t>
      </w:r>
      <w:r>
        <w:rPr>
          <w:rStyle w:val="CharDivText"/>
        </w:rPr>
        <w:t> </w:t>
      </w:r>
      <w:r>
        <w:rPr>
          <w:rStyle w:val="CharPartText"/>
        </w:rPr>
        <w:t>Miscellaneous enforcement provisions</w:t>
      </w:r>
      <w:bookmarkEnd w:id="112"/>
      <w:bookmarkEnd w:id="113"/>
      <w:bookmarkEnd w:id="114"/>
    </w:p>
    <w:p>
      <w:pPr>
        <w:pStyle w:val="Heading5"/>
      </w:pPr>
      <w:bookmarkStart w:id="115" w:name="_Toc47082044"/>
      <w:r>
        <w:rPr>
          <w:rStyle w:val="CharSectno"/>
        </w:rPr>
        <w:t>73</w:t>
      </w:r>
      <w:r>
        <w:t>.</w:t>
      </w:r>
      <w:r>
        <w:tab/>
        <w:t>More than one enforcement order</w:t>
      </w:r>
      <w:bookmarkEnd w:id="115"/>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116" w:name="_Toc47082045"/>
      <w:r>
        <w:rPr>
          <w:rStyle w:val="CharSectno"/>
        </w:rPr>
        <w:t>74</w:t>
      </w:r>
      <w:r>
        <w:t>.</w:t>
      </w:r>
      <w:r>
        <w:tab/>
        <w:t>Application for renewal of order or warrant</w:t>
      </w:r>
      <w:bookmarkEnd w:id="116"/>
    </w:p>
    <w:p>
      <w:pPr>
        <w:pStyle w:val="Subsection"/>
      </w:pPr>
      <w:r>
        <w:tab/>
      </w:r>
      <w:r>
        <w:tab/>
        <w:t>An application under the Act section 102(2) or (3) must be in an approved form supported by an affidavit.</w:t>
      </w:r>
    </w:p>
    <w:p>
      <w:pPr>
        <w:pStyle w:val="Heading5"/>
      </w:pPr>
      <w:bookmarkStart w:id="117" w:name="_Toc47082046"/>
      <w:r>
        <w:rPr>
          <w:rStyle w:val="CharSectno"/>
        </w:rPr>
        <w:t>75</w:t>
      </w:r>
      <w:r>
        <w:t>.</w:t>
      </w:r>
      <w:r>
        <w:tab/>
        <w:t>Amending or cancelling orders</w:t>
      </w:r>
      <w:bookmarkEnd w:id="117"/>
    </w:p>
    <w:p>
      <w:pPr>
        <w:pStyle w:val="Subsection"/>
      </w:pPr>
      <w:r>
        <w:tab/>
      </w:r>
      <w:r>
        <w:tab/>
        <w:t>An order made under the Act section 103(2) must be served by ordinary service.</w:t>
      </w:r>
    </w:p>
    <w:p>
      <w:pPr>
        <w:pStyle w:val="Heading5"/>
      </w:pPr>
      <w:bookmarkStart w:id="118" w:name="_Toc47082047"/>
      <w:r>
        <w:rPr>
          <w:rStyle w:val="CharSectno"/>
        </w:rPr>
        <w:t>76</w:t>
      </w:r>
      <w:r>
        <w:t>.</w:t>
      </w:r>
      <w:r>
        <w:tab/>
        <w:t>Suspension of enforcement</w:t>
      </w:r>
      <w:bookmarkEnd w:id="118"/>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119" w:name="_Toc47082048"/>
      <w:r>
        <w:rPr>
          <w:rStyle w:val="CharSectno"/>
        </w:rPr>
        <w:t>77</w:t>
      </w:r>
      <w:r>
        <w:t>.</w:t>
      </w:r>
      <w:r>
        <w:tab/>
        <w:t>Return to enforcement order</w:t>
      </w:r>
      <w:bookmarkEnd w:id="119"/>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120" w:name="_Toc47014472"/>
      <w:bookmarkStart w:id="121" w:name="_Toc47015035"/>
      <w:bookmarkStart w:id="122" w:name="_Toc47082049"/>
      <w:r>
        <w:rPr>
          <w:rStyle w:val="CharPartNo"/>
        </w:rPr>
        <w:t>Part 6</w:t>
      </w:r>
      <w:r>
        <w:t> — </w:t>
      </w:r>
      <w:r>
        <w:rPr>
          <w:rStyle w:val="CharPartText"/>
        </w:rPr>
        <w:t>Service</w:t>
      </w:r>
      <w:bookmarkEnd w:id="120"/>
      <w:bookmarkEnd w:id="121"/>
      <w:bookmarkEnd w:id="122"/>
    </w:p>
    <w:p>
      <w:pPr>
        <w:pStyle w:val="Heading3"/>
      </w:pPr>
      <w:bookmarkStart w:id="123" w:name="_Toc47014473"/>
      <w:bookmarkStart w:id="124" w:name="_Toc47015036"/>
      <w:bookmarkStart w:id="125" w:name="_Toc47082050"/>
      <w:r>
        <w:rPr>
          <w:rStyle w:val="CharDivNo"/>
        </w:rPr>
        <w:t>Division 1</w:t>
      </w:r>
      <w:r>
        <w:t> — </w:t>
      </w:r>
      <w:r>
        <w:rPr>
          <w:rStyle w:val="CharDivText"/>
        </w:rPr>
        <w:t>General</w:t>
      </w:r>
      <w:bookmarkEnd w:id="123"/>
      <w:bookmarkEnd w:id="124"/>
      <w:bookmarkEnd w:id="125"/>
    </w:p>
    <w:p>
      <w:pPr>
        <w:pStyle w:val="Heading5"/>
      </w:pPr>
      <w:bookmarkStart w:id="126" w:name="_Toc47082051"/>
      <w:r>
        <w:rPr>
          <w:rStyle w:val="CharSectno"/>
        </w:rPr>
        <w:t>78</w:t>
      </w:r>
      <w:r>
        <w:t>.</w:t>
      </w:r>
      <w:r>
        <w:tab/>
        <w:t>Personal service: how effected</w:t>
      </w:r>
      <w:bookmarkEnd w:id="126"/>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127" w:name="_Toc47082052"/>
      <w:r>
        <w:rPr>
          <w:rStyle w:val="CharSectno"/>
        </w:rPr>
        <w:t>79</w:t>
      </w:r>
      <w:r>
        <w:t>.</w:t>
      </w:r>
      <w:r>
        <w:tab/>
        <w:t>Ordinary service: how effected</w:t>
      </w:r>
      <w:bookmarkEnd w:id="127"/>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128" w:name="_Toc47082053"/>
      <w:r>
        <w:rPr>
          <w:rStyle w:val="CharSectno"/>
        </w:rPr>
        <w:t>80</w:t>
      </w:r>
      <w:r>
        <w:t>.</w:t>
      </w:r>
      <w:r>
        <w:tab/>
        <w:t>Address for service</w:t>
      </w:r>
      <w:bookmarkEnd w:id="128"/>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Gazette 14 Dec 2007 p. 6241.]</w:t>
      </w:r>
    </w:p>
    <w:p>
      <w:pPr>
        <w:pStyle w:val="Heading5"/>
      </w:pPr>
      <w:bookmarkStart w:id="129" w:name="_Toc47082054"/>
      <w:r>
        <w:rPr>
          <w:rStyle w:val="CharSectno"/>
        </w:rPr>
        <w:t>80A</w:t>
      </w:r>
      <w:r>
        <w:t>.</w:t>
      </w:r>
      <w:r>
        <w:tab/>
        <w:t>Applications and requests to specify address for service</w:t>
      </w:r>
      <w:bookmarkEnd w:id="129"/>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Gazette 14 Dec 2007 p. 6242.]</w:t>
      </w:r>
    </w:p>
    <w:p>
      <w:pPr>
        <w:pStyle w:val="Heading5"/>
      </w:pPr>
      <w:bookmarkStart w:id="130" w:name="_Toc47082055"/>
      <w:r>
        <w:rPr>
          <w:rStyle w:val="CharSectno"/>
        </w:rPr>
        <w:t>81</w:t>
      </w:r>
      <w:r>
        <w:t>.</w:t>
      </w:r>
      <w:r>
        <w:tab/>
        <w:t>Acceptance by lawyer or agent</w:t>
      </w:r>
      <w:bookmarkEnd w:id="130"/>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131" w:name="_Toc47082056"/>
      <w:r>
        <w:rPr>
          <w:rStyle w:val="CharSectno"/>
        </w:rPr>
        <w:t>82</w:t>
      </w:r>
      <w:r>
        <w:t>.</w:t>
      </w:r>
      <w:r>
        <w:tab/>
        <w:t>Apparently ineffective service</w:t>
      </w:r>
      <w:bookmarkEnd w:id="131"/>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132" w:name="_Toc47082057"/>
      <w:r>
        <w:rPr>
          <w:rStyle w:val="CharSectno"/>
        </w:rPr>
        <w:t>83</w:t>
      </w:r>
      <w:r>
        <w:t>.</w:t>
      </w:r>
      <w:r>
        <w:tab/>
        <w:t>Substituted service</w:t>
      </w:r>
      <w:bookmarkEnd w:id="132"/>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133" w:name="_Toc47082058"/>
      <w:r>
        <w:rPr>
          <w:rStyle w:val="CharSectno"/>
        </w:rPr>
        <w:t>84</w:t>
      </w:r>
      <w:r>
        <w:t>.</w:t>
      </w:r>
      <w:r>
        <w:tab/>
        <w:t>Documents served by enforcement officer</w:t>
      </w:r>
      <w:bookmarkEnd w:id="133"/>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134" w:name="_Toc47082059"/>
      <w:r>
        <w:rPr>
          <w:rStyle w:val="CharSectno"/>
        </w:rPr>
        <w:t>85</w:t>
      </w:r>
      <w:r>
        <w:t>.</w:t>
      </w:r>
      <w:r>
        <w:tab/>
        <w:t>Documents served by other persons</w:t>
      </w:r>
      <w:bookmarkEnd w:id="134"/>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135" w:name="_Toc47082060"/>
      <w:r>
        <w:rPr>
          <w:rStyle w:val="CharSectno"/>
        </w:rPr>
        <w:t>86</w:t>
      </w:r>
      <w:r>
        <w:t>.</w:t>
      </w:r>
      <w:r>
        <w:tab/>
        <w:t>Court may inquire into service</w:t>
      </w:r>
      <w:bookmarkEnd w:id="135"/>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136" w:name="_Toc47082061"/>
      <w:r>
        <w:rPr>
          <w:rStyle w:val="CharSectno"/>
        </w:rPr>
        <w:t>87</w:t>
      </w:r>
      <w:r>
        <w:t>.</w:t>
      </w:r>
      <w:r>
        <w:tab/>
        <w:t>Time of service</w:t>
      </w:r>
      <w:bookmarkEnd w:id="136"/>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137" w:name="_Toc47014485"/>
      <w:bookmarkStart w:id="138" w:name="_Toc47015048"/>
      <w:bookmarkStart w:id="139" w:name="_Toc47082062"/>
      <w:r>
        <w:rPr>
          <w:rStyle w:val="CharDivNo"/>
        </w:rPr>
        <w:t>Division 2</w:t>
      </w:r>
      <w:r>
        <w:t> — </w:t>
      </w:r>
      <w:r>
        <w:rPr>
          <w:rStyle w:val="CharDivText"/>
        </w:rPr>
        <w:t>Personal service</w:t>
      </w:r>
      <w:bookmarkEnd w:id="137"/>
      <w:bookmarkEnd w:id="138"/>
      <w:bookmarkEnd w:id="139"/>
    </w:p>
    <w:p>
      <w:pPr>
        <w:pStyle w:val="Heading5"/>
      </w:pPr>
      <w:bookmarkStart w:id="140" w:name="_Toc47082063"/>
      <w:r>
        <w:rPr>
          <w:rStyle w:val="CharSectno"/>
        </w:rPr>
        <w:t>88</w:t>
      </w:r>
      <w:r>
        <w:t>.</w:t>
      </w:r>
      <w:r>
        <w:tab/>
        <w:t>Service of document on individual</w:t>
      </w:r>
      <w:bookmarkEnd w:id="140"/>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Gazette 14 Dec 2007 p. 6242.]</w:t>
      </w:r>
    </w:p>
    <w:p>
      <w:pPr>
        <w:pStyle w:val="Heading5"/>
      </w:pPr>
      <w:bookmarkStart w:id="141" w:name="_Toc47082064"/>
      <w:r>
        <w:rPr>
          <w:rStyle w:val="CharSectno"/>
        </w:rPr>
        <w:t>89</w:t>
      </w:r>
      <w:r>
        <w:t>.</w:t>
      </w:r>
      <w:r>
        <w:tab/>
        <w:t>Service of document on partnership</w:t>
      </w:r>
      <w:bookmarkEnd w:id="141"/>
    </w:p>
    <w:p>
      <w:pPr>
        <w:pStyle w:val="Subsection"/>
      </w:pPr>
      <w:r>
        <w:tab/>
      </w:r>
      <w:r>
        <w:tab/>
        <w:t xml:space="preserve">A document may be served personally on a partnership by — </w:t>
      </w:r>
    </w:p>
    <w:p>
      <w:pPr>
        <w:pStyle w:val="Indenta"/>
      </w:pPr>
      <w:r>
        <w:tab/>
        <w:t>(a)</w:t>
      </w:r>
      <w:r>
        <w:tab/>
        <w:t>leaving the document with one of the partners; or</w:t>
      </w:r>
    </w:p>
    <w:p>
      <w:pPr>
        <w:pStyle w:val="Indenta"/>
      </w:pPr>
      <w:r>
        <w:tab/>
        <w:t>(b)</w:t>
      </w:r>
      <w:r>
        <w:tab/>
        <w:t>if the partner does not accept the document, putting it down in the partner’s presence and advising the partner of the nature of the document; or</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142" w:name="_Toc47082065"/>
      <w:r>
        <w:rPr>
          <w:rStyle w:val="CharSectno"/>
        </w:rPr>
        <w:t>90</w:t>
      </w:r>
      <w:r>
        <w:t>.</w:t>
      </w:r>
      <w:r>
        <w:tab/>
        <w:t>Service of document on corporation</w:t>
      </w:r>
      <w:bookmarkEnd w:id="142"/>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spacing w:before="180"/>
      </w:pPr>
      <w:bookmarkStart w:id="143" w:name="_Toc47082066"/>
      <w:r>
        <w:rPr>
          <w:rStyle w:val="CharSectno"/>
        </w:rPr>
        <w:t>91</w:t>
      </w:r>
      <w:r>
        <w:t>.</w:t>
      </w:r>
      <w:r>
        <w:tab/>
        <w:t>Service of a document on public authority</w:t>
      </w:r>
      <w:bookmarkEnd w:id="143"/>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144" w:name="_Toc47014490"/>
      <w:bookmarkStart w:id="145" w:name="_Toc47015053"/>
      <w:bookmarkStart w:id="146" w:name="_Toc47082067"/>
      <w:r>
        <w:rPr>
          <w:rStyle w:val="CharDivNo"/>
        </w:rPr>
        <w:t>Division 3</w:t>
      </w:r>
      <w:r>
        <w:t> — </w:t>
      </w:r>
      <w:r>
        <w:rPr>
          <w:rStyle w:val="CharDivText"/>
        </w:rPr>
        <w:t>Ordinary service</w:t>
      </w:r>
      <w:bookmarkEnd w:id="144"/>
      <w:bookmarkEnd w:id="145"/>
      <w:bookmarkEnd w:id="146"/>
    </w:p>
    <w:p>
      <w:pPr>
        <w:pStyle w:val="Heading5"/>
        <w:spacing w:before="180"/>
      </w:pPr>
      <w:bookmarkStart w:id="147" w:name="_Toc47082068"/>
      <w:r>
        <w:rPr>
          <w:rStyle w:val="CharSectno"/>
        </w:rPr>
        <w:t>92</w:t>
      </w:r>
      <w:r>
        <w:t>.</w:t>
      </w:r>
      <w:r>
        <w:tab/>
        <w:t>Ordinary service</w:t>
      </w:r>
      <w:bookmarkEnd w:id="147"/>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Gazette 14 Dec 2007 p. 6242.]</w:t>
      </w:r>
    </w:p>
    <w:p>
      <w:pPr>
        <w:pStyle w:val="Heading3"/>
        <w:keepNext w:val="0"/>
        <w:spacing w:before="200"/>
      </w:pPr>
      <w:bookmarkStart w:id="148" w:name="_Toc47014492"/>
      <w:bookmarkStart w:id="149" w:name="_Toc47015055"/>
      <w:bookmarkStart w:id="150" w:name="_Toc47082069"/>
      <w:r>
        <w:rPr>
          <w:rStyle w:val="CharDivNo"/>
        </w:rPr>
        <w:t>Division 4</w:t>
      </w:r>
      <w:r>
        <w:t> — </w:t>
      </w:r>
      <w:r>
        <w:rPr>
          <w:rStyle w:val="CharDivText"/>
        </w:rPr>
        <w:t>Service by email or fax</w:t>
      </w:r>
      <w:bookmarkEnd w:id="148"/>
      <w:bookmarkEnd w:id="149"/>
      <w:bookmarkEnd w:id="150"/>
    </w:p>
    <w:p>
      <w:pPr>
        <w:pStyle w:val="Heading5"/>
        <w:keepNext w:val="0"/>
        <w:keepLines w:val="0"/>
        <w:spacing w:before="180"/>
      </w:pPr>
      <w:bookmarkStart w:id="151" w:name="_Toc47082070"/>
      <w:r>
        <w:rPr>
          <w:rStyle w:val="CharSectno"/>
        </w:rPr>
        <w:t>93</w:t>
      </w:r>
      <w:r>
        <w:t>.</w:t>
      </w:r>
      <w:r>
        <w:tab/>
        <w:t>Email and fax address for service</w:t>
      </w:r>
      <w:bookmarkEnd w:id="151"/>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152" w:name="_Toc47082071"/>
      <w:r>
        <w:rPr>
          <w:rStyle w:val="CharSectno"/>
        </w:rPr>
        <w:t>94</w:t>
      </w:r>
      <w:r>
        <w:t>.</w:t>
      </w:r>
      <w:r>
        <w:tab/>
        <w:t>Service of documents by email</w:t>
      </w:r>
      <w:bookmarkEnd w:id="152"/>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153" w:name="_Toc47082072"/>
      <w:r>
        <w:rPr>
          <w:rStyle w:val="CharSectno"/>
        </w:rPr>
        <w:t>95</w:t>
      </w:r>
      <w:r>
        <w:t>.</w:t>
      </w:r>
      <w:r>
        <w:tab/>
        <w:t>Service of documents by fax</w:t>
      </w:r>
      <w:bookmarkEnd w:id="153"/>
    </w:p>
    <w:p>
      <w:pPr>
        <w:pStyle w:val="Subsection"/>
      </w:pPr>
      <w:r>
        <w:tab/>
      </w:r>
      <w:r>
        <w:tab/>
        <w:t>If a person has provided a fax number under regulation 93, the person may be served with or given a document by sending the document by fax to that number.</w:t>
      </w:r>
    </w:p>
    <w:p>
      <w:pPr>
        <w:pStyle w:val="Heading2"/>
      </w:pPr>
      <w:bookmarkStart w:id="154" w:name="_Toc47014496"/>
      <w:bookmarkStart w:id="155" w:name="_Toc47015059"/>
      <w:bookmarkStart w:id="156" w:name="_Toc47082073"/>
      <w:r>
        <w:rPr>
          <w:rStyle w:val="CharPartNo"/>
        </w:rPr>
        <w:t>Part 7</w:t>
      </w:r>
      <w:r>
        <w:rPr>
          <w:rStyle w:val="CharDivNo"/>
        </w:rPr>
        <w:t> </w:t>
      </w:r>
      <w:r>
        <w:t>—</w:t>
      </w:r>
      <w:r>
        <w:rPr>
          <w:rStyle w:val="CharDivText"/>
        </w:rPr>
        <w:t> </w:t>
      </w:r>
      <w:r>
        <w:rPr>
          <w:rStyle w:val="CharPartText"/>
        </w:rPr>
        <w:t>Miscellaneous</w:t>
      </w:r>
      <w:bookmarkEnd w:id="154"/>
      <w:bookmarkEnd w:id="155"/>
      <w:bookmarkEnd w:id="156"/>
    </w:p>
    <w:p>
      <w:pPr>
        <w:pStyle w:val="Heading5"/>
      </w:pPr>
      <w:bookmarkStart w:id="157" w:name="_Toc47082074"/>
      <w:r>
        <w:rPr>
          <w:rStyle w:val="CharSectno"/>
        </w:rPr>
        <w:t>95A</w:t>
      </w:r>
      <w:r>
        <w:t>.</w:t>
      </w:r>
      <w:r>
        <w:tab/>
        <w:t>Terms used</w:t>
      </w:r>
      <w:bookmarkEnd w:id="157"/>
    </w:p>
    <w:p>
      <w:pPr>
        <w:pStyle w:val="Subsection"/>
      </w:pPr>
      <w:r>
        <w:tab/>
      </w:r>
      <w:r>
        <w:tab/>
        <w:t xml:space="preserve">In this Part — </w:t>
      </w:r>
    </w:p>
    <w:p>
      <w:pPr>
        <w:pStyle w:val="Defstart"/>
      </w:pPr>
      <w:r>
        <w:tab/>
      </w:r>
      <w:r>
        <w:rPr>
          <w:rStyle w:val="CharDefText"/>
        </w:rPr>
        <w:t>arrest warrant</w:t>
      </w:r>
      <w:r>
        <w:t xml:space="preserve"> means a warrant issued under section 29(4) or 89(4) of the Act;</w:t>
      </w:r>
    </w:p>
    <w:p>
      <w:pPr>
        <w:pStyle w:val="Defstart"/>
      </w:pPr>
      <w:r>
        <w:tab/>
      </w:r>
      <w:r>
        <w:rPr>
          <w:rStyle w:val="CharDefText"/>
        </w:rPr>
        <w:t>ECMS</w:t>
      </w:r>
      <w:r>
        <w:t xml:space="preserve"> means the electronic case management system for the management of proceedings in Western Australian courts and tribunals.</w:t>
      </w:r>
    </w:p>
    <w:p>
      <w:pPr>
        <w:pStyle w:val="Footnotesection"/>
      </w:pPr>
      <w:r>
        <w:tab/>
        <w:t>[Regulation 95A inserted: Gazette 2 Dec 2016 p. 5385; amended: Gazette 31 Dec 2019 p. 4670.]</w:t>
      </w:r>
    </w:p>
    <w:p>
      <w:pPr>
        <w:pStyle w:val="Heading5"/>
      </w:pPr>
      <w:bookmarkStart w:id="158" w:name="_Toc47082075"/>
      <w:r>
        <w:rPr>
          <w:rStyle w:val="CharSectno"/>
        </w:rPr>
        <w:t>95B</w:t>
      </w:r>
      <w:r>
        <w:t>.</w:t>
      </w:r>
      <w:r>
        <w:tab/>
        <w:t>Warrants issued electronically</w:t>
      </w:r>
      <w:bookmarkEnd w:id="158"/>
    </w:p>
    <w:p>
      <w:pPr>
        <w:pStyle w:val="Subsection"/>
      </w:pPr>
      <w:r>
        <w:tab/>
        <w:t>(1)</w:t>
      </w:r>
      <w:r>
        <w:tab/>
        <w:t>A court may issue an arrest warrant by means of the ECMS.</w:t>
      </w:r>
    </w:p>
    <w:p>
      <w:pPr>
        <w:pStyle w:val="Subsection"/>
      </w:pPr>
      <w:r>
        <w:tab/>
        <w:t>(2)</w:t>
      </w:r>
      <w:r>
        <w:tab/>
        <w:t>The arrest warrant must bear —</w:t>
      </w:r>
    </w:p>
    <w:p>
      <w:pPr>
        <w:pStyle w:val="Indenta"/>
      </w:pPr>
      <w:r>
        <w:tab/>
        <w:t>(a)</w:t>
      </w:r>
      <w:r>
        <w:tab/>
        <w:t xml:space="preserve">the name, or facsimile signature, of the judge, magistrate or registrar issuing it; or </w:t>
      </w:r>
    </w:p>
    <w:p>
      <w:pPr>
        <w:pStyle w:val="Indenta"/>
      </w:pPr>
      <w:r>
        <w:tab/>
        <w:t>(b)</w:t>
      </w:r>
      <w:r>
        <w:tab/>
        <w:t>a facsimile of the court’s seal.</w:t>
      </w:r>
    </w:p>
    <w:p>
      <w:pPr>
        <w:pStyle w:val="Subsection"/>
      </w:pPr>
      <w:r>
        <w:tab/>
        <w:t>(3)</w:t>
      </w:r>
      <w:r>
        <w:tab/>
        <w:t xml:space="preserve">The arrest warrant is authenticated for the purposes of the </w:t>
      </w:r>
      <w:r>
        <w:rPr>
          <w:i/>
        </w:rPr>
        <w:t>Courts and Tribunals (Electronic Processes Facilitation) Act 2013</w:t>
      </w:r>
      <w:r>
        <w:t xml:space="preserve"> section 10.</w:t>
      </w:r>
    </w:p>
    <w:p>
      <w:pPr>
        <w:pStyle w:val="Subsection"/>
      </w:pPr>
      <w:r>
        <w:tab/>
        <w:t>(4)</w:t>
      </w:r>
      <w:r>
        <w:tab/>
        <w:t xml:space="preserve">The arrest warrant is given in electronic form for the purposes of the </w:t>
      </w:r>
      <w:r>
        <w:rPr>
          <w:i/>
        </w:rPr>
        <w:t>Courts and Tribunals (Electronic Processes Facilitation) Act 2013</w:t>
      </w:r>
      <w:r>
        <w:t xml:space="preserve"> section 12.</w:t>
      </w:r>
    </w:p>
    <w:p>
      <w:pPr>
        <w:pStyle w:val="Footnotesection"/>
      </w:pPr>
      <w:r>
        <w:tab/>
        <w:t>[Regulation 95B inserted: Gazette 2 Dec 2016 p. 5385-6; amended: Gazette 8 May 2018 p. 1493; 31 Dec 2019 p. 4670.]</w:t>
      </w:r>
    </w:p>
    <w:p>
      <w:pPr>
        <w:pStyle w:val="Heading5"/>
      </w:pPr>
      <w:bookmarkStart w:id="159" w:name="_Toc47082076"/>
      <w:r>
        <w:rPr>
          <w:rStyle w:val="CharSectno"/>
        </w:rPr>
        <w:t>96</w:t>
      </w:r>
      <w:r>
        <w:t>.</w:t>
      </w:r>
      <w:r>
        <w:tab/>
        <w:t>Warrants, effect of and procedure on</w:t>
      </w:r>
      <w:bookmarkEnd w:id="159"/>
    </w:p>
    <w:p>
      <w:pPr>
        <w:pStyle w:val="Subsection"/>
      </w:pPr>
      <w:r>
        <w:tab/>
        <w:t>(1)</w:t>
      </w:r>
      <w:r>
        <w:tab/>
        <w:t xml:space="preserve">In this regulation — </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 or</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Gazette 14 Dec 2007 p. 6242</w:t>
      </w:r>
      <w:r>
        <w:noBreakHyphen/>
        <w:t>4; 27 Feb 2009 p. 517; 27 Nov 2009 p. 4784; 2 Dec 2016 p. 5386.]</w:t>
      </w:r>
    </w:p>
    <w:p>
      <w:pPr>
        <w:pStyle w:val="Heading5"/>
      </w:pPr>
      <w:bookmarkStart w:id="160" w:name="_Toc47082077"/>
      <w:r>
        <w:rPr>
          <w:rStyle w:val="CharSectno"/>
        </w:rPr>
        <w:t>97</w:t>
      </w:r>
      <w:r>
        <w:t>.</w:t>
      </w:r>
      <w:r>
        <w:tab/>
        <w:t>Register</w:t>
      </w:r>
      <w:bookmarkEnd w:id="160"/>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161" w:name="_Toc47082078"/>
      <w:r>
        <w:rPr>
          <w:rStyle w:val="CharSectno"/>
        </w:rPr>
        <w:t>98</w:t>
      </w:r>
      <w:r>
        <w:t>.</w:t>
      </w:r>
      <w:r>
        <w:tab/>
        <w:t>Bailiff to keep records</w:t>
      </w:r>
      <w:bookmarkEnd w:id="161"/>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 and</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162" w:name="_Toc47082079"/>
      <w:r>
        <w:rPr>
          <w:rStyle w:val="CharSectno"/>
        </w:rPr>
        <w:t>99</w:t>
      </w:r>
      <w:r>
        <w:t>.</w:t>
      </w:r>
      <w:r>
        <w:tab/>
        <w:t>Other duties of bailiff</w:t>
      </w:r>
      <w:bookmarkEnd w:id="162"/>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163" w:name="_Toc47082080"/>
      <w:r>
        <w:rPr>
          <w:rStyle w:val="CharSectno"/>
        </w:rPr>
        <w:t>100</w:t>
      </w:r>
      <w:r>
        <w:t>.</w:t>
      </w:r>
      <w:r>
        <w:tab/>
        <w:t>Extension or abridgment of time</w:t>
      </w:r>
      <w:bookmarkEnd w:id="163"/>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164" w:name="_Toc47082081"/>
      <w:r>
        <w:rPr>
          <w:rStyle w:val="CharSectno"/>
        </w:rPr>
        <w:t>101</w:t>
      </w:r>
      <w:r>
        <w:t>.</w:t>
      </w:r>
      <w:r>
        <w:tab/>
        <w:t>False or misleading information</w:t>
      </w:r>
      <w:bookmarkEnd w:id="164"/>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107B(1);</w:t>
      </w:r>
    </w:p>
    <w:p>
      <w:pPr>
        <w:pStyle w:val="Indenta"/>
      </w:pPr>
      <w:r>
        <w:tab/>
        <w:t>(d)</w:t>
      </w:r>
      <w:r>
        <w:tab/>
        <w:t>in an application under regulation 107D(1);</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keepNext/>
      </w:pPr>
      <w:r>
        <w:tab/>
        <w:t>(2)</w:t>
      </w:r>
      <w:r>
        <w:tab/>
        <w:t xml:space="preserve">The things to which subregulation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information that the person knows is false or misleading in a material particular; or</w:t>
      </w:r>
    </w:p>
    <w:p>
      <w:pPr>
        <w:pStyle w:val="Indenta"/>
        <w:keepNext/>
      </w:pPr>
      <w:r>
        <w:tab/>
        <w:t>(d)</w:t>
      </w:r>
      <w:r>
        <w:tab/>
        <w:t>providing information that is false or misleading in a material particular, with reckless disregard as to whether the information is false or misleading in a material particular.</w:t>
      </w:r>
    </w:p>
    <w:p>
      <w:pPr>
        <w:pStyle w:val="Footnotesection"/>
      </w:pPr>
      <w:r>
        <w:tab/>
        <w:t>[Regulation 101 amended: Gazette 13 Jan 2017 p. 339.]</w:t>
      </w:r>
    </w:p>
    <w:p>
      <w:pPr>
        <w:pStyle w:val="Heading5"/>
      </w:pPr>
      <w:bookmarkStart w:id="165" w:name="_Toc47082082"/>
      <w:r>
        <w:rPr>
          <w:rStyle w:val="CharSectno"/>
        </w:rPr>
        <w:t>102</w:t>
      </w:r>
      <w:r>
        <w:t>.</w:t>
      </w:r>
      <w:r>
        <w:tab/>
        <w:t>Seal</w:t>
      </w:r>
      <w:bookmarkEnd w:id="165"/>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Gazette 14 Dec 2007 p. 6244.]</w:t>
      </w:r>
    </w:p>
    <w:p>
      <w:pPr>
        <w:pStyle w:val="Heading5"/>
      </w:pPr>
      <w:bookmarkStart w:id="166" w:name="_Toc47082083"/>
      <w:r>
        <w:rPr>
          <w:rStyle w:val="CharSectno"/>
        </w:rPr>
        <w:t>103</w:t>
      </w:r>
      <w:r>
        <w:t>.</w:t>
      </w:r>
      <w:r>
        <w:tab/>
        <w:t>Approval of forms by chief executive officer</w:t>
      </w:r>
      <w:bookmarkEnd w:id="166"/>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167" w:name="_Toc47014507"/>
      <w:bookmarkStart w:id="168" w:name="_Toc47015070"/>
      <w:bookmarkStart w:id="169" w:name="_Toc47082084"/>
      <w:r>
        <w:rPr>
          <w:rStyle w:val="CharPartNo"/>
        </w:rPr>
        <w:t>Part 8</w:t>
      </w:r>
      <w:r>
        <w:rPr>
          <w:rStyle w:val="CharDivNo"/>
        </w:rPr>
        <w:t> </w:t>
      </w:r>
      <w:r>
        <w:t>—</w:t>
      </w:r>
      <w:r>
        <w:rPr>
          <w:rStyle w:val="CharDivText"/>
        </w:rPr>
        <w:t> </w:t>
      </w:r>
      <w:r>
        <w:rPr>
          <w:rStyle w:val="CharPartText"/>
        </w:rPr>
        <w:t>Enforcement costs</w:t>
      </w:r>
      <w:bookmarkEnd w:id="167"/>
      <w:bookmarkEnd w:id="168"/>
      <w:bookmarkEnd w:id="169"/>
    </w:p>
    <w:p>
      <w:pPr>
        <w:pStyle w:val="Heading5"/>
      </w:pPr>
      <w:bookmarkStart w:id="170" w:name="_Toc47082085"/>
      <w:r>
        <w:rPr>
          <w:rStyle w:val="CharSectno"/>
        </w:rPr>
        <w:t>104</w:t>
      </w:r>
      <w:r>
        <w:t>.</w:t>
      </w:r>
      <w:r>
        <w:tab/>
        <w:t>Terms used</w:t>
      </w:r>
      <w:bookmarkEnd w:id="170"/>
    </w:p>
    <w:p>
      <w:pPr>
        <w:pStyle w:val="Subsection"/>
      </w:pPr>
      <w:r>
        <w:tab/>
      </w:r>
      <w:r>
        <w:tab/>
        <w:t xml:space="preserve">In this Part and Schedule 1 unless the contrary intention appears — </w:t>
      </w:r>
    </w:p>
    <w:p>
      <w:pPr>
        <w:pStyle w:val="Defstart"/>
      </w:pPr>
      <w:r>
        <w:tab/>
      </w:r>
      <w:r>
        <w:rPr>
          <w:rStyle w:val="CharDefText"/>
        </w:rPr>
        <w:t>eligible entity</w:t>
      </w:r>
      <w:r>
        <w:rPr>
          <w:b/>
          <w:i/>
        </w:rPr>
        <w:t xml:space="preserve"> </w:t>
      </w:r>
      <w:r>
        <w:t>means an entity referred to in regulation 107C(3);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107C(2);</w:t>
      </w:r>
    </w:p>
    <w:p>
      <w:pPr>
        <w:pStyle w:val="Defstart"/>
      </w:pPr>
      <w:r>
        <w:tab/>
      </w:r>
      <w:r>
        <w:rPr>
          <w:rStyle w:val="CharDefText"/>
        </w:rPr>
        <w:t>eligible individual fee</w:t>
      </w:r>
      <w:r>
        <w:t>, in relation to a matter specified in an item in Schedule 1, means the fee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rPr>
          <w:b/>
        </w:rPr>
        <w:tab/>
      </w:r>
      <w:r>
        <w:rPr>
          <w:rStyle w:val="CharDefText"/>
        </w:rPr>
        <w:t>small business</w:t>
      </w:r>
      <w:r>
        <w:t xml:space="preserve"> means — </w:t>
      </w:r>
    </w:p>
    <w:p>
      <w:pPr>
        <w:pStyle w:val="Defpara"/>
      </w:pPr>
      <w:r>
        <w:tab/>
        <w:t>(a)</w:t>
      </w:r>
      <w:r>
        <w:tab/>
        <w:t>a business undertaking that is wholly owned and operated by an individual or individuals in partnership and has less than 20 full</w:t>
      </w:r>
      <w:r>
        <w:noBreakHyphen/>
        <w:t>time equivalent employees or partners;</w:t>
      </w:r>
    </w:p>
    <w:p>
      <w:pPr>
        <w:pStyle w:val="Defpara"/>
        <w:spacing w:before="60"/>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spacing w:before="60"/>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Footnotesection"/>
      </w:pPr>
      <w:r>
        <w:tab/>
        <w:t>[Regulation 104 amended: Gazette 13 Jan 2017 p. 339</w:t>
      </w:r>
      <w:r>
        <w:noBreakHyphen/>
        <w:t>40.]</w:t>
      </w:r>
    </w:p>
    <w:p>
      <w:pPr>
        <w:pStyle w:val="Heading5"/>
      </w:pPr>
      <w:bookmarkStart w:id="171" w:name="_Toc47082086"/>
      <w:r>
        <w:rPr>
          <w:rStyle w:val="CharSectno"/>
        </w:rPr>
        <w:t>105</w:t>
      </w:r>
      <w:r>
        <w:t>.</w:t>
      </w:r>
      <w:r>
        <w:tab/>
        <w:t>General fees</w:t>
      </w:r>
      <w:bookmarkEnd w:id="171"/>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pPr>
      <w:r>
        <w:tab/>
        <w:t>(3)</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pPr>
      <w:r>
        <w:tab/>
        <w:t>(d)</w:t>
      </w:r>
      <w:r>
        <w:tab/>
        <w:t>the fee payable by an eligible entity is the eligible entity fee for that item.</w:t>
      </w:r>
    </w:p>
    <w:p>
      <w:pPr>
        <w:pStyle w:val="Subsection"/>
      </w:pPr>
      <w:r>
        <w:tab/>
        <w:t>(4)</w:t>
      </w:r>
      <w:r>
        <w:tab/>
        <w:t>A note to an item in Schedule 1, 2 or 3 has effect according to its tenor as if it were a provision of these regulations.</w:t>
      </w:r>
    </w:p>
    <w:p>
      <w:pPr>
        <w:pStyle w:val="Ednotesubsection"/>
        <w:spacing w:before="120"/>
      </w:pPr>
      <w:r>
        <w:tab/>
        <w:t>[(5)-(10)</w:t>
      </w:r>
      <w:r>
        <w:tab/>
        <w:t>deleted]</w:t>
      </w:r>
    </w:p>
    <w:p>
      <w:pPr>
        <w:pStyle w:val="Subsection"/>
      </w:pPr>
      <w:r>
        <w:tab/>
        <w:t>(11)</w:t>
      </w:r>
      <w:r>
        <w:tab/>
        <w:t>Despite the provisions of these regulations, no fee referred to in Schedule 2 item 5 is payable where the judgment debt is paid out within half an hour of the Sheriff’s entry.</w:t>
      </w:r>
    </w:p>
    <w:p>
      <w:pPr>
        <w:pStyle w:val="Footnotesection"/>
      </w:pPr>
      <w:r>
        <w:tab/>
        <w:t>[Regulation 105 amended: Gazette 27 Nov 2009 p. 4784; 13 Jan 2017 p. 340.]</w:t>
      </w:r>
    </w:p>
    <w:p>
      <w:pPr>
        <w:pStyle w:val="Heading5"/>
      </w:pPr>
      <w:bookmarkStart w:id="172" w:name="_Toc47082087"/>
      <w:r>
        <w:rPr>
          <w:rStyle w:val="CharSectno"/>
        </w:rPr>
        <w:t>106</w:t>
      </w:r>
      <w:r>
        <w:t>.</w:t>
      </w:r>
      <w:r>
        <w:tab/>
        <w:t>Fees to be paid in advance</w:t>
      </w:r>
      <w:bookmarkEnd w:id="172"/>
    </w:p>
    <w:p>
      <w:pPr>
        <w:pStyle w:val="Subsection"/>
      </w:pPr>
      <w:r>
        <w:tab/>
      </w:r>
      <w:r>
        <w:tab/>
        <w:t>Subject to the provisions of these regulations, the fees specified in the Table to this regulation are to be paid in advance.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044"/>
      </w:tblGrid>
      <w:tr>
        <w:tc>
          <w:tcPr>
            <w:tcW w:w="6044" w:type="dxa"/>
          </w:tcPr>
          <w:p>
            <w:pPr>
              <w:pStyle w:val="TableNAm"/>
              <w:spacing w:before="60"/>
            </w:pPr>
            <w:r>
              <w:t>Schedule 1 items 1 and 2</w:t>
            </w:r>
          </w:p>
        </w:tc>
      </w:tr>
      <w:tr>
        <w:tc>
          <w:tcPr>
            <w:tcW w:w="6044" w:type="dxa"/>
          </w:tcPr>
          <w:p>
            <w:pPr>
              <w:pStyle w:val="TableNAm"/>
              <w:spacing w:before="60"/>
            </w:pPr>
            <w:r>
              <w:t>Schedule 2 items 1, 6, 18 and 19</w:t>
            </w:r>
          </w:p>
        </w:tc>
      </w:tr>
      <w:tr>
        <w:tc>
          <w:tcPr>
            <w:tcW w:w="6044" w:type="dxa"/>
          </w:tcPr>
          <w:p>
            <w:pPr>
              <w:pStyle w:val="TableNAm"/>
              <w:spacing w:before="60"/>
            </w:pPr>
            <w:r>
              <w:t>Schedule 3 items 1, 2 and 3</w:t>
            </w:r>
          </w:p>
        </w:tc>
      </w:tr>
    </w:tbl>
    <w:p>
      <w:pPr>
        <w:pStyle w:val="Footnotesection"/>
      </w:pPr>
      <w:r>
        <w:tab/>
        <w:t>[Regulation 106 amended: Gazette 27 Nov 2009 p. 4784.]</w:t>
      </w:r>
    </w:p>
    <w:p>
      <w:pPr>
        <w:pStyle w:val="Heading5"/>
      </w:pPr>
      <w:bookmarkStart w:id="173" w:name="_Toc47082088"/>
      <w:r>
        <w:rPr>
          <w:rStyle w:val="CharSectno"/>
        </w:rPr>
        <w:t>107A</w:t>
      </w:r>
      <w:r>
        <w:t>.</w:t>
      </w:r>
      <w:r>
        <w:tab/>
        <w:t>To whom fees must be paid</w:t>
      </w:r>
      <w:bookmarkEnd w:id="173"/>
    </w:p>
    <w:p>
      <w:pPr>
        <w:pStyle w:val="Subsection"/>
      </w:pPr>
      <w:r>
        <w:tab/>
        <w:t>(1)</w:t>
      </w:r>
      <w:r>
        <w:tab/>
        <w:t>The fees specified in Schedule 1 must be paid to the court to which the application or request or registration application concerned is made.</w:t>
      </w:r>
    </w:p>
    <w:p>
      <w:pPr>
        <w:pStyle w:val="Subsection"/>
      </w:pPr>
      <w:r>
        <w:tab/>
        <w:t>(2)</w:t>
      </w:r>
      <w:r>
        <w:tab/>
        <w:t>The fees specified in Schedule 2 and Schedule 3 (other than items 1 and 2) for an action must be paid —</w:t>
      </w:r>
    </w:p>
    <w:p>
      <w:pPr>
        <w:pStyle w:val="Indenta"/>
      </w:pPr>
      <w:r>
        <w:tab/>
        <w:t>(a)</w:t>
      </w:r>
      <w:r>
        <w:tab/>
        <w:t xml:space="preserve">if the action has been or will be done by — </w:t>
      </w:r>
    </w:p>
    <w:p>
      <w:pPr>
        <w:pStyle w:val="Indenti"/>
      </w:pPr>
      <w:r>
        <w:tab/>
        <w:t>(i)</w:t>
      </w:r>
      <w:r>
        <w:tab/>
        <w:t>the Sheriff or Marshal in Admiralty; or</w:t>
      </w:r>
    </w:p>
    <w:p>
      <w:pPr>
        <w:pStyle w:val="Indenti"/>
      </w:pPr>
      <w:r>
        <w:tab/>
        <w:t>(ii)</w:t>
      </w:r>
      <w:r>
        <w:tab/>
        <w:t>a Deputy Sheriff; or</w:t>
      </w:r>
    </w:p>
    <w:p>
      <w:pPr>
        <w:pStyle w:val="Indenti"/>
      </w:pPr>
      <w:r>
        <w:tab/>
        <w:t>(iii)</w:t>
      </w:r>
      <w:r>
        <w:tab/>
        <w:t>a bailiff appointed under the Act section 107(2)(a) or (b); or</w:t>
      </w:r>
    </w:p>
    <w:p>
      <w:pPr>
        <w:pStyle w:val="Indenti"/>
      </w:pPr>
      <w:r>
        <w:tab/>
        <w:t>(iv)</w:t>
      </w:r>
      <w:r>
        <w:tab/>
        <w:t>an assistant bailiff appointed by a bailiff appointed under the Act section 107(2)(a) or (b),</w:t>
      </w:r>
    </w:p>
    <w:p>
      <w:pPr>
        <w:pStyle w:val="Indenta"/>
      </w:pPr>
      <w:r>
        <w:tab/>
      </w:r>
      <w:r>
        <w:tab/>
        <w:t>to the Sheriff or Marshal in Admiralty, as the case requires;</w:t>
      </w:r>
    </w:p>
    <w:p>
      <w:pPr>
        <w:pStyle w:val="Indenta"/>
      </w:pPr>
      <w:r>
        <w:tab/>
        <w:t>(b)</w:t>
      </w:r>
      <w:r>
        <w:tab/>
        <w:t>if the action has been or will be done by —</w:t>
      </w:r>
    </w:p>
    <w:p>
      <w:pPr>
        <w:pStyle w:val="Indenti"/>
      </w:pPr>
      <w:r>
        <w:tab/>
        <w:t>(i)</w:t>
      </w:r>
      <w:r>
        <w:tab/>
        <w:t>a bailiff appointed under the Act section 107(2)(c), (d) or (e); or</w:t>
      </w:r>
    </w:p>
    <w:p>
      <w:pPr>
        <w:pStyle w:val="Indenti"/>
      </w:pPr>
      <w:r>
        <w:tab/>
        <w:t>(ii)</w:t>
      </w:r>
      <w:r>
        <w:tab/>
        <w:t>an assistant bailiff appointed by a bailiff appointed under the Act section 107(2)(c), (d) or (e),</w:t>
      </w:r>
    </w:p>
    <w:p>
      <w:pPr>
        <w:pStyle w:val="Indenta"/>
      </w:pPr>
      <w:r>
        <w:tab/>
      </w:r>
      <w:r>
        <w:tab/>
        <w:t>to the bailiff.</w:t>
      </w:r>
    </w:p>
    <w:p>
      <w:pPr>
        <w:pStyle w:val="Subsection"/>
      </w:pPr>
      <w:r>
        <w:tab/>
        <w:t>(3)</w:t>
      </w:r>
      <w:r>
        <w:tab/>
        <w:t>If under subregulation (2)(b) fees are paid to a bailiff, the bailiff is entitled to retain the fees for his or her own use.</w:t>
      </w:r>
    </w:p>
    <w:p>
      <w:pPr>
        <w:pStyle w:val="Subsection"/>
      </w:pPr>
      <w:r>
        <w:tab/>
        <w:t>(4)</w:t>
      </w:r>
      <w:r>
        <w:tab/>
        <w:t>The fees in Schedule 3 items 1 and 2 must be paid to the Marshal in Admiralty.</w:t>
      </w:r>
    </w:p>
    <w:p>
      <w:pPr>
        <w:pStyle w:val="Footnotesection"/>
      </w:pPr>
      <w:r>
        <w:tab/>
        <w:t>[Regulation 107A inserted: Gazette 27 Nov 2009 p. 4784-5.]</w:t>
      </w:r>
    </w:p>
    <w:p>
      <w:pPr>
        <w:pStyle w:val="Heading5"/>
      </w:pPr>
      <w:bookmarkStart w:id="174" w:name="_Toc47082089"/>
      <w:r>
        <w:rPr>
          <w:rStyle w:val="CharSectno"/>
        </w:rPr>
        <w:t>107B</w:t>
      </w:r>
      <w:r>
        <w:t>.</w:t>
      </w:r>
      <w:r>
        <w:tab/>
        <w:t>Fees for small businesses and non</w:t>
      </w:r>
      <w:r>
        <w:noBreakHyphen/>
        <w:t>profit associations</w:t>
      </w:r>
      <w:bookmarkEnd w:id="174"/>
    </w:p>
    <w:p>
      <w:pPr>
        <w:pStyle w:val="Subsection"/>
      </w:pPr>
      <w:r>
        <w:tab/>
        <w:t>(1)</w:t>
      </w:r>
      <w:r>
        <w:tab/>
        <w:t>An entity that is a small business or a non</w:t>
      </w:r>
      <w:r>
        <w:noBreakHyphen/>
        <w:t>profit association may lodge with the court to which a fee is to be paid a declaration in the form of Form 3.</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of the court in which the declaration was lodged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profit association, the court may —</w:t>
      </w:r>
    </w:p>
    <w:p>
      <w:pPr>
        <w:pStyle w:val="Indenta"/>
      </w:pPr>
      <w:r>
        <w:tab/>
        <w:t>(a)</w:t>
      </w:r>
      <w:r>
        <w:tab/>
        <w:t>order that the entity pay the difference between the amount of the fee the entity paid and the amount of the fee that would otherwise be payable by the entity; and</w:t>
      </w:r>
    </w:p>
    <w:p>
      <w:pPr>
        <w:pStyle w:val="Indenta"/>
      </w:pPr>
      <w:r>
        <w:tab/>
        <w:t>(b)</w:t>
      </w:r>
      <w:r>
        <w:tab/>
        <w:t>make orders to enforce the order for the payment.</w:t>
      </w:r>
    </w:p>
    <w:p>
      <w:pPr>
        <w:pStyle w:val="Subsection"/>
      </w:pPr>
      <w:r>
        <w:tab/>
        <w:t>(6)</w:t>
      </w:r>
      <w:r>
        <w:tab/>
        <w:t>An order under subregulation (5)(b) may include orders relating to the future conduct of the matter to which the fees relate or the effect of anything that has been done in respect of the matter until the sum ordered to be paid has been paid.</w:t>
      </w:r>
    </w:p>
    <w:p>
      <w:pPr>
        <w:pStyle w:val="Footnotesection"/>
      </w:pPr>
      <w:r>
        <w:tab/>
        <w:t>[Regulation 107B inserted: Gazette 13 Jan 2017 p. 340</w:t>
      </w:r>
      <w:r>
        <w:noBreakHyphen/>
        <w:t>1.]</w:t>
      </w:r>
    </w:p>
    <w:p>
      <w:pPr>
        <w:pStyle w:val="Heading5"/>
      </w:pPr>
      <w:bookmarkStart w:id="175" w:name="_Toc47082090"/>
      <w:r>
        <w:rPr>
          <w:rStyle w:val="CharSectno"/>
        </w:rPr>
        <w:t>107C</w:t>
      </w:r>
      <w:r>
        <w:t>.</w:t>
      </w:r>
      <w:r>
        <w:tab/>
        <w:t>Who is an eligible individual or eligible entity</w:t>
      </w:r>
      <w:bookmarkEnd w:id="175"/>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of the court has directed is an eligible individual under regulation 107E(1).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of the court has directed is an eligible entity under regulation 107E(2).</w:t>
      </w:r>
    </w:p>
    <w:p>
      <w:pPr>
        <w:pStyle w:val="Footnotesection"/>
      </w:pPr>
      <w:r>
        <w:tab/>
        <w:t>[Regulation 107C inserted: Gazette 13 Jan 2017 p. 341</w:t>
      </w:r>
      <w:r>
        <w:noBreakHyphen/>
        <w:t>2; amended: Gazette 20 Jul 2018 p. 2622.]</w:t>
      </w:r>
    </w:p>
    <w:p>
      <w:pPr>
        <w:pStyle w:val="Heading5"/>
      </w:pPr>
      <w:bookmarkStart w:id="176" w:name="_Toc47082091"/>
      <w:r>
        <w:rPr>
          <w:rStyle w:val="CharSectno"/>
        </w:rPr>
        <w:t>107D</w:t>
      </w:r>
      <w:r>
        <w:t>.</w:t>
      </w:r>
      <w:r>
        <w:tab/>
        <w:t>Application to be recognised as eligible individual or eligible entity</w:t>
      </w:r>
      <w:bookmarkEnd w:id="176"/>
    </w:p>
    <w:p>
      <w:pPr>
        <w:pStyle w:val="Subsection"/>
      </w:pPr>
      <w:r>
        <w:tab/>
        <w:t>(1)</w:t>
      </w:r>
      <w:r>
        <w:tab/>
        <w:t xml:space="preserve">A person may apply to the court to which a fee is to be paid for — </w:t>
      </w:r>
    </w:p>
    <w:p>
      <w:pPr>
        <w:pStyle w:val="Indenta"/>
      </w:pPr>
      <w:r>
        <w:tab/>
        <w:t>(a)</w:t>
      </w:r>
      <w:r>
        <w:tab/>
        <w:t>a direction under regulation 107E(1) that, in respect of a matter specified in Schedule 1, the person is an eligible individual described in regulation 107C(2)(f); or</w:t>
      </w:r>
    </w:p>
    <w:p>
      <w:pPr>
        <w:pStyle w:val="Indenta"/>
        <w:keepNext/>
      </w:pPr>
      <w:r>
        <w:tab/>
        <w:t>(b)</w:t>
      </w:r>
      <w:r>
        <w:tab/>
        <w:t>a direction under regulation 107E(2) that, in respect of a matter specified in Schedule 1, the person is an eligible entity described in regulation 107C(3)(b).</w:t>
      </w:r>
    </w:p>
    <w:p>
      <w:pPr>
        <w:pStyle w:val="Subsection"/>
      </w:pPr>
      <w:r>
        <w:tab/>
        <w:t>(2)</w:t>
      </w:r>
      <w:r>
        <w:tab/>
        <w:t xml:space="preserve">An application is to be in the form of Form 4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107D inserted: Gazette 13 Jan 2017 p. 342; amended: Gazette 20 Jul 2018 p. 2623.]</w:t>
      </w:r>
    </w:p>
    <w:p>
      <w:pPr>
        <w:pStyle w:val="Heading5"/>
      </w:pPr>
      <w:bookmarkStart w:id="177" w:name="_Toc47082092"/>
      <w:r>
        <w:rPr>
          <w:rStyle w:val="CharSectno"/>
        </w:rPr>
        <w:t>107E</w:t>
      </w:r>
      <w:r>
        <w:t>.</w:t>
      </w:r>
      <w:r>
        <w:tab/>
        <w:t>Recognition as eligible individual or eligible entity</w:t>
      </w:r>
      <w:bookmarkEnd w:id="177"/>
    </w:p>
    <w:p>
      <w:pPr>
        <w:pStyle w:val="Subsection"/>
      </w:pPr>
      <w:r>
        <w:tab/>
        <w:t>(1)</w:t>
      </w:r>
      <w:r>
        <w:tab/>
        <w:t xml:space="preserve">On an application under regulation 107D(1)(a) the court or a registrar of the court may direct that a person is an eligible individual described in regulation 107C(2)(f)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107D(1)(b) the court or a registrar of the court may direct that a person is an eligible entity described in regulation 107C(3)(b)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A judge or a registrar of the court may, before an application is determined, direct the applicant to provide to the judge, the registrar of the court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pPr>
      <w:r>
        <w:tab/>
        <w:t>[Regulation 107E inserted: Gazette 13 Jan 2017 p. 342</w:t>
      </w:r>
      <w:r>
        <w:noBreakHyphen/>
        <w:t>3; amended: Gazette 20 Jul 2018 p. 2623.]</w:t>
      </w:r>
    </w:p>
    <w:p>
      <w:pPr>
        <w:pStyle w:val="Heading5"/>
      </w:pPr>
      <w:bookmarkStart w:id="178" w:name="_Toc47082093"/>
      <w:r>
        <w:rPr>
          <w:rStyle w:val="CharSectno"/>
        </w:rPr>
        <w:t>107F</w:t>
      </w:r>
      <w:r>
        <w:t>.</w:t>
      </w:r>
      <w:r>
        <w:tab/>
        <w:t>Revocation of directions for providing false or misleading information</w:t>
      </w:r>
      <w:bookmarkEnd w:id="178"/>
    </w:p>
    <w:p>
      <w:pPr>
        <w:pStyle w:val="Subsection"/>
      </w:pPr>
      <w:r>
        <w:tab/>
        <w:t>(1)</w:t>
      </w:r>
      <w:r>
        <w:tab/>
        <w:t>The court or a registrar of the court with which a declaration under regulation 107B(1) is lodged may make an order that the declaration is invalid if satisfied, having given the person who lodged the declaration an opportunity to make a written submission, that the person has contravened regulation 101(1) in relation to a statement or representation in the declaration or providing further information in relation to the declaration.</w:t>
      </w:r>
    </w:p>
    <w:p>
      <w:pPr>
        <w:pStyle w:val="Subsection"/>
      </w:pPr>
      <w:r>
        <w:tab/>
        <w:t>(2)</w:t>
      </w:r>
      <w:r>
        <w:tab/>
        <w:t>The court that, or the registrar who, makes a direction under regulation 107E(1) or (2) may revoke the direction if satisfied, having given the person who applied for the direction under regulation 107D(1) an opportunity to make a written submission, that the person has contravened regulation 101(1) in relation to a statement or representation in the application or providing further information in relation to the application.</w:t>
      </w:r>
    </w:p>
    <w:p>
      <w:pPr>
        <w:pStyle w:val="Subsection"/>
      </w:pPr>
      <w:r>
        <w:tab/>
        <w:t>(3)</w:t>
      </w:r>
      <w:r>
        <w:tab/>
        <w:t xml:space="preserve">If a declaration is declared invalid under subregulation (1) or a direction is revoked under subregulation (2), the court may — </w:t>
      </w:r>
    </w:p>
    <w:p>
      <w:pPr>
        <w:pStyle w:val="Indenta"/>
      </w:pPr>
      <w:r>
        <w:tab/>
        <w:t>(a)</w:t>
      </w:r>
      <w:r>
        <w:tab/>
        <w:t>order that the person in respect of whom the declaration or direction was made pay the difference between the fee the person paid and the fee that would otherwise by payable by the person; and</w:t>
      </w:r>
    </w:p>
    <w:p>
      <w:pPr>
        <w:pStyle w:val="Indenta"/>
        <w:keepNext/>
      </w:pPr>
      <w:r>
        <w:tab/>
        <w:t>(b)</w:t>
      </w:r>
      <w:r>
        <w:tab/>
        <w:t>make an order to enforce the order for the payment.</w:t>
      </w:r>
    </w:p>
    <w:p>
      <w:pPr>
        <w:pStyle w:val="Subsection"/>
        <w:keepNext/>
      </w:pPr>
      <w:r>
        <w:tab/>
        <w:t>(4)</w:t>
      </w:r>
      <w:r>
        <w:tab/>
        <w:t>An order under subregulation (3)(b) may include orders relating to the future conduct of the proceedings to which the fees relate or the effect of anything that has been done in respect of the proceedings until the sum ordered to be paid has been paid.</w:t>
      </w:r>
    </w:p>
    <w:p>
      <w:pPr>
        <w:pStyle w:val="Footnotesection"/>
      </w:pPr>
      <w:r>
        <w:tab/>
        <w:t>[Regulation 107F inserted: Gazette 13 Jan 2017 p. 343</w:t>
      </w:r>
      <w:r>
        <w:noBreakHyphen/>
        <w:t>4.]</w:t>
      </w:r>
    </w:p>
    <w:p>
      <w:pPr>
        <w:pStyle w:val="Heading5"/>
      </w:pPr>
      <w:bookmarkStart w:id="179" w:name="_Toc47082094"/>
      <w:r>
        <w:rPr>
          <w:rStyle w:val="CharSectno"/>
        </w:rPr>
        <w:t>107G</w:t>
      </w:r>
      <w:r>
        <w:t>.</w:t>
      </w:r>
      <w:r>
        <w:tab/>
        <w:t>Refunds</w:t>
      </w:r>
      <w:bookmarkEnd w:id="179"/>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of the court may refund to a person the amount of a fee, or part of a fee, paid by the person if the amount was paid in error.</w:t>
      </w:r>
    </w:p>
    <w:p>
      <w:pPr>
        <w:pStyle w:val="Footnotesection"/>
      </w:pPr>
      <w:r>
        <w:tab/>
        <w:t>[Regulation 107G inserted: Gazette 13 Jan 2017 p. 344.]</w:t>
      </w:r>
    </w:p>
    <w:p>
      <w:pPr>
        <w:pStyle w:val="Ednotesection"/>
        <w:spacing w:before="160"/>
        <w:ind w:left="890" w:hanging="890"/>
      </w:pPr>
      <w:r>
        <w:t>[</w:t>
      </w:r>
      <w:r>
        <w:rPr>
          <w:b/>
        </w:rPr>
        <w:t>107.</w:t>
      </w:r>
      <w:r>
        <w:tab/>
        <w:t>Deleted: Gazette 13 Jan 2017 p. 344.]</w:t>
      </w:r>
    </w:p>
    <w:p>
      <w:pPr>
        <w:pStyle w:val="Heading5"/>
        <w:spacing w:before="240"/>
      </w:pPr>
      <w:bookmarkStart w:id="180" w:name="_Toc47082095"/>
      <w:r>
        <w:rPr>
          <w:rStyle w:val="CharSectno"/>
        </w:rPr>
        <w:t>108</w:t>
      </w:r>
      <w:r>
        <w:t>.</w:t>
      </w:r>
      <w:r>
        <w:tab/>
        <w:t>Resolution of disputes as to enforcement costs</w:t>
      </w:r>
      <w:bookmarkEnd w:id="180"/>
    </w:p>
    <w:p>
      <w:pPr>
        <w:pStyle w:val="Subsection"/>
        <w:spacing w:before="180"/>
      </w:pPr>
      <w:r>
        <w:tab/>
        <w:t>(1)</w:t>
      </w:r>
      <w:r>
        <w:tab/>
        <w:t>If a question arises as to the enforcement costs payable or applicable in a particular case, on an application in the form of Form 5 that question is to be determined by the Principal Registrar of the court.</w:t>
      </w:r>
    </w:p>
    <w:p>
      <w:pPr>
        <w:pStyle w:val="Subsection"/>
        <w:spacing w:before="180"/>
      </w:pPr>
      <w:r>
        <w:tab/>
        <w:t>(2)</w:t>
      </w:r>
      <w:r>
        <w:tab/>
        <w:t>Any person affected by the determination under subregulation (1) may have it reviewed by the court in a summary manner.</w:t>
      </w:r>
    </w:p>
    <w:p>
      <w:pPr>
        <w:pStyle w:val="Subsection"/>
        <w:spacing w:before="180"/>
      </w:pPr>
      <w:r>
        <w:tab/>
        <w:t>(3)</w:t>
      </w:r>
      <w:r>
        <w:tab/>
        <w:t>Despite the provisions of these regulations, no fee is payable in relation to the determination of a question under subregulation (1) or a review under subregulation (2).</w:t>
      </w:r>
    </w:p>
    <w:p>
      <w:pPr>
        <w:pStyle w:val="Heading5"/>
        <w:spacing w:before="240"/>
      </w:pPr>
      <w:bookmarkStart w:id="181" w:name="_Toc47082096"/>
      <w:r>
        <w:rPr>
          <w:rStyle w:val="CharSectno"/>
        </w:rPr>
        <w:t>109</w:t>
      </w:r>
      <w:r>
        <w:t>.</w:t>
      </w:r>
      <w:r>
        <w:tab/>
        <w:t>Recovery of unpaid fees</w:t>
      </w:r>
      <w:bookmarkEnd w:id="181"/>
    </w:p>
    <w:p>
      <w:pPr>
        <w:pStyle w:val="Subsection"/>
        <w:keepNext/>
        <w:spacing w:before="180"/>
      </w:pPr>
      <w:r>
        <w:tab/>
        <w:t>(1)</w:t>
      </w:r>
      <w:r>
        <w:tab/>
        <w:t xml:space="preserve">If — </w:t>
      </w:r>
    </w:p>
    <w:p>
      <w:pPr>
        <w:pStyle w:val="Indenta"/>
      </w:pPr>
      <w:r>
        <w:tab/>
        <w:t>(a)</w:t>
      </w:r>
      <w:r>
        <w:tab/>
        <w:t>a fee specified in Schedule 1 is not paid under regulation 107A(1) to a court; or</w:t>
      </w:r>
    </w:p>
    <w:p>
      <w:pPr>
        <w:pStyle w:val="Indenta"/>
      </w:pPr>
      <w:r>
        <w:tab/>
        <w:t>(b)</w:t>
      </w:r>
      <w:r>
        <w:tab/>
        <w:t>a fee specified in Schedule 2 is not paid under regulation 107A(2)(a) to the Sheriff; or</w:t>
      </w:r>
    </w:p>
    <w:p>
      <w:pPr>
        <w:pStyle w:val="Indenta"/>
      </w:pPr>
      <w:r>
        <w:tab/>
        <w:t>(c)</w:t>
      </w:r>
      <w:r>
        <w:tab/>
        <w:t>a fee specified in Schedule 3 is not paid under regulation 107A(2)(a) or (4) to the Marshal in Admiralty,</w:t>
      </w:r>
    </w:p>
    <w:p>
      <w:pPr>
        <w:pStyle w:val="Subsection"/>
      </w:pPr>
      <w:r>
        <w:tab/>
      </w:r>
      <w:r>
        <w:tab/>
        <w:t>the unpaid fee is a debt due to the State and may be recovered in a court of competent jurisdiction.</w:t>
      </w:r>
    </w:p>
    <w:p>
      <w:pPr>
        <w:pStyle w:val="Subsection"/>
      </w:pPr>
      <w:r>
        <w:tab/>
        <w:t>(2)</w:t>
      </w:r>
      <w:r>
        <w:tab/>
        <w:t>If a fee specified in Schedule 2 or Schedule 3 (other than items 1 and 2) is not paid under regulation 107A(2)(b) to a bailiff, the unpaid fee is a debt due to the bailiff and may be recovered in a court of competent jurisdiction.</w:t>
      </w:r>
    </w:p>
    <w:p>
      <w:pPr>
        <w:pStyle w:val="Footnotesection"/>
        <w:ind w:left="890" w:hanging="890"/>
      </w:pPr>
      <w:r>
        <w:tab/>
        <w:t>[Regulation 109 inserted: Gazette 27 Nov 2009 p. 4785.]</w:t>
      </w:r>
    </w:p>
    <w:p>
      <w:pPr>
        <w:pStyle w:val="Heading5"/>
        <w:spacing w:before="240"/>
      </w:pPr>
      <w:bookmarkStart w:id="182" w:name="_Toc47082097"/>
      <w:r>
        <w:rPr>
          <w:rStyle w:val="CharSectno"/>
        </w:rPr>
        <w:t>110</w:t>
      </w:r>
      <w:r>
        <w:t>.</w:t>
      </w:r>
      <w:r>
        <w:tab/>
        <w:t>Enforcement costs where Sheriff does not perform function</w:t>
      </w:r>
      <w:bookmarkEnd w:id="182"/>
    </w:p>
    <w:p>
      <w:pPr>
        <w:pStyle w:val="Subsection"/>
        <w:spacing w:before="180"/>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spacing w:before="240"/>
      </w:pPr>
      <w:bookmarkStart w:id="183" w:name="_Toc47082098"/>
      <w:r>
        <w:rPr>
          <w:rStyle w:val="CharSectno"/>
        </w:rPr>
        <w:t>111</w:t>
      </w:r>
      <w:r>
        <w:t>.</w:t>
      </w:r>
      <w:r>
        <w:tab/>
        <w:t>Deposit on account of certain fees or expenses</w:t>
      </w:r>
      <w:bookmarkEnd w:id="183"/>
    </w:p>
    <w:p>
      <w:pPr>
        <w:pStyle w:val="Subsection"/>
        <w:spacing w:before="180"/>
      </w:pPr>
      <w:r>
        <w:tab/>
        <w:t>(1)</w:t>
      </w:r>
      <w:r>
        <w:tab/>
        <w:t xml:space="preserve">If the Sheriff is required or requested to — </w:t>
      </w:r>
    </w:p>
    <w:p>
      <w:pPr>
        <w:pStyle w:val="Indenta"/>
        <w:spacing w:before="60"/>
      </w:pPr>
      <w:r>
        <w:tab/>
        <w:t>(a)</w:t>
      </w:r>
      <w:r>
        <w:tab/>
        <w:t>carry out an enforcement order made under the Act; or</w:t>
      </w:r>
    </w:p>
    <w:p>
      <w:pPr>
        <w:pStyle w:val="Indenta"/>
        <w:spacing w:before="60"/>
      </w:pPr>
      <w:r>
        <w:tab/>
        <w:t>(b)</w:t>
      </w:r>
      <w:r>
        <w:tab/>
        <w:t>execute a warrant issued under the Act,</w:t>
      </w:r>
    </w:p>
    <w:p>
      <w:pPr>
        <w:pStyle w:val="Subsection"/>
        <w:spacing w:before="180"/>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spacing w:before="180"/>
      </w:pPr>
      <w:r>
        <w:tab/>
        <w:t>(2)</w:t>
      </w:r>
      <w:r>
        <w:tab/>
        <w:t xml:space="preserve">Subregulation (1) does not apply to commission in respect of — </w:t>
      </w:r>
    </w:p>
    <w:p>
      <w:pPr>
        <w:pStyle w:val="Indenta"/>
        <w:spacing w:before="60"/>
      </w:pPr>
      <w:r>
        <w:tab/>
        <w:t>(a)</w:t>
      </w:r>
      <w:r>
        <w:tab/>
        <w:t>the enforcement of a judgment of the Supreme or District Court; and</w:t>
      </w:r>
    </w:p>
    <w:p>
      <w:pPr>
        <w:pStyle w:val="Indenta"/>
        <w:spacing w:before="60"/>
      </w:pPr>
      <w:r>
        <w:tab/>
        <w:t>(b)</w:t>
      </w:r>
      <w:r>
        <w:tab/>
        <w:t>carrying out a property (seizure and sale) order made by the Magistrates Court.</w:t>
      </w:r>
    </w:p>
    <w:p>
      <w:pPr>
        <w:pStyle w:val="Subsection"/>
        <w:spacing w:before="180"/>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spacing w:before="180"/>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spacing w:before="180"/>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spacing w:before="240"/>
      </w:pPr>
      <w:bookmarkStart w:id="184" w:name="_Toc47082099"/>
      <w:r>
        <w:rPr>
          <w:rStyle w:val="CharSectno"/>
        </w:rPr>
        <w:t>112</w:t>
      </w:r>
      <w:r>
        <w:t>.</w:t>
      </w:r>
      <w:r>
        <w:tab/>
        <w:t>Enforcement costs if enforcement of judgment does not proceed</w:t>
      </w:r>
      <w:bookmarkEnd w:id="184"/>
    </w:p>
    <w:p>
      <w:pPr>
        <w:pStyle w:val="Subsection"/>
        <w:spacing w:before="180"/>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spacing w:before="240"/>
      </w:pPr>
      <w:bookmarkStart w:id="185" w:name="_Toc47082100"/>
      <w:r>
        <w:rPr>
          <w:rStyle w:val="CharSectno"/>
        </w:rPr>
        <w:t>113</w:t>
      </w:r>
      <w:r>
        <w:t>.</w:t>
      </w:r>
      <w:r>
        <w:tab/>
        <w:t>Particulars of arrangement where enforcement by property (seizure and sale) order is discontinued</w:t>
      </w:r>
      <w:bookmarkEnd w:id="185"/>
    </w:p>
    <w:p>
      <w:pPr>
        <w:pStyle w:val="Subsection"/>
        <w:spacing w:before="180"/>
      </w:pPr>
      <w:r>
        <w:tab/>
      </w:r>
      <w:r>
        <w:tab/>
        <w:t xml:space="preserve">Despite regulation 112, if — </w:t>
      </w:r>
    </w:p>
    <w:p>
      <w:pPr>
        <w:pStyle w:val="Indenta"/>
      </w:pPr>
      <w:r>
        <w:tab/>
        <w:t>(a)</w:t>
      </w:r>
      <w:r>
        <w:tab/>
        <w:t>property has been seized under a property (seizure and sale) order; and</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keepNext/>
      </w:pPr>
      <w:r>
        <w:tab/>
        <w:t>(c)</w:t>
      </w:r>
      <w:r>
        <w:tab/>
        <w:t>the Sheriff upon request of the judgment creditor has withdrawn from possession of the property,</w:t>
      </w:r>
    </w:p>
    <w:p>
      <w:pPr>
        <w:pStyle w:val="Subsection"/>
        <w:spacing w:before="180"/>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186" w:name="_Toc47082101"/>
      <w:r>
        <w:rPr>
          <w:rStyle w:val="CharSectno"/>
        </w:rPr>
        <w:t>114</w:t>
      </w:r>
      <w:r>
        <w:t>.</w:t>
      </w:r>
      <w:r>
        <w:tab/>
        <w:t>Particulars of arrangement where enforcement by property (seizure and delivery) order is discontinued</w:t>
      </w:r>
      <w:bookmarkEnd w:id="186"/>
    </w:p>
    <w:p>
      <w:pPr>
        <w:pStyle w:val="Subsection"/>
        <w:spacing w:before="140"/>
      </w:pPr>
      <w:r>
        <w:tab/>
      </w:r>
      <w:r>
        <w:tab/>
        <w:t xml:space="preserve">Despite regulation 112, if — </w:t>
      </w:r>
    </w:p>
    <w:p>
      <w:pPr>
        <w:pStyle w:val="Indenta"/>
        <w:spacing w:before="60"/>
      </w:pPr>
      <w:r>
        <w:tab/>
        <w:t>(a)</w:t>
      </w:r>
      <w:r>
        <w:tab/>
        <w:t>property has been seized under a property (seizure and delivery) order; and</w:t>
      </w:r>
    </w:p>
    <w:p>
      <w:pPr>
        <w:pStyle w:val="Indenta"/>
        <w:spacing w:before="60"/>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spacing w:before="60"/>
      </w:pPr>
      <w:r>
        <w:tab/>
        <w:t>(c)</w:t>
      </w:r>
      <w:r>
        <w:tab/>
        <w:t>the Sheriff upon request of the person entitled to the benefit of the judgment has withdrawn from possession of the property,</w:t>
      </w:r>
    </w:p>
    <w:p>
      <w:pPr>
        <w:pStyle w:val="Subsection"/>
        <w:spacing w:before="80"/>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187" w:name="_Toc47082102"/>
      <w:r>
        <w:rPr>
          <w:rStyle w:val="CharSectno"/>
        </w:rPr>
        <w:t>115</w:t>
      </w:r>
      <w:r>
        <w:t>.</w:t>
      </w:r>
      <w:r>
        <w:tab/>
        <w:t>Transitional:</w:t>
      </w:r>
      <w:r>
        <w:rPr>
          <w:i/>
          <w:iCs/>
        </w:rPr>
        <w:t xml:space="preserve"> Courts Legislation Amendment and Repeal Act 2004</w:t>
      </w:r>
      <w:r>
        <w:t xml:space="preserve"> section 148(1)</w:t>
      </w:r>
      <w:bookmarkEnd w:id="187"/>
    </w:p>
    <w:p>
      <w:pPr>
        <w:pStyle w:val="Subsection"/>
        <w:spacing w:before="140"/>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2</w:t>
      </w:r>
      <w:r>
        <w:t xml:space="preserve">, this Part applies to that order as if the order had been made under the </w:t>
      </w:r>
      <w:r>
        <w:rPr>
          <w:i/>
          <w:iCs/>
        </w:rPr>
        <w:t>Civil Judgments Enforcement Act 2004</w:t>
      </w:r>
      <w:r>
        <w:t>.</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88" w:name="_Toc47015089"/>
      <w:bookmarkStart w:id="189" w:name="_Toc47082103"/>
      <w:bookmarkStart w:id="190" w:name="_Toc47014526"/>
      <w:r>
        <w:rPr>
          <w:rStyle w:val="CharSchNo"/>
        </w:rPr>
        <w:t>Schedule 1</w:t>
      </w:r>
      <w:r>
        <w:t> — </w:t>
      </w:r>
      <w:r>
        <w:rPr>
          <w:rStyle w:val="CharSchText"/>
        </w:rPr>
        <w:t>Court fees</w:t>
      </w:r>
      <w:bookmarkEnd w:id="188"/>
      <w:bookmarkEnd w:id="189"/>
    </w:p>
    <w:p>
      <w:pPr>
        <w:pStyle w:val="yShoulderClause"/>
      </w:pPr>
      <w:r>
        <w:t>[r. 105]</w:t>
      </w:r>
    </w:p>
    <w:p>
      <w:pPr>
        <w:pStyle w:val="yFootnoteheading"/>
        <w:spacing w:after="120"/>
      </w:pPr>
      <w:r>
        <w:tab/>
        <w:t>[Heading inserted: SL 2020/124 r. 6.]</w:t>
      </w: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10"/>
        <w:gridCol w:w="1345"/>
        <w:gridCol w:w="1259"/>
        <w:gridCol w:w="1223"/>
      </w:tblGrid>
      <w:tr>
        <w:trPr>
          <w:tblHeader/>
        </w:trPr>
        <w:tc>
          <w:tcPr>
            <w:tcW w:w="767" w:type="dxa"/>
            <w:tcBorders>
              <w:left w:val="nil"/>
              <w:bottom w:val="single" w:sz="4" w:space="0" w:color="auto"/>
              <w:right w:val="nil"/>
            </w:tcBorders>
          </w:tcPr>
          <w:p>
            <w:pPr>
              <w:pStyle w:val="yTableNAm"/>
              <w:jc w:val="center"/>
            </w:pPr>
            <w:r>
              <w:rPr>
                <w:b/>
                <w:szCs w:val="22"/>
              </w:rPr>
              <w:t>Item</w:t>
            </w:r>
          </w:p>
        </w:tc>
        <w:tc>
          <w:tcPr>
            <w:tcW w:w="2410" w:type="dxa"/>
            <w:tcBorders>
              <w:left w:val="nil"/>
              <w:bottom w:val="single" w:sz="4" w:space="0" w:color="auto"/>
              <w:right w:val="nil"/>
            </w:tcBorders>
          </w:tcPr>
          <w:p>
            <w:pPr>
              <w:pStyle w:val="yTableNAm"/>
              <w:jc w:val="center"/>
            </w:pPr>
            <w:r>
              <w:rPr>
                <w:b/>
                <w:szCs w:val="22"/>
              </w:rPr>
              <w:t>Matter</w:t>
            </w:r>
          </w:p>
        </w:tc>
        <w:tc>
          <w:tcPr>
            <w:tcW w:w="1345" w:type="dxa"/>
            <w:tcBorders>
              <w:left w:val="nil"/>
              <w:bottom w:val="single" w:sz="4" w:space="0" w:color="auto"/>
              <w:right w:val="nil"/>
            </w:tcBorders>
          </w:tcPr>
          <w:p>
            <w:pPr>
              <w:pStyle w:val="yTableNAm"/>
              <w:jc w:val="center"/>
              <w:rPr>
                <w:b/>
                <w:szCs w:val="22"/>
              </w:rPr>
            </w:pPr>
            <w:r>
              <w:rPr>
                <w:b/>
                <w:szCs w:val="22"/>
              </w:rPr>
              <w:t>Column A</w:t>
            </w:r>
          </w:p>
          <w:p>
            <w:pPr>
              <w:pStyle w:val="yTableNAm"/>
              <w:jc w:val="center"/>
            </w:pPr>
            <w:r>
              <w:t>Fee for individual or eligible entity</w:t>
            </w:r>
            <w:r>
              <w:br/>
              <w:t>$</w:t>
            </w:r>
          </w:p>
        </w:tc>
        <w:tc>
          <w:tcPr>
            <w:tcW w:w="1259" w:type="dxa"/>
            <w:tcBorders>
              <w:left w:val="nil"/>
              <w:bottom w:val="single" w:sz="4" w:space="0" w:color="auto"/>
              <w:right w:val="nil"/>
            </w:tcBorders>
          </w:tcPr>
          <w:p>
            <w:pPr>
              <w:pStyle w:val="yTableNAm"/>
              <w:jc w:val="center"/>
              <w:rPr>
                <w:b/>
                <w:szCs w:val="22"/>
              </w:rPr>
            </w:pPr>
            <w:r>
              <w:rPr>
                <w:b/>
                <w:szCs w:val="22"/>
              </w:rPr>
              <w:t>Column B</w:t>
            </w:r>
          </w:p>
          <w:p>
            <w:pPr>
              <w:pStyle w:val="yTableNAm"/>
              <w:jc w:val="center"/>
            </w:pPr>
            <w:r>
              <w:t xml:space="preserve">Fee for </w:t>
            </w:r>
            <w:r>
              <w:br/>
              <w:t>entity</w:t>
            </w:r>
            <w:r>
              <w:br/>
            </w:r>
            <w:r>
              <w:br/>
            </w:r>
            <w:r>
              <w:br/>
              <w:t>$</w:t>
            </w:r>
          </w:p>
        </w:tc>
        <w:tc>
          <w:tcPr>
            <w:tcW w:w="1223" w:type="dxa"/>
            <w:tcBorders>
              <w:left w:val="nil"/>
              <w:bottom w:val="single" w:sz="4" w:space="0" w:color="auto"/>
              <w:right w:val="nil"/>
            </w:tcBorders>
          </w:tcPr>
          <w:p>
            <w:pPr>
              <w:pStyle w:val="yTableNAm"/>
              <w:jc w:val="center"/>
              <w:rPr>
                <w:b/>
                <w:szCs w:val="22"/>
              </w:rPr>
            </w:pPr>
            <w:r>
              <w:rPr>
                <w:b/>
                <w:szCs w:val="22"/>
              </w:rPr>
              <w:t>Column C</w:t>
            </w:r>
          </w:p>
          <w:p>
            <w:pPr>
              <w:pStyle w:val="yTableNAm"/>
              <w:jc w:val="center"/>
            </w:pPr>
            <w:r>
              <w:t>Fee for eligible individual</w:t>
            </w:r>
            <w:r>
              <w:br/>
            </w:r>
            <w:r>
              <w:br/>
              <w:t>$</w:t>
            </w:r>
          </w:p>
        </w:tc>
      </w:tr>
      <w:tr>
        <w:trPr>
          <w:cantSplit/>
        </w:trPr>
        <w:tc>
          <w:tcPr>
            <w:tcW w:w="767" w:type="dxa"/>
            <w:tcBorders>
              <w:left w:val="nil"/>
              <w:bottom w:val="nil"/>
              <w:right w:val="nil"/>
            </w:tcBorders>
          </w:tcPr>
          <w:p>
            <w:pPr>
              <w:pStyle w:val="yTableNAm"/>
            </w:pPr>
            <w:r>
              <w:rPr>
                <w:szCs w:val="22"/>
              </w:rPr>
              <w:t>1.</w:t>
            </w:r>
          </w:p>
        </w:tc>
        <w:tc>
          <w:tcPr>
            <w:tcW w:w="2410" w:type="dxa"/>
            <w:tcBorders>
              <w:left w:val="nil"/>
              <w:bottom w:val="nil"/>
              <w:right w:val="nil"/>
            </w:tcBorders>
          </w:tcPr>
          <w:p>
            <w:pPr>
              <w:pStyle w:val="yTableNAm"/>
            </w:pPr>
            <w:r>
              <w:rPr>
                <w:szCs w:val="22"/>
              </w:rPr>
              <w:t xml:space="preserve">For an application or request under the Act — </w:t>
            </w:r>
          </w:p>
        </w:tc>
        <w:tc>
          <w:tcPr>
            <w:tcW w:w="1345" w:type="dxa"/>
            <w:tcBorders>
              <w:left w:val="nil"/>
              <w:bottom w:val="nil"/>
              <w:right w:val="nil"/>
            </w:tcBorders>
          </w:tcPr>
          <w:p>
            <w:pPr>
              <w:pStyle w:val="yTableNAm"/>
            </w:pPr>
          </w:p>
        </w:tc>
        <w:tc>
          <w:tcPr>
            <w:tcW w:w="1259" w:type="dxa"/>
            <w:tcBorders>
              <w:left w:val="nil"/>
              <w:bottom w:val="nil"/>
              <w:right w:val="nil"/>
            </w:tcBorders>
          </w:tcPr>
          <w:p>
            <w:pPr>
              <w:pStyle w:val="yTableNAm"/>
            </w:pPr>
          </w:p>
        </w:tc>
        <w:tc>
          <w:tcPr>
            <w:tcW w:w="1223" w:type="dxa"/>
            <w:tcBorders>
              <w:left w:val="nil"/>
              <w:bottom w:val="nil"/>
              <w:right w:val="nil"/>
            </w:tcBorders>
          </w:tcPr>
          <w:p>
            <w:pPr>
              <w:pStyle w:val="yTableNAm"/>
            </w:pPr>
          </w:p>
        </w:tc>
      </w:tr>
      <w:tr>
        <w:trPr>
          <w:cantSplit/>
        </w:trPr>
        <w:tc>
          <w:tcPr>
            <w:tcW w:w="767" w:type="dxa"/>
            <w:tcBorders>
              <w:top w:val="nil"/>
              <w:left w:val="nil"/>
              <w:bottom w:val="nil"/>
              <w:right w:val="nil"/>
            </w:tcBorders>
          </w:tcPr>
          <w:p>
            <w:pPr>
              <w:pStyle w:val="yTableNAm"/>
              <w:rPr>
                <w:szCs w:val="22"/>
              </w:rPr>
            </w:pPr>
          </w:p>
        </w:tc>
        <w:tc>
          <w:tcPr>
            <w:tcW w:w="2410" w:type="dxa"/>
            <w:tcBorders>
              <w:top w:val="nil"/>
              <w:left w:val="nil"/>
              <w:bottom w:val="nil"/>
              <w:right w:val="nil"/>
            </w:tcBorders>
          </w:tcPr>
          <w:p>
            <w:pPr>
              <w:pStyle w:val="yTableNAm"/>
              <w:tabs>
                <w:tab w:val="clear" w:pos="567"/>
                <w:tab w:val="left" w:pos="470"/>
              </w:tabs>
              <w:ind w:left="470" w:hanging="470"/>
            </w:pPr>
            <w:r>
              <w:t>(a)</w:t>
            </w:r>
            <w:r>
              <w:tab/>
              <w:t>a judgment not exceeding $10 000</w:t>
            </w:r>
          </w:p>
        </w:tc>
        <w:tc>
          <w:tcPr>
            <w:tcW w:w="1345" w:type="dxa"/>
            <w:tcBorders>
              <w:top w:val="nil"/>
              <w:left w:val="nil"/>
              <w:bottom w:val="nil"/>
              <w:right w:val="nil"/>
            </w:tcBorders>
            <w:vAlign w:val="bottom"/>
          </w:tcPr>
          <w:p>
            <w:pPr>
              <w:pStyle w:val="yTableNAm"/>
              <w:rPr>
                <w:szCs w:val="22"/>
              </w:rPr>
            </w:pPr>
            <w:r>
              <w:rPr>
                <w:szCs w:val="22"/>
              </w:rPr>
              <w:t>130.50</w:t>
            </w:r>
          </w:p>
        </w:tc>
        <w:tc>
          <w:tcPr>
            <w:tcW w:w="1259" w:type="dxa"/>
            <w:tcBorders>
              <w:top w:val="nil"/>
              <w:left w:val="nil"/>
              <w:bottom w:val="nil"/>
              <w:right w:val="nil"/>
            </w:tcBorders>
            <w:vAlign w:val="bottom"/>
          </w:tcPr>
          <w:p>
            <w:pPr>
              <w:pStyle w:val="yTableNAm"/>
              <w:rPr>
                <w:szCs w:val="22"/>
              </w:rPr>
            </w:pPr>
            <w:r>
              <w:rPr>
                <w:szCs w:val="22"/>
              </w:rPr>
              <w:t>196.00</w:t>
            </w:r>
          </w:p>
        </w:tc>
        <w:tc>
          <w:tcPr>
            <w:tcW w:w="1223" w:type="dxa"/>
            <w:tcBorders>
              <w:top w:val="nil"/>
              <w:left w:val="nil"/>
              <w:bottom w:val="nil"/>
              <w:right w:val="nil"/>
            </w:tcBorders>
            <w:vAlign w:val="bottom"/>
          </w:tcPr>
          <w:p>
            <w:pPr>
              <w:pStyle w:val="yTableNAm"/>
              <w:rPr>
                <w:szCs w:val="22"/>
              </w:rPr>
            </w:pPr>
            <w:r>
              <w:rPr>
                <w:szCs w:val="22"/>
              </w:rPr>
              <w:t>39.10</w:t>
            </w:r>
          </w:p>
        </w:tc>
      </w:tr>
      <w:tr>
        <w:trPr>
          <w:cantSplit/>
        </w:trPr>
        <w:tc>
          <w:tcPr>
            <w:tcW w:w="767" w:type="dxa"/>
            <w:tcBorders>
              <w:top w:val="nil"/>
              <w:left w:val="nil"/>
              <w:bottom w:val="nil"/>
              <w:right w:val="nil"/>
            </w:tcBorders>
          </w:tcPr>
          <w:p>
            <w:pPr>
              <w:pStyle w:val="yTableNAm"/>
              <w:rPr>
                <w:szCs w:val="22"/>
              </w:rPr>
            </w:pPr>
          </w:p>
        </w:tc>
        <w:tc>
          <w:tcPr>
            <w:tcW w:w="2410" w:type="dxa"/>
            <w:tcBorders>
              <w:top w:val="nil"/>
              <w:left w:val="nil"/>
              <w:bottom w:val="nil"/>
              <w:right w:val="nil"/>
            </w:tcBorders>
          </w:tcPr>
          <w:p>
            <w:pPr>
              <w:pStyle w:val="yTableNAm"/>
              <w:tabs>
                <w:tab w:val="clear" w:pos="567"/>
                <w:tab w:val="left" w:pos="470"/>
              </w:tabs>
              <w:ind w:left="470" w:hanging="470"/>
            </w:pPr>
            <w:r>
              <w:t>(b)</w:t>
            </w:r>
            <w:r>
              <w:tab/>
              <w:t>all other judgments</w:t>
            </w:r>
          </w:p>
        </w:tc>
        <w:tc>
          <w:tcPr>
            <w:tcW w:w="1345" w:type="dxa"/>
            <w:tcBorders>
              <w:top w:val="nil"/>
              <w:left w:val="nil"/>
              <w:bottom w:val="nil"/>
              <w:right w:val="nil"/>
            </w:tcBorders>
            <w:vAlign w:val="bottom"/>
          </w:tcPr>
          <w:p>
            <w:pPr>
              <w:pStyle w:val="yTableNAm"/>
            </w:pPr>
            <w:r>
              <w:t>211.00</w:t>
            </w:r>
          </w:p>
        </w:tc>
        <w:tc>
          <w:tcPr>
            <w:tcW w:w="1259" w:type="dxa"/>
            <w:tcBorders>
              <w:top w:val="nil"/>
              <w:left w:val="nil"/>
              <w:bottom w:val="nil"/>
              <w:right w:val="nil"/>
            </w:tcBorders>
            <w:vAlign w:val="bottom"/>
          </w:tcPr>
          <w:p>
            <w:pPr>
              <w:pStyle w:val="yTableNAm"/>
            </w:pPr>
            <w:r>
              <w:t>317.00</w:t>
            </w:r>
          </w:p>
        </w:tc>
        <w:tc>
          <w:tcPr>
            <w:tcW w:w="1223" w:type="dxa"/>
            <w:tcBorders>
              <w:top w:val="nil"/>
              <w:left w:val="nil"/>
              <w:bottom w:val="nil"/>
              <w:right w:val="nil"/>
            </w:tcBorders>
            <w:vAlign w:val="bottom"/>
          </w:tcPr>
          <w:p>
            <w:pPr>
              <w:pStyle w:val="yTableNAm"/>
            </w:pPr>
            <w:r>
              <w:t>63.50</w:t>
            </w:r>
          </w:p>
        </w:tc>
      </w:tr>
      <w:tr>
        <w:trPr>
          <w:cantSplit/>
          <w:trHeight w:val="567"/>
        </w:trPr>
        <w:tc>
          <w:tcPr>
            <w:tcW w:w="767" w:type="dxa"/>
            <w:tcBorders>
              <w:top w:val="nil"/>
              <w:left w:val="nil"/>
              <w:bottom w:val="nil"/>
              <w:right w:val="nil"/>
            </w:tcBorders>
          </w:tcPr>
          <w:p>
            <w:pPr>
              <w:pStyle w:val="yTableNAm"/>
              <w:rPr>
                <w:rFonts w:ascii="Arial" w:hAnsi="Arial" w:cs="Arial"/>
                <w:sz w:val="18"/>
                <w:szCs w:val="18"/>
              </w:rPr>
            </w:pPr>
          </w:p>
        </w:tc>
        <w:tc>
          <w:tcPr>
            <w:tcW w:w="623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Notes for this item:</w:t>
            </w:r>
          </w:p>
          <w:p>
            <w:pPr>
              <w:pStyle w:val="yTableNAm"/>
              <w:ind w:left="569" w:hanging="569"/>
              <w:rPr>
                <w:rFonts w:ascii="Arial" w:hAnsi="Arial" w:cs="Arial"/>
                <w:sz w:val="18"/>
                <w:szCs w:val="18"/>
              </w:rPr>
            </w:pPr>
            <w:r>
              <w:rPr>
                <w:rFonts w:ascii="Arial" w:hAnsi="Arial" w:cs="Arial"/>
                <w:sz w:val="18"/>
                <w:szCs w:val="18"/>
              </w:rPr>
              <w:t>1.</w:t>
            </w:r>
            <w:r>
              <w:rPr>
                <w:rFonts w:ascii="Arial" w:hAnsi="Arial" w:cs="Arial"/>
                <w:sz w:val="18"/>
                <w:szCs w:val="18"/>
              </w:rPr>
              <w:tab/>
              <w:t>The fee is payable only once on the first application or request by a judgment creditor or other person entitled to the benefit of the judgment.</w:t>
            </w:r>
          </w:p>
        </w:tc>
      </w:tr>
      <w:tr>
        <w:trPr>
          <w:cantSplit/>
          <w:trHeight w:val="340"/>
        </w:trPr>
        <w:tc>
          <w:tcPr>
            <w:tcW w:w="767" w:type="dxa"/>
            <w:tcBorders>
              <w:top w:val="nil"/>
              <w:left w:val="nil"/>
              <w:bottom w:val="nil"/>
              <w:right w:val="nil"/>
            </w:tcBorders>
          </w:tcPr>
          <w:p>
            <w:pPr>
              <w:pStyle w:val="yTableNAm"/>
              <w:rPr>
                <w:rFonts w:ascii="Arial" w:hAnsi="Arial" w:cs="Arial"/>
                <w:sz w:val="18"/>
                <w:szCs w:val="18"/>
              </w:rPr>
            </w:pPr>
          </w:p>
        </w:tc>
        <w:tc>
          <w:tcPr>
            <w:tcW w:w="6237" w:type="dxa"/>
            <w:gridSpan w:val="4"/>
            <w:tcBorders>
              <w:top w:val="nil"/>
              <w:left w:val="nil"/>
              <w:bottom w:val="nil"/>
              <w:right w:val="nil"/>
            </w:tcBorders>
          </w:tcPr>
          <w:p>
            <w:pPr>
              <w:pStyle w:val="yTableNAm"/>
              <w:ind w:left="569" w:hanging="569"/>
              <w:rPr>
                <w:rFonts w:ascii="Arial" w:hAnsi="Arial" w:cs="Arial"/>
                <w:sz w:val="18"/>
                <w:szCs w:val="18"/>
              </w:rPr>
            </w:pPr>
            <w:r>
              <w:rPr>
                <w:rFonts w:ascii="Arial" w:hAnsi="Arial" w:cs="Arial"/>
                <w:sz w:val="18"/>
                <w:szCs w:val="18"/>
              </w:rPr>
              <w:t>2.</w:t>
            </w:r>
            <w:r>
              <w:rPr>
                <w:rFonts w:ascii="Arial" w:hAnsi="Arial" w:cs="Arial"/>
                <w:sz w:val="18"/>
                <w:szCs w:val="18"/>
              </w:rPr>
              <w:tab/>
              <w:t>No fee is payable in relation to interpleader proceedings.</w:t>
            </w:r>
          </w:p>
        </w:tc>
      </w:tr>
      <w:tr>
        <w:trPr>
          <w:cantSplit/>
          <w:trHeight w:val="737"/>
        </w:trPr>
        <w:tc>
          <w:tcPr>
            <w:tcW w:w="767" w:type="dxa"/>
            <w:tcBorders>
              <w:top w:val="nil"/>
              <w:left w:val="nil"/>
              <w:bottom w:val="nil"/>
              <w:right w:val="nil"/>
            </w:tcBorders>
          </w:tcPr>
          <w:p>
            <w:pPr>
              <w:pStyle w:val="yTableNAm"/>
              <w:rPr>
                <w:rFonts w:ascii="Arial" w:hAnsi="Arial" w:cs="Arial"/>
                <w:sz w:val="18"/>
                <w:szCs w:val="18"/>
              </w:rPr>
            </w:pPr>
          </w:p>
        </w:tc>
        <w:tc>
          <w:tcPr>
            <w:tcW w:w="6237" w:type="dxa"/>
            <w:gridSpan w:val="4"/>
            <w:tcBorders>
              <w:top w:val="nil"/>
              <w:left w:val="nil"/>
              <w:bottom w:val="nil"/>
              <w:right w:val="nil"/>
            </w:tcBorders>
          </w:tcPr>
          <w:p>
            <w:pPr>
              <w:pStyle w:val="yTableNAm"/>
              <w:ind w:left="569" w:hanging="569"/>
              <w:rPr>
                <w:rFonts w:ascii="Arial" w:hAnsi="Arial" w:cs="Arial"/>
                <w:sz w:val="18"/>
                <w:szCs w:val="18"/>
              </w:rPr>
            </w:pPr>
            <w:r>
              <w:rPr>
                <w:rFonts w:ascii="Arial" w:hAnsi="Arial" w:cs="Arial"/>
                <w:sz w:val="18"/>
                <w:szCs w:val="18"/>
              </w:rPr>
              <w:t>3.</w:t>
            </w:r>
            <w:r>
              <w:rPr>
                <w:rFonts w:ascii="Arial" w:hAnsi="Arial" w:cs="Arial"/>
                <w:sz w:val="18"/>
                <w:szCs w:val="18"/>
              </w:rPr>
              <w:tab/>
              <w:t>No fee is payable for registering a judgment or order of a court or tribunal of the State for the purpose of enforcing the judgment or order.</w:t>
            </w:r>
          </w:p>
        </w:tc>
      </w:tr>
      <w:tr>
        <w:trPr>
          <w:cantSplit/>
          <w:trHeight w:val="737"/>
        </w:trPr>
        <w:tc>
          <w:tcPr>
            <w:tcW w:w="767" w:type="dxa"/>
            <w:tcBorders>
              <w:top w:val="nil"/>
              <w:left w:val="nil"/>
              <w:bottom w:val="nil"/>
              <w:right w:val="nil"/>
            </w:tcBorders>
          </w:tcPr>
          <w:p>
            <w:pPr>
              <w:pStyle w:val="yTableNAm"/>
              <w:rPr>
                <w:rFonts w:ascii="Arial" w:hAnsi="Arial" w:cs="Arial"/>
                <w:sz w:val="18"/>
                <w:szCs w:val="18"/>
              </w:rPr>
            </w:pPr>
          </w:p>
        </w:tc>
        <w:tc>
          <w:tcPr>
            <w:tcW w:w="6237" w:type="dxa"/>
            <w:gridSpan w:val="4"/>
            <w:tcBorders>
              <w:top w:val="nil"/>
              <w:left w:val="nil"/>
              <w:bottom w:val="nil"/>
              <w:right w:val="nil"/>
            </w:tcBorders>
          </w:tcPr>
          <w:p>
            <w:pPr>
              <w:pStyle w:val="yTableNAm"/>
              <w:ind w:left="569" w:hanging="569"/>
              <w:rPr>
                <w:rFonts w:ascii="Arial" w:hAnsi="Arial" w:cs="Arial"/>
                <w:sz w:val="18"/>
                <w:szCs w:val="18"/>
              </w:rPr>
            </w:pPr>
            <w:r>
              <w:rPr>
                <w:rFonts w:ascii="Arial" w:hAnsi="Arial" w:cs="Arial"/>
                <w:sz w:val="18"/>
                <w:szCs w:val="18"/>
              </w:rPr>
              <w:t>4.</w:t>
            </w:r>
            <w:r>
              <w:rPr>
                <w:rFonts w:ascii="Arial" w:hAnsi="Arial" w:cs="Arial"/>
                <w:sz w:val="18"/>
                <w:szCs w:val="18"/>
              </w:rPr>
              <w:tab/>
              <w:t>No fee is payable for an application or request brought by a person other than a judgment creditor or other person entitled to the benefit of the judgment.</w:t>
            </w:r>
          </w:p>
        </w:tc>
      </w:tr>
      <w:tr>
        <w:trPr>
          <w:cantSplit/>
          <w:trHeight w:val="964"/>
        </w:trPr>
        <w:tc>
          <w:tcPr>
            <w:tcW w:w="767" w:type="dxa"/>
            <w:tcBorders>
              <w:top w:val="nil"/>
              <w:left w:val="nil"/>
              <w:bottom w:val="nil"/>
              <w:right w:val="nil"/>
            </w:tcBorders>
          </w:tcPr>
          <w:p>
            <w:pPr>
              <w:pStyle w:val="yTableNAm"/>
              <w:rPr>
                <w:rFonts w:ascii="Arial" w:hAnsi="Arial" w:cs="Arial"/>
                <w:sz w:val="18"/>
                <w:szCs w:val="18"/>
              </w:rPr>
            </w:pPr>
          </w:p>
        </w:tc>
        <w:tc>
          <w:tcPr>
            <w:tcW w:w="6237" w:type="dxa"/>
            <w:gridSpan w:val="4"/>
            <w:tcBorders>
              <w:top w:val="nil"/>
              <w:left w:val="nil"/>
              <w:bottom w:val="nil"/>
              <w:right w:val="nil"/>
            </w:tcBorders>
          </w:tcPr>
          <w:p>
            <w:pPr>
              <w:pStyle w:val="yTableNAm"/>
              <w:ind w:left="569" w:hanging="569"/>
              <w:rPr>
                <w:rFonts w:ascii="Arial" w:hAnsi="Arial" w:cs="Arial"/>
                <w:sz w:val="18"/>
                <w:szCs w:val="18"/>
              </w:rPr>
            </w:pPr>
            <w:r>
              <w:rPr>
                <w:rFonts w:ascii="Arial" w:hAnsi="Arial" w:cs="Arial"/>
                <w:sz w:val="18"/>
                <w:szCs w:val="18"/>
              </w:rPr>
              <w:t>5.</w:t>
            </w:r>
            <w:r>
              <w:rPr>
                <w:rFonts w:ascii="Arial" w:hAnsi="Arial" w:cs="Arial"/>
                <w:sz w:val="18"/>
                <w:szCs w:val="18"/>
              </w:rPr>
              <w:tab/>
              <w:t xml:space="preserve">The fee payable on an application relating to an order made in the exercise of the jurisdiction referred to in the </w:t>
            </w:r>
            <w:r>
              <w:rPr>
                <w:rFonts w:ascii="Arial" w:hAnsi="Arial" w:cs="Arial"/>
                <w:i/>
                <w:sz w:val="18"/>
                <w:szCs w:val="18"/>
              </w:rPr>
              <w:t>Residential Tenancies Act 1987</w:t>
            </w:r>
            <w:r>
              <w:rPr>
                <w:rFonts w:ascii="Arial" w:hAnsi="Arial" w:cs="Arial"/>
                <w:sz w:val="18"/>
                <w:szCs w:val="18"/>
              </w:rPr>
              <w:t xml:space="preserve"> section 12A is the fee payable on an application in relation to a judgment not exceeding $10 000.</w:t>
            </w:r>
          </w:p>
        </w:tc>
      </w:tr>
      <w:tr>
        <w:trPr>
          <w:cantSplit/>
        </w:trPr>
        <w:tc>
          <w:tcPr>
            <w:tcW w:w="767" w:type="dxa"/>
            <w:tcBorders>
              <w:top w:val="nil"/>
              <w:left w:val="nil"/>
              <w:bottom w:val="single" w:sz="4" w:space="0" w:color="auto"/>
              <w:right w:val="nil"/>
            </w:tcBorders>
          </w:tcPr>
          <w:p>
            <w:pPr>
              <w:pStyle w:val="yTableNAm"/>
            </w:pPr>
            <w:r>
              <w:rPr>
                <w:szCs w:val="22"/>
              </w:rPr>
              <w:t>2.</w:t>
            </w:r>
          </w:p>
        </w:tc>
        <w:tc>
          <w:tcPr>
            <w:tcW w:w="2410" w:type="dxa"/>
            <w:tcBorders>
              <w:top w:val="nil"/>
              <w:left w:val="nil"/>
              <w:bottom w:val="single" w:sz="4" w:space="0" w:color="auto"/>
              <w:right w:val="nil"/>
            </w:tcBorders>
          </w:tcPr>
          <w:p>
            <w:pPr>
              <w:pStyle w:val="yTableNAm"/>
            </w:pPr>
            <w:r>
              <w:rPr>
                <w:szCs w:val="22"/>
              </w:rPr>
              <w:t xml:space="preserve">Registering a judgment in a court under the </w:t>
            </w:r>
            <w:r>
              <w:rPr>
                <w:i/>
                <w:iCs/>
                <w:szCs w:val="22"/>
              </w:rPr>
              <w:t>Service and Execution of Process Act 1992</w:t>
            </w:r>
            <w:r>
              <w:rPr>
                <w:szCs w:val="22"/>
              </w:rPr>
              <w:t xml:space="preserve"> (Commonwealth) section 105(1)</w:t>
            </w:r>
          </w:p>
        </w:tc>
        <w:tc>
          <w:tcPr>
            <w:tcW w:w="1345" w:type="dxa"/>
            <w:tcBorders>
              <w:top w:val="nil"/>
              <w:left w:val="nil"/>
              <w:bottom w:val="single" w:sz="4" w:space="0" w:color="auto"/>
              <w:right w:val="nil"/>
            </w:tcBorders>
            <w:vAlign w:val="bottom"/>
          </w:tcPr>
          <w:p>
            <w:pPr>
              <w:pStyle w:val="yTableNAm"/>
            </w:pPr>
            <w:r>
              <w:t>110.50</w:t>
            </w:r>
          </w:p>
        </w:tc>
        <w:tc>
          <w:tcPr>
            <w:tcW w:w="1259" w:type="dxa"/>
            <w:tcBorders>
              <w:top w:val="nil"/>
              <w:left w:val="nil"/>
              <w:bottom w:val="single" w:sz="4" w:space="0" w:color="auto"/>
              <w:right w:val="nil"/>
            </w:tcBorders>
            <w:vAlign w:val="bottom"/>
          </w:tcPr>
          <w:p>
            <w:pPr>
              <w:pStyle w:val="yTableNAm"/>
            </w:pPr>
            <w:r>
              <w:t>146.50</w:t>
            </w:r>
          </w:p>
        </w:tc>
        <w:tc>
          <w:tcPr>
            <w:tcW w:w="1223" w:type="dxa"/>
            <w:tcBorders>
              <w:top w:val="nil"/>
              <w:left w:val="nil"/>
              <w:bottom w:val="single" w:sz="4" w:space="0" w:color="auto"/>
              <w:right w:val="nil"/>
            </w:tcBorders>
            <w:vAlign w:val="bottom"/>
          </w:tcPr>
          <w:p>
            <w:pPr>
              <w:pStyle w:val="yTableNAm"/>
            </w:pPr>
            <w:r>
              <w:t>33.10</w:t>
            </w:r>
          </w:p>
        </w:tc>
      </w:tr>
    </w:tbl>
    <w:p>
      <w:pPr>
        <w:pStyle w:val="yFootnotesection"/>
      </w:pPr>
      <w:r>
        <w:tab/>
        <w:t>[Schedule 1 inserted: SL 2020/124 r. 6.]</w:t>
      </w:r>
    </w:p>
    <w:p>
      <w:pPr>
        <w:pStyle w:val="yScheduleHeading"/>
      </w:pPr>
      <w:bookmarkStart w:id="191" w:name="_Toc47015090"/>
      <w:bookmarkStart w:id="192" w:name="_Toc47082104"/>
      <w:r>
        <w:rPr>
          <w:rStyle w:val="CharSchNo"/>
        </w:rPr>
        <w:t>Schedule 2</w:t>
      </w:r>
      <w:r>
        <w:t> — </w:t>
      </w:r>
      <w:r>
        <w:rPr>
          <w:rStyle w:val="CharSchText"/>
        </w:rPr>
        <w:t>Sheriff’s fees</w:t>
      </w:r>
      <w:bookmarkEnd w:id="191"/>
      <w:bookmarkEnd w:id="192"/>
    </w:p>
    <w:p>
      <w:pPr>
        <w:pStyle w:val="yShoulderClause"/>
      </w:pPr>
      <w:r>
        <w:t>[r. 105]</w:t>
      </w:r>
    </w:p>
    <w:p>
      <w:pPr>
        <w:pStyle w:val="yFootnoteheading"/>
        <w:spacing w:after="120"/>
      </w:pPr>
      <w:r>
        <w:tab/>
        <w:t>[Heading inserted: SL 2020/124 r. 6.]</w:t>
      </w:r>
    </w:p>
    <w:tbl>
      <w:tblPr>
        <w:tblW w:w="0" w:type="auto"/>
        <w:tblInd w:w="108" w:type="dxa"/>
        <w:tblLayout w:type="fixed"/>
        <w:tblLook w:val="0000" w:firstRow="0" w:lastRow="0" w:firstColumn="0" w:lastColumn="0" w:noHBand="0" w:noVBand="0"/>
      </w:tblPr>
      <w:tblGrid>
        <w:gridCol w:w="840"/>
        <w:gridCol w:w="4689"/>
        <w:gridCol w:w="1417"/>
      </w:tblGrid>
      <w:tr>
        <w:trPr>
          <w:cantSplit/>
          <w:tblHeader/>
        </w:trPr>
        <w:tc>
          <w:tcPr>
            <w:tcW w:w="840" w:type="dxa"/>
            <w:tcBorders>
              <w:top w:val="single" w:sz="4" w:space="0" w:color="auto"/>
              <w:bottom w:val="single" w:sz="4" w:space="0" w:color="auto"/>
            </w:tcBorders>
          </w:tcPr>
          <w:p>
            <w:pPr>
              <w:pStyle w:val="yTableNAm"/>
              <w:keepNext/>
              <w:keepLines/>
              <w:jc w:val="center"/>
            </w:pPr>
            <w:r>
              <w:rPr>
                <w:b/>
              </w:rPr>
              <w:t>Item</w:t>
            </w:r>
          </w:p>
        </w:tc>
        <w:tc>
          <w:tcPr>
            <w:tcW w:w="4689" w:type="dxa"/>
            <w:tcBorders>
              <w:top w:val="single" w:sz="4" w:space="0" w:color="auto"/>
              <w:bottom w:val="single" w:sz="4" w:space="0" w:color="auto"/>
            </w:tcBorders>
          </w:tcPr>
          <w:p>
            <w:pPr>
              <w:pStyle w:val="yTableNAm"/>
              <w:keepNext/>
              <w:keepLines/>
              <w:jc w:val="center"/>
            </w:pPr>
            <w:r>
              <w:rPr>
                <w:b/>
              </w:rPr>
              <w:t>Action</w:t>
            </w:r>
          </w:p>
        </w:tc>
        <w:tc>
          <w:tcPr>
            <w:tcW w:w="1417" w:type="dxa"/>
            <w:tcBorders>
              <w:top w:val="single" w:sz="4" w:space="0" w:color="auto"/>
              <w:bottom w:val="single" w:sz="4" w:space="0" w:color="auto"/>
            </w:tcBorders>
          </w:tcPr>
          <w:p>
            <w:pPr>
              <w:pStyle w:val="yTableNAm"/>
              <w:keepNext/>
              <w:keepLines/>
              <w:jc w:val="center"/>
            </w:pPr>
            <w:r>
              <w:rPr>
                <w:b/>
              </w:rPr>
              <w:t>Fee</w:t>
            </w:r>
            <w:r>
              <w:rPr>
                <w:b/>
              </w:rPr>
              <w:br/>
              <w:t>$</w:t>
            </w:r>
          </w:p>
        </w:tc>
      </w:tr>
      <w:tr>
        <w:trPr>
          <w:cantSplit/>
        </w:trPr>
        <w:tc>
          <w:tcPr>
            <w:tcW w:w="840" w:type="dxa"/>
          </w:tcPr>
          <w:p>
            <w:pPr>
              <w:pStyle w:val="yTableNAm"/>
            </w:pPr>
            <w:r>
              <w:rPr>
                <w:szCs w:val="22"/>
              </w:rPr>
              <w:t>1.</w:t>
            </w:r>
          </w:p>
        </w:tc>
        <w:tc>
          <w:tcPr>
            <w:tcW w:w="4689" w:type="dxa"/>
          </w:tcPr>
          <w:p>
            <w:pPr>
              <w:pStyle w:val="yTableNAm"/>
              <w:tabs>
                <w:tab w:val="clear" w:pos="567"/>
                <w:tab w:val="left" w:pos="470"/>
              </w:tabs>
              <w:ind w:left="470" w:hanging="470"/>
            </w:pPr>
            <w:r>
              <w:t>(a)</w:t>
            </w:r>
            <w:r>
              <w:tab/>
              <w:t xml:space="preserve">Service of any process when personal service is not required under the Act </w:t>
            </w:r>
          </w:p>
        </w:tc>
        <w:tc>
          <w:tcPr>
            <w:tcW w:w="1417" w:type="dxa"/>
            <w:vAlign w:val="bottom"/>
          </w:tcPr>
          <w:p>
            <w:pPr>
              <w:pStyle w:val="yTableNAm"/>
            </w:pPr>
            <w:r>
              <w:rPr>
                <w:szCs w:val="22"/>
              </w:rPr>
              <w:t>68.00</w:t>
            </w:r>
          </w:p>
        </w:tc>
      </w:tr>
      <w:tr>
        <w:trPr>
          <w:cantSplit/>
        </w:trPr>
        <w:tc>
          <w:tcPr>
            <w:tcW w:w="840" w:type="dxa"/>
          </w:tcPr>
          <w:p>
            <w:pPr>
              <w:pStyle w:val="yTableNAm"/>
              <w:keepLines/>
              <w:rPr>
                <w:szCs w:val="22"/>
              </w:rPr>
            </w:pPr>
          </w:p>
        </w:tc>
        <w:tc>
          <w:tcPr>
            <w:tcW w:w="4689" w:type="dxa"/>
          </w:tcPr>
          <w:p>
            <w:pPr>
              <w:pStyle w:val="yTableNAm"/>
              <w:tabs>
                <w:tab w:val="clear" w:pos="567"/>
                <w:tab w:val="left" w:pos="470"/>
              </w:tabs>
              <w:ind w:left="470" w:hanging="470"/>
            </w:pPr>
            <w:r>
              <w:t>(b)</w:t>
            </w:r>
            <w:r>
              <w:tab/>
              <w:t xml:space="preserve">Service of any process when personal service is required under the Act </w:t>
            </w:r>
          </w:p>
        </w:tc>
        <w:tc>
          <w:tcPr>
            <w:tcW w:w="1417" w:type="dxa"/>
            <w:vAlign w:val="bottom"/>
          </w:tcPr>
          <w:p>
            <w:pPr>
              <w:pStyle w:val="yTableNAm"/>
            </w:pPr>
            <w:r>
              <w:rPr>
                <w:szCs w:val="22"/>
              </w:rPr>
              <w:t>95.00</w:t>
            </w:r>
          </w:p>
        </w:tc>
      </w:tr>
      <w:tr>
        <w:trPr>
          <w:cantSplit/>
        </w:trPr>
        <w:tc>
          <w:tcPr>
            <w:tcW w:w="840" w:type="dxa"/>
          </w:tcPr>
          <w:p>
            <w:pPr>
              <w:pStyle w:val="yTableNAm"/>
              <w:keepNext/>
              <w:keepLines/>
              <w:rPr>
                <w:szCs w:val="22"/>
              </w:rPr>
            </w:pPr>
          </w:p>
        </w:tc>
        <w:tc>
          <w:tcPr>
            <w:tcW w:w="4689" w:type="dxa"/>
          </w:tcPr>
          <w:p>
            <w:pPr>
              <w:pStyle w:val="yTableNAm"/>
              <w:tabs>
                <w:tab w:val="clear" w:pos="567"/>
                <w:tab w:val="left" w:pos="470"/>
              </w:tabs>
              <w:ind w:left="470" w:hanging="470"/>
            </w:pPr>
            <w:r>
              <w:t>(c)</w:t>
            </w:r>
            <w:r>
              <w:tab/>
              <w:t xml:space="preserve">Service by post, including postage </w:t>
            </w:r>
          </w:p>
        </w:tc>
        <w:tc>
          <w:tcPr>
            <w:tcW w:w="1417" w:type="dxa"/>
            <w:vAlign w:val="bottom"/>
          </w:tcPr>
          <w:p>
            <w:pPr>
              <w:pStyle w:val="yTableNAm"/>
            </w:pPr>
            <w:r>
              <w:rPr>
                <w:szCs w:val="22"/>
              </w:rPr>
              <w:t>45.50</w:t>
            </w:r>
          </w:p>
        </w:tc>
      </w:tr>
      <w:tr>
        <w:trPr>
          <w:cantSplit/>
          <w:trHeight w:val="1077"/>
        </w:trPr>
        <w:tc>
          <w:tcPr>
            <w:tcW w:w="840" w:type="dxa"/>
          </w:tcPr>
          <w:p>
            <w:pPr>
              <w:pStyle w:val="yTableNAm"/>
              <w:rPr>
                <w:rFonts w:ascii="Arial" w:hAnsi="Arial" w:cs="Arial"/>
                <w:sz w:val="18"/>
                <w:szCs w:val="18"/>
              </w:rPr>
            </w:pPr>
          </w:p>
        </w:tc>
        <w:tc>
          <w:tcPr>
            <w:tcW w:w="6106" w:type="dxa"/>
            <w:gridSpan w:val="2"/>
          </w:tcPr>
          <w:p>
            <w:pPr>
              <w:pStyle w:val="yTableNAm"/>
              <w:ind w:left="569" w:hanging="569"/>
              <w:rPr>
                <w:rFonts w:ascii="Arial" w:hAnsi="Arial" w:cs="Arial"/>
                <w:sz w:val="18"/>
                <w:szCs w:val="18"/>
              </w:rPr>
            </w:pPr>
            <w:r>
              <w:rPr>
                <w:rFonts w:ascii="Arial" w:hAnsi="Arial" w:cs="Arial"/>
                <w:sz w:val="18"/>
                <w:szCs w:val="18"/>
              </w:rPr>
              <w:t>Notes for this item:</w:t>
            </w:r>
          </w:p>
          <w:p>
            <w:pPr>
              <w:pStyle w:val="yTableNAm"/>
              <w:ind w:left="569" w:hanging="569"/>
              <w:rPr>
                <w:rFonts w:ascii="Arial" w:hAnsi="Arial" w:cs="Arial"/>
                <w:sz w:val="18"/>
                <w:szCs w:val="18"/>
              </w:rPr>
            </w:pPr>
            <w:r>
              <w:rPr>
                <w:rFonts w:ascii="Arial" w:hAnsi="Arial" w:cs="Arial"/>
                <w:sz w:val="18"/>
                <w:szCs w:val="18"/>
              </w:rPr>
              <w:t>1.</w:t>
            </w:r>
            <w:r>
              <w:rPr>
                <w:rFonts w:ascii="Arial" w:hAnsi="Arial" w:cs="Arial"/>
                <w:sz w:val="18"/>
                <w:szCs w:val="18"/>
              </w:rPr>
              <w:tab/>
              <w:t>The fee under paragraph (a) or (b) is payable whether or not the service is successful and covers up to 3 attempts at service at the same address.</w:t>
            </w:r>
          </w:p>
        </w:tc>
      </w:tr>
      <w:tr>
        <w:trPr>
          <w:cantSplit/>
          <w:trHeight w:val="737"/>
        </w:trPr>
        <w:tc>
          <w:tcPr>
            <w:tcW w:w="840" w:type="dxa"/>
          </w:tcPr>
          <w:p>
            <w:pPr>
              <w:pStyle w:val="yTableNAm"/>
              <w:rPr>
                <w:rFonts w:ascii="Arial" w:hAnsi="Arial" w:cs="Arial"/>
                <w:sz w:val="18"/>
                <w:szCs w:val="18"/>
              </w:rPr>
            </w:pPr>
          </w:p>
        </w:tc>
        <w:tc>
          <w:tcPr>
            <w:tcW w:w="6106" w:type="dxa"/>
            <w:gridSpan w:val="2"/>
          </w:tcPr>
          <w:p>
            <w:pPr>
              <w:pStyle w:val="yTableNAm"/>
              <w:ind w:left="569" w:hanging="569"/>
              <w:rPr>
                <w:rFonts w:ascii="Arial" w:hAnsi="Arial" w:cs="Arial"/>
                <w:sz w:val="18"/>
                <w:szCs w:val="18"/>
              </w:rPr>
            </w:pPr>
            <w:r>
              <w:rPr>
                <w:rFonts w:ascii="Arial" w:hAnsi="Arial" w:cs="Arial"/>
                <w:sz w:val="18"/>
                <w:szCs w:val="18"/>
              </w:rPr>
              <w:t>2.</w:t>
            </w:r>
            <w:r>
              <w:rPr>
                <w:rFonts w:ascii="Arial" w:hAnsi="Arial" w:cs="Arial"/>
                <w:sz w:val="18"/>
                <w:szCs w:val="18"/>
              </w:rPr>
              <w:tab/>
              <w:t>The fee is not payable in respect of any process that is served in conjunction with any process requiring attendance at a court by the party to be served.</w:t>
            </w:r>
          </w:p>
        </w:tc>
      </w:tr>
      <w:tr>
        <w:trPr>
          <w:cantSplit/>
          <w:trHeight w:val="510"/>
        </w:trPr>
        <w:tc>
          <w:tcPr>
            <w:tcW w:w="840" w:type="dxa"/>
          </w:tcPr>
          <w:p>
            <w:pPr>
              <w:pStyle w:val="yTableNAm"/>
              <w:rPr>
                <w:rFonts w:ascii="Arial" w:hAnsi="Arial" w:cs="Arial"/>
                <w:sz w:val="18"/>
                <w:szCs w:val="18"/>
              </w:rPr>
            </w:pPr>
          </w:p>
        </w:tc>
        <w:tc>
          <w:tcPr>
            <w:tcW w:w="6106" w:type="dxa"/>
            <w:gridSpan w:val="2"/>
          </w:tcPr>
          <w:p>
            <w:pPr>
              <w:pStyle w:val="yTableNAm"/>
              <w:ind w:left="569" w:hanging="569"/>
              <w:rPr>
                <w:rFonts w:ascii="Arial" w:hAnsi="Arial" w:cs="Arial"/>
                <w:sz w:val="18"/>
                <w:szCs w:val="18"/>
              </w:rPr>
            </w:pPr>
            <w:r>
              <w:rPr>
                <w:rFonts w:ascii="Arial" w:hAnsi="Arial" w:cs="Arial"/>
                <w:sz w:val="18"/>
                <w:szCs w:val="18"/>
              </w:rPr>
              <w:t>3.</w:t>
            </w:r>
            <w:r>
              <w:rPr>
                <w:rFonts w:ascii="Arial" w:hAnsi="Arial" w:cs="Arial"/>
                <w:sz w:val="18"/>
                <w:szCs w:val="18"/>
              </w:rPr>
              <w:tab/>
              <w:t>The fee includes the costs of receiving and printing the process and the completion of any certificate of the service.</w:t>
            </w:r>
          </w:p>
        </w:tc>
      </w:tr>
      <w:tr>
        <w:trPr>
          <w:cantSplit/>
        </w:trPr>
        <w:tc>
          <w:tcPr>
            <w:tcW w:w="840" w:type="dxa"/>
          </w:tcPr>
          <w:p>
            <w:pPr>
              <w:pStyle w:val="yTableNAm"/>
            </w:pPr>
            <w:r>
              <w:t>2.</w:t>
            </w:r>
          </w:p>
        </w:tc>
        <w:tc>
          <w:tcPr>
            <w:tcW w:w="4689" w:type="dxa"/>
          </w:tcPr>
          <w:p>
            <w:pPr>
              <w:pStyle w:val="yTableNAm"/>
            </w:pPr>
            <w:r>
              <w:t xml:space="preserve">For enforcing a judgment by means of a property (seizure and sale) order </w:t>
            </w:r>
          </w:p>
        </w:tc>
        <w:tc>
          <w:tcPr>
            <w:tcW w:w="1417" w:type="dxa"/>
            <w:vAlign w:val="bottom"/>
          </w:tcPr>
          <w:p>
            <w:pPr>
              <w:pStyle w:val="yTableNAm"/>
            </w:pPr>
            <w:r>
              <w:rPr>
                <w:szCs w:val="22"/>
              </w:rPr>
              <w:t>214.00</w:t>
            </w:r>
          </w:p>
        </w:tc>
      </w:tr>
      <w:tr>
        <w:trPr>
          <w:cantSplit/>
          <w:trHeight w:val="965"/>
        </w:trPr>
        <w:tc>
          <w:tcPr>
            <w:tcW w:w="840" w:type="dxa"/>
          </w:tcPr>
          <w:p>
            <w:pPr>
              <w:pStyle w:val="yTableNAm"/>
              <w:rPr>
                <w:rFonts w:ascii="Arial" w:hAnsi="Arial" w:cs="Arial"/>
                <w:sz w:val="18"/>
                <w:szCs w:val="18"/>
              </w:rPr>
            </w:pPr>
          </w:p>
        </w:tc>
        <w:tc>
          <w:tcPr>
            <w:tcW w:w="6106" w:type="dxa"/>
            <w:gridSpan w:val="2"/>
          </w:tcPr>
          <w:p>
            <w:pPr>
              <w:pStyle w:val="yTableNAm"/>
              <w:ind w:left="569" w:hanging="569"/>
              <w:rPr>
                <w:rFonts w:ascii="Arial" w:hAnsi="Arial" w:cs="Arial"/>
                <w:sz w:val="18"/>
                <w:szCs w:val="18"/>
              </w:rPr>
            </w:pPr>
            <w:r>
              <w:rPr>
                <w:rFonts w:ascii="Arial" w:hAnsi="Arial" w:cs="Arial"/>
                <w:sz w:val="18"/>
                <w:szCs w:val="18"/>
              </w:rPr>
              <w:t>Notes for this item:</w:t>
            </w:r>
          </w:p>
          <w:p>
            <w:pPr>
              <w:pStyle w:val="yTableNAm"/>
              <w:ind w:left="569" w:hanging="569"/>
              <w:rPr>
                <w:rFonts w:ascii="Arial" w:hAnsi="Arial" w:cs="Arial"/>
                <w:sz w:val="18"/>
                <w:szCs w:val="18"/>
              </w:rPr>
            </w:pPr>
            <w:r>
              <w:rPr>
                <w:rFonts w:ascii="Arial" w:hAnsi="Arial" w:cs="Arial"/>
                <w:sz w:val="18"/>
                <w:szCs w:val="18"/>
              </w:rPr>
              <w:t>1.</w:t>
            </w:r>
            <w:r>
              <w:rPr>
                <w:rFonts w:ascii="Arial" w:hAnsi="Arial" w:cs="Arial"/>
                <w:sz w:val="18"/>
                <w:szCs w:val="18"/>
              </w:rPr>
              <w:tab/>
              <w:t>The fee is payable whether or not the Sherif</w:t>
            </w:r>
            <w:r>
              <w:rPr>
                <w:rFonts w:ascii="Arial" w:hAnsi="Arial" w:cs="Arial"/>
                <w:spacing w:val="8"/>
                <w:sz w:val="18"/>
                <w:szCs w:val="18"/>
              </w:rPr>
              <w:t>f’</w:t>
            </w:r>
            <w:r>
              <w:rPr>
                <w:rFonts w:ascii="Arial" w:hAnsi="Arial" w:cs="Arial"/>
                <w:sz w:val="18"/>
                <w:szCs w:val="18"/>
              </w:rPr>
              <w:t>s functions under the order are performed and covers up to 3 attempts to perform the functions at the same address.</w:t>
            </w:r>
          </w:p>
        </w:tc>
      </w:tr>
      <w:tr>
        <w:trPr>
          <w:cantSplit/>
          <w:trHeight w:val="2154"/>
        </w:trPr>
        <w:tc>
          <w:tcPr>
            <w:tcW w:w="840" w:type="dxa"/>
          </w:tcPr>
          <w:p>
            <w:pPr>
              <w:pStyle w:val="yTableNAm"/>
              <w:rPr>
                <w:rFonts w:ascii="Arial" w:hAnsi="Arial" w:cs="Arial"/>
                <w:sz w:val="18"/>
                <w:szCs w:val="18"/>
              </w:rPr>
            </w:pPr>
          </w:p>
        </w:tc>
        <w:tc>
          <w:tcPr>
            <w:tcW w:w="6106" w:type="dxa"/>
            <w:gridSpan w:val="2"/>
          </w:tcPr>
          <w:p>
            <w:pPr>
              <w:pStyle w:val="yTableNAm"/>
              <w:ind w:left="569" w:hanging="569"/>
              <w:rPr>
                <w:rFonts w:ascii="Arial" w:hAnsi="Arial" w:cs="Arial"/>
                <w:sz w:val="18"/>
                <w:szCs w:val="18"/>
              </w:rPr>
            </w:pPr>
            <w:r>
              <w:rPr>
                <w:rFonts w:ascii="Arial" w:hAnsi="Arial" w:cs="Arial"/>
                <w:sz w:val="18"/>
                <w:szCs w:val="18"/>
              </w:rPr>
              <w:t>2.</w:t>
            </w:r>
            <w:r>
              <w:rPr>
                <w:rFonts w:ascii="Arial" w:hAnsi="Arial" w:cs="Arial"/>
                <w:sz w:val="18"/>
                <w:szCs w:val="18"/>
              </w:rPr>
              <w:tab/>
              <w:t>The fee includes the costs of —</w:t>
            </w:r>
          </w:p>
          <w:p>
            <w:pPr>
              <w:pStyle w:val="yTableNAm"/>
              <w:tabs>
                <w:tab w:val="clear" w:pos="567"/>
                <w:tab w:val="left" w:pos="1037"/>
              </w:tabs>
              <w:spacing w:before="60"/>
              <w:ind w:left="1037" w:hanging="425"/>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order; and</w:t>
            </w:r>
          </w:p>
          <w:p>
            <w:pPr>
              <w:pStyle w:val="yTableNAm"/>
              <w:tabs>
                <w:tab w:val="clear" w:pos="567"/>
                <w:tab w:val="left" w:pos="1037"/>
              </w:tabs>
              <w:spacing w:before="60"/>
              <w:ind w:left="1037" w:hanging="425"/>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seizure; and</w:t>
            </w:r>
          </w:p>
          <w:p>
            <w:pPr>
              <w:pStyle w:val="yTableNAm"/>
              <w:tabs>
                <w:tab w:val="clear" w:pos="567"/>
                <w:tab w:val="left" w:pos="1037"/>
              </w:tabs>
              <w:spacing w:before="60"/>
              <w:ind w:left="1037" w:hanging="425"/>
              <w:rPr>
                <w:rFonts w:ascii="Arial" w:hAnsi="Arial" w:cs="Arial"/>
                <w:sz w:val="18"/>
                <w:szCs w:val="18"/>
              </w:rPr>
            </w:pPr>
            <w:r>
              <w:rPr>
                <w:rFonts w:ascii="Arial" w:hAnsi="Arial" w:cs="Arial"/>
                <w:sz w:val="18"/>
                <w:szCs w:val="18"/>
              </w:rPr>
              <w:t>(c)</w:t>
            </w:r>
            <w:r>
              <w:rPr>
                <w:rFonts w:ascii="Arial" w:hAnsi="Arial" w:cs="Arial"/>
                <w:sz w:val="18"/>
                <w:szCs w:val="18"/>
              </w:rPr>
              <w:tab/>
              <w:t>service of any notice required before seizure; and</w:t>
            </w:r>
          </w:p>
          <w:p>
            <w:pPr>
              <w:pStyle w:val="yTableNAm"/>
              <w:tabs>
                <w:tab w:val="clear" w:pos="567"/>
                <w:tab w:val="left" w:pos="1037"/>
              </w:tabs>
              <w:spacing w:before="60"/>
              <w:ind w:left="1037" w:hanging="425"/>
              <w:rPr>
                <w:rFonts w:ascii="Arial" w:hAnsi="Arial" w:cs="Arial"/>
                <w:sz w:val="18"/>
                <w:szCs w:val="18"/>
              </w:rPr>
            </w:pPr>
            <w:r>
              <w:rPr>
                <w:rFonts w:ascii="Arial" w:hAnsi="Arial" w:cs="Arial"/>
                <w:sz w:val="18"/>
                <w:szCs w:val="18"/>
              </w:rPr>
              <w:t>(d)</w:t>
            </w:r>
            <w:r>
              <w:rPr>
                <w:rFonts w:ascii="Arial" w:hAnsi="Arial" w:cs="Arial"/>
                <w:sz w:val="18"/>
                <w:szCs w:val="18"/>
              </w:rPr>
              <w:tab/>
              <w:t>seizure and preparing an inventory of any personal property seized; and</w:t>
            </w:r>
          </w:p>
          <w:p>
            <w:pPr>
              <w:pStyle w:val="yTableNAm"/>
              <w:tabs>
                <w:tab w:val="clear" w:pos="567"/>
                <w:tab w:val="left" w:pos="1037"/>
              </w:tabs>
              <w:spacing w:before="60"/>
              <w:ind w:left="1037" w:hanging="425"/>
              <w:rPr>
                <w:rFonts w:ascii="Arial" w:hAnsi="Arial" w:cs="Arial"/>
                <w:sz w:val="18"/>
                <w:szCs w:val="18"/>
              </w:rPr>
            </w:pPr>
            <w:r>
              <w:rPr>
                <w:rFonts w:ascii="Arial" w:hAnsi="Arial" w:cs="Arial"/>
                <w:sz w:val="18"/>
                <w:szCs w:val="18"/>
              </w:rPr>
              <w:t>(e)</w:t>
            </w:r>
            <w:r>
              <w:rPr>
                <w:rFonts w:ascii="Arial" w:hAnsi="Arial" w:cs="Arial"/>
                <w:sz w:val="18"/>
                <w:szCs w:val="18"/>
              </w:rPr>
              <w:tab/>
              <w:t>granting walking possession; and</w:t>
            </w:r>
          </w:p>
          <w:p>
            <w:pPr>
              <w:pStyle w:val="yTableNAm"/>
              <w:tabs>
                <w:tab w:val="clear" w:pos="567"/>
                <w:tab w:val="left" w:pos="1037"/>
              </w:tabs>
              <w:spacing w:before="60"/>
              <w:ind w:left="1037" w:hanging="425"/>
              <w:rPr>
                <w:rFonts w:ascii="Arial" w:hAnsi="Arial" w:cs="Arial"/>
                <w:sz w:val="18"/>
                <w:szCs w:val="18"/>
              </w:rPr>
            </w:pPr>
            <w:r>
              <w:rPr>
                <w:rFonts w:ascii="Arial" w:hAnsi="Arial" w:cs="Arial"/>
                <w:sz w:val="18"/>
                <w:szCs w:val="18"/>
              </w:rPr>
              <w:t>(f)</w:t>
            </w:r>
            <w:r>
              <w:rPr>
                <w:rFonts w:ascii="Arial" w:hAnsi="Arial" w:cs="Arial"/>
                <w:sz w:val="18"/>
                <w:szCs w:val="18"/>
              </w:rPr>
              <w:tab/>
              <w:t>making a report to the creditor.</w:t>
            </w:r>
          </w:p>
        </w:tc>
      </w:tr>
      <w:tr>
        <w:trPr>
          <w:cantSplit/>
        </w:trPr>
        <w:tc>
          <w:tcPr>
            <w:tcW w:w="840" w:type="dxa"/>
          </w:tcPr>
          <w:p>
            <w:pPr>
              <w:pStyle w:val="yTableNAm"/>
            </w:pPr>
            <w:r>
              <w:t>3.</w:t>
            </w:r>
          </w:p>
        </w:tc>
        <w:tc>
          <w:tcPr>
            <w:tcW w:w="4689" w:type="dxa"/>
          </w:tcPr>
          <w:p>
            <w:pPr>
              <w:pStyle w:val="yTableNAm"/>
            </w:pPr>
            <w:r>
              <w:t xml:space="preserve">For enforcing a judgment by means of a property (seizure and delivery) order </w:t>
            </w:r>
          </w:p>
        </w:tc>
        <w:tc>
          <w:tcPr>
            <w:tcW w:w="1417" w:type="dxa"/>
            <w:vAlign w:val="bottom"/>
          </w:tcPr>
          <w:p>
            <w:pPr>
              <w:pStyle w:val="yTableNAm"/>
            </w:pPr>
            <w:r>
              <w:rPr>
                <w:szCs w:val="22"/>
              </w:rPr>
              <w:t>171.00</w:t>
            </w:r>
          </w:p>
        </w:tc>
      </w:tr>
      <w:tr>
        <w:trPr>
          <w:cantSplit/>
          <w:trHeight w:val="1008"/>
        </w:trPr>
        <w:tc>
          <w:tcPr>
            <w:tcW w:w="840" w:type="dxa"/>
          </w:tcPr>
          <w:p>
            <w:pPr>
              <w:pStyle w:val="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Notes for this item:</w:t>
            </w:r>
          </w:p>
          <w:p>
            <w:pPr>
              <w:pStyle w:val="yTableNAm"/>
              <w:ind w:left="569" w:hanging="569"/>
              <w:rPr>
                <w:rFonts w:ascii="Arial" w:hAnsi="Arial" w:cs="Arial"/>
                <w:sz w:val="18"/>
                <w:szCs w:val="18"/>
              </w:rPr>
            </w:pPr>
            <w:r>
              <w:rPr>
                <w:rFonts w:ascii="Arial" w:hAnsi="Arial" w:cs="Arial"/>
                <w:sz w:val="18"/>
                <w:szCs w:val="18"/>
              </w:rPr>
              <w:t>1.</w:t>
            </w:r>
            <w:r>
              <w:rPr>
                <w:rFonts w:ascii="Arial" w:hAnsi="Arial" w:cs="Arial"/>
                <w:sz w:val="18"/>
                <w:szCs w:val="18"/>
              </w:rPr>
              <w:tab/>
              <w:t>The fee is payable whether or not the Sherif</w:t>
            </w:r>
            <w:r>
              <w:rPr>
                <w:rFonts w:ascii="Arial" w:hAnsi="Arial" w:cs="Arial"/>
                <w:spacing w:val="8"/>
                <w:sz w:val="18"/>
                <w:szCs w:val="18"/>
              </w:rPr>
              <w:t>f’</w:t>
            </w:r>
            <w:r>
              <w:rPr>
                <w:rFonts w:ascii="Arial" w:hAnsi="Arial" w:cs="Arial"/>
                <w:sz w:val="18"/>
                <w:szCs w:val="18"/>
              </w:rPr>
              <w:t>s functions under the order are performed and covers up to 3 attempts to perform the functions at the same address.</w:t>
            </w:r>
          </w:p>
        </w:tc>
      </w:tr>
      <w:tr>
        <w:trPr>
          <w:cantSplit/>
          <w:trHeight w:val="3165"/>
        </w:trPr>
        <w:tc>
          <w:tcPr>
            <w:tcW w:w="840" w:type="dxa"/>
          </w:tcPr>
          <w:p>
            <w:pPr>
              <w:pStyle w:val="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2.</w:t>
            </w:r>
            <w:r>
              <w:rPr>
                <w:rFonts w:ascii="Arial" w:hAnsi="Arial" w:cs="Arial"/>
                <w:sz w:val="18"/>
                <w:szCs w:val="18"/>
              </w:rPr>
              <w:tab/>
              <w:t>The fee includes the costs of —</w:t>
            </w:r>
          </w:p>
          <w:p>
            <w:pPr>
              <w:pStyle w:val="yTableNAm"/>
              <w:tabs>
                <w:tab w:val="clear" w:pos="567"/>
                <w:tab w:val="left" w:pos="1037"/>
              </w:tabs>
              <w:spacing w:before="60"/>
              <w:ind w:left="1037" w:hanging="425"/>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order; and</w:t>
            </w:r>
          </w:p>
          <w:p>
            <w:pPr>
              <w:pStyle w:val="yTableNAm"/>
              <w:tabs>
                <w:tab w:val="clear" w:pos="567"/>
                <w:tab w:val="left" w:pos="1037"/>
              </w:tabs>
              <w:spacing w:before="60"/>
              <w:ind w:left="1037" w:hanging="425"/>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seizure and delivery; and</w:t>
            </w:r>
          </w:p>
          <w:p>
            <w:pPr>
              <w:pStyle w:val="yTableNAm"/>
              <w:tabs>
                <w:tab w:val="clear" w:pos="567"/>
                <w:tab w:val="left" w:pos="1037"/>
              </w:tabs>
              <w:spacing w:before="60"/>
              <w:ind w:left="1037" w:hanging="425"/>
              <w:rPr>
                <w:rFonts w:ascii="Arial" w:hAnsi="Arial" w:cs="Arial"/>
                <w:sz w:val="18"/>
                <w:szCs w:val="18"/>
              </w:rPr>
            </w:pPr>
            <w:r>
              <w:rPr>
                <w:rFonts w:ascii="Arial" w:hAnsi="Arial" w:cs="Arial"/>
                <w:sz w:val="18"/>
                <w:szCs w:val="18"/>
              </w:rPr>
              <w:t>(c)</w:t>
            </w:r>
            <w:r>
              <w:rPr>
                <w:rFonts w:ascii="Arial" w:hAnsi="Arial" w:cs="Arial"/>
                <w:sz w:val="18"/>
                <w:szCs w:val="18"/>
              </w:rPr>
              <w:tab/>
              <w:t>an appointment to deliver property; and</w:t>
            </w:r>
          </w:p>
          <w:p>
            <w:pPr>
              <w:pStyle w:val="yTableNAm"/>
              <w:tabs>
                <w:tab w:val="clear" w:pos="567"/>
                <w:tab w:val="left" w:pos="1037"/>
              </w:tabs>
              <w:spacing w:before="60"/>
              <w:ind w:left="1037" w:hanging="425"/>
              <w:rPr>
                <w:rFonts w:ascii="Arial" w:hAnsi="Arial" w:cs="Arial"/>
                <w:sz w:val="18"/>
                <w:szCs w:val="18"/>
              </w:rPr>
            </w:pPr>
            <w:r>
              <w:rPr>
                <w:rFonts w:ascii="Arial" w:hAnsi="Arial" w:cs="Arial"/>
                <w:sz w:val="18"/>
                <w:szCs w:val="18"/>
              </w:rPr>
              <w:t>(d)</w:t>
            </w:r>
            <w:r>
              <w:rPr>
                <w:rFonts w:ascii="Arial" w:hAnsi="Arial" w:cs="Arial"/>
                <w:sz w:val="18"/>
                <w:szCs w:val="18"/>
              </w:rPr>
              <w:tab/>
              <w:t>removal of a person from land; and</w:t>
            </w:r>
          </w:p>
          <w:p>
            <w:pPr>
              <w:pStyle w:val="yTableNAm"/>
              <w:tabs>
                <w:tab w:val="clear" w:pos="567"/>
                <w:tab w:val="left" w:pos="1037"/>
              </w:tabs>
              <w:spacing w:before="60"/>
              <w:ind w:left="1037" w:hanging="425"/>
              <w:rPr>
                <w:rFonts w:ascii="Arial" w:hAnsi="Arial" w:cs="Arial"/>
                <w:sz w:val="18"/>
                <w:szCs w:val="18"/>
              </w:rPr>
            </w:pPr>
            <w:r>
              <w:rPr>
                <w:rFonts w:ascii="Arial" w:hAnsi="Arial" w:cs="Arial"/>
                <w:sz w:val="18"/>
                <w:szCs w:val="18"/>
              </w:rPr>
              <w:t>(e)</w:t>
            </w:r>
            <w:r>
              <w:rPr>
                <w:rFonts w:ascii="Arial" w:hAnsi="Arial" w:cs="Arial"/>
                <w:sz w:val="18"/>
                <w:szCs w:val="18"/>
              </w:rPr>
              <w:tab/>
              <w:t>supervision of lock and security changes to premises; and</w:t>
            </w:r>
          </w:p>
          <w:p>
            <w:pPr>
              <w:pStyle w:val="yTableNAm"/>
              <w:tabs>
                <w:tab w:val="clear" w:pos="567"/>
                <w:tab w:val="left" w:pos="1037"/>
              </w:tabs>
              <w:spacing w:before="60"/>
              <w:ind w:left="1037" w:hanging="425"/>
              <w:rPr>
                <w:rFonts w:ascii="Arial" w:hAnsi="Arial" w:cs="Arial"/>
                <w:sz w:val="18"/>
                <w:szCs w:val="18"/>
              </w:rPr>
            </w:pPr>
            <w:r>
              <w:rPr>
                <w:rFonts w:ascii="Arial" w:hAnsi="Arial" w:cs="Arial"/>
                <w:sz w:val="18"/>
                <w:szCs w:val="18"/>
              </w:rPr>
              <w:t>(f)</w:t>
            </w:r>
            <w:r>
              <w:rPr>
                <w:rFonts w:ascii="Arial" w:hAnsi="Arial" w:cs="Arial"/>
                <w:sz w:val="18"/>
                <w:szCs w:val="18"/>
              </w:rPr>
              <w:tab/>
              <w:t>securing seized property; and</w:t>
            </w:r>
          </w:p>
          <w:p>
            <w:pPr>
              <w:pStyle w:val="yTableNAm"/>
              <w:tabs>
                <w:tab w:val="clear" w:pos="567"/>
                <w:tab w:val="left" w:pos="1037"/>
              </w:tabs>
              <w:spacing w:before="60"/>
              <w:ind w:left="1037" w:hanging="425"/>
              <w:rPr>
                <w:rFonts w:ascii="Arial" w:hAnsi="Arial" w:cs="Arial"/>
                <w:sz w:val="18"/>
                <w:szCs w:val="18"/>
              </w:rPr>
            </w:pPr>
            <w:r>
              <w:rPr>
                <w:rFonts w:ascii="Arial" w:hAnsi="Arial" w:cs="Arial"/>
                <w:sz w:val="18"/>
                <w:szCs w:val="18"/>
              </w:rPr>
              <w:t>(g)</w:t>
            </w:r>
            <w:r>
              <w:rPr>
                <w:rFonts w:ascii="Arial" w:hAnsi="Arial" w:cs="Arial"/>
                <w:sz w:val="18"/>
                <w:szCs w:val="18"/>
              </w:rPr>
              <w:tab/>
              <w:t>delivering seized property to the person entitled to it in accordance with the order; and</w:t>
            </w:r>
          </w:p>
          <w:p>
            <w:pPr>
              <w:pStyle w:val="yTableNAm"/>
              <w:tabs>
                <w:tab w:val="clear" w:pos="567"/>
                <w:tab w:val="left" w:pos="1037"/>
              </w:tabs>
              <w:spacing w:before="60"/>
              <w:ind w:left="1037" w:hanging="425"/>
              <w:rPr>
                <w:rFonts w:ascii="Arial" w:hAnsi="Arial" w:cs="Arial"/>
                <w:sz w:val="18"/>
                <w:szCs w:val="18"/>
              </w:rPr>
            </w:pPr>
            <w:r>
              <w:rPr>
                <w:rFonts w:ascii="Arial" w:hAnsi="Arial" w:cs="Arial"/>
                <w:sz w:val="18"/>
                <w:szCs w:val="18"/>
              </w:rPr>
              <w:t>(h)</w:t>
            </w:r>
            <w:r>
              <w:rPr>
                <w:rFonts w:ascii="Arial" w:hAnsi="Arial" w:cs="Arial"/>
                <w:sz w:val="18"/>
                <w:szCs w:val="18"/>
              </w:rPr>
              <w:tab/>
              <w:t>making a report to the person entitled to the benefit of the order.</w:t>
            </w:r>
          </w:p>
        </w:tc>
      </w:tr>
      <w:tr>
        <w:trPr>
          <w:cantSplit/>
        </w:trPr>
        <w:tc>
          <w:tcPr>
            <w:tcW w:w="840" w:type="dxa"/>
          </w:tcPr>
          <w:p>
            <w:pPr>
              <w:pStyle w:val="yTableNAm"/>
            </w:pPr>
            <w:r>
              <w:t>4.</w:t>
            </w:r>
          </w:p>
        </w:tc>
        <w:tc>
          <w:tcPr>
            <w:tcW w:w="4689" w:type="dxa"/>
          </w:tcPr>
          <w:p>
            <w:pPr>
              <w:pStyle w:val="yTableNAm"/>
            </w:pPr>
            <w:r>
              <w:t xml:space="preserve">For inspection of personal property under seizure </w:t>
            </w:r>
          </w:p>
        </w:tc>
        <w:tc>
          <w:tcPr>
            <w:tcW w:w="1417" w:type="dxa"/>
            <w:vAlign w:val="bottom"/>
          </w:tcPr>
          <w:p>
            <w:pPr>
              <w:pStyle w:val="yTableNAm"/>
            </w:pPr>
            <w:r>
              <w:t>89.50</w:t>
            </w:r>
          </w:p>
        </w:tc>
      </w:tr>
      <w:tr>
        <w:trPr>
          <w:cantSplit/>
        </w:trPr>
        <w:tc>
          <w:tcPr>
            <w:tcW w:w="840" w:type="dxa"/>
          </w:tcPr>
          <w:p>
            <w:pPr>
              <w:pStyle w:val="yTableNAm"/>
              <w:rPr>
                <w:rFonts w:ascii="Arial" w:hAnsi="Arial" w:cs="Arial"/>
                <w:sz w:val="18"/>
                <w:szCs w:val="18"/>
              </w:rPr>
            </w:pPr>
          </w:p>
        </w:tc>
        <w:tc>
          <w:tcPr>
            <w:tcW w:w="6106" w:type="dxa"/>
            <w:gridSpan w:val="2"/>
          </w:tcPr>
          <w:p>
            <w:pPr>
              <w:pStyle w:val="yTableNAm"/>
            </w:pPr>
            <w:r>
              <w:rPr>
                <w:rFonts w:ascii="Arial" w:hAnsi="Arial" w:cs="Arial"/>
                <w:sz w:val="18"/>
                <w:szCs w:val="18"/>
              </w:rPr>
              <w:t>Note for this item:</w:t>
            </w:r>
          </w:p>
          <w:p>
            <w:pPr>
              <w:pStyle w:val="yTableNAm"/>
            </w:pPr>
            <w:r>
              <w:rPr>
                <w:rFonts w:ascii="Arial" w:hAnsi="Arial" w:cs="Arial"/>
                <w:sz w:val="18"/>
                <w:szCs w:val="18"/>
              </w:rPr>
              <w:t>If the Sheriff has several enforcement orders, 1 fee is payable for the first enforcement order in priority.</w:t>
            </w:r>
          </w:p>
        </w:tc>
      </w:tr>
      <w:tr>
        <w:trPr>
          <w:cantSplit/>
        </w:trPr>
        <w:tc>
          <w:tcPr>
            <w:tcW w:w="840" w:type="dxa"/>
          </w:tcPr>
          <w:p>
            <w:pPr>
              <w:pStyle w:val="yTableNAm"/>
            </w:pPr>
            <w:r>
              <w:t>5.</w:t>
            </w:r>
          </w:p>
        </w:tc>
        <w:tc>
          <w:tcPr>
            <w:tcW w:w="4689" w:type="dxa"/>
          </w:tcPr>
          <w:p>
            <w:pPr>
              <w:pStyle w:val="yTableNAm"/>
            </w:pPr>
            <w:r>
              <w:t xml:space="preserve">For possession of personal property under seizure per day </w:t>
            </w:r>
          </w:p>
        </w:tc>
        <w:tc>
          <w:tcPr>
            <w:tcW w:w="1417" w:type="dxa"/>
            <w:vAlign w:val="bottom"/>
          </w:tcPr>
          <w:p>
            <w:pPr>
              <w:pStyle w:val="yTableNAm"/>
            </w:pPr>
            <w:r>
              <w:t>9.80</w:t>
            </w:r>
          </w:p>
        </w:tc>
      </w:tr>
      <w:tr>
        <w:trPr>
          <w:cantSplit/>
          <w:trHeight w:val="850"/>
        </w:trPr>
        <w:tc>
          <w:tcPr>
            <w:tcW w:w="840" w:type="dxa"/>
          </w:tcPr>
          <w:p>
            <w:pPr>
              <w:pStyle w:val="yTableNAm"/>
              <w:rPr>
                <w:rFonts w:ascii="Arial" w:hAnsi="Arial" w:cs="Arial"/>
                <w:sz w:val="18"/>
                <w:szCs w:val="18"/>
              </w:rPr>
            </w:pPr>
          </w:p>
        </w:tc>
        <w:tc>
          <w:tcPr>
            <w:tcW w:w="6106" w:type="dxa"/>
            <w:gridSpan w:val="2"/>
          </w:tcPr>
          <w:p>
            <w:pPr>
              <w:pStyle w:val="yTableNAm"/>
              <w:ind w:left="569" w:hanging="569"/>
              <w:rPr>
                <w:rFonts w:ascii="Arial" w:hAnsi="Arial" w:cs="Arial"/>
                <w:sz w:val="18"/>
                <w:szCs w:val="18"/>
              </w:rPr>
            </w:pPr>
            <w:r>
              <w:rPr>
                <w:rFonts w:ascii="Arial" w:hAnsi="Arial" w:cs="Arial"/>
                <w:sz w:val="18"/>
                <w:szCs w:val="18"/>
              </w:rPr>
              <w:t>Notes for this item:</w:t>
            </w:r>
          </w:p>
          <w:p>
            <w:pPr>
              <w:pStyle w:val="yTableNAm"/>
              <w:ind w:left="569" w:hanging="569"/>
              <w:rPr>
                <w:rFonts w:ascii="Arial" w:hAnsi="Arial" w:cs="Arial"/>
                <w:sz w:val="18"/>
                <w:szCs w:val="18"/>
              </w:rPr>
            </w:pPr>
            <w:r>
              <w:rPr>
                <w:rFonts w:ascii="Arial" w:hAnsi="Arial" w:cs="Arial"/>
                <w:sz w:val="18"/>
                <w:szCs w:val="18"/>
              </w:rPr>
              <w:t>1.</w:t>
            </w:r>
            <w:r>
              <w:rPr>
                <w:rFonts w:ascii="Arial" w:hAnsi="Arial" w:cs="Arial"/>
                <w:sz w:val="18"/>
                <w:szCs w:val="18"/>
              </w:rPr>
              <w:tab/>
              <w:t>The fee is payable for actual possession of personal property seized.</w:t>
            </w:r>
          </w:p>
        </w:tc>
      </w:tr>
      <w:tr>
        <w:trPr>
          <w:cantSplit/>
          <w:trHeight w:val="283"/>
        </w:trPr>
        <w:tc>
          <w:tcPr>
            <w:tcW w:w="840" w:type="dxa"/>
          </w:tcPr>
          <w:p>
            <w:pPr>
              <w:pStyle w:val="yTableNAm"/>
              <w:rPr>
                <w:rFonts w:ascii="Arial" w:hAnsi="Arial" w:cs="Arial"/>
                <w:sz w:val="18"/>
                <w:szCs w:val="18"/>
              </w:rPr>
            </w:pPr>
          </w:p>
        </w:tc>
        <w:tc>
          <w:tcPr>
            <w:tcW w:w="6106" w:type="dxa"/>
            <w:gridSpan w:val="2"/>
          </w:tcPr>
          <w:p>
            <w:pPr>
              <w:pStyle w:val="yTableNAm"/>
              <w:ind w:left="569" w:hanging="569"/>
              <w:rPr>
                <w:rFonts w:ascii="Arial" w:hAnsi="Arial" w:cs="Arial"/>
                <w:sz w:val="18"/>
                <w:szCs w:val="18"/>
              </w:rPr>
            </w:pPr>
            <w:r>
              <w:rPr>
                <w:rFonts w:ascii="Arial" w:hAnsi="Arial" w:cs="Arial"/>
                <w:sz w:val="18"/>
                <w:szCs w:val="18"/>
              </w:rPr>
              <w:t>2.</w:t>
            </w:r>
            <w:r>
              <w:rPr>
                <w:rFonts w:ascii="Arial" w:hAnsi="Arial" w:cs="Arial"/>
                <w:sz w:val="18"/>
                <w:szCs w:val="18"/>
              </w:rPr>
              <w:tab/>
              <w:t>The fee is payable for a maximum of 10 days.</w:t>
            </w:r>
          </w:p>
        </w:tc>
      </w:tr>
      <w:tr>
        <w:trPr>
          <w:cantSplit/>
          <w:trHeight w:val="283"/>
        </w:trPr>
        <w:tc>
          <w:tcPr>
            <w:tcW w:w="840" w:type="dxa"/>
          </w:tcPr>
          <w:p>
            <w:pPr>
              <w:pStyle w:val="yTableNAm"/>
              <w:rPr>
                <w:rFonts w:ascii="Arial" w:hAnsi="Arial" w:cs="Arial"/>
                <w:sz w:val="18"/>
                <w:szCs w:val="18"/>
              </w:rPr>
            </w:pPr>
          </w:p>
        </w:tc>
        <w:tc>
          <w:tcPr>
            <w:tcW w:w="6106" w:type="dxa"/>
            <w:gridSpan w:val="2"/>
          </w:tcPr>
          <w:p>
            <w:pPr>
              <w:pStyle w:val="yTableNAm"/>
              <w:ind w:left="569" w:hanging="569"/>
            </w:pPr>
            <w:r>
              <w:rPr>
                <w:rFonts w:ascii="Arial" w:hAnsi="Arial" w:cs="Arial"/>
                <w:sz w:val="18"/>
                <w:szCs w:val="18"/>
              </w:rPr>
              <w:t>3.</w:t>
            </w:r>
            <w:r>
              <w:rPr>
                <w:rFonts w:ascii="Arial" w:hAnsi="Arial" w:cs="Arial"/>
                <w:sz w:val="18"/>
                <w:szCs w:val="18"/>
              </w:rPr>
              <w:tab/>
              <w:t>If this fee is paid, a fee is not payable under item 16(d).</w:t>
            </w:r>
          </w:p>
        </w:tc>
      </w:tr>
      <w:tr>
        <w:trPr>
          <w:cantSplit/>
        </w:trPr>
        <w:tc>
          <w:tcPr>
            <w:tcW w:w="840" w:type="dxa"/>
          </w:tcPr>
          <w:p>
            <w:pPr>
              <w:pStyle w:val="yTableNAm"/>
            </w:pPr>
            <w:r>
              <w:t>6.</w:t>
            </w:r>
          </w:p>
        </w:tc>
        <w:tc>
          <w:tcPr>
            <w:tcW w:w="4689" w:type="dxa"/>
          </w:tcPr>
          <w:p>
            <w:pPr>
              <w:pStyle w:val="yTableNAm"/>
            </w:pPr>
            <w:r>
              <w:t>If travel is necessary to perform a function under an enforcement order, to serve a process or document, to make an arrest under a warrant or for an attempt, attendance or inspection from the Sherif</w:t>
            </w:r>
            <w:r>
              <w:rPr>
                <w:spacing w:val="8"/>
              </w:rPr>
              <w:t>f’</w:t>
            </w:r>
            <w:r>
              <w:t>s or a bailif</w:t>
            </w:r>
            <w:r>
              <w:rPr>
                <w:spacing w:val="8"/>
              </w:rPr>
              <w:t>f’</w:t>
            </w:r>
            <w:r>
              <w:t xml:space="preserve">s office — </w:t>
            </w:r>
          </w:p>
        </w:tc>
        <w:tc>
          <w:tcPr>
            <w:tcW w:w="1417" w:type="dxa"/>
          </w:tcPr>
          <w:p>
            <w:pPr>
              <w:pStyle w:val="yTableNAm"/>
            </w:pPr>
          </w:p>
        </w:tc>
      </w:tr>
      <w:tr>
        <w:trPr>
          <w:cantSplit/>
        </w:trPr>
        <w:tc>
          <w:tcPr>
            <w:tcW w:w="840" w:type="dxa"/>
          </w:tcPr>
          <w:p>
            <w:pPr>
              <w:pStyle w:val="yTableNAm"/>
              <w:tabs>
                <w:tab w:val="clear" w:pos="567"/>
                <w:tab w:val="left" w:pos="459"/>
                <w:tab w:val="left" w:pos="819"/>
                <w:tab w:val="left" w:leader="dot" w:pos="4452"/>
              </w:tabs>
              <w:ind w:left="459" w:hanging="459"/>
            </w:pPr>
          </w:p>
        </w:tc>
        <w:tc>
          <w:tcPr>
            <w:tcW w:w="4689" w:type="dxa"/>
          </w:tcPr>
          <w:p>
            <w:pPr>
              <w:pStyle w:val="yTableNAm"/>
              <w:tabs>
                <w:tab w:val="clear" w:pos="567"/>
                <w:tab w:val="left" w:pos="470"/>
              </w:tabs>
              <w:ind w:left="470" w:hanging="470"/>
            </w:pPr>
            <w:r>
              <w:t>(a)</w:t>
            </w:r>
            <w:r>
              <w:tab/>
              <w:t xml:space="preserve">for each kilometre travelled (1 way) in the metropolitan area </w:t>
            </w:r>
          </w:p>
        </w:tc>
        <w:tc>
          <w:tcPr>
            <w:tcW w:w="1417" w:type="dxa"/>
            <w:vAlign w:val="bottom"/>
          </w:tcPr>
          <w:p>
            <w:pPr>
              <w:pStyle w:val="yTableNAm"/>
            </w:pPr>
            <w:r>
              <w:t>2.40</w:t>
            </w:r>
          </w:p>
        </w:tc>
      </w:tr>
      <w:tr>
        <w:trPr>
          <w:cantSplit/>
        </w:trPr>
        <w:tc>
          <w:tcPr>
            <w:tcW w:w="840" w:type="dxa"/>
          </w:tcPr>
          <w:p>
            <w:pPr>
              <w:pStyle w:val="yTableNAm"/>
              <w:keepNext/>
              <w:keepLines/>
              <w:tabs>
                <w:tab w:val="clear" w:pos="567"/>
                <w:tab w:val="left" w:pos="459"/>
                <w:tab w:val="left" w:pos="819"/>
                <w:tab w:val="left" w:leader="dot" w:pos="4452"/>
              </w:tabs>
              <w:ind w:left="459" w:hanging="459"/>
            </w:pPr>
          </w:p>
        </w:tc>
        <w:tc>
          <w:tcPr>
            <w:tcW w:w="4689" w:type="dxa"/>
          </w:tcPr>
          <w:p>
            <w:pPr>
              <w:pStyle w:val="yTableNAm"/>
              <w:tabs>
                <w:tab w:val="clear" w:pos="567"/>
                <w:tab w:val="left" w:pos="470"/>
              </w:tabs>
              <w:ind w:left="470" w:hanging="470"/>
            </w:pPr>
            <w:r>
              <w:t>(b)</w:t>
            </w:r>
            <w:r>
              <w:tab/>
              <w:t xml:space="preserve">for each kilometre travelled (1 way) outside the metropolitan area </w:t>
            </w:r>
          </w:p>
        </w:tc>
        <w:tc>
          <w:tcPr>
            <w:tcW w:w="1417" w:type="dxa"/>
            <w:vAlign w:val="bottom"/>
          </w:tcPr>
          <w:p>
            <w:pPr>
              <w:pStyle w:val="yTableNAm"/>
            </w:pPr>
            <w:r>
              <w:t>2.65</w:t>
            </w:r>
          </w:p>
        </w:tc>
      </w:tr>
      <w:tr>
        <w:trPr>
          <w:cantSplit/>
          <w:trHeight w:val="1077"/>
        </w:trPr>
        <w:tc>
          <w:tcPr>
            <w:tcW w:w="840" w:type="dxa"/>
          </w:tcPr>
          <w:p>
            <w:pPr>
              <w:pStyle w:val="yTableNAm"/>
              <w:rPr>
                <w:rFonts w:ascii="Arial" w:hAnsi="Arial" w:cs="Arial"/>
                <w:sz w:val="18"/>
                <w:szCs w:val="18"/>
              </w:rPr>
            </w:pPr>
          </w:p>
        </w:tc>
        <w:tc>
          <w:tcPr>
            <w:tcW w:w="6106" w:type="dxa"/>
            <w:gridSpan w:val="2"/>
          </w:tcPr>
          <w:p>
            <w:pPr>
              <w:pStyle w:val="yTableNAm"/>
              <w:ind w:left="569" w:hanging="569"/>
              <w:rPr>
                <w:rFonts w:ascii="Arial" w:hAnsi="Arial" w:cs="Arial"/>
                <w:sz w:val="18"/>
                <w:szCs w:val="18"/>
              </w:rPr>
            </w:pPr>
            <w:r>
              <w:rPr>
                <w:rFonts w:ascii="Arial" w:hAnsi="Arial" w:cs="Arial"/>
                <w:sz w:val="18"/>
                <w:szCs w:val="18"/>
              </w:rPr>
              <w:t>Notes for this item:</w:t>
            </w:r>
          </w:p>
          <w:p>
            <w:pPr>
              <w:pStyle w:val="yTableNAm"/>
              <w:ind w:left="569" w:hanging="569"/>
              <w:rPr>
                <w:rFonts w:ascii="Arial" w:hAnsi="Arial" w:cs="Arial"/>
                <w:sz w:val="18"/>
                <w:szCs w:val="18"/>
              </w:rPr>
            </w:pPr>
            <w:r>
              <w:rPr>
                <w:rFonts w:ascii="Arial" w:hAnsi="Arial" w:cs="Arial"/>
                <w:sz w:val="18"/>
                <w:szCs w:val="18"/>
              </w:rPr>
              <w:t>1.</w:t>
            </w:r>
            <w:r>
              <w:rPr>
                <w:rFonts w:ascii="Arial" w:hAnsi="Arial" w:cs="Arial"/>
                <w:sz w:val="18"/>
                <w:szCs w:val="18"/>
              </w:rPr>
              <w:tab/>
              <w:t>If more than 1 of the actions referred to in item 6 is done in relation to the same person or on different persons at the same address, only 1 fee for kilometres travelled is chargeable.</w:t>
            </w:r>
          </w:p>
        </w:tc>
      </w:tr>
      <w:tr>
        <w:trPr>
          <w:cantSplit/>
          <w:trHeight w:val="737"/>
        </w:trPr>
        <w:tc>
          <w:tcPr>
            <w:tcW w:w="840" w:type="dxa"/>
          </w:tcPr>
          <w:p>
            <w:pPr>
              <w:pStyle w:val="yTableNAm"/>
              <w:rPr>
                <w:rFonts w:ascii="Arial" w:hAnsi="Arial" w:cs="Arial"/>
                <w:sz w:val="18"/>
                <w:szCs w:val="18"/>
              </w:rPr>
            </w:pPr>
          </w:p>
        </w:tc>
        <w:tc>
          <w:tcPr>
            <w:tcW w:w="6106" w:type="dxa"/>
            <w:gridSpan w:val="2"/>
          </w:tcPr>
          <w:p>
            <w:pPr>
              <w:pStyle w:val="yTableNAm"/>
              <w:ind w:left="569" w:hanging="569"/>
              <w:rPr>
                <w:rFonts w:ascii="Arial" w:hAnsi="Arial" w:cs="Arial"/>
                <w:sz w:val="18"/>
                <w:szCs w:val="18"/>
              </w:rPr>
            </w:pPr>
            <w:r>
              <w:rPr>
                <w:rFonts w:ascii="Arial" w:hAnsi="Arial" w:cs="Arial"/>
                <w:sz w:val="18"/>
                <w:szCs w:val="18"/>
              </w:rPr>
              <w:t>2.</w:t>
            </w:r>
            <w:r>
              <w:rPr>
                <w:rFonts w:ascii="Arial" w:hAnsi="Arial" w:cs="Arial"/>
                <w:sz w:val="18"/>
                <w:szCs w:val="18"/>
              </w:rPr>
              <w:tab/>
              <w:t>The Sheriff may allow an enforcement officer an additional fee for travel to meet or partially offset any additional expenses arising from special and unusual circumstances.</w:t>
            </w:r>
          </w:p>
        </w:tc>
      </w:tr>
      <w:tr>
        <w:trPr>
          <w:cantSplit/>
        </w:trPr>
        <w:tc>
          <w:tcPr>
            <w:tcW w:w="840" w:type="dxa"/>
          </w:tcPr>
          <w:p>
            <w:pPr>
              <w:pStyle w:val="yTableNAm"/>
            </w:pPr>
            <w:r>
              <w:t>7.</w:t>
            </w:r>
          </w:p>
        </w:tc>
        <w:tc>
          <w:tcPr>
            <w:tcW w:w="4689" w:type="dxa"/>
          </w:tcPr>
          <w:p>
            <w:pPr>
              <w:pStyle w:val="yTableNAm"/>
            </w:pPr>
            <w:r>
              <w:t xml:space="preserve">Preparation for the sale of real or personal property </w:t>
            </w:r>
          </w:p>
        </w:tc>
        <w:tc>
          <w:tcPr>
            <w:tcW w:w="1417" w:type="dxa"/>
            <w:vAlign w:val="bottom"/>
          </w:tcPr>
          <w:p>
            <w:pPr>
              <w:pStyle w:val="yTableNAm"/>
            </w:pPr>
            <w:r>
              <w:t>891.00</w:t>
            </w:r>
          </w:p>
        </w:tc>
      </w:tr>
      <w:tr>
        <w:trPr>
          <w:cantSplit/>
        </w:trPr>
        <w:tc>
          <w:tcPr>
            <w:tcW w:w="840" w:type="dxa"/>
          </w:tcPr>
          <w:p>
            <w:pPr>
              <w:pStyle w:val="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 xml:space="preserve">The fee includes — </w:t>
            </w:r>
          </w:p>
          <w:p>
            <w:pPr>
              <w:pStyle w:val="yTableNAm"/>
              <w:spacing w:before="60"/>
              <w:ind w:left="567" w:hanging="567"/>
              <w:rPr>
                <w:rFonts w:ascii="Arial" w:hAnsi="Arial" w:cs="Arial"/>
                <w:sz w:val="18"/>
                <w:szCs w:val="18"/>
              </w:rPr>
            </w:pPr>
            <w:r>
              <w:rPr>
                <w:rFonts w:ascii="Arial" w:hAnsi="Arial" w:cs="Arial"/>
                <w:sz w:val="18"/>
                <w:szCs w:val="18"/>
              </w:rPr>
              <w:t>(a)</w:t>
            </w:r>
            <w:r>
              <w:rPr>
                <w:rFonts w:ascii="Arial" w:hAnsi="Arial" w:cs="Arial"/>
                <w:sz w:val="18"/>
                <w:szCs w:val="18"/>
              </w:rPr>
              <w:tab/>
              <w:t>Personal Property Securities Register and other official records searches; and</w:t>
            </w:r>
          </w:p>
          <w:p>
            <w:pPr>
              <w:pStyle w:val="yTableNAm"/>
              <w:spacing w:before="60"/>
              <w:rPr>
                <w:rFonts w:ascii="Arial" w:hAnsi="Arial" w:cs="Arial"/>
                <w:sz w:val="18"/>
                <w:szCs w:val="18"/>
              </w:rPr>
            </w:pPr>
            <w:r>
              <w:rPr>
                <w:rFonts w:ascii="Arial" w:hAnsi="Arial" w:cs="Arial"/>
                <w:sz w:val="18"/>
                <w:szCs w:val="18"/>
              </w:rPr>
              <w:t>(b)</w:t>
            </w:r>
            <w:r>
              <w:rPr>
                <w:rFonts w:ascii="Arial" w:hAnsi="Arial" w:cs="Arial"/>
                <w:sz w:val="18"/>
                <w:szCs w:val="18"/>
              </w:rPr>
              <w:tab/>
              <w:t>bill of sale or encumbrance searches or investigation; and</w:t>
            </w:r>
          </w:p>
          <w:p>
            <w:pPr>
              <w:pStyle w:val="yTableNAm"/>
              <w:spacing w:before="60"/>
              <w:rPr>
                <w:rFonts w:ascii="Arial" w:hAnsi="Arial" w:cs="Arial"/>
                <w:sz w:val="18"/>
                <w:szCs w:val="18"/>
              </w:rPr>
            </w:pPr>
            <w:r>
              <w:rPr>
                <w:rFonts w:ascii="Arial" w:hAnsi="Arial" w:cs="Arial"/>
                <w:sz w:val="18"/>
                <w:szCs w:val="18"/>
              </w:rPr>
              <w:t>(c)</w:t>
            </w:r>
            <w:r>
              <w:rPr>
                <w:rFonts w:ascii="Arial" w:hAnsi="Arial" w:cs="Arial"/>
                <w:sz w:val="18"/>
                <w:szCs w:val="18"/>
              </w:rPr>
              <w:tab/>
              <w:t>carrying out an advertising programme; and</w:t>
            </w:r>
          </w:p>
          <w:p>
            <w:pPr>
              <w:pStyle w:val="yTableNAm"/>
              <w:spacing w:before="60"/>
              <w:rPr>
                <w:rFonts w:ascii="Arial" w:hAnsi="Arial" w:cs="Arial"/>
                <w:sz w:val="18"/>
                <w:szCs w:val="18"/>
              </w:rPr>
            </w:pPr>
            <w:r>
              <w:rPr>
                <w:rFonts w:ascii="Arial" w:hAnsi="Arial" w:cs="Arial"/>
                <w:sz w:val="18"/>
                <w:szCs w:val="18"/>
              </w:rPr>
              <w:t>(d)</w:t>
            </w:r>
            <w:r>
              <w:rPr>
                <w:rFonts w:ascii="Arial" w:hAnsi="Arial" w:cs="Arial"/>
                <w:sz w:val="18"/>
                <w:szCs w:val="18"/>
              </w:rPr>
              <w:tab/>
              <w:t>preparing particulars and conditions of sale.</w:t>
            </w:r>
          </w:p>
        </w:tc>
      </w:tr>
      <w:tr>
        <w:trPr>
          <w:cantSplit/>
        </w:trPr>
        <w:tc>
          <w:tcPr>
            <w:tcW w:w="840" w:type="dxa"/>
          </w:tcPr>
          <w:p>
            <w:pPr>
              <w:pStyle w:val="yTableNAm"/>
            </w:pPr>
            <w:r>
              <w:t>8.</w:t>
            </w:r>
          </w:p>
        </w:tc>
        <w:tc>
          <w:tcPr>
            <w:tcW w:w="4689" w:type="dxa"/>
          </w:tcPr>
          <w:p>
            <w:pPr>
              <w:pStyle w:val="yTableNAm"/>
            </w:pPr>
            <w:r>
              <w:t xml:space="preserve">For attendance at sale </w:t>
            </w:r>
          </w:p>
        </w:tc>
        <w:tc>
          <w:tcPr>
            <w:tcW w:w="1417" w:type="dxa"/>
            <w:vAlign w:val="bottom"/>
          </w:tcPr>
          <w:p>
            <w:pPr>
              <w:pStyle w:val="yTableNAm"/>
            </w:pPr>
            <w:r>
              <w:t>141.50</w:t>
            </w:r>
          </w:p>
        </w:tc>
      </w:tr>
      <w:tr>
        <w:trPr>
          <w:cantSplit/>
        </w:trPr>
        <w:tc>
          <w:tcPr>
            <w:tcW w:w="840" w:type="dxa"/>
          </w:tcPr>
          <w:p>
            <w:pPr>
              <w:pStyle w:val="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 xml:space="preserve">The fee includes — </w:t>
            </w:r>
          </w:p>
          <w:p>
            <w:pPr>
              <w:pStyle w:val="yTableNAm"/>
              <w:spacing w:before="60"/>
              <w:rPr>
                <w:rFonts w:ascii="Arial" w:hAnsi="Arial" w:cs="Arial"/>
                <w:sz w:val="18"/>
                <w:szCs w:val="18"/>
              </w:rPr>
            </w:pPr>
            <w:r>
              <w:rPr>
                <w:rFonts w:ascii="Arial" w:hAnsi="Arial" w:cs="Arial"/>
                <w:sz w:val="18"/>
                <w:szCs w:val="18"/>
              </w:rPr>
              <w:t>(a)</w:t>
            </w:r>
            <w:r>
              <w:rPr>
                <w:rFonts w:ascii="Arial" w:hAnsi="Arial" w:cs="Arial"/>
                <w:sz w:val="18"/>
                <w:szCs w:val="18"/>
              </w:rPr>
              <w:tab/>
              <w:t>conducting a sale; and</w:t>
            </w:r>
          </w:p>
          <w:p>
            <w:pPr>
              <w:pStyle w:val="yTableNAm"/>
              <w:spacing w:before="60"/>
              <w:rPr>
                <w:rFonts w:ascii="Arial" w:hAnsi="Arial" w:cs="Arial"/>
                <w:sz w:val="18"/>
                <w:szCs w:val="18"/>
              </w:rPr>
            </w:pPr>
            <w:r>
              <w:rPr>
                <w:rFonts w:ascii="Arial" w:hAnsi="Arial" w:cs="Arial"/>
                <w:sz w:val="18"/>
                <w:szCs w:val="18"/>
              </w:rPr>
              <w:t>(b)</w:t>
            </w:r>
            <w:r>
              <w:rPr>
                <w:rFonts w:ascii="Arial" w:hAnsi="Arial" w:cs="Arial"/>
                <w:sz w:val="18"/>
                <w:szCs w:val="18"/>
              </w:rPr>
              <w:tab/>
              <w:t>cancelling a sale.</w:t>
            </w:r>
          </w:p>
        </w:tc>
      </w:tr>
      <w:tr>
        <w:trPr>
          <w:cantSplit/>
        </w:trPr>
        <w:tc>
          <w:tcPr>
            <w:tcW w:w="840" w:type="dxa"/>
          </w:tcPr>
          <w:p>
            <w:pPr>
              <w:pStyle w:val="yTableNAm"/>
            </w:pPr>
            <w:r>
              <w:t>9.</w:t>
            </w:r>
          </w:p>
        </w:tc>
        <w:tc>
          <w:tcPr>
            <w:tcW w:w="4689" w:type="dxa"/>
          </w:tcPr>
          <w:p>
            <w:pPr>
              <w:pStyle w:val="yTableNAm"/>
            </w:pPr>
            <w:r>
              <w:t xml:space="preserve">Commission for enforcing a judgment by means of a property (seizure and sale) order or for money recovered by the Sheriff or judgment creditor after seizure under the order — </w:t>
            </w:r>
          </w:p>
        </w:tc>
        <w:tc>
          <w:tcPr>
            <w:tcW w:w="1417" w:type="dxa"/>
          </w:tcPr>
          <w:p>
            <w:pPr>
              <w:pStyle w:val="yTableNAm"/>
            </w:pPr>
          </w:p>
        </w:tc>
      </w:tr>
      <w:tr>
        <w:trPr>
          <w:cantSplit/>
        </w:trPr>
        <w:tc>
          <w:tcPr>
            <w:tcW w:w="840" w:type="dxa"/>
          </w:tcPr>
          <w:p>
            <w:pPr>
              <w:pStyle w:val="yTableNAm"/>
            </w:pPr>
          </w:p>
        </w:tc>
        <w:tc>
          <w:tcPr>
            <w:tcW w:w="4689" w:type="dxa"/>
          </w:tcPr>
          <w:p>
            <w:pPr>
              <w:pStyle w:val="yTableNAm"/>
              <w:tabs>
                <w:tab w:val="clear" w:pos="567"/>
                <w:tab w:val="left" w:pos="470"/>
              </w:tabs>
              <w:ind w:left="471" w:hanging="471"/>
            </w:pPr>
            <w:r>
              <w:t>(a)</w:t>
            </w:r>
            <w:r>
              <w:tab/>
              <w:t>for amounts up to and including $13 500, a fee at the rate of</w:t>
            </w:r>
          </w:p>
        </w:tc>
        <w:tc>
          <w:tcPr>
            <w:tcW w:w="1417" w:type="dxa"/>
            <w:vAlign w:val="bottom"/>
          </w:tcPr>
          <w:p>
            <w:pPr>
              <w:pStyle w:val="yTableNAm"/>
            </w:pPr>
            <w:r>
              <w:t>5.00%</w:t>
            </w:r>
          </w:p>
        </w:tc>
      </w:tr>
      <w:tr>
        <w:trPr>
          <w:cantSplit/>
        </w:trPr>
        <w:tc>
          <w:tcPr>
            <w:tcW w:w="840" w:type="dxa"/>
          </w:tcPr>
          <w:p>
            <w:pPr>
              <w:pStyle w:val="yTableNAm"/>
              <w:keepNext/>
              <w:keepLines/>
            </w:pPr>
          </w:p>
        </w:tc>
        <w:tc>
          <w:tcPr>
            <w:tcW w:w="4689" w:type="dxa"/>
          </w:tcPr>
          <w:p>
            <w:pPr>
              <w:pStyle w:val="yTableNAm"/>
              <w:tabs>
                <w:tab w:val="clear" w:pos="567"/>
                <w:tab w:val="left" w:pos="470"/>
              </w:tabs>
              <w:ind w:left="470" w:hanging="470"/>
            </w:pPr>
            <w:r>
              <w:t>(b)</w:t>
            </w:r>
            <w:r>
              <w:tab/>
              <w:t>for the balance over $13 500, a fee at the rate of</w:t>
            </w:r>
          </w:p>
        </w:tc>
        <w:tc>
          <w:tcPr>
            <w:tcW w:w="1417" w:type="dxa"/>
            <w:vAlign w:val="bottom"/>
          </w:tcPr>
          <w:p>
            <w:pPr>
              <w:pStyle w:val="yTableNAm"/>
            </w:pPr>
            <w:r>
              <w:t>2.50%</w:t>
            </w:r>
          </w:p>
        </w:tc>
      </w:tr>
      <w:tr>
        <w:trPr>
          <w:cantSplit/>
          <w:trHeight w:val="2324"/>
        </w:trPr>
        <w:tc>
          <w:tcPr>
            <w:tcW w:w="840" w:type="dxa"/>
          </w:tcPr>
          <w:p>
            <w:pPr>
              <w:pStyle w:val="yTableNAm"/>
              <w:rPr>
                <w:rFonts w:ascii="Arial" w:hAnsi="Arial" w:cs="Arial"/>
                <w:sz w:val="18"/>
                <w:szCs w:val="18"/>
              </w:rPr>
            </w:pPr>
          </w:p>
        </w:tc>
        <w:tc>
          <w:tcPr>
            <w:tcW w:w="6106" w:type="dxa"/>
            <w:gridSpan w:val="2"/>
          </w:tcPr>
          <w:p>
            <w:pPr>
              <w:pStyle w:val="yTableNAm"/>
              <w:ind w:left="569" w:hanging="569"/>
              <w:rPr>
                <w:rFonts w:ascii="Arial" w:hAnsi="Arial" w:cs="Arial"/>
                <w:sz w:val="18"/>
                <w:szCs w:val="18"/>
              </w:rPr>
            </w:pPr>
            <w:r>
              <w:rPr>
                <w:rFonts w:ascii="Arial" w:hAnsi="Arial" w:cs="Arial"/>
                <w:sz w:val="18"/>
                <w:szCs w:val="18"/>
              </w:rPr>
              <w:t>Notes for this item:</w:t>
            </w:r>
          </w:p>
          <w:p>
            <w:pPr>
              <w:pStyle w:val="yTableNAm"/>
              <w:ind w:left="569" w:hanging="569"/>
              <w:rPr>
                <w:rFonts w:ascii="Arial" w:hAnsi="Arial" w:cs="Arial"/>
                <w:sz w:val="18"/>
                <w:szCs w:val="18"/>
              </w:rPr>
            </w:pPr>
            <w:r>
              <w:rPr>
                <w:rFonts w:ascii="Arial" w:hAnsi="Arial" w:cs="Arial"/>
                <w:sz w:val="18"/>
                <w:szCs w:val="18"/>
              </w:rPr>
              <w:t>1.</w:t>
            </w:r>
            <w:r>
              <w:rPr>
                <w:rFonts w:ascii="Arial" w:hAnsi="Arial" w:cs="Arial"/>
                <w:sz w:val="18"/>
                <w:szCs w:val="18"/>
              </w:rPr>
              <w:tab/>
              <w:t xml:space="preserve">For the purpose of this item, seizure includes — </w:t>
            </w:r>
          </w:p>
          <w:p>
            <w:pPr>
              <w:pStyle w:val="yTableNAm"/>
              <w:tabs>
                <w:tab w:val="clear" w:pos="567"/>
                <w:tab w:val="left" w:pos="1037"/>
              </w:tabs>
              <w:spacing w:before="60"/>
              <w:ind w:left="1037" w:hanging="425"/>
              <w:rPr>
                <w:rFonts w:ascii="Arial" w:hAnsi="Arial" w:cs="Arial"/>
                <w:sz w:val="18"/>
                <w:szCs w:val="18"/>
              </w:rPr>
            </w:pPr>
            <w:r>
              <w:rPr>
                <w:rFonts w:ascii="Arial" w:hAnsi="Arial" w:cs="Arial"/>
                <w:sz w:val="18"/>
                <w:szCs w:val="18"/>
              </w:rPr>
              <w:t>(a)</w:t>
            </w:r>
            <w:r>
              <w:rPr>
                <w:rFonts w:ascii="Arial" w:hAnsi="Arial" w:cs="Arial"/>
                <w:sz w:val="18"/>
                <w:szCs w:val="18"/>
              </w:rPr>
              <w:tab/>
              <w:t xml:space="preserve">in respect of real property, registering a property (seizure and sale) order under the </w:t>
            </w:r>
            <w:r>
              <w:rPr>
                <w:rFonts w:ascii="Arial" w:hAnsi="Arial" w:cs="Arial"/>
                <w:i/>
                <w:sz w:val="18"/>
                <w:szCs w:val="18"/>
              </w:rPr>
              <w:t>Transfer of Land Act 1893</w:t>
            </w:r>
            <w:r>
              <w:rPr>
                <w:rFonts w:ascii="Arial" w:hAnsi="Arial" w:cs="Arial"/>
                <w:sz w:val="18"/>
                <w:szCs w:val="18"/>
              </w:rPr>
              <w:t xml:space="preserve"> or the </w:t>
            </w:r>
            <w:r>
              <w:rPr>
                <w:rFonts w:ascii="Arial" w:hAnsi="Arial" w:cs="Arial"/>
                <w:i/>
                <w:sz w:val="18"/>
                <w:szCs w:val="18"/>
              </w:rPr>
              <w:t>Registration of Deeds Act 1856</w:t>
            </w:r>
            <w:r>
              <w:rPr>
                <w:rFonts w:ascii="Arial" w:hAnsi="Arial" w:cs="Arial"/>
                <w:sz w:val="18"/>
                <w:szCs w:val="18"/>
              </w:rPr>
              <w:t>; and</w:t>
            </w:r>
          </w:p>
          <w:p>
            <w:pPr>
              <w:pStyle w:val="yTableNAm"/>
              <w:tabs>
                <w:tab w:val="clear" w:pos="567"/>
                <w:tab w:val="left" w:pos="1037"/>
              </w:tabs>
              <w:spacing w:before="60"/>
              <w:ind w:left="1037" w:hanging="425"/>
              <w:rPr>
                <w:rFonts w:ascii="Arial" w:hAnsi="Arial" w:cs="Arial"/>
                <w:sz w:val="18"/>
                <w:szCs w:val="18"/>
              </w:rPr>
            </w:pPr>
            <w:r>
              <w:rPr>
                <w:rFonts w:ascii="Arial" w:hAnsi="Arial" w:cs="Arial"/>
                <w:sz w:val="18"/>
                <w:szCs w:val="18"/>
              </w:rPr>
              <w:t>(b)</w:t>
            </w:r>
            <w:r>
              <w:rPr>
                <w:rFonts w:ascii="Arial" w:hAnsi="Arial" w:cs="Arial"/>
                <w:sz w:val="18"/>
                <w:szCs w:val="18"/>
              </w:rPr>
              <w:tab/>
              <w:t>the seizure of personal property in the possession or apparent possession of the judgment debtor; and</w:t>
            </w:r>
          </w:p>
          <w:p>
            <w:pPr>
              <w:pStyle w:val="yTableNAm"/>
              <w:tabs>
                <w:tab w:val="clear" w:pos="567"/>
                <w:tab w:val="left" w:pos="1037"/>
              </w:tabs>
              <w:spacing w:before="60"/>
              <w:ind w:left="1037" w:hanging="425"/>
              <w:rPr>
                <w:rFonts w:ascii="Arial" w:hAnsi="Arial" w:cs="Arial"/>
                <w:sz w:val="18"/>
                <w:szCs w:val="18"/>
              </w:rPr>
            </w:pPr>
            <w:r>
              <w:rPr>
                <w:rFonts w:ascii="Arial" w:hAnsi="Arial" w:cs="Arial"/>
                <w:sz w:val="18"/>
                <w:szCs w:val="18"/>
              </w:rPr>
              <w:t>(c)</w:t>
            </w:r>
            <w:r>
              <w:rPr>
                <w:rFonts w:ascii="Arial" w:hAnsi="Arial" w:cs="Arial"/>
                <w:sz w:val="18"/>
                <w:szCs w:val="18"/>
              </w:rPr>
              <w:tab/>
              <w:t>the seizure of books of account in the possession of the judgment debtor.</w:t>
            </w:r>
          </w:p>
        </w:tc>
      </w:tr>
      <w:tr>
        <w:trPr>
          <w:cantSplit/>
          <w:trHeight w:val="737"/>
        </w:trPr>
        <w:tc>
          <w:tcPr>
            <w:tcW w:w="840" w:type="dxa"/>
          </w:tcPr>
          <w:p>
            <w:pPr>
              <w:pStyle w:val="yTableNAm"/>
              <w:rPr>
                <w:rFonts w:ascii="Arial" w:hAnsi="Arial" w:cs="Arial"/>
                <w:sz w:val="18"/>
                <w:szCs w:val="18"/>
              </w:rPr>
            </w:pPr>
          </w:p>
        </w:tc>
        <w:tc>
          <w:tcPr>
            <w:tcW w:w="6106" w:type="dxa"/>
            <w:gridSpan w:val="2"/>
          </w:tcPr>
          <w:p>
            <w:pPr>
              <w:pStyle w:val="yTableNAm"/>
              <w:ind w:left="569" w:hanging="569"/>
              <w:rPr>
                <w:rFonts w:ascii="Arial" w:hAnsi="Arial" w:cs="Arial"/>
                <w:sz w:val="18"/>
                <w:szCs w:val="18"/>
              </w:rPr>
            </w:pPr>
            <w:r>
              <w:rPr>
                <w:rFonts w:ascii="Arial" w:hAnsi="Arial" w:cs="Arial"/>
                <w:sz w:val="18"/>
                <w:szCs w:val="18"/>
              </w:rPr>
              <w:t>2.</w:t>
            </w:r>
            <w:r>
              <w:rPr>
                <w:rFonts w:ascii="Arial" w:hAnsi="Arial" w:cs="Arial"/>
                <w:sz w:val="18"/>
                <w:szCs w:val="18"/>
              </w:rPr>
              <w:tab/>
              <w:t>If money is recovered as a consequence of a sale conducted by a licensed auctioneer instructed by the Sheriff, commission is to be charged at one-half the rate prescribed in this item.</w:t>
            </w:r>
          </w:p>
        </w:tc>
      </w:tr>
      <w:tr>
        <w:trPr>
          <w:cantSplit/>
          <w:trHeight w:val="964"/>
        </w:trPr>
        <w:tc>
          <w:tcPr>
            <w:tcW w:w="840" w:type="dxa"/>
          </w:tcPr>
          <w:p>
            <w:pPr>
              <w:pStyle w:val="yTableNAm"/>
              <w:rPr>
                <w:rFonts w:ascii="Arial" w:hAnsi="Arial" w:cs="Arial"/>
                <w:sz w:val="18"/>
                <w:szCs w:val="18"/>
              </w:rPr>
            </w:pPr>
          </w:p>
        </w:tc>
        <w:tc>
          <w:tcPr>
            <w:tcW w:w="6106" w:type="dxa"/>
            <w:gridSpan w:val="2"/>
          </w:tcPr>
          <w:p>
            <w:pPr>
              <w:pStyle w:val="yTableNAm"/>
              <w:ind w:left="569" w:hanging="569"/>
              <w:rPr>
                <w:rFonts w:ascii="Arial" w:hAnsi="Arial" w:cs="Arial"/>
                <w:sz w:val="18"/>
                <w:szCs w:val="18"/>
              </w:rPr>
            </w:pPr>
            <w:r>
              <w:rPr>
                <w:rFonts w:ascii="Arial" w:hAnsi="Arial" w:cs="Arial"/>
                <w:sz w:val="18"/>
                <w:szCs w:val="18"/>
              </w:rPr>
              <w:t>3.</w:t>
            </w:r>
            <w:r>
              <w:rPr>
                <w:rFonts w:ascii="Arial" w:hAnsi="Arial" w:cs="Arial"/>
                <w:sz w:val="18"/>
                <w:szCs w:val="18"/>
              </w:rPr>
              <w:tab/>
              <w:t>If a sale, whether by public auction or otherwise, is conducted by the Sheriff without the involvement of an auctioneer or agent, the commission rate prescribed in paragraph (a) is to be increased by 1.00%.</w:t>
            </w:r>
          </w:p>
        </w:tc>
      </w:tr>
      <w:tr>
        <w:trPr>
          <w:cantSplit/>
          <w:trHeight w:val="510"/>
        </w:trPr>
        <w:tc>
          <w:tcPr>
            <w:tcW w:w="840" w:type="dxa"/>
          </w:tcPr>
          <w:p>
            <w:pPr>
              <w:pStyle w:val="yTableNAm"/>
              <w:rPr>
                <w:rFonts w:ascii="Arial" w:hAnsi="Arial" w:cs="Arial"/>
                <w:sz w:val="18"/>
                <w:szCs w:val="18"/>
              </w:rPr>
            </w:pPr>
          </w:p>
        </w:tc>
        <w:tc>
          <w:tcPr>
            <w:tcW w:w="6106" w:type="dxa"/>
            <w:gridSpan w:val="2"/>
          </w:tcPr>
          <w:p>
            <w:pPr>
              <w:pStyle w:val="yTableNAm"/>
              <w:ind w:left="569" w:hanging="569"/>
              <w:rPr>
                <w:rFonts w:ascii="Arial" w:hAnsi="Arial" w:cs="Arial"/>
                <w:sz w:val="18"/>
                <w:szCs w:val="18"/>
              </w:rPr>
            </w:pPr>
            <w:r>
              <w:rPr>
                <w:rFonts w:ascii="Arial" w:hAnsi="Arial" w:cs="Arial"/>
                <w:sz w:val="18"/>
                <w:szCs w:val="18"/>
              </w:rPr>
              <w:t>4.</w:t>
            </w:r>
            <w:r>
              <w:rPr>
                <w:rFonts w:ascii="Arial" w:hAnsi="Arial" w:cs="Arial"/>
                <w:sz w:val="18"/>
                <w:szCs w:val="18"/>
              </w:rPr>
              <w:tab/>
              <w:t>Commission is to be calculated on the amount recovered or the judgment sum, whichever is the lesser.</w:t>
            </w:r>
          </w:p>
        </w:tc>
      </w:tr>
      <w:tr>
        <w:trPr>
          <w:cantSplit/>
        </w:trPr>
        <w:tc>
          <w:tcPr>
            <w:tcW w:w="840" w:type="dxa"/>
          </w:tcPr>
          <w:p>
            <w:pPr>
              <w:pStyle w:val="yTableNAm"/>
            </w:pPr>
            <w:r>
              <w:t>10.</w:t>
            </w:r>
          </w:p>
        </w:tc>
        <w:tc>
          <w:tcPr>
            <w:tcW w:w="4689" w:type="dxa"/>
          </w:tcPr>
          <w:p>
            <w:pPr>
              <w:pStyle w:val="yTableNAm"/>
            </w:pPr>
            <w:r>
              <w:t xml:space="preserve">Commission for delivering possession of property — </w:t>
            </w:r>
          </w:p>
        </w:tc>
        <w:tc>
          <w:tcPr>
            <w:tcW w:w="1417" w:type="dxa"/>
          </w:tcPr>
          <w:p>
            <w:pPr>
              <w:pStyle w:val="yTableNAm"/>
            </w:pPr>
          </w:p>
        </w:tc>
      </w:tr>
      <w:tr>
        <w:trPr>
          <w:cantSplit/>
        </w:trPr>
        <w:tc>
          <w:tcPr>
            <w:tcW w:w="840" w:type="dxa"/>
          </w:tcPr>
          <w:p>
            <w:pPr>
              <w:pStyle w:val="yTableNAm"/>
            </w:pPr>
          </w:p>
        </w:tc>
        <w:tc>
          <w:tcPr>
            <w:tcW w:w="4689" w:type="dxa"/>
          </w:tcPr>
          <w:p>
            <w:pPr>
              <w:pStyle w:val="yTableNAm"/>
              <w:tabs>
                <w:tab w:val="clear" w:pos="567"/>
                <w:tab w:val="left" w:pos="470"/>
              </w:tabs>
              <w:ind w:left="471" w:hanging="471"/>
            </w:pPr>
            <w:r>
              <w:t>(a)</w:t>
            </w:r>
            <w:r>
              <w:tab/>
              <w:t xml:space="preserve">Personal property, assessed on the value of the property delivered — </w:t>
            </w:r>
          </w:p>
        </w:tc>
        <w:tc>
          <w:tcPr>
            <w:tcW w:w="1417" w:type="dxa"/>
          </w:tcPr>
          <w:p>
            <w:pPr>
              <w:pStyle w:val="yTableNAm"/>
            </w:pPr>
          </w:p>
        </w:tc>
      </w:tr>
      <w:tr>
        <w:trPr>
          <w:cantSplit/>
        </w:trPr>
        <w:tc>
          <w:tcPr>
            <w:tcW w:w="840" w:type="dxa"/>
          </w:tcPr>
          <w:p>
            <w:pPr>
              <w:pStyle w:val="yTableNAm"/>
            </w:pPr>
          </w:p>
        </w:tc>
        <w:tc>
          <w:tcPr>
            <w:tcW w:w="4689" w:type="dxa"/>
          </w:tcPr>
          <w:p>
            <w:pPr>
              <w:pStyle w:val="yTableNAm"/>
              <w:tabs>
                <w:tab w:val="clear" w:pos="567"/>
                <w:tab w:val="left" w:pos="470"/>
              </w:tabs>
              <w:ind w:left="884" w:hanging="884"/>
            </w:pPr>
            <w:r>
              <w:tab/>
              <w:t>(i)</w:t>
            </w:r>
            <w:r>
              <w:tab/>
              <w:t>for amounts up to and including $13 500, a fee at the rate of</w:t>
            </w:r>
          </w:p>
        </w:tc>
        <w:tc>
          <w:tcPr>
            <w:tcW w:w="1417" w:type="dxa"/>
            <w:vAlign w:val="bottom"/>
          </w:tcPr>
          <w:p>
            <w:pPr>
              <w:pStyle w:val="yTableNAm"/>
            </w:pPr>
            <w:r>
              <w:t>5.00%</w:t>
            </w:r>
          </w:p>
        </w:tc>
      </w:tr>
      <w:tr>
        <w:trPr>
          <w:cantSplit/>
        </w:trPr>
        <w:tc>
          <w:tcPr>
            <w:tcW w:w="840" w:type="dxa"/>
          </w:tcPr>
          <w:p>
            <w:pPr>
              <w:pStyle w:val="yTableNAm"/>
            </w:pPr>
          </w:p>
        </w:tc>
        <w:tc>
          <w:tcPr>
            <w:tcW w:w="4689" w:type="dxa"/>
          </w:tcPr>
          <w:p>
            <w:pPr>
              <w:pStyle w:val="yTableNAm"/>
              <w:tabs>
                <w:tab w:val="clear" w:pos="567"/>
                <w:tab w:val="left" w:pos="470"/>
              </w:tabs>
              <w:ind w:left="884" w:hanging="884"/>
            </w:pPr>
            <w:r>
              <w:tab/>
              <w:t>(ii)</w:t>
            </w:r>
            <w:r>
              <w:tab/>
              <w:t>for the balance over $13 500, a fee at the rate of</w:t>
            </w:r>
          </w:p>
        </w:tc>
        <w:tc>
          <w:tcPr>
            <w:tcW w:w="1417" w:type="dxa"/>
            <w:vAlign w:val="bottom"/>
          </w:tcPr>
          <w:p>
            <w:pPr>
              <w:pStyle w:val="yTableNAm"/>
            </w:pPr>
            <w:r>
              <w:t>2.50%</w:t>
            </w:r>
          </w:p>
        </w:tc>
      </w:tr>
      <w:tr>
        <w:trPr>
          <w:cantSplit/>
        </w:trPr>
        <w:tc>
          <w:tcPr>
            <w:tcW w:w="840" w:type="dxa"/>
          </w:tcPr>
          <w:p>
            <w:pPr>
              <w:pStyle w:val="yTableNAm"/>
            </w:pPr>
          </w:p>
        </w:tc>
        <w:tc>
          <w:tcPr>
            <w:tcW w:w="4689" w:type="dxa"/>
          </w:tcPr>
          <w:p>
            <w:pPr>
              <w:pStyle w:val="yTableNAm"/>
              <w:tabs>
                <w:tab w:val="clear" w:pos="567"/>
                <w:tab w:val="left" w:pos="470"/>
              </w:tabs>
              <w:ind w:left="471" w:hanging="471"/>
            </w:pPr>
            <w:r>
              <w:t>(b)</w:t>
            </w:r>
            <w:r>
              <w:tab/>
              <w:t xml:space="preserve">Real property, assessed on the annual rental value of the property delivered — </w:t>
            </w:r>
          </w:p>
        </w:tc>
        <w:tc>
          <w:tcPr>
            <w:tcW w:w="1417" w:type="dxa"/>
          </w:tcPr>
          <w:p>
            <w:pPr>
              <w:pStyle w:val="yTableNAm"/>
            </w:pPr>
          </w:p>
        </w:tc>
      </w:tr>
      <w:tr>
        <w:trPr>
          <w:cantSplit/>
        </w:trPr>
        <w:tc>
          <w:tcPr>
            <w:tcW w:w="840" w:type="dxa"/>
          </w:tcPr>
          <w:p>
            <w:pPr>
              <w:pStyle w:val="yTableNAm"/>
            </w:pPr>
          </w:p>
        </w:tc>
        <w:tc>
          <w:tcPr>
            <w:tcW w:w="4689" w:type="dxa"/>
          </w:tcPr>
          <w:p>
            <w:pPr>
              <w:pStyle w:val="yTableNAm"/>
              <w:tabs>
                <w:tab w:val="clear" w:pos="567"/>
                <w:tab w:val="left" w:pos="470"/>
              </w:tabs>
              <w:ind w:left="884" w:hanging="884"/>
            </w:pPr>
            <w:r>
              <w:tab/>
              <w:t>(i)</w:t>
            </w:r>
            <w:r>
              <w:tab/>
              <w:t>for amounts up to and including $13 500, a fee at the rate of</w:t>
            </w:r>
          </w:p>
        </w:tc>
        <w:tc>
          <w:tcPr>
            <w:tcW w:w="1417" w:type="dxa"/>
            <w:vAlign w:val="bottom"/>
          </w:tcPr>
          <w:p>
            <w:pPr>
              <w:pStyle w:val="yTableNAm"/>
            </w:pPr>
            <w:r>
              <w:t>5.00%</w:t>
            </w:r>
          </w:p>
        </w:tc>
      </w:tr>
      <w:tr>
        <w:trPr>
          <w:cantSplit/>
        </w:trPr>
        <w:tc>
          <w:tcPr>
            <w:tcW w:w="840" w:type="dxa"/>
          </w:tcPr>
          <w:p>
            <w:pPr>
              <w:pStyle w:val="yTableNAm"/>
              <w:keepNext/>
              <w:keepLines/>
            </w:pPr>
          </w:p>
        </w:tc>
        <w:tc>
          <w:tcPr>
            <w:tcW w:w="4689" w:type="dxa"/>
          </w:tcPr>
          <w:p>
            <w:pPr>
              <w:pStyle w:val="yTableNAm"/>
              <w:tabs>
                <w:tab w:val="clear" w:pos="567"/>
                <w:tab w:val="left" w:pos="470"/>
              </w:tabs>
              <w:ind w:left="884" w:hanging="884"/>
            </w:pPr>
            <w:r>
              <w:tab/>
              <w:t>(ii)</w:t>
            </w:r>
            <w:r>
              <w:tab/>
              <w:t>for the balance over $13 500, a fee at the rate of</w:t>
            </w:r>
          </w:p>
        </w:tc>
        <w:tc>
          <w:tcPr>
            <w:tcW w:w="1417" w:type="dxa"/>
            <w:vAlign w:val="bottom"/>
          </w:tcPr>
          <w:p>
            <w:pPr>
              <w:pStyle w:val="yTableNAm"/>
            </w:pPr>
            <w:r>
              <w:t>2.50%</w:t>
            </w:r>
          </w:p>
        </w:tc>
      </w:tr>
      <w:tr>
        <w:trPr>
          <w:cantSplit/>
        </w:trPr>
        <w:tc>
          <w:tcPr>
            <w:tcW w:w="840" w:type="dxa"/>
          </w:tcPr>
          <w:p>
            <w:pPr>
              <w:pStyle w:val="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If real property is delivered in accordance with a property (seizure and delivery) order made by the Magistrates Court, the maximum amount payable under this item is $464.00.</w:t>
            </w:r>
          </w:p>
        </w:tc>
      </w:tr>
      <w:tr>
        <w:trPr>
          <w:cantSplit/>
        </w:trPr>
        <w:tc>
          <w:tcPr>
            <w:tcW w:w="840" w:type="dxa"/>
          </w:tcPr>
          <w:p>
            <w:pPr>
              <w:pStyle w:val="yTableNAm"/>
            </w:pPr>
            <w:r>
              <w:t>11.</w:t>
            </w:r>
          </w:p>
        </w:tc>
        <w:tc>
          <w:tcPr>
            <w:tcW w:w="4689" w:type="dxa"/>
          </w:tcPr>
          <w:p>
            <w:pPr>
              <w:pStyle w:val="yTableNAm"/>
            </w:pPr>
            <w:r>
              <w:t>On the execution of an arrest warrant of any kind —</w:t>
            </w:r>
          </w:p>
        </w:tc>
        <w:tc>
          <w:tcPr>
            <w:tcW w:w="1417" w:type="dxa"/>
          </w:tcPr>
          <w:p>
            <w:pPr>
              <w:pStyle w:val="yTableNAm"/>
            </w:pPr>
          </w:p>
        </w:tc>
      </w:tr>
      <w:tr>
        <w:trPr>
          <w:cantSplit/>
        </w:trPr>
        <w:tc>
          <w:tcPr>
            <w:tcW w:w="840" w:type="dxa"/>
          </w:tcPr>
          <w:p>
            <w:pPr>
              <w:pStyle w:val="yTableNAm"/>
            </w:pPr>
          </w:p>
        </w:tc>
        <w:tc>
          <w:tcPr>
            <w:tcW w:w="4689" w:type="dxa"/>
          </w:tcPr>
          <w:p>
            <w:pPr>
              <w:pStyle w:val="yTableNAm"/>
              <w:tabs>
                <w:tab w:val="clear" w:pos="567"/>
                <w:tab w:val="left" w:pos="470"/>
              </w:tabs>
              <w:ind w:left="471" w:hanging="471"/>
            </w:pPr>
            <w:r>
              <w:t>(a)</w:t>
            </w:r>
            <w:r>
              <w:tab/>
              <w:t>for preparing to arrest, and arresting, the person</w:t>
            </w:r>
          </w:p>
        </w:tc>
        <w:tc>
          <w:tcPr>
            <w:tcW w:w="1417" w:type="dxa"/>
            <w:vAlign w:val="bottom"/>
          </w:tcPr>
          <w:p>
            <w:pPr>
              <w:pStyle w:val="yTableNAm"/>
            </w:pPr>
            <w:r>
              <w:t>171.00</w:t>
            </w:r>
          </w:p>
        </w:tc>
      </w:tr>
      <w:tr>
        <w:trPr>
          <w:cantSplit/>
        </w:trPr>
        <w:tc>
          <w:tcPr>
            <w:tcW w:w="840" w:type="dxa"/>
          </w:tcPr>
          <w:p>
            <w:pPr>
              <w:pStyle w:val="yTableNAm"/>
            </w:pPr>
          </w:p>
        </w:tc>
        <w:tc>
          <w:tcPr>
            <w:tcW w:w="4689" w:type="dxa"/>
          </w:tcPr>
          <w:p>
            <w:pPr>
              <w:pStyle w:val="yTableNAm"/>
              <w:tabs>
                <w:tab w:val="clear" w:pos="567"/>
                <w:tab w:val="left" w:pos="470"/>
              </w:tabs>
              <w:ind w:left="470" w:hanging="470"/>
            </w:pPr>
            <w:r>
              <w:t>(b)</w:t>
            </w:r>
            <w:r>
              <w:tab/>
              <w:t xml:space="preserve">for conveying the person from the place of arrest to appear before a judicial officer in a court, or to a custodial place, and releasing the person from arrest or custody </w:t>
            </w:r>
          </w:p>
        </w:tc>
        <w:tc>
          <w:tcPr>
            <w:tcW w:w="1417" w:type="dxa"/>
            <w:vAlign w:val="bottom"/>
          </w:tcPr>
          <w:p>
            <w:pPr>
              <w:pStyle w:val="yTableNAm"/>
            </w:pPr>
            <w:r>
              <w:t>169.50</w:t>
            </w:r>
          </w:p>
        </w:tc>
      </w:tr>
      <w:tr>
        <w:trPr>
          <w:cantSplit/>
        </w:trPr>
        <w:tc>
          <w:tcPr>
            <w:tcW w:w="840" w:type="dxa"/>
          </w:tcPr>
          <w:p>
            <w:pPr>
              <w:pStyle w:val="yTableNAm"/>
            </w:pPr>
          </w:p>
        </w:tc>
        <w:tc>
          <w:tcPr>
            <w:tcW w:w="4689" w:type="dxa"/>
          </w:tcPr>
          <w:p>
            <w:pPr>
              <w:pStyle w:val="yTableNAm"/>
              <w:tabs>
                <w:tab w:val="clear" w:pos="567"/>
                <w:tab w:val="left" w:pos="470"/>
              </w:tabs>
              <w:ind w:left="470" w:hanging="470"/>
            </w:pPr>
            <w:r>
              <w:t>(c)</w:t>
            </w:r>
            <w:r>
              <w:tab/>
              <w:t xml:space="preserve">for each 30 minutes after 2 hours and 30 minutes that an enforcement officer is required to keep the person in custody until the person is conveyed to a court or a custodial place </w:t>
            </w:r>
          </w:p>
        </w:tc>
        <w:tc>
          <w:tcPr>
            <w:tcW w:w="1417" w:type="dxa"/>
            <w:vAlign w:val="bottom"/>
          </w:tcPr>
          <w:p>
            <w:pPr>
              <w:pStyle w:val="yTableNAm"/>
            </w:pPr>
            <w:r>
              <w:t>44.90</w:t>
            </w:r>
          </w:p>
        </w:tc>
      </w:tr>
      <w:tr>
        <w:trPr>
          <w:cantSplit/>
          <w:trHeight w:val="1128"/>
        </w:trPr>
        <w:tc>
          <w:tcPr>
            <w:tcW w:w="840" w:type="dxa"/>
          </w:tcPr>
          <w:p>
            <w:pPr>
              <w:pStyle w:val="yTableNAm"/>
              <w:rPr>
                <w:rFonts w:ascii="Arial" w:hAnsi="Arial" w:cs="Arial"/>
                <w:sz w:val="18"/>
                <w:szCs w:val="18"/>
              </w:rPr>
            </w:pPr>
          </w:p>
        </w:tc>
        <w:tc>
          <w:tcPr>
            <w:tcW w:w="6106" w:type="dxa"/>
            <w:gridSpan w:val="2"/>
          </w:tcPr>
          <w:p>
            <w:pPr>
              <w:pStyle w:val="yTableNAm"/>
              <w:ind w:left="569" w:hanging="569"/>
              <w:rPr>
                <w:rFonts w:ascii="Arial" w:hAnsi="Arial" w:cs="Arial"/>
                <w:sz w:val="18"/>
                <w:szCs w:val="18"/>
              </w:rPr>
            </w:pPr>
            <w:r>
              <w:rPr>
                <w:rFonts w:ascii="Arial" w:hAnsi="Arial" w:cs="Arial"/>
                <w:sz w:val="18"/>
                <w:szCs w:val="18"/>
              </w:rPr>
              <w:t>Notes for this item:</w:t>
            </w:r>
          </w:p>
          <w:p>
            <w:pPr>
              <w:pStyle w:val="yTableNAm"/>
              <w:ind w:left="569" w:hanging="569"/>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w:t>
            </w:r>
            <w:r>
              <w:rPr>
                <w:rFonts w:ascii="Arial" w:hAnsi="Arial" w:cs="Arial"/>
                <w:spacing w:val="8"/>
                <w:sz w:val="18"/>
                <w:szCs w:val="18"/>
              </w:rPr>
              <w:t>f’</w:t>
            </w:r>
            <w:r>
              <w:rPr>
                <w:rFonts w:ascii="Arial" w:hAnsi="Arial" w:cs="Arial"/>
                <w:sz w:val="18"/>
                <w:szCs w:val="18"/>
              </w:rPr>
              <w:t>s functions under the warrant are performed and includes up to 3 attempts to perform the functions at the same address.</w:t>
            </w:r>
          </w:p>
        </w:tc>
      </w:tr>
      <w:tr>
        <w:trPr>
          <w:cantSplit/>
          <w:trHeight w:val="1361"/>
        </w:trPr>
        <w:tc>
          <w:tcPr>
            <w:tcW w:w="840" w:type="dxa"/>
          </w:tcPr>
          <w:p>
            <w:pPr>
              <w:pStyle w:val="yTableNAm"/>
              <w:rPr>
                <w:rFonts w:ascii="Arial" w:hAnsi="Arial" w:cs="Arial"/>
                <w:sz w:val="18"/>
                <w:szCs w:val="18"/>
              </w:rPr>
            </w:pPr>
          </w:p>
        </w:tc>
        <w:tc>
          <w:tcPr>
            <w:tcW w:w="6106" w:type="dxa"/>
            <w:gridSpan w:val="2"/>
          </w:tcPr>
          <w:p>
            <w:pPr>
              <w:pStyle w:val="yTableNAm"/>
              <w:ind w:left="569" w:hanging="569"/>
              <w:rPr>
                <w:rFonts w:ascii="Arial" w:hAnsi="Arial" w:cs="Arial"/>
                <w:sz w:val="18"/>
                <w:szCs w:val="18"/>
              </w:rPr>
            </w:pPr>
            <w:r>
              <w:rPr>
                <w:rFonts w:ascii="Arial" w:hAnsi="Arial" w:cs="Arial"/>
                <w:sz w:val="18"/>
                <w:szCs w:val="18"/>
              </w:rPr>
              <w:t>2.</w:t>
            </w:r>
            <w:r>
              <w:rPr>
                <w:rFonts w:ascii="Arial" w:hAnsi="Arial" w:cs="Arial"/>
                <w:sz w:val="18"/>
                <w:szCs w:val="18"/>
              </w:rPr>
              <w:tab/>
              <w:t>The fee under paragraph (a) includes the costs of —</w:t>
            </w:r>
          </w:p>
          <w:p>
            <w:pPr>
              <w:pStyle w:val="yTableNAm"/>
              <w:tabs>
                <w:tab w:val="clear" w:pos="567"/>
                <w:tab w:val="left" w:pos="1037"/>
              </w:tabs>
              <w:spacing w:before="60"/>
              <w:ind w:left="1037" w:hanging="425"/>
              <w:rPr>
                <w:rFonts w:ascii="Arial" w:hAnsi="Arial" w:cs="Arial"/>
                <w:sz w:val="18"/>
                <w:szCs w:val="18"/>
              </w:rPr>
            </w:pPr>
            <w:r>
              <w:rPr>
                <w:rFonts w:ascii="Arial" w:hAnsi="Arial" w:cs="Arial"/>
                <w:sz w:val="18"/>
                <w:szCs w:val="18"/>
              </w:rPr>
              <w:t>(a)</w:t>
            </w:r>
            <w:r>
              <w:rPr>
                <w:rFonts w:ascii="Arial" w:hAnsi="Arial" w:cs="Arial"/>
                <w:sz w:val="18"/>
                <w:szCs w:val="18"/>
              </w:rPr>
              <w:tab/>
              <w:t>receiving and printing the warrant; and</w:t>
            </w:r>
          </w:p>
          <w:p>
            <w:pPr>
              <w:pStyle w:val="yTableNAm"/>
              <w:tabs>
                <w:tab w:val="clear" w:pos="567"/>
                <w:tab w:val="left" w:pos="1037"/>
              </w:tabs>
              <w:spacing w:before="60"/>
              <w:ind w:left="1037" w:hanging="425"/>
              <w:rPr>
                <w:rFonts w:ascii="Arial" w:hAnsi="Arial" w:cs="Arial"/>
                <w:sz w:val="18"/>
                <w:szCs w:val="18"/>
              </w:rPr>
            </w:pPr>
            <w:r>
              <w:rPr>
                <w:rFonts w:ascii="Arial" w:hAnsi="Arial" w:cs="Arial"/>
                <w:sz w:val="18"/>
                <w:szCs w:val="18"/>
              </w:rPr>
              <w:t>(b)</w:t>
            </w:r>
            <w:r>
              <w:rPr>
                <w:rFonts w:ascii="Arial" w:hAnsi="Arial" w:cs="Arial"/>
                <w:sz w:val="18"/>
                <w:szCs w:val="18"/>
              </w:rPr>
              <w:tab/>
              <w:t>attendances and inquiries before attempting arrest; and</w:t>
            </w:r>
          </w:p>
          <w:p>
            <w:pPr>
              <w:pStyle w:val="yTableNAm"/>
              <w:tabs>
                <w:tab w:val="clear" w:pos="567"/>
                <w:tab w:val="left" w:pos="1037"/>
              </w:tabs>
              <w:spacing w:before="60"/>
              <w:ind w:left="1037" w:hanging="425"/>
              <w:rPr>
                <w:rFonts w:ascii="Arial" w:hAnsi="Arial" w:cs="Arial"/>
                <w:sz w:val="18"/>
                <w:szCs w:val="18"/>
              </w:rPr>
            </w:pPr>
            <w:r>
              <w:rPr>
                <w:rFonts w:ascii="Arial" w:hAnsi="Arial" w:cs="Arial"/>
                <w:sz w:val="18"/>
                <w:szCs w:val="18"/>
              </w:rPr>
              <w:t>(c)</w:t>
            </w:r>
            <w:r>
              <w:rPr>
                <w:rFonts w:ascii="Arial" w:hAnsi="Arial" w:cs="Arial"/>
                <w:sz w:val="18"/>
                <w:szCs w:val="18"/>
              </w:rPr>
              <w:tab/>
              <w:t>giving any notice; and</w:t>
            </w:r>
          </w:p>
          <w:p>
            <w:pPr>
              <w:pStyle w:val="yTableNAm"/>
              <w:tabs>
                <w:tab w:val="clear" w:pos="567"/>
                <w:tab w:val="left" w:pos="1037"/>
              </w:tabs>
              <w:spacing w:before="60"/>
              <w:ind w:left="1037" w:hanging="425"/>
              <w:rPr>
                <w:rFonts w:ascii="Arial" w:hAnsi="Arial" w:cs="Arial"/>
                <w:sz w:val="18"/>
                <w:szCs w:val="18"/>
              </w:rPr>
            </w:pPr>
            <w:r>
              <w:rPr>
                <w:rFonts w:ascii="Arial" w:hAnsi="Arial" w:cs="Arial"/>
                <w:sz w:val="18"/>
                <w:szCs w:val="18"/>
              </w:rPr>
              <w:t>(d)</w:t>
            </w:r>
            <w:r>
              <w:rPr>
                <w:rFonts w:ascii="Arial" w:hAnsi="Arial" w:cs="Arial"/>
                <w:sz w:val="18"/>
                <w:szCs w:val="18"/>
              </w:rPr>
              <w:tab/>
              <w:t>making any report.</w:t>
            </w:r>
          </w:p>
        </w:tc>
      </w:tr>
      <w:tr>
        <w:trPr>
          <w:cantSplit/>
          <w:trHeight w:val="737"/>
        </w:trPr>
        <w:tc>
          <w:tcPr>
            <w:tcW w:w="840" w:type="dxa"/>
          </w:tcPr>
          <w:p>
            <w:pPr>
              <w:pStyle w:val="yTableNAm"/>
              <w:rPr>
                <w:rFonts w:ascii="Arial" w:hAnsi="Arial" w:cs="Arial"/>
                <w:sz w:val="18"/>
                <w:szCs w:val="18"/>
              </w:rPr>
            </w:pPr>
          </w:p>
        </w:tc>
        <w:tc>
          <w:tcPr>
            <w:tcW w:w="6106" w:type="dxa"/>
            <w:gridSpan w:val="2"/>
          </w:tcPr>
          <w:p>
            <w:pPr>
              <w:pStyle w:val="yTableNAm"/>
              <w:ind w:left="569" w:hanging="569"/>
              <w:rPr>
                <w:rFonts w:ascii="Arial" w:hAnsi="Arial" w:cs="Arial"/>
                <w:sz w:val="18"/>
                <w:szCs w:val="18"/>
              </w:rPr>
            </w:pPr>
            <w:r>
              <w:rPr>
                <w:rFonts w:ascii="Arial" w:hAnsi="Arial" w:cs="Arial"/>
                <w:sz w:val="18"/>
                <w:szCs w:val="18"/>
              </w:rPr>
              <w:t>3.</w:t>
            </w:r>
            <w:r>
              <w:rPr>
                <w:rFonts w:ascii="Arial" w:hAnsi="Arial" w:cs="Arial"/>
                <w:sz w:val="18"/>
                <w:szCs w:val="18"/>
              </w:rPr>
              <w:tab/>
              <w:t>The fee under paragraph (b) is payable whether or not the place of arrest is the court building or custodial place and whether or not the person is conveyed to a court or a custodial place in a vehicle.</w:t>
            </w:r>
          </w:p>
        </w:tc>
      </w:tr>
      <w:tr>
        <w:trPr>
          <w:cantSplit/>
        </w:trPr>
        <w:tc>
          <w:tcPr>
            <w:tcW w:w="840" w:type="dxa"/>
          </w:tcPr>
          <w:p>
            <w:pPr>
              <w:pStyle w:val="yTableNAm"/>
              <w:keepNext/>
            </w:pPr>
            <w:r>
              <w:t>12.</w:t>
            </w:r>
          </w:p>
        </w:tc>
        <w:tc>
          <w:tcPr>
            <w:tcW w:w="4689" w:type="dxa"/>
          </w:tcPr>
          <w:p>
            <w:pPr>
              <w:pStyle w:val="yTableNAm"/>
              <w:keepNext/>
            </w:pPr>
            <w:r>
              <w:t xml:space="preserve">For each half hour or part of a half hour that it is necessary for an enforcement officer to engage an assistant to perform a function — </w:t>
            </w:r>
          </w:p>
        </w:tc>
        <w:tc>
          <w:tcPr>
            <w:tcW w:w="1417" w:type="dxa"/>
          </w:tcPr>
          <w:p>
            <w:pPr>
              <w:pStyle w:val="yTableNAm"/>
              <w:keepNext/>
            </w:pPr>
          </w:p>
        </w:tc>
      </w:tr>
      <w:tr>
        <w:trPr>
          <w:cantSplit/>
        </w:trPr>
        <w:tc>
          <w:tcPr>
            <w:tcW w:w="840" w:type="dxa"/>
          </w:tcPr>
          <w:p>
            <w:pPr>
              <w:pStyle w:val="yTableNAm"/>
            </w:pPr>
          </w:p>
        </w:tc>
        <w:tc>
          <w:tcPr>
            <w:tcW w:w="4689" w:type="dxa"/>
          </w:tcPr>
          <w:p>
            <w:pPr>
              <w:pStyle w:val="yTableNAm"/>
              <w:tabs>
                <w:tab w:val="clear" w:pos="567"/>
                <w:tab w:val="left" w:pos="470"/>
              </w:tabs>
              <w:ind w:left="470" w:hanging="470"/>
            </w:pPr>
            <w:r>
              <w:t>(a)</w:t>
            </w:r>
            <w:r>
              <w:tab/>
              <w:t>in relation to the execution of an arrest warrant</w:t>
            </w:r>
          </w:p>
        </w:tc>
        <w:tc>
          <w:tcPr>
            <w:tcW w:w="1417" w:type="dxa"/>
            <w:vAlign w:val="bottom"/>
          </w:tcPr>
          <w:p>
            <w:pPr>
              <w:pStyle w:val="yTableNAm"/>
            </w:pPr>
            <w:r>
              <w:t>44.90</w:t>
            </w:r>
          </w:p>
        </w:tc>
      </w:tr>
      <w:tr>
        <w:trPr>
          <w:cantSplit/>
        </w:trPr>
        <w:tc>
          <w:tcPr>
            <w:tcW w:w="840" w:type="dxa"/>
          </w:tcPr>
          <w:p>
            <w:pPr>
              <w:pStyle w:val="yTableNAm"/>
            </w:pPr>
          </w:p>
        </w:tc>
        <w:tc>
          <w:tcPr>
            <w:tcW w:w="4689" w:type="dxa"/>
          </w:tcPr>
          <w:p>
            <w:pPr>
              <w:pStyle w:val="yTableNAm"/>
              <w:tabs>
                <w:tab w:val="clear" w:pos="567"/>
                <w:tab w:val="left" w:pos="470"/>
              </w:tabs>
              <w:ind w:left="470" w:hanging="470"/>
            </w:pPr>
            <w:r>
              <w:t>(b)</w:t>
            </w:r>
            <w:r>
              <w:tab/>
              <w:t>in accordance with a property (seizure and delivery) order</w:t>
            </w:r>
          </w:p>
        </w:tc>
        <w:tc>
          <w:tcPr>
            <w:tcW w:w="1417" w:type="dxa"/>
            <w:vAlign w:val="bottom"/>
          </w:tcPr>
          <w:p>
            <w:pPr>
              <w:pStyle w:val="yTableNAm"/>
            </w:pPr>
            <w:r>
              <w:t>44.90</w:t>
            </w:r>
          </w:p>
        </w:tc>
      </w:tr>
      <w:tr>
        <w:trPr>
          <w:cantSplit/>
        </w:trPr>
        <w:tc>
          <w:tcPr>
            <w:tcW w:w="840" w:type="dxa"/>
          </w:tcPr>
          <w:p>
            <w:pPr>
              <w:pStyle w:val="yTableNAm"/>
            </w:pPr>
          </w:p>
        </w:tc>
        <w:tc>
          <w:tcPr>
            <w:tcW w:w="4689" w:type="dxa"/>
          </w:tcPr>
          <w:p>
            <w:pPr>
              <w:pStyle w:val="yTableNAm"/>
              <w:tabs>
                <w:tab w:val="clear" w:pos="567"/>
                <w:tab w:val="left" w:pos="470"/>
              </w:tabs>
              <w:ind w:left="470" w:hanging="470"/>
            </w:pPr>
            <w:r>
              <w:t>(c)</w:t>
            </w:r>
            <w:r>
              <w:tab/>
              <w:t xml:space="preserve">in accordance with a property (seizure and sale) order </w:t>
            </w:r>
          </w:p>
        </w:tc>
        <w:tc>
          <w:tcPr>
            <w:tcW w:w="1417" w:type="dxa"/>
            <w:vAlign w:val="bottom"/>
          </w:tcPr>
          <w:p>
            <w:pPr>
              <w:pStyle w:val="yTableNAm"/>
            </w:pPr>
            <w:r>
              <w:t>44.90</w:t>
            </w:r>
          </w:p>
        </w:tc>
      </w:tr>
      <w:tr>
        <w:trPr>
          <w:cantSplit/>
        </w:trPr>
        <w:tc>
          <w:tcPr>
            <w:tcW w:w="840" w:type="dxa"/>
          </w:tcPr>
          <w:p>
            <w:pPr>
              <w:pStyle w:val="yTableNAm"/>
            </w:pPr>
            <w:r>
              <w:t>13.</w:t>
            </w:r>
          </w:p>
        </w:tc>
        <w:tc>
          <w:tcPr>
            <w:tcW w:w="4689" w:type="dxa"/>
          </w:tcPr>
          <w:p>
            <w:pPr>
              <w:pStyle w:val="yTableNAm"/>
            </w:pPr>
            <w:r>
              <w:t>If an enforcement officer is necessarily put to and incurs extra trouble and expense in the discharge of a function incidental to the officer’s office, employment or engagement or for the performance of a function not otherwise provided for in this Schedule</w:t>
            </w:r>
          </w:p>
        </w:tc>
        <w:tc>
          <w:tcPr>
            <w:tcW w:w="1417" w:type="dxa"/>
          </w:tcPr>
          <w:p>
            <w:pPr>
              <w:pStyle w:val="yTableNAm"/>
            </w:pPr>
            <w:r>
              <w:t>A sum or additional sum that the Sheriff may reasonably allow</w:t>
            </w:r>
          </w:p>
        </w:tc>
      </w:tr>
      <w:tr>
        <w:trPr>
          <w:cantSplit/>
        </w:trPr>
        <w:tc>
          <w:tcPr>
            <w:tcW w:w="840" w:type="dxa"/>
          </w:tcPr>
          <w:p>
            <w:pPr>
              <w:pStyle w:val="yTableNAm"/>
            </w:pPr>
            <w:r>
              <w:t>14.</w:t>
            </w:r>
          </w:p>
        </w:tc>
        <w:tc>
          <w:tcPr>
            <w:tcW w:w="4689" w:type="dxa"/>
          </w:tcPr>
          <w:p>
            <w:pPr>
              <w:pStyle w:val="yTableNAm"/>
            </w:pPr>
            <w:r>
              <w:t>For an auctioneer’s or agent’s commission, advertising and sundry expenses on account of sale by auction or otherwise of real or personal property, whether or not the sale takes place</w:t>
            </w:r>
          </w:p>
        </w:tc>
        <w:tc>
          <w:tcPr>
            <w:tcW w:w="1417" w:type="dxa"/>
          </w:tcPr>
          <w:p>
            <w:pPr>
              <w:pStyle w:val="yTableNAm"/>
            </w:pPr>
            <w:r>
              <w:t>A fee fixed in accordance with a recognised scale of charges for auctioneers or agents in the State or such other fee as the Sheriff may reasonably allow</w:t>
            </w:r>
          </w:p>
        </w:tc>
      </w:tr>
      <w:tr>
        <w:trPr>
          <w:cantSplit/>
        </w:trPr>
        <w:tc>
          <w:tcPr>
            <w:tcW w:w="840" w:type="dxa"/>
          </w:tcPr>
          <w:p>
            <w:pPr>
              <w:pStyle w:val="yTableNAm"/>
              <w:keepNext/>
            </w:pPr>
            <w:r>
              <w:t>15.</w:t>
            </w:r>
          </w:p>
        </w:tc>
        <w:tc>
          <w:tcPr>
            <w:tcW w:w="4689" w:type="dxa"/>
          </w:tcPr>
          <w:p>
            <w:pPr>
              <w:pStyle w:val="yTableNAm"/>
              <w:keepNext/>
            </w:pPr>
            <w:r>
              <w:t xml:space="preserve">If a sale of real or personal property takes place by auction or private contract or if no sale takes place — </w:t>
            </w:r>
          </w:p>
        </w:tc>
        <w:tc>
          <w:tcPr>
            <w:tcW w:w="1417" w:type="dxa"/>
          </w:tcPr>
          <w:p>
            <w:pPr>
              <w:pStyle w:val="yTableNAm"/>
              <w:keepNext/>
            </w:pPr>
          </w:p>
        </w:tc>
      </w:tr>
      <w:tr>
        <w:trPr>
          <w:cantSplit/>
        </w:trPr>
        <w:tc>
          <w:tcPr>
            <w:tcW w:w="840" w:type="dxa"/>
          </w:tcPr>
          <w:p>
            <w:pPr>
              <w:pStyle w:val="yTableNAm"/>
            </w:pPr>
          </w:p>
        </w:tc>
        <w:tc>
          <w:tcPr>
            <w:tcW w:w="4689" w:type="dxa"/>
          </w:tcPr>
          <w:p>
            <w:pPr>
              <w:pStyle w:val="yTableNAm"/>
              <w:tabs>
                <w:tab w:val="clear" w:pos="567"/>
                <w:tab w:val="left" w:pos="470"/>
              </w:tabs>
              <w:ind w:left="470" w:hanging="470"/>
            </w:pPr>
            <w:r>
              <w:t>(a)</w:t>
            </w:r>
            <w:r>
              <w:tab/>
              <w:t>for advertising and giving publicity to the sale or intended sale, printing catalogues and bills and distributing and posting them</w:t>
            </w:r>
          </w:p>
          <w:p>
            <w:pPr>
              <w:pStyle w:val="yTableNAm"/>
              <w:tabs>
                <w:tab w:val="clear" w:pos="567"/>
                <w:tab w:val="left" w:pos="470"/>
              </w:tabs>
              <w:ind w:left="470" w:hanging="470"/>
            </w:pPr>
            <w:r>
              <w:t>(b)</w:t>
            </w:r>
            <w:r>
              <w:tab/>
              <w:t>for labour, if any, employed in lotting and showing personal property, preparing catalogues and, if a sale takes place by auction, attending the sale and supervising the removal of property by its purchaser</w:t>
            </w:r>
          </w:p>
          <w:p>
            <w:pPr>
              <w:pStyle w:val="yTableNAm"/>
              <w:tabs>
                <w:tab w:val="clear" w:pos="567"/>
                <w:tab w:val="left" w:pos="470"/>
              </w:tabs>
              <w:ind w:left="470" w:hanging="470"/>
            </w:pPr>
            <w:r>
              <w:t>(c)</w:t>
            </w:r>
            <w:r>
              <w:tab/>
              <w:t>travelling expenses</w:t>
            </w:r>
          </w:p>
        </w:tc>
        <w:tc>
          <w:tcPr>
            <w:tcW w:w="1417" w:type="dxa"/>
          </w:tcPr>
          <w:p>
            <w:pPr>
              <w:pStyle w:val="yTableNAm"/>
            </w:pPr>
            <w:r>
              <w:t>The sums actually and reasonably paid</w:t>
            </w:r>
          </w:p>
        </w:tc>
      </w:tr>
      <w:tr>
        <w:trPr>
          <w:cantSplit/>
          <w:trHeight w:val="643"/>
        </w:trPr>
        <w:tc>
          <w:tcPr>
            <w:tcW w:w="840" w:type="dxa"/>
            <w:vMerge w:val="restart"/>
          </w:tcPr>
          <w:p>
            <w:pPr>
              <w:pStyle w:val="yTableNAm"/>
            </w:pPr>
            <w:r>
              <w:t>16.</w:t>
            </w:r>
          </w:p>
        </w:tc>
        <w:tc>
          <w:tcPr>
            <w:tcW w:w="4689" w:type="dxa"/>
          </w:tcPr>
          <w:p>
            <w:pPr>
              <w:pStyle w:val="yTableNAm"/>
              <w:tabs>
                <w:tab w:val="clear" w:pos="567"/>
                <w:tab w:val="left" w:pos="470"/>
                <w:tab w:val="left" w:pos="612"/>
              </w:tabs>
              <w:ind w:left="470" w:hanging="470"/>
            </w:pPr>
            <w:r>
              <w:t>(a)</w:t>
            </w:r>
            <w:r>
              <w:tab/>
              <w:t>For out</w:t>
            </w:r>
            <w:r>
              <w:noBreakHyphen/>
              <w:t>of</w:t>
            </w:r>
            <w:r>
              <w:noBreakHyphen/>
              <w:t>pocket expenses incurred by an enforcement officer while performing a function in accordance with an enforcement order or executing a warrant</w:t>
            </w:r>
          </w:p>
        </w:tc>
        <w:tc>
          <w:tcPr>
            <w:tcW w:w="1417" w:type="dxa"/>
            <w:vMerge w:val="restart"/>
          </w:tcPr>
          <w:p>
            <w:pPr>
              <w:pStyle w:val="yTableNAm"/>
            </w:pPr>
            <w:r>
              <w:t>The sums actually and reasonably paid</w:t>
            </w:r>
          </w:p>
        </w:tc>
      </w:tr>
      <w:tr>
        <w:trPr>
          <w:cantSplit/>
          <w:trHeight w:val="1134"/>
        </w:trPr>
        <w:tc>
          <w:tcPr>
            <w:tcW w:w="840" w:type="dxa"/>
            <w:vMerge/>
          </w:tcPr>
          <w:p>
            <w:pPr>
              <w:pStyle w:val="yTableNAm"/>
            </w:pPr>
          </w:p>
        </w:tc>
        <w:tc>
          <w:tcPr>
            <w:tcW w:w="4689" w:type="dxa"/>
          </w:tcPr>
          <w:p>
            <w:pPr>
              <w:pStyle w:val="yTableNAm"/>
              <w:tabs>
                <w:tab w:val="clear" w:pos="567"/>
                <w:tab w:val="left" w:pos="470"/>
              </w:tabs>
              <w:ind w:left="470" w:hanging="470"/>
            </w:pPr>
            <w:r>
              <w:t>(b)</w:t>
            </w:r>
            <w:r>
              <w:tab/>
              <w:t>For clerical assistance when necessary</w:t>
            </w:r>
          </w:p>
          <w:p>
            <w:pPr>
              <w:pStyle w:val="yTableNAm"/>
              <w:tabs>
                <w:tab w:val="clear" w:pos="567"/>
                <w:tab w:val="left" w:pos="470"/>
              </w:tabs>
              <w:ind w:left="470" w:hanging="470"/>
            </w:pPr>
            <w:r>
              <w:t>(c)</w:t>
            </w:r>
            <w:r>
              <w:tab/>
              <w:t>For storing personal property which has been seized and insuring the property for loss due to fire, theft or damage and, in the case of a motor vehicle, for accident and third party risk</w:t>
            </w:r>
          </w:p>
        </w:tc>
        <w:tc>
          <w:tcPr>
            <w:tcW w:w="1417" w:type="dxa"/>
            <w:vMerge/>
          </w:tcPr>
          <w:p>
            <w:pPr>
              <w:pStyle w:val="yTableNAm"/>
            </w:pPr>
          </w:p>
        </w:tc>
      </w:tr>
      <w:tr>
        <w:trPr>
          <w:cantSplit/>
          <w:trHeight w:val="1134"/>
        </w:trPr>
        <w:tc>
          <w:tcPr>
            <w:tcW w:w="840" w:type="dxa"/>
            <w:vMerge/>
          </w:tcPr>
          <w:p>
            <w:pPr>
              <w:pStyle w:val="yTableNAm"/>
            </w:pPr>
          </w:p>
        </w:tc>
        <w:tc>
          <w:tcPr>
            <w:tcW w:w="4689" w:type="dxa"/>
          </w:tcPr>
          <w:p>
            <w:pPr>
              <w:pStyle w:val="yTableNAm"/>
              <w:tabs>
                <w:tab w:val="clear" w:pos="567"/>
                <w:tab w:val="left" w:pos="470"/>
              </w:tabs>
              <w:ind w:left="470" w:hanging="470"/>
            </w:pPr>
            <w:r>
              <w:t>(d)</w:t>
            </w:r>
            <w:r>
              <w:tab/>
              <w:t>For removal or cartage expenses</w:t>
            </w:r>
          </w:p>
          <w:p>
            <w:pPr>
              <w:pStyle w:val="yTableNAm"/>
              <w:tabs>
                <w:tab w:val="clear" w:pos="567"/>
                <w:tab w:val="left" w:pos="470"/>
              </w:tabs>
              <w:ind w:left="470" w:hanging="470"/>
            </w:pPr>
            <w:r>
              <w:t>(e)</w:t>
            </w:r>
            <w:r>
              <w:tab/>
              <w:t>For agistment, costs of care and feed and other necessary costs in respect of animals or livestock under seizure, whether or not they are removed</w:t>
            </w:r>
          </w:p>
        </w:tc>
        <w:tc>
          <w:tcPr>
            <w:tcW w:w="1417" w:type="dxa"/>
            <w:vMerge/>
          </w:tcPr>
          <w:p>
            <w:pPr>
              <w:pStyle w:val="yTableNAm"/>
            </w:pPr>
          </w:p>
        </w:tc>
      </w:tr>
      <w:tr>
        <w:trPr>
          <w:cantSplit/>
        </w:trPr>
        <w:tc>
          <w:tcPr>
            <w:tcW w:w="840" w:type="dxa"/>
          </w:tcPr>
          <w:p>
            <w:pPr>
              <w:pStyle w:val="yTableNAm"/>
            </w:pPr>
            <w:r>
              <w:t>17.</w:t>
            </w:r>
          </w:p>
        </w:tc>
        <w:tc>
          <w:tcPr>
            <w:tcW w:w="4689" w:type="dxa"/>
          </w:tcPr>
          <w:p>
            <w:pPr>
              <w:pStyle w:val="yTableNAm"/>
            </w:pPr>
            <w:r>
              <w:t xml:space="preserve">If GST (as defined in the </w:t>
            </w:r>
            <w:r>
              <w:rPr>
                <w:i/>
              </w:rPr>
              <w:t>A New Tax System (Goods and Services Tax) Act 1999</w:t>
            </w:r>
            <w:r>
              <w:t xml:space="preserve"> (Commonwealth) section 195</w:t>
            </w:r>
            <w:r>
              <w:noBreakHyphen/>
              <w:t>1) is payable on a service listed in this Schedule of fees, the fee for the service is the applicable fee in this Schedule, increased by 10%</w:t>
            </w:r>
          </w:p>
        </w:tc>
        <w:tc>
          <w:tcPr>
            <w:tcW w:w="1417" w:type="dxa"/>
          </w:tcPr>
          <w:p>
            <w:pPr>
              <w:pStyle w:val="yTableNAm"/>
            </w:pPr>
          </w:p>
        </w:tc>
      </w:tr>
      <w:tr>
        <w:trPr>
          <w:cantSplit/>
        </w:trPr>
        <w:tc>
          <w:tcPr>
            <w:tcW w:w="840" w:type="dxa"/>
          </w:tcPr>
          <w:p>
            <w:pPr>
              <w:pStyle w:val="yTableNAm"/>
            </w:pPr>
            <w:r>
              <w:t>18.</w:t>
            </w:r>
          </w:p>
        </w:tc>
        <w:tc>
          <w:tcPr>
            <w:tcW w:w="4689" w:type="dxa"/>
          </w:tcPr>
          <w:p>
            <w:pPr>
              <w:pStyle w:val="yTableNAm"/>
            </w:pPr>
            <w:r>
              <w:t xml:space="preserve">For issue of a duplicate of an enforcement order or a document </w:t>
            </w:r>
          </w:p>
        </w:tc>
        <w:tc>
          <w:tcPr>
            <w:tcW w:w="1417" w:type="dxa"/>
            <w:vAlign w:val="bottom"/>
          </w:tcPr>
          <w:p>
            <w:pPr>
              <w:pStyle w:val="yTableNAm"/>
            </w:pPr>
            <w:r>
              <w:t>21.30</w:t>
            </w:r>
          </w:p>
        </w:tc>
      </w:tr>
      <w:tr>
        <w:trPr>
          <w:cantSplit/>
        </w:trPr>
        <w:tc>
          <w:tcPr>
            <w:tcW w:w="840" w:type="dxa"/>
          </w:tcPr>
          <w:p>
            <w:pPr>
              <w:pStyle w:val="yTableNAm"/>
            </w:pPr>
            <w:r>
              <w:t>19.</w:t>
            </w:r>
          </w:p>
        </w:tc>
        <w:tc>
          <w:tcPr>
            <w:tcW w:w="4689" w:type="dxa"/>
          </w:tcPr>
          <w:p>
            <w:pPr>
              <w:pStyle w:val="yTableNAm"/>
            </w:pPr>
            <w:r>
              <w:t xml:space="preserve">Copies of documents — </w:t>
            </w:r>
          </w:p>
        </w:tc>
        <w:tc>
          <w:tcPr>
            <w:tcW w:w="1417" w:type="dxa"/>
          </w:tcPr>
          <w:p>
            <w:pPr>
              <w:pStyle w:val="yTableNAm"/>
            </w:pPr>
          </w:p>
        </w:tc>
      </w:tr>
      <w:tr>
        <w:trPr>
          <w:cantSplit/>
        </w:trPr>
        <w:tc>
          <w:tcPr>
            <w:tcW w:w="840" w:type="dxa"/>
          </w:tcPr>
          <w:p>
            <w:pPr>
              <w:pStyle w:val="yTableNAm"/>
            </w:pPr>
          </w:p>
        </w:tc>
        <w:tc>
          <w:tcPr>
            <w:tcW w:w="4689" w:type="dxa"/>
          </w:tcPr>
          <w:p>
            <w:pPr>
              <w:pStyle w:val="yTableNAm"/>
              <w:tabs>
                <w:tab w:val="clear" w:pos="567"/>
                <w:tab w:val="left" w:pos="470"/>
              </w:tabs>
              <w:ind w:left="470" w:hanging="470"/>
            </w:pPr>
            <w:r>
              <w:t>(a)</w:t>
            </w:r>
            <w:r>
              <w:tab/>
              <w:t xml:space="preserve">copies of enforcement orders, for each </w:t>
            </w:r>
            <w:r>
              <w:br/>
              <w:t>page </w:t>
            </w:r>
          </w:p>
        </w:tc>
        <w:tc>
          <w:tcPr>
            <w:tcW w:w="1417" w:type="dxa"/>
            <w:vAlign w:val="bottom"/>
          </w:tcPr>
          <w:p>
            <w:pPr>
              <w:pStyle w:val="yTableNAm"/>
            </w:pPr>
            <w:r>
              <w:t>2.25</w:t>
            </w:r>
          </w:p>
        </w:tc>
      </w:tr>
      <w:tr>
        <w:trPr>
          <w:cantSplit/>
        </w:trPr>
        <w:tc>
          <w:tcPr>
            <w:tcW w:w="840" w:type="dxa"/>
            <w:tcBorders>
              <w:bottom w:val="single" w:sz="4" w:space="0" w:color="auto"/>
            </w:tcBorders>
          </w:tcPr>
          <w:p>
            <w:pPr>
              <w:pStyle w:val="yTableNAm"/>
            </w:pPr>
          </w:p>
        </w:tc>
        <w:tc>
          <w:tcPr>
            <w:tcW w:w="4689" w:type="dxa"/>
            <w:tcBorders>
              <w:bottom w:val="single" w:sz="4" w:space="0" w:color="auto"/>
            </w:tcBorders>
          </w:tcPr>
          <w:p>
            <w:pPr>
              <w:pStyle w:val="yTableNAm"/>
              <w:tabs>
                <w:tab w:val="clear" w:pos="567"/>
                <w:tab w:val="left" w:pos="470"/>
              </w:tabs>
              <w:spacing w:after="40"/>
              <w:ind w:left="470" w:hanging="470"/>
            </w:pPr>
            <w:r>
              <w:t>(b)</w:t>
            </w:r>
            <w:r>
              <w:tab/>
              <w:t xml:space="preserve">for certifying that a document is a true copy, an additional fee of </w:t>
            </w:r>
          </w:p>
        </w:tc>
        <w:tc>
          <w:tcPr>
            <w:tcW w:w="1417" w:type="dxa"/>
            <w:tcBorders>
              <w:bottom w:val="single" w:sz="4" w:space="0" w:color="auto"/>
            </w:tcBorders>
            <w:vAlign w:val="bottom"/>
          </w:tcPr>
          <w:p>
            <w:pPr>
              <w:pStyle w:val="yTableNAm"/>
              <w:spacing w:after="40"/>
            </w:pPr>
            <w:r>
              <w:t>25.70</w:t>
            </w:r>
          </w:p>
        </w:tc>
      </w:tr>
    </w:tbl>
    <w:p>
      <w:pPr>
        <w:pStyle w:val="yFootnotesection"/>
      </w:pPr>
      <w:r>
        <w:tab/>
        <w:t>[Schedule 2 inserted: SL 2020/124 r. 6.]</w:t>
      </w:r>
    </w:p>
    <w:p>
      <w:pPr>
        <w:pStyle w:val="yScheduleHeading"/>
      </w:pPr>
      <w:bookmarkStart w:id="193" w:name="_Toc47015091"/>
      <w:bookmarkStart w:id="194" w:name="_Toc47082105"/>
      <w:r>
        <w:rPr>
          <w:rStyle w:val="CharSchNo"/>
        </w:rPr>
        <w:t>Schedule 3</w:t>
      </w:r>
      <w:r>
        <w:t> — </w:t>
      </w:r>
      <w:r>
        <w:rPr>
          <w:rStyle w:val="CharSchText"/>
        </w:rPr>
        <w:t>Fees to be paid for anything done by the Marshal in Admiralty</w:t>
      </w:r>
      <w:bookmarkEnd w:id="193"/>
      <w:bookmarkEnd w:id="194"/>
    </w:p>
    <w:p>
      <w:pPr>
        <w:pStyle w:val="yShoulderClause"/>
      </w:pPr>
      <w:r>
        <w:t>[r. 105]</w:t>
      </w:r>
    </w:p>
    <w:p>
      <w:pPr>
        <w:pStyle w:val="yFootnoteheading"/>
        <w:spacing w:after="120"/>
      </w:pPr>
      <w:r>
        <w:tab/>
        <w:t>[Heading inserted: SL 2020/124 r. 6.]</w:t>
      </w:r>
    </w:p>
    <w:tbl>
      <w:tblPr>
        <w:tblW w:w="7230" w:type="dxa"/>
        <w:tblInd w:w="108" w:type="dxa"/>
        <w:tblLayout w:type="fixed"/>
        <w:tblLook w:val="0000" w:firstRow="0" w:lastRow="0" w:firstColumn="0" w:lastColumn="0" w:noHBand="0" w:noVBand="0"/>
      </w:tblPr>
      <w:tblGrid>
        <w:gridCol w:w="709"/>
        <w:gridCol w:w="5103"/>
        <w:gridCol w:w="1418"/>
      </w:tblGrid>
      <w:tr>
        <w:trPr>
          <w:cantSplit/>
          <w:tblHeader/>
        </w:trPr>
        <w:tc>
          <w:tcPr>
            <w:tcW w:w="709" w:type="dxa"/>
            <w:tcBorders>
              <w:top w:val="single" w:sz="4" w:space="0" w:color="auto"/>
              <w:bottom w:val="single" w:sz="4" w:space="0" w:color="auto"/>
            </w:tcBorders>
          </w:tcPr>
          <w:p>
            <w:pPr>
              <w:pStyle w:val="yTableNAm"/>
              <w:jc w:val="center"/>
            </w:pPr>
            <w:r>
              <w:rPr>
                <w:b/>
              </w:rPr>
              <w:t>Item</w:t>
            </w:r>
          </w:p>
        </w:tc>
        <w:tc>
          <w:tcPr>
            <w:tcW w:w="5103" w:type="dxa"/>
            <w:tcBorders>
              <w:top w:val="single" w:sz="4" w:space="0" w:color="auto"/>
              <w:bottom w:val="single" w:sz="4" w:space="0" w:color="auto"/>
            </w:tcBorders>
          </w:tcPr>
          <w:p>
            <w:pPr>
              <w:pStyle w:val="yTableNAm"/>
              <w:jc w:val="center"/>
            </w:pPr>
            <w:r>
              <w:rPr>
                <w:b/>
              </w:rPr>
              <w:t>Matter</w:t>
            </w:r>
          </w:p>
        </w:tc>
        <w:tc>
          <w:tcPr>
            <w:tcW w:w="1418"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Borders>
              <w:top w:val="single" w:sz="4" w:space="0" w:color="auto"/>
            </w:tcBorders>
          </w:tcPr>
          <w:p>
            <w:pPr>
              <w:pStyle w:val="yTableNAm"/>
            </w:pPr>
            <w:r>
              <w:t>1.</w:t>
            </w:r>
          </w:p>
        </w:tc>
        <w:tc>
          <w:tcPr>
            <w:tcW w:w="5103" w:type="dxa"/>
            <w:tcBorders>
              <w:top w:val="single" w:sz="4" w:space="0" w:color="auto"/>
            </w:tcBorders>
          </w:tcPr>
          <w:p>
            <w:pPr>
              <w:pStyle w:val="yTableNAm"/>
            </w:pPr>
            <w:r>
              <w:t xml:space="preserve">For receiving and entering a warrant or release </w:t>
            </w:r>
          </w:p>
        </w:tc>
        <w:tc>
          <w:tcPr>
            <w:tcW w:w="1418" w:type="dxa"/>
            <w:tcBorders>
              <w:top w:val="single" w:sz="4" w:space="0" w:color="auto"/>
            </w:tcBorders>
            <w:vAlign w:val="bottom"/>
          </w:tcPr>
          <w:p>
            <w:pPr>
              <w:pStyle w:val="yTableNAm"/>
            </w:pPr>
            <w:r>
              <w:t>150.00</w:t>
            </w:r>
          </w:p>
        </w:tc>
      </w:tr>
      <w:tr>
        <w:trPr>
          <w:cantSplit/>
        </w:trPr>
        <w:tc>
          <w:tcPr>
            <w:tcW w:w="709" w:type="dxa"/>
          </w:tcPr>
          <w:p>
            <w:pPr>
              <w:pStyle w:val="yTableNAm"/>
            </w:pPr>
            <w:r>
              <w:t>2.</w:t>
            </w:r>
          </w:p>
        </w:tc>
        <w:tc>
          <w:tcPr>
            <w:tcW w:w="5103" w:type="dxa"/>
          </w:tcPr>
          <w:p>
            <w:pPr>
              <w:pStyle w:val="yTableNAm"/>
            </w:pPr>
            <w:r>
              <w:t xml:space="preserve">For receiving and entering a writ of summons, decree, order, commission or other instrument under the seal of the Supreme Court </w:t>
            </w:r>
          </w:p>
        </w:tc>
        <w:tc>
          <w:tcPr>
            <w:tcW w:w="1418" w:type="dxa"/>
            <w:vAlign w:val="bottom"/>
          </w:tcPr>
          <w:p>
            <w:pPr>
              <w:pStyle w:val="yTableNAm"/>
            </w:pPr>
            <w:r>
              <w:t>60.00</w:t>
            </w:r>
          </w:p>
        </w:tc>
      </w:tr>
      <w:tr>
        <w:trPr>
          <w:cantSplit/>
        </w:trPr>
        <w:tc>
          <w:tcPr>
            <w:tcW w:w="709" w:type="dxa"/>
          </w:tcPr>
          <w:p>
            <w:pPr>
              <w:pStyle w:val="yTableNAm"/>
            </w:pPr>
            <w:r>
              <w:t>3.</w:t>
            </w:r>
          </w:p>
        </w:tc>
        <w:tc>
          <w:tcPr>
            <w:tcW w:w="5103" w:type="dxa"/>
          </w:tcPr>
          <w:p>
            <w:pPr>
              <w:pStyle w:val="yTableNAm"/>
            </w:pPr>
            <w:r>
              <w:t xml:space="preserve">For service of a writ of summons </w:t>
            </w:r>
          </w:p>
        </w:tc>
        <w:tc>
          <w:tcPr>
            <w:tcW w:w="1418" w:type="dxa"/>
            <w:vAlign w:val="bottom"/>
          </w:tcPr>
          <w:p>
            <w:pPr>
              <w:pStyle w:val="yTableNAm"/>
            </w:pPr>
            <w:r>
              <w:t>141.50</w:t>
            </w:r>
          </w:p>
        </w:tc>
      </w:tr>
      <w:tr>
        <w:trPr>
          <w:cantSplit/>
        </w:trPr>
        <w:tc>
          <w:tcPr>
            <w:tcW w:w="709" w:type="dxa"/>
          </w:tcPr>
          <w:p>
            <w:pPr>
              <w:pStyle w:val="yTableNAm"/>
            </w:pPr>
            <w:r>
              <w:t>4.</w:t>
            </w:r>
          </w:p>
        </w:tc>
        <w:tc>
          <w:tcPr>
            <w:tcW w:w="5103" w:type="dxa"/>
          </w:tcPr>
          <w:p>
            <w:pPr>
              <w:pStyle w:val="yTableNAm"/>
            </w:pPr>
            <w:r>
              <w:t xml:space="preserve">For executing a warrant for the arrest of a ship or other property </w:t>
            </w:r>
          </w:p>
        </w:tc>
        <w:tc>
          <w:tcPr>
            <w:tcW w:w="1418" w:type="dxa"/>
            <w:vAlign w:val="bottom"/>
          </w:tcPr>
          <w:p>
            <w:pPr>
              <w:pStyle w:val="yTableNAm"/>
            </w:pPr>
            <w:r>
              <w:t>352.00</w:t>
            </w:r>
          </w:p>
        </w:tc>
      </w:tr>
      <w:tr>
        <w:trPr>
          <w:cantSplit/>
        </w:trPr>
        <w:tc>
          <w:tcPr>
            <w:tcW w:w="709" w:type="dxa"/>
          </w:tcPr>
          <w:p>
            <w:pPr>
              <w:pStyle w:val="yTableNAm"/>
            </w:pPr>
            <w:r>
              <w:t>5.</w:t>
            </w:r>
          </w:p>
        </w:tc>
        <w:tc>
          <w:tcPr>
            <w:tcW w:w="5103" w:type="dxa"/>
          </w:tcPr>
          <w:p>
            <w:pPr>
              <w:pStyle w:val="yTableNAm"/>
            </w:pPr>
            <w:r>
              <w:t xml:space="preserve">For service of a writ of summons at the same time as a warrant of arrest is executed, in lieu of items 3 and 4 </w:t>
            </w:r>
          </w:p>
        </w:tc>
        <w:tc>
          <w:tcPr>
            <w:tcW w:w="1418" w:type="dxa"/>
            <w:vAlign w:val="bottom"/>
          </w:tcPr>
          <w:p>
            <w:pPr>
              <w:pStyle w:val="yTableNAm"/>
            </w:pPr>
            <w:r>
              <w:t>428.00</w:t>
            </w:r>
          </w:p>
        </w:tc>
      </w:tr>
      <w:tr>
        <w:trPr>
          <w:cantSplit/>
        </w:trPr>
        <w:tc>
          <w:tcPr>
            <w:tcW w:w="709" w:type="dxa"/>
          </w:tcPr>
          <w:p>
            <w:pPr>
              <w:pStyle w:val="yTableNAm"/>
            </w:pPr>
            <w:r>
              <w:t>6.</w:t>
            </w:r>
          </w:p>
        </w:tc>
        <w:tc>
          <w:tcPr>
            <w:tcW w:w="5103" w:type="dxa"/>
          </w:tcPr>
          <w:p>
            <w:pPr>
              <w:pStyle w:val="yTableNAm"/>
            </w:pPr>
            <w:r>
              <w:t xml:space="preserve">For the execution of an attachment — for each person </w:t>
            </w:r>
          </w:p>
        </w:tc>
        <w:tc>
          <w:tcPr>
            <w:tcW w:w="1418" w:type="dxa"/>
            <w:vAlign w:val="bottom"/>
          </w:tcPr>
          <w:p>
            <w:pPr>
              <w:pStyle w:val="yTableNAm"/>
            </w:pPr>
            <w:r>
              <w:t>141.50</w:t>
            </w:r>
          </w:p>
        </w:tc>
      </w:tr>
      <w:tr>
        <w:trPr>
          <w:cantSplit/>
        </w:trPr>
        <w:tc>
          <w:tcPr>
            <w:tcW w:w="709" w:type="dxa"/>
          </w:tcPr>
          <w:p>
            <w:pPr>
              <w:pStyle w:val="yTableNAm"/>
            </w:pPr>
            <w:r>
              <w:t>7.</w:t>
            </w:r>
          </w:p>
        </w:tc>
        <w:tc>
          <w:tcPr>
            <w:tcW w:w="5103" w:type="dxa"/>
          </w:tcPr>
          <w:p>
            <w:pPr>
              <w:pStyle w:val="yTableNAm"/>
            </w:pPr>
            <w:r>
              <w:t xml:space="preserve">For the release from arrest of a vessel, goods or a person </w:t>
            </w:r>
          </w:p>
        </w:tc>
        <w:tc>
          <w:tcPr>
            <w:tcW w:w="1418" w:type="dxa"/>
            <w:vAlign w:val="bottom"/>
          </w:tcPr>
          <w:p>
            <w:pPr>
              <w:pStyle w:val="yTableNAm"/>
            </w:pPr>
            <w:r>
              <w:t>90.00</w:t>
            </w:r>
          </w:p>
        </w:tc>
      </w:tr>
      <w:tr>
        <w:trPr>
          <w:cantSplit/>
        </w:trPr>
        <w:tc>
          <w:tcPr>
            <w:tcW w:w="709" w:type="dxa"/>
          </w:tcPr>
          <w:p>
            <w:pPr>
              <w:pStyle w:val="yTableNAm"/>
            </w:pPr>
            <w:r>
              <w:t>8.</w:t>
            </w:r>
          </w:p>
        </w:tc>
        <w:tc>
          <w:tcPr>
            <w:tcW w:w="5103" w:type="dxa"/>
          </w:tcPr>
          <w:p>
            <w:pPr>
              <w:pStyle w:val="yTableNAm"/>
            </w:pPr>
            <w:r>
              <w:t xml:space="preserve">For attending the discharge of cargo, or removal of a vessel or goods, per hour </w:t>
            </w:r>
          </w:p>
        </w:tc>
        <w:tc>
          <w:tcPr>
            <w:tcW w:w="1418" w:type="dxa"/>
            <w:vAlign w:val="bottom"/>
          </w:tcPr>
          <w:p>
            <w:pPr>
              <w:pStyle w:val="yTableNAm"/>
            </w:pPr>
            <w:r>
              <w:t>90.00</w:t>
            </w:r>
          </w:p>
        </w:tc>
      </w:tr>
      <w:tr>
        <w:trPr>
          <w:cantSplit/>
        </w:trPr>
        <w:tc>
          <w:tcPr>
            <w:tcW w:w="709" w:type="dxa"/>
          </w:tcPr>
          <w:p>
            <w:pPr>
              <w:pStyle w:val="yTableNAm"/>
            </w:pPr>
            <w:r>
              <w:t>9.</w:t>
            </w:r>
          </w:p>
        </w:tc>
        <w:tc>
          <w:tcPr>
            <w:tcW w:w="5103" w:type="dxa"/>
          </w:tcPr>
          <w:p>
            <w:pPr>
              <w:pStyle w:val="yTableNAm"/>
            </w:pPr>
            <w:r>
              <w:t xml:space="preserve">For the execution of a commission of appraisement or sale, or appraisement and sale, in addition to the fees paid to the appraiser or auctioneer </w:t>
            </w:r>
          </w:p>
        </w:tc>
        <w:tc>
          <w:tcPr>
            <w:tcW w:w="1418" w:type="dxa"/>
            <w:vAlign w:val="bottom"/>
          </w:tcPr>
          <w:p>
            <w:pPr>
              <w:pStyle w:val="yTableNAm"/>
            </w:pPr>
            <w:r>
              <w:t>303.00</w:t>
            </w:r>
          </w:p>
        </w:tc>
      </w:tr>
      <w:tr>
        <w:trPr>
          <w:cantSplit/>
        </w:trPr>
        <w:tc>
          <w:tcPr>
            <w:tcW w:w="709" w:type="dxa"/>
          </w:tcPr>
          <w:p>
            <w:pPr>
              <w:pStyle w:val="yTableNAm"/>
            </w:pPr>
            <w:r>
              <w:t>10.</w:t>
            </w:r>
          </w:p>
        </w:tc>
        <w:tc>
          <w:tcPr>
            <w:tcW w:w="5103" w:type="dxa"/>
          </w:tcPr>
          <w:p>
            <w:pPr>
              <w:pStyle w:val="yTableNAm"/>
            </w:pPr>
            <w:r>
              <w:t>For the execution of a decree or order, commission or other instrument other than those provided for in another item of this Schedule</w:t>
            </w:r>
          </w:p>
        </w:tc>
        <w:tc>
          <w:tcPr>
            <w:tcW w:w="1418" w:type="dxa"/>
            <w:vAlign w:val="bottom"/>
          </w:tcPr>
          <w:p>
            <w:pPr>
              <w:pStyle w:val="yTableNAm"/>
            </w:pPr>
            <w:r>
              <w:t>141.50</w:t>
            </w:r>
          </w:p>
        </w:tc>
      </w:tr>
      <w:tr>
        <w:trPr>
          <w:cantSplit/>
        </w:trPr>
        <w:tc>
          <w:tcPr>
            <w:tcW w:w="709" w:type="dxa"/>
          </w:tcPr>
          <w:p>
            <w:pPr>
              <w:pStyle w:val="yTableNAm"/>
            </w:pPr>
            <w:r>
              <w:t>11.</w:t>
            </w:r>
          </w:p>
        </w:tc>
        <w:tc>
          <w:tcPr>
            <w:tcW w:w="5103" w:type="dxa"/>
          </w:tcPr>
          <w:p>
            <w:pPr>
              <w:pStyle w:val="yTableNAm"/>
            </w:pPr>
            <w:r>
              <w:t xml:space="preserve">Commission on the gross proceeds of a vessel or goods, etc., sold — </w:t>
            </w:r>
          </w:p>
        </w:tc>
        <w:tc>
          <w:tcPr>
            <w:tcW w:w="1418" w:type="dxa"/>
            <w:vAlign w:val="bottom"/>
          </w:tcPr>
          <w:p>
            <w:pPr>
              <w:pStyle w:val="yTableNAm"/>
            </w:pPr>
          </w:p>
        </w:tc>
      </w:tr>
      <w:tr>
        <w:trPr>
          <w:cantSplit/>
        </w:trPr>
        <w:tc>
          <w:tcPr>
            <w:tcW w:w="709" w:type="dxa"/>
          </w:tcPr>
          <w:p>
            <w:pPr>
              <w:pStyle w:val="yTableNAm"/>
              <w:keepLines/>
            </w:pPr>
          </w:p>
        </w:tc>
        <w:tc>
          <w:tcPr>
            <w:tcW w:w="5103" w:type="dxa"/>
          </w:tcPr>
          <w:p>
            <w:pPr>
              <w:pStyle w:val="yTableNAm"/>
              <w:tabs>
                <w:tab w:val="clear" w:pos="567"/>
                <w:tab w:val="left" w:pos="470"/>
              </w:tabs>
              <w:ind w:left="470" w:hanging="470"/>
            </w:pPr>
            <w:r>
              <w:t>(a)</w:t>
            </w:r>
            <w:r>
              <w:tab/>
              <w:t>for amounts up to and including $63 000, a fee at the rate of </w:t>
            </w:r>
          </w:p>
        </w:tc>
        <w:tc>
          <w:tcPr>
            <w:tcW w:w="1418" w:type="dxa"/>
            <w:vAlign w:val="bottom"/>
          </w:tcPr>
          <w:p>
            <w:pPr>
              <w:pStyle w:val="yTableNAm"/>
            </w:pPr>
            <w:r>
              <w:t>4.00%</w:t>
            </w:r>
          </w:p>
        </w:tc>
      </w:tr>
      <w:tr>
        <w:trPr>
          <w:cantSplit/>
        </w:trPr>
        <w:tc>
          <w:tcPr>
            <w:tcW w:w="709" w:type="dxa"/>
          </w:tcPr>
          <w:p>
            <w:pPr>
              <w:pStyle w:val="yTableNAm"/>
              <w:keepNext/>
              <w:keepLines/>
            </w:pPr>
          </w:p>
        </w:tc>
        <w:tc>
          <w:tcPr>
            <w:tcW w:w="5103" w:type="dxa"/>
          </w:tcPr>
          <w:p>
            <w:pPr>
              <w:pStyle w:val="yTableNAm"/>
              <w:tabs>
                <w:tab w:val="clear" w:pos="567"/>
                <w:tab w:val="left" w:pos="470"/>
              </w:tabs>
              <w:ind w:left="470" w:hanging="470"/>
            </w:pPr>
            <w:r>
              <w:t>(b)</w:t>
            </w:r>
            <w:r>
              <w:tab/>
              <w:t xml:space="preserve">for the balance over $63 000, a fee at the rate of </w:t>
            </w:r>
          </w:p>
        </w:tc>
        <w:tc>
          <w:tcPr>
            <w:tcW w:w="1418" w:type="dxa"/>
            <w:vAlign w:val="bottom"/>
          </w:tcPr>
          <w:p>
            <w:pPr>
              <w:pStyle w:val="yTableNAm"/>
            </w:pPr>
            <w:r>
              <w:t>2.00%</w:t>
            </w:r>
          </w:p>
        </w:tc>
      </w:tr>
      <w:tr>
        <w:trPr>
          <w:cantSplit/>
        </w:trPr>
        <w:tc>
          <w:tcPr>
            <w:tcW w:w="709" w:type="dxa"/>
          </w:tcPr>
          <w:p>
            <w:pPr>
              <w:pStyle w:val="yTableNAm"/>
            </w:pPr>
            <w:r>
              <w:t>12.</w:t>
            </w:r>
          </w:p>
        </w:tc>
        <w:tc>
          <w:tcPr>
            <w:tcW w:w="5103" w:type="dxa"/>
          </w:tcPr>
          <w:p>
            <w:pPr>
              <w:pStyle w:val="yTableNAm"/>
              <w:tabs>
                <w:tab w:val="clear" w:pos="567"/>
                <w:tab w:val="left" w:pos="470"/>
              </w:tabs>
              <w:ind w:left="470" w:hanging="470"/>
            </w:pPr>
            <w:r>
              <w:t>(a)</w:t>
            </w:r>
            <w:r>
              <w:tab/>
              <w:t xml:space="preserve">For retaining possession of a vessel with or without cargo, or of a cargo without a vessel, the expenses per day actually paid in respect of a shipkeeper or shipkeepers </w:t>
            </w:r>
          </w:p>
        </w:tc>
        <w:tc>
          <w:tcPr>
            <w:tcW w:w="1418" w:type="dxa"/>
          </w:tcPr>
          <w:p>
            <w:pPr>
              <w:pStyle w:val="yTableNAm"/>
            </w:pPr>
            <w:r>
              <w:t>The sum actually and reasonably paid</w:t>
            </w:r>
          </w:p>
        </w:tc>
      </w:tr>
      <w:tr>
        <w:trPr>
          <w:cantSplit/>
        </w:trPr>
        <w:tc>
          <w:tcPr>
            <w:tcW w:w="709" w:type="dxa"/>
          </w:tcPr>
          <w:p>
            <w:pPr>
              <w:pStyle w:val="yTableNAm"/>
            </w:pPr>
          </w:p>
        </w:tc>
        <w:tc>
          <w:tcPr>
            <w:tcW w:w="5103" w:type="dxa"/>
          </w:tcPr>
          <w:p>
            <w:pPr>
              <w:pStyle w:val="yTableNAm"/>
              <w:tabs>
                <w:tab w:val="clear" w:pos="567"/>
                <w:tab w:val="left" w:pos="470"/>
              </w:tabs>
              <w:ind w:left="470" w:hanging="470"/>
            </w:pPr>
            <w:r>
              <w:t>(b)</w:t>
            </w:r>
            <w:r>
              <w:tab/>
              <w:t xml:space="preserve">For each day or part of a day that the Marshal retains possession of a vessel with or without cargo, or of a cargo without a vessel, in addition to paragraph (a) </w:t>
            </w:r>
          </w:p>
        </w:tc>
        <w:tc>
          <w:tcPr>
            <w:tcW w:w="1418" w:type="dxa"/>
            <w:vAlign w:val="bottom"/>
          </w:tcPr>
          <w:p>
            <w:pPr>
              <w:pStyle w:val="yTableNAm"/>
            </w:pPr>
            <w:r>
              <w:t>89.50</w:t>
            </w:r>
          </w:p>
        </w:tc>
      </w:tr>
      <w:tr>
        <w:trPr>
          <w:cantSplit/>
        </w:trPr>
        <w:tc>
          <w:tcPr>
            <w:tcW w:w="709" w:type="dxa"/>
          </w:tcPr>
          <w:p>
            <w:pPr>
              <w:pStyle w:val="yTableNAm"/>
              <w:rPr>
                <w:rFonts w:ascii="Arial" w:hAnsi="Arial" w:cs="Arial"/>
                <w:sz w:val="18"/>
                <w:szCs w:val="18"/>
              </w:rPr>
            </w:pPr>
          </w:p>
        </w:tc>
        <w:tc>
          <w:tcPr>
            <w:tcW w:w="6521" w:type="dxa"/>
            <w:gridSpan w:val="2"/>
          </w:tcPr>
          <w:p>
            <w:pPr>
              <w:pStyle w:val="yTableNAm"/>
              <w:rPr>
                <w:rFonts w:ascii="Arial" w:hAnsi="Arial" w:cs="Arial"/>
                <w:sz w:val="18"/>
                <w:szCs w:val="18"/>
              </w:rPr>
            </w:pPr>
            <w:r>
              <w:rPr>
                <w:rFonts w:ascii="Arial" w:hAnsi="Arial" w:cs="Arial"/>
                <w:sz w:val="18"/>
                <w:szCs w:val="18"/>
              </w:rPr>
              <w:t>Note for this paragraph:</w:t>
            </w:r>
          </w:p>
          <w:p>
            <w:pPr>
              <w:pStyle w:val="yTableNAm"/>
              <w:rPr>
                <w:rFonts w:ascii="Arial" w:hAnsi="Arial" w:cs="Arial"/>
                <w:sz w:val="18"/>
                <w:szCs w:val="18"/>
              </w:rPr>
            </w:pPr>
            <w:r>
              <w:rPr>
                <w:rFonts w:ascii="Arial" w:hAnsi="Arial" w:cs="Arial"/>
                <w:sz w:val="18"/>
                <w:szCs w:val="18"/>
              </w:rPr>
              <w:t>If the possession is for a lengthy period, this fee may be reduced at the discretion of the Marshal.</w:t>
            </w:r>
          </w:p>
        </w:tc>
      </w:tr>
      <w:tr>
        <w:trPr>
          <w:cantSplit/>
        </w:trPr>
        <w:tc>
          <w:tcPr>
            <w:tcW w:w="709" w:type="dxa"/>
          </w:tcPr>
          <w:p>
            <w:pPr>
              <w:pStyle w:val="yTableNAm"/>
            </w:pPr>
          </w:p>
        </w:tc>
        <w:tc>
          <w:tcPr>
            <w:tcW w:w="5103" w:type="dxa"/>
          </w:tcPr>
          <w:p>
            <w:pPr>
              <w:pStyle w:val="yTableNAm"/>
              <w:tabs>
                <w:tab w:val="clear" w:pos="567"/>
                <w:tab w:val="left" w:pos="470"/>
              </w:tabs>
              <w:ind w:left="470" w:hanging="470"/>
            </w:pPr>
            <w:r>
              <w:t>(c)</w:t>
            </w:r>
            <w:r>
              <w:tab/>
              <w:t>For the safe custody of property under arrest</w:t>
            </w:r>
          </w:p>
        </w:tc>
        <w:tc>
          <w:tcPr>
            <w:tcW w:w="1418" w:type="dxa"/>
          </w:tcPr>
          <w:p>
            <w:pPr>
              <w:pStyle w:val="yTableNAm"/>
            </w:pPr>
            <w:r>
              <w:t>The sum actually and reasonably paid</w:t>
            </w:r>
          </w:p>
        </w:tc>
      </w:tr>
      <w:tr>
        <w:trPr>
          <w:cantSplit/>
        </w:trPr>
        <w:tc>
          <w:tcPr>
            <w:tcW w:w="709" w:type="dxa"/>
          </w:tcPr>
          <w:p>
            <w:pPr>
              <w:pStyle w:val="yTableNAm"/>
              <w:rPr>
                <w:rFonts w:ascii="Arial" w:hAnsi="Arial" w:cs="Arial"/>
                <w:sz w:val="18"/>
                <w:szCs w:val="18"/>
              </w:rPr>
            </w:pPr>
          </w:p>
        </w:tc>
        <w:tc>
          <w:tcPr>
            <w:tcW w:w="6521" w:type="dxa"/>
            <w:gridSpan w:val="2"/>
          </w:tcPr>
          <w:p>
            <w:pPr>
              <w:pStyle w:val="yTableNAm"/>
              <w:rPr>
                <w:rFonts w:ascii="Arial" w:hAnsi="Arial" w:cs="Arial"/>
                <w:sz w:val="18"/>
                <w:szCs w:val="18"/>
              </w:rPr>
            </w:pPr>
            <w:r>
              <w:rPr>
                <w:rFonts w:ascii="Arial" w:hAnsi="Arial" w:cs="Arial"/>
                <w:sz w:val="18"/>
                <w:szCs w:val="18"/>
              </w:rPr>
              <w:t>Note for this paragraph:</w:t>
            </w:r>
          </w:p>
          <w:p>
            <w:pPr>
              <w:pStyle w:val="yTableNAm"/>
              <w:rPr>
                <w:rFonts w:ascii="Arial" w:hAnsi="Arial" w:cs="Arial"/>
                <w:sz w:val="18"/>
                <w:szCs w:val="18"/>
              </w:rPr>
            </w:pPr>
            <w:r>
              <w:rPr>
                <w:rFonts w:ascii="Arial" w:hAnsi="Arial" w:cs="Arial"/>
                <w:sz w:val="18"/>
                <w:szCs w:val="18"/>
              </w:rPr>
              <w:t>No fee is payable for the custody and possession of property under arrest if it consists of money in a bank, or of goods stored in a bonded warehouse, or if it is in the custody of a customs house officer, or other authorised person.</w:t>
            </w:r>
          </w:p>
        </w:tc>
      </w:tr>
      <w:tr>
        <w:trPr>
          <w:cantSplit/>
        </w:trPr>
        <w:tc>
          <w:tcPr>
            <w:tcW w:w="709" w:type="dxa"/>
          </w:tcPr>
          <w:p>
            <w:pPr>
              <w:pStyle w:val="yTableNAm"/>
            </w:pPr>
            <w:r>
              <w:t>13.</w:t>
            </w:r>
          </w:p>
        </w:tc>
        <w:tc>
          <w:tcPr>
            <w:tcW w:w="5103" w:type="dxa"/>
          </w:tcPr>
          <w:p>
            <w:pPr>
              <w:pStyle w:val="yTableNAm"/>
            </w:pPr>
            <w:r>
              <w:t>If the Marshal or any of the Marshal’s officers is required to travel for the purpose of discharging their duty, in addition to the above fees</w:t>
            </w:r>
          </w:p>
        </w:tc>
        <w:tc>
          <w:tcPr>
            <w:tcW w:w="1418" w:type="dxa"/>
          </w:tcPr>
          <w:p>
            <w:pPr>
              <w:pStyle w:val="yTableNAm"/>
            </w:pPr>
            <w:r>
              <w:t>Reasonable expenses for travelling, board and maintenance</w:t>
            </w:r>
          </w:p>
        </w:tc>
      </w:tr>
      <w:tr>
        <w:trPr>
          <w:cantSplit/>
        </w:trPr>
        <w:tc>
          <w:tcPr>
            <w:tcW w:w="709" w:type="dxa"/>
            <w:tcBorders>
              <w:bottom w:val="single" w:sz="4" w:space="0" w:color="auto"/>
            </w:tcBorders>
          </w:tcPr>
          <w:p>
            <w:pPr>
              <w:pStyle w:val="yTableNAm"/>
            </w:pPr>
            <w:r>
              <w:t>14.</w:t>
            </w:r>
          </w:p>
        </w:tc>
        <w:tc>
          <w:tcPr>
            <w:tcW w:w="5103" w:type="dxa"/>
            <w:tcBorders>
              <w:bottom w:val="single" w:sz="4" w:space="0" w:color="auto"/>
            </w:tcBorders>
          </w:tcPr>
          <w:p>
            <w:pPr>
              <w:pStyle w:val="yTableNAm"/>
            </w:pPr>
            <w:r>
              <w:t>If the Marshal or other person employed under the Marshal is necessarily put to and incurs extra trouble and expense in the discharge of any duty incidental to their office or employment or for any duty or service not provided for in another item of this Schedule</w:t>
            </w:r>
          </w:p>
        </w:tc>
        <w:tc>
          <w:tcPr>
            <w:tcW w:w="1418" w:type="dxa"/>
            <w:tcBorders>
              <w:bottom w:val="single" w:sz="4" w:space="0" w:color="auto"/>
            </w:tcBorders>
          </w:tcPr>
          <w:p>
            <w:pPr>
              <w:pStyle w:val="yTableNAm"/>
            </w:pPr>
            <w:r>
              <w:t>A sum or additional sum that the Marshal may reasonably allow</w:t>
            </w:r>
          </w:p>
        </w:tc>
      </w:tr>
    </w:tbl>
    <w:p>
      <w:pPr>
        <w:pStyle w:val="yFootnotesection"/>
      </w:pPr>
      <w:r>
        <w:tab/>
        <w:t>[Schedule 3 inserted: SL 2020/124 r. 6.]</w:t>
      </w:r>
    </w:p>
    <w:bookmarkEnd w:id="190"/>
    <w:p>
      <w:pPr>
        <w:pStyle w:val="yFootnotesection"/>
      </w:pPr>
    </w:p>
    <w:p>
      <w:pPr>
        <w:outlineLvl w:val="0"/>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196" w:name="_Toc47014529"/>
      <w:bookmarkStart w:id="197" w:name="_Toc47015092"/>
      <w:bookmarkStart w:id="198" w:name="_Toc47082106"/>
      <w:r>
        <w:rPr>
          <w:rStyle w:val="CharSchNo"/>
        </w:rPr>
        <w:t>Schedule 4</w:t>
      </w:r>
      <w:r>
        <w:rPr>
          <w:rStyle w:val="CharSDivNo"/>
          <w:sz w:val="28"/>
        </w:rPr>
        <w:t> </w:t>
      </w:r>
      <w:r>
        <w:t>—</w:t>
      </w:r>
      <w:r>
        <w:rPr>
          <w:rStyle w:val="CharSDivText"/>
          <w:sz w:val="28"/>
        </w:rPr>
        <w:t> </w:t>
      </w:r>
      <w:r>
        <w:rPr>
          <w:rStyle w:val="CharSchText"/>
        </w:rPr>
        <w:t>Forms</w:t>
      </w:r>
      <w:bookmarkEnd w:id="196"/>
      <w:bookmarkEnd w:id="197"/>
      <w:bookmarkEnd w:id="198"/>
    </w:p>
    <w:p>
      <w:pPr>
        <w:pStyle w:val="yShoulderClause"/>
      </w:pPr>
      <w:r>
        <w:t>[r. 18, 65, 96, 107B, 107D, 108]</w:t>
      </w:r>
    </w:p>
    <w:p>
      <w:pPr>
        <w:pStyle w:val="yFootnoteheading"/>
        <w:spacing w:before="100"/>
      </w:pPr>
      <w:r>
        <w:tab/>
        <w:t>[Heading amended: Gazette 13 Jan 2017 p. 345.]</w:t>
      </w:r>
    </w:p>
    <w:p>
      <w:pPr>
        <w:pStyle w:val="yHeading5"/>
        <w:spacing w:after="120"/>
      </w:pPr>
      <w:bookmarkStart w:id="199" w:name="_Toc47082107"/>
      <w:r>
        <w:rPr>
          <w:rStyle w:val="CharSClsNo"/>
        </w:rPr>
        <w:t>1</w:t>
      </w:r>
      <w:r>
        <w:t>.</w:t>
      </w:r>
      <w:r>
        <w:tab/>
        <w:t>Warrant: the Act section 29(4) or 89(4)</w:t>
      </w:r>
      <w:bookmarkEnd w:id="19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3545"/>
      </w:tblGrid>
      <w:tr>
        <w:trPr>
          <w:cantSplit/>
          <w:trHeight w:val="394"/>
        </w:trPr>
        <w:tc>
          <w:tcPr>
            <w:tcW w:w="7088" w:type="dxa"/>
            <w:gridSpan w:val="3"/>
          </w:tcPr>
          <w:p>
            <w:pPr>
              <w:pStyle w:val="yTableNAm"/>
              <w:tabs>
                <w:tab w:val="clear" w:pos="567"/>
                <w:tab w:val="left" w:pos="339"/>
                <w:tab w:val="left" w:pos="699"/>
                <w:tab w:val="left" w:leader="dot" w:pos="4299"/>
              </w:tabs>
              <w:jc w:val="center"/>
              <w:rPr>
                <w:b/>
                <w:bCs/>
              </w:rPr>
            </w:pPr>
            <w:r>
              <w:rPr>
                <w:b/>
                <w:bCs/>
              </w:rPr>
              <w:t>Form 1</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r>
              <w:rPr>
                <w:b/>
                <w:bCs/>
              </w:rPr>
              <w:t>WESTERN AUSTRALIA</w:t>
            </w:r>
          </w:p>
          <w:p>
            <w:pPr>
              <w:pStyle w:val="yTableNAm"/>
              <w:tabs>
                <w:tab w:val="clear" w:pos="567"/>
                <w:tab w:val="left" w:pos="339"/>
                <w:tab w:val="left" w:pos="699"/>
                <w:tab w:val="left" w:leader="dot" w:pos="4299"/>
              </w:tabs>
              <w:spacing w:before="60"/>
              <w:jc w:val="center"/>
              <w:rPr>
                <w:b/>
                <w:bCs/>
                <w:i/>
                <w:iCs/>
              </w:rPr>
            </w:pPr>
            <w:r>
              <w:rPr>
                <w:b/>
                <w:bCs/>
                <w:i/>
                <w:iCs/>
              </w:rPr>
              <w:t>Civil Judgments Enforcement Act 2004</w:t>
            </w:r>
          </w:p>
          <w:p>
            <w:pPr>
              <w:pStyle w:val="yTableNAm"/>
              <w:tabs>
                <w:tab w:val="clear" w:pos="567"/>
                <w:tab w:val="left" w:pos="339"/>
                <w:tab w:val="left" w:pos="699"/>
                <w:tab w:val="left" w:leader="dot" w:pos="4299"/>
              </w:tabs>
              <w:spacing w:before="60"/>
              <w:jc w:val="center"/>
              <w:rPr>
                <w:b/>
                <w:bCs/>
              </w:rPr>
            </w:pPr>
            <w:r>
              <w:rPr>
                <w:b/>
                <w:bCs/>
              </w:rPr>
              <w:t>WARRANT FOR ARREST</w:t>
            </w:r>
          </w:p>
        </w:tc>
        <w:tc>
          <w:tcPr>
            <w:tcW w:w="3545" w:type="dxa"/>
          </w:tcPr>
          <w:p>
            <w:pPr>
              <w:pStyle w:val="yTableNAm"/>
              <w:tabs>
                <w:tab w:val="clear" w:pos="567"/>
                <w:tab w:val="left" w:pos="339"/>
                <w:tab w:val="left" w:pos="699"/>
                <w:tab w:val="left" w:leader="dot" w:pos="4299"/>
              </w:tabs>
              <w:spacing w:before="60"/>
              <w:ind w:right="-108"/>
            </w:pPr>
            <w:r>
              <w:t>..............................................COURT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creditor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Lawyer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File Ref No</w:t>
            </w:r>
          </w:p>
        </w:tc>
        <w:tc>
          <w:tcPr>
            <w:tcW w:w="4928" w:type="dxa"/>
            <w:gridSpan w:val="2"/>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Contact/Address Details</w:t>
            </w:r>
          </w:p>
        </w:tc>
        <w:tc>
          <w:tcPr>
            <w:tcW w:w="4928" w:type="dxa"/>
            <w:gridSpan w:val="2"/>
          </w:tcPr>
          <w:p>
            <w:pPr>
              <w:pStyle w:val="yTableNAm"/>
              <w:tabs>
                <w:tab w:val="clear" w:pos="567"/>
                <w:tab w:val="left" w:pos="339"/>
                <w:tab w:val="left" w:pos="699"/>
                <w:tab w:val="left" w:leader="dot" w:pos="4299"/>
              </w:tabs>
              <w:spacing w:before="60"/>
            </w:pPr>
            <w:r>
              <w: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Debtor</w:t>
            </w:r>
          </w:p>
        </w:tc>
        <w:tc>
          <w:tcPr>
            <w:tcW w:w="4928" w:type="dxa"/>
            <w:gridSpan w:val="2"/>
          </w:tcPr>
          <w:p>
            <w:pPr>
              <w:pStyle w:val="yTableNAm"/>
              <w:tabs>
                <w:tab w:val="clear" w:pos="567"/>
                <w:tab w:val="left" w:pos="339"/>
                <w:tab w:val="left" w:pos="699"/>
                <w:tab w:val="left" w:leader="dot" w:pos="4299"/>
              </w:tabs>
              <w:spacing w:before="60"/>
            </w:pPr>
            <w:r>
              <w:t>Name: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Person to be arrested</w:t>
            </w:r>
          </w:p>
        </w:tc>
        <w:tc>
          <w:tcPr>
            <w:tcW w:w="4928" w:type="dxa"/>
            <w:gridSpan w:val="2"/>
          </w:tcPr>
          <w:p>
            <w:pPr>
              <w:pStyle w:val="yTableNAm"/>
              <w:tabs>
                <w:tab w:val="clear" w:pos="567"/>
                <w:tab w:val="left" w:pos="339"/>
                <w:tab w:val="left" w:pos="699"/>
                <w:tab w:val="left" w:leader="dot" w:pos="4299"/>
              </w:tabs>
              <w:spacing w:before="60"/>
              <w:rPr>
                <w:b/>
                <w:bCs/>
              </w:rPr>
            </w:pPr>
            <w:r>
              <w:rPr>
                <w:b/>
                <w:bCs/>
              </w:rPr>
              <w:t xml:space="preserve">To the Sheriff of Western Australia and the Bailiff delegate at </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(name)</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(address)</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nil"/>
            </w:tcBorders>
          </w:tcPr>
          <w:p>
            <w:pPr>
              <w:pStyle w:val="yTableNAm"/>
              <w:tabs>
                <w:tab w:val="clear" w:pos="567"/>
                <w:tab w:val="left" w:pos="339"/>
                <w:tab w:val="left" w:pos="699"/>
                <w:tab w:val="left" w:leader="dot" w:pos="4299"/>
              </w:tabs>
              <w:spacing w:before="60"/>
            </w:pPr>
            <w:r>
              <w:t>was required under summons to attend a means inquiry/default inquiry* and did not so attend as ordered by the summons.</w:t>
            </w:r>
          </w:p>
        </w:tc>
      </w:tr>
      <w:tr>
        <w:trPr>
          <w:cantSplit/>
        </w:trPr>
        <w:tc>
          <w:tcPr>
            <w:tcW w:w="2160" w:type="dxa"/>
            <w:vMerge/>
          </w:tcPr>
          <w:p>
            <w:pPr>
              <w:pStyle w:val="yTableNAm"/>
              <w:tabs>
                <w:tab w:val="clear" w:pos="567"/>
                <w:tab w:val="left" w:pos="339"/>
                <w:tab w:val="left" w:pos="699"/>
                <w:tab w:val="left" w:leader="dot" w:pos="4299"/>
              </w:tabs>
            </w:pPr>
          </w:p>
        </w:tc>
        <w:tc>
          <w:tcPr>
            <w:tcW w:w="4928" w:type="dxa"/>
            <w:gridSpan w:val="2"/>
            <w:tcBorders>
              <w:top w:val="nil"/>
            </w:tcBorders>
          </w:tcPr>
          <w:p>
            <w:pPr>
              <w:pStyle w:val="yTableNAm"/>
              <w:tabs>
                <w:tab w:val="clear" w:pos="567"/>
                <w:tab w:val="left" w:pos="339"/>
                <w:tab w:val="left" w:pos="699"/>
                <w:tab w:val="left" w:leader="dot" w:pos="4299"/>
              </w:tabs>
              <w:spacing w:before="60"/>
            </w:pPr>
            <w:r>
              <w:t xml:space="preserve">You are commanded by this warrant issued under the </w:t>
            </w:r>
            <w:r>
              <w:rPr>
                <w:i/>
                <w:iCs/>
              </w:rPr>
              <w:t>Civil Judgments Enforcement Act 2004</w:t>
            </w:r>
            <w:r>
              <w:t xml:space="preserve"> section 29(4)/ 89(4) * to arrest the person to be arrested and bring him or her before the court.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keepNext/>
              <w:tabs>
                <w:tab w:val="clear" w:pos="567"/>
                <w:tab w:val="left" w:pos="339"/>
                <w:tab w:val="left" w:pos="699"/>
                <w:tab w:val="left" w:leader="dot" w:pos="4299"/>
              </w:tabs>
              <w:spacing w:before="60"/>
              <w:rPr>
                <w:b/>
                <w:bCs/>
              </w:rPr>
            </w:pPr>
            <w:r>
              <w:rPr>
                <w:b/>
                <w:bCs/>
              </w:rPr>
              <w:t>The amount of the judgment debt outstanding at the time of issue of this warrant is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tabs>
                <w:tab w:val="clear" w:pos="567"/>
                <w:tab w:val="left" w:pos="339"/>
                <w:tab w:val="left" w:pos="699"/>
                <w:tab w:val="left" w:leader="dot" w:pos="4299"/>
              </w:tabs>
              <w:spacing w:before="60"/>
            </w:pPr>
            <w:r>
              <w:t>Warrant issued 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1452"/>
                <w:tab w:val="left" w:leader="dot" w:pos="4299"/>
              </w:tabs>
              <w:spacing w:before="0"/>
            </w:pPr>
            <w:r>
              <w:tab/>
            </w:r>
            <w:r>
              <w:rPr>
                <w:szCs w:val="22"/>
              </w:rPr>
              <w:t xml:space="preserve">Supreme Court Judge/District Court </w:t>
            </w:r>
            <w:r>
              <w:rPr>
                <w:szCs w:val="22"/>
              </w:rPr>
              <w:tab/>
              <w:t>Judge/Magistrate/Registrar</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ind w:right="380"/>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7088" w:type="dxa"/>
            <w:gridSpan w:val="3"/>
          </w:tcPr>
          <w:p>
            <w:pPr>
              <w:pStyle w:val="yTableNAm"/>
              <w:tabs>
                <w:tab w:val="clear" w:pos="567"/>
                <w:tab w:val="left" w:pos="339"/>
                <w:tab w:val="left" w:pos="699"/>
                <w:tab w:val="left" w:leader="dot" w:pos="4299"/>
              </w:tabs>
              <w:spacing w:before="60"/>
            </w:pPr>
            <w:r>
              <w:t>Execution details</w:t>
            </w:r>
          </w:p>
          <w:p>
            <w:pPr>
              <w:pStyle w:val="yTableNAm"/>
              <w:tabs>
                <w:tab w:val="clear" w:pos="567"/>
                <w:tab w:val="left" w:pos="339"/>
                <w:tab w:val="left" w:pos="699"/>
                <w:tab w:val="left" w:leader="dot" w:pos="4299"/>
              </w:tabs>
              <w:spacing w:before="60"/>
            </w:pPr>
            <w:r>
              <w:t>This person arrested on ...../...../..... at .............. hours</w:t>
            </w:r>
          </w:p>
          <w:p>
            <w:pPr>
              <w:pStyle w:val="yTableNAm"/>
              <w:tabs>
                <w:tab w:val="clear" w:pos="567"/>
                <w:tab w:val="left" w:pos="339"/>
                <w:tab w:val="left" w:pos="699"/>
                <w:tab w:val="left" w:leader="dot" w:pos="4299"/>
              </w:tabs>
              <w:spacing w:before="60"/>
            </w:pPr>
            <w:r>
              <w:t>at: .......................................................................................................................</w:t>
            </w:r>
          </w:p>
          <w:p>
            <w:pPr>
              <w:pStyle w:val="yTableNAm"/>
              <w:tabs>
                <w:tab w:val="clear" w:pos="567"/>
                <w:tab w:val="left" w:pos="339"/>
                <w:tab w:val="left" w:pos="699"/>
                <w:tab w:val="left" w:leader="dot" w:pos="4299"/>
              </w:tabs>
              <w:spacing w:before="60"/>
            </w:pPr>
            <w:r>
              <w:t>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pPr>
            <w:r>
              <w:rPr>
                <w:i/>
                <w:iCs/>
                <w:sz w:val="16"/>
              </w:rPr>
              <w:t>*</w:t>
            </w:r>
            <w:r>
              <w:rPr>
                <w:i/>
                <w:iCs/>
                <w:sz w:val="16"/>
              </w:rPr>
              <w:tab/>
              <w:t>Strike out those that are not applicable</w:t>
            </w:r>
          </w:p>
        </w:tc>
      </w:tr>
      <w:tr>
        <w:trPr>
          <w:cantSplit/>
        </w:trPr>
        <w:tc>
          <w:tcPr>
            <w:tcW w:w="7088" w:type="dxa"/>
            <w:gridSpan w:val="3"/>
          </w:tcPr>
          <w:p>
            <w:pPr>
              <w:pStyle w:val="yTableNAm"/>
              <w:tabs>
                <w:tab w:val="clear" w:pos="567"/>
                <w:tab w:val="left" w:pos="339"/>
                <w:tab w:val="left" w:pos="699"/>
                <w:tab w:val="left" w:leader="dot" w:pos="4299"/>
              </w:tabs>
              <w:spacing w:before="60"/>
            </w:pPr>
          </w:p>
        </w:tc>
      </w:tr>
    </w:tbl>
    <w:p>
      <w:pPr>
        <w:pStyle w:val="yFootnotesection"/>
      </w:pPr>
      <w:r>
        <w:tab/>
        <w:t>[Form 1 amended: Gazette 8 May 2018 p. 1493.]</w:t>
      </w:r>
    </w:p>
    <w:p>
      <w:pPr>
        <w:pStyle w:val="yHeading5"/>
        <w:pageBreakBefore/>
        <w:spacing w:before="0" w:after="120"/>
      </w:pPr>
      <w:bookmarkStart w:id="200" w:name="_Toc47082108"/>
      <w:r>
        <w:rPr>
          <w:rStyle w:val="CharSClsNo"/>
        </w:rPr>
        <w:t>2</w:t>
      </w:r>
      <w:r>
        <w:t>.</w:t>
      </w:r>
      <w:r>
        <w:tab/>
        <w:t>Undertaking to appear: regulation 96</w:t>
      </w:r>
      <w:bookmarkEnd w:id="20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1986"/>
        <w:gridCol w:w="1559"/>
      </w:tblGrid>
      <w:tr>
        <w:trPr>
          <w:cantSplit/>
          <w:trHeight w:val="394"/>
        </w:trPr>
        <w:tc>
          <w:tcPr>
            <w:tcW w:w="7088" w:type="dxa"/>
            <w:gridSpan w:val="4"/>
          </w:tcPr>
          <w:p>
            <w:pPr>
              <w:pStyle w:val="yTableNAm"/>
              <w:tabs>
                <w:tab w:val="clear" w:pos="567"/>
                <w:tab w:val="left" w:pos="339"/>
                <w:tab w:val="left" w:pos="699"/>
                <w:tab w:val="left" w:leader="dot" w:pos="4299"/>
              </w:tabs>
              <w:jc w:val="center"/>
              <w:rPr>
                <w:b/>
                <w:bCs/>
              </w:rPr>
            </w:pPr>
            <w:r>
              <w:rPr>
                <w:b/>
                <w:bCs/>
              </w:rPr>
              <w:t>Form 2</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r>
              <w:rPr>
                <w:b/>
                <w:bCs/>
              </w:rPr>
              <w:t>WESTERN AUSTRALIA</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b/>
                <w:bCs/>
              </w:rPr>
            </w:pPr>
            <w:r>
              <w:rPr>
                <w:b/>
                <w:bCs/>
              </w:rPr>
              <w:t>UNDERTAKING TO APPEAR</w:t>
            </w:r>
          </w:p>
        </w:tc>
        <w:tc>
          <w:tcPr>
            <w:tcW w:w="3545" w:type="dxa"/>
            <w:gridSpan w:val="2"/>
          </w:tcPr>
          <w:p>
            <w:pPr>
              <w:pStyle w:val="yTableNAm"/>
              <w:tabs>
                <w:tab w:val="clear" w:pos="567"/>
                <w:tab w:val="left" w:pos="339"/>
                <w:tab w:val="left" w:pos="699"/>
                <w:tab w:val="left" w:leader="dot" w:pos="4299"/>
              </w:tabs>
              <w:spacing w:before="60"/>
              <w:ind w:right="34"/>
            </w:pPr>
            <w:r>
              <w:t>............................................ 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4"/>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Arrested person</w:t>
            </w:r>
          </w:p>
        </w:tc>
        <w:tc>
          <w:tcPr>
            <w:tcW w:w="3369" w:type="dxa"/>
            <w:gridSpan w:val="2"/>
          </w:tcPr>
          <w:p>
            <w:pPr>
              <w:pStyle w:val="yTableNAm"/>
              <w:tabs>
                <w:tab w:val="clear" w:pos="567"/>
                <w:tab w:val="left" w:pos="339"/>
                <w:tab w:val="left" w:pos="699"/>
                <w:tab w:val="left" w:leader="dot" w:pos="4299"/>
              </w:tabs>
              <w:spacing w:before="60"/>
            </w:pPr>
            <w:r>
              <w:t>Name: ..................................................................................................................</w:t>
            </w:r>
          </w:p>
        </w:tc>
        <w:tc>
          <w:tcPr>
            <w:tcW w:w="1559" w:type="dxa"/>
            <w:vMerge w:val="restart"/>
          </w:tcPr>
          <w:p>
            <w:pPr>
              <w:pStyle w:val="yTableNAm"/>
              <w:tabs>
                <w:tab w:val="clear" w:pos="567"/>
                <w:tab w:val="left" w:pos="339"/>
                <w:tab w:val="left" w:pos="699"/>
                <w:tab w:val="left" w:leader="dot" w:pos="4299"/>
              </w:tabs>
              <w:spacing w:before="60"/>
            </w:pPr>
            <w:r>
              <w:t>Date of birth: .......................</w:t>
            </w:r>
          </w:p>
        </w:tc>
      </w:tr>
      <w:tr>
        <w:trPr>
          <w:cantSplit/>
        </w:trPr>
        <w:tc>
          <w:tcPr>
            <w:tcW w:w="2160" w:type="dxa"/>
            <w:vMerge/>
          </w:tcPr>
          <w:p>
            <w:pPr>
              <w:pStyle w:val="yTableNAm"/>
              <w:tabs>
                <w:tab w:val="clear" w:pos="567"/>
                <w:tab w:val="left" w:pos="339"/>
                <w:tab w:val="left" w:pos="699"/>
                <w:tab w:val="left" w:leader="dot" w:pos="4299"/>
              </w:tabs>
              <w:spacing w:before="60"/>
              <w:rPr>
                <w:b/>
                <w:bCs/>
              </w:rPr>
            </w:pPr>
          </w:p>
        </w:tc>
        <w:tc>
          <w:tcPr>
            <w:tcW w:w="3369" w:type="dxa"/>
            <w:gridSpan w:val="2"/>
          </w:tcPr>
          <w:p>
            <w:pPr>
              <w:pStyle w:val="yTableNAm"/>
              <w:tabs>
                <w:tab w:val="clear" w:pos="567"/>
                <w:tab w:val="left" w:pos="339"/>
                <w:tab w:val="left" w:pos="699"/>
                <w:tab w:val="left" w:leader="dot" w:pos="4299"/>
              </w:tabs>
              <w:spacing w:before="60"/>
            </w:pPr>
            <w:r>
              <w:t>Address: ..................................................................................................................</w:t>
            </w:r>
          </w:p>
        </w:tc>
        <w:tc>
          <w:tcPr>
            <w:tcW w:w="1559" w:type="dxa"/>
            <w:vMerge/>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Matter in which arrested person is required</w:t>
            </w:r>
          </w:p>
        </w:tc>
        <w:tc>
          <w:tcPr>
            <w:tcW w:w="4928" w:type="dxa"/>
            <w:gridSpan w:val="3"/>
          </w:tcPr>
          <w:p>
            <w:pPr>
              <w:pStyle w:val="yTableNAm"/>
              <w:tabs>
                <w:tab w:val="clear" w:pos="567"/>
                <w:tab w:val="left" w:pos="339"/>
                <w:tab w:val="left" w:pos="699"/>
                <w:tab w:val="left" w:leader="dot" w:pos="4299"/>
              </w:tabs>
              <w:spacing w:before="60"/>
              <w:rPr>
                <w:i/>
                <w:iCs/>
              </w:rPr>
            </w:pPr>
            <w:r>
              <w:rPr>
                <w:i/>
                <w:iCs/>
              </w:rPr>
              <w:t>[Set out the parties to the matter in which the arrested person is required.]</w:t>
            </w:r>
          </w:p>
        </w:tc>
      </w:tr>
      <w:tr>
        <w:tc>
          <w:tcPr>
            <w:tcW w:w="2160" w:type="dxa"/>
          </w:tcPr>
          <w:p>
            <w:pPr>
              <w:pStyle w:val="yTableNAm"/>
              <w:tabs>
                <w:tab w:val="clear" w:pos="567"/>
                <w:tab w:val="left" w:pos="339"/>
                <w:tab w:val="left" w:pos="699"/>
                <w:tab w:val="left" w:leader="dot" w:pos="4299"/>
              </w:tabs>
              <w:spacing w:before="60"/>
              <w:rPr>
                <w:b/>
                <w:bCs/>
              </w:rPr>
            </w:pPr>
            <w:r>
              <w:rPr>
                <w:b/>
                <w:bCs/>
              </w:rPr>
              <w:t>Undertaking by arrested person</w:t>
            </w:r>
          </w:p>
        </w:tc>
        <w:tc>
          <w:tcPr>
            <w:tcW w:w="4928" w:type="dxa"/>
            <w:gridSpan w:val="3"/>
          </w:tcPr>
          <w:p>
            <w:pPr>
              <w:pStyle w:val="yTableNAm"/>
              <w:tabs>
                <w:tab w:val="clear" w:pos="567"/>
                <w:tab w:val="left" w:pos="339"/>
                <w:tab w:val="left" w:pos="699"/>
                <w:tab w:val="left" w:leader="dot" w:pos="4299"/>
              </w:tabs>
              <w:spacing w:before="60"/>
            </w:pPr>
            <w:r>
              <w:t>I undertake to appear personally before the above Court</w:t>
            </w:r>
          </w:p>
          <w:p>
            <w:pPr>
              <w:pStyle w:val="yTableNAm"/>
              <w:tabs>
                <w:tab w:val="clear" w:pos="567"/>
                <w:tab w:val="left" w:pos="339"/>
                <w:tab w:val="left" w:pos="699"/>
                <w:tab w:val="left" w:leader="dot" w:pos="4299"/>
              </w:tabs>
              <w:spacing w:before="60"/>
            </w:pPr>
            <w:r>
              <w:t xml:space="preserve">on: </w:t>
            </w:r>
            <w:r>
              <w:tab/>
              <w:t>[</w:t>
            </w:r>
            <w:r>
              <w:rPr>
                <w:i/>
                <w:iCs/>
              </w:rPr>
              <w:t>date of means inquiry/ default inquiry</w:t>
            </w:r>
            <w:r>
              <w:t>]</w:t>
            </w:r>
          </w:p>
          <w:p>
            <w:pPr>
              <w:pStyle w:val="yTableNAm"/>
              <w:tabs>
                <w:tab w:val="clear" w:pos="567"/>
                <w:tab w:val="left" w:pos="339"/>
                <w:tab w:val="left" w:pos="699"/>
                <w:tab w:val="left" w:leader="dot" w:pos="4299"/>
              </w:tabs>
              <w:spacing w:before="60"/>
            </w:pPr>
            <w:r>
              <w:t>at:</w:t>
            </w:r>
            <w:r>
              <w:tab/>
              <w:t>[</w:t>
            </w:r>
            <w:r>
              <w:rPr>
                <w:i/>
                <w:iCs/>
              </w:rPr>
              <w:t>time of inquiry</w:t>
            </w:r>
            <w:r>
              <w:t>]</w:t>
            </w:r>
          </w:p>
          <w:p>
            <w:pPr>
              <w:pStyle w:val="yTableNAm"/>
              <w:tabs>
                <w:tab w:val="clear" w:pos="567"/>
                <w:tab w:val="left" w:pos="339"/>
                <w:tab w:val="left" w:pos="699"/>
                <w:tab w:val="left" w:leader="dot" w:pos="4299"/>
              </w:tabs>
              <w:spacing w:before="60"/>
            </w:pPr>
            <w:r>
              <w:t xml:space="preserve">at: </w:t>
            </w:r>
            <w:r>
              <w:tab/>
              <w:t>[</w:t>
            </w:r>
            <w:r>
              <w:rPr>
                <w:i/>
                <w:iCs/>
              </w:rPr>
              <w:t>place of inquiry</w:t>
            </w:r>
            <w:r>
              <w:t>]</w:t>
            </w:r>
          </w:p>
          <w:p>
            <w:pPr>
              <w:pStyle w:val="yTableNAm"/>
              <w:tabs>
                <w:tab w:val="clear" w:pos="567"/>
                <w:tab w:val="left" w:pos="339"/>
                <w:tab w:val="left" w:pos="699"/>
                <w:tab w:val="left" w:leader="dot" w:pos="4299"/>
              </w:tabs>
              <w:spacing w:before="60"/>
            </w:pPr>
            <w:r>
              <w:t>to give evidence/produce to the court, for use in the inquiry, any record or thing that was detailed in the summons in the above matter*.</w:t>
            </w:r>
          </w:p>
          <w:p>
            <w:pPr>
              <w:pStyle w:val="yTableNAm"/>
              <w:tabs>
                <w:tab w:val="clear" w:pos="567"/>
                <w:tab w:val="left" w:pos="339"/>
                <w:tab w:val="left" w:pos="699"/>
                <w:tab w:val="left" w:leader="dot" w:pos="4299"/>
              </w:tabs>
              <w:spacing w:before="60"/>
            </w:pPr>
            <w:r>
              <w:t>I agree that if I do not obey the above undertaking I will forfeit $               to the State.</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c>
          <w:tcPr>
            <w:tcW w:w="2160" w:type="dxa"/>
          </w:tcPr>
          <w:p>
            <w:pPr>
              <w:pStyle w:val="yTableNAm"/>
              <w:tabs>
                <w:tab w:val="clear" w:pos="567"/>
                <w:tab w:val="left" w:pos="339"/>
                <w:tab w:val="left" w:pos="699"/>
                <w:tab w:val="left" w:leader="dot" w:pos="4299"/>
              </w:tabs>
              <w:spacing w:before="60"/>
              <w:rPr>
                <w:b/>
                <w:bCs/>
              </w:rPr>
            </w:pPr>
            <w:r>
              <w:rPr>
                <w:b/>
                <w:bCs/>
              </w:rPr>
              <w:t>Is a surety required?</w:t>
            </w:r>
          </w:p>
        </w:tc>
        <w:tc>
          <w:tcPr>
            <w:tcW w:w="4928" w:type="dxa"/>
            <w:gridSpan w:val="3"/>
          </w:tcPr>
          <w:p>
            <w:pPr>
              <w:pStyle w:val="yTableNAm"/>
              <w:tabs>
                <w:tab w:val="clear" w:pos="567"/>
                <w:tab w:val="left" w:pos="339"/>
                <w:tab w:val="left" w:pos="699"/>
                <w:tab w:val="left" w:pos="2500"/>
                <w:tab w:val="left" w:pos="2860"/>
                <w:tab w:val="left" w:leader="dot" w:pos="4299"/>
              </w:tabs>
              <w:spacing w:before="60"/>
            </w:pPr>
            <w:r>
              <w:sym w:font="Wingdings" w:char="F06F"/>
            </w:r>
            <w:r>
              <w:tab/>
              <w:t>Yes</w:t>
            </w:r>
            <w:r>
              <w:tab/>
            </w:r>
            <w:r>
              <w:tab/>
            </w:r>
            <w:r>
              <w:sym w:font="Wingdings" w:char="F06F"/>
            </w:r>
            <w:r>
              <w:tab/>
              <w:t>No</w:t>
            </w:r>
          </w:p>
          <w:p>
            <w:pPr>
              <w:pStyle w:val="yTableNAm"/>
              <w:tabs>
                <w:tab w:val="clear" w:pos="567"/>
                <w:tab w:val="left" w:pos="339"/>
                <w:tab w:val="left" w:pos="699"/>
                <w:tab w:val="left" w:leader="dot" w:pos="4299"/>
              </w:tabs>
              <w:spacing w:before="60"/>
            </w:pPr>
            <w:r>
              <w:t>Amount: $</w:t>
            </w:r>
          </w:p>
        </w:tc>
      </w:tr>
      <w:tr>
        <w:trPr>
          <w:cantSplit/>
        </w:trPr>
        <w:tc>
          <w:tcPr>
            <w:tcW w:w="2160" w:type="dxa"/>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Surety agreement</w:t>
            </w:r>
          </w:p>
          <w:p>
            <w:pPr>
              <w:pStyle w:val="yTableNAm"/>
              <w:tabs>
                <w:tab w:val="clear" w:pos="567"/>
                <w:tab w:val="left" w:pos="339"/>
                <w:tab w:val="left" w:pos="699"/>
                <w:tab w:val="left" w:leader="dot" w:pos="4299"/>
              </w:tabs>
              <w:spacing w:before="60"/>
            </w:pPr>
            <w:r>
              <w:rPr>
                <w:b/>
                <w:bCs/>
              </w:rPr>
              <w:t>[If required]</w:t>
            </w:r>
          </w:p>
        </w:tc>
        <w:tc>
          <w:tcPr>
            <w:tcW w:w="4928" w:type="dxa"/>
            <w:gridSpan w:val="3"/>
            <w:tcBorders>
              <w:bottom w:val="single" w:sz="4" w:space="0" w:color="auto"/>
            </w:tcBorders>
          </w:tcPr>
          <w:p>
            <w:pPr>
              <w:pStyle w:val="yTableNAm"/>
              <w:tabs>
                <w:tab w:val="clear" w:pos="567"/>
                <w:tab w:val="left" w:pos="339"/>
                <w:tab w:val="left" w:pos="699"/>
                <w:tab w:val="left" w:leader="dot" w:pos="4299"/>
              </w:tabs>
              <w:spacing w:before="60"/>
            </w:pPr>
            <w:r>
              <w:t>Name:</w:t>
            </w:r>
          </w:p>
          <w:p>
            <w:pPr>
              <w:pStyle w:val="yTableNAm"/>
              <w:tabs>
                <w:tab w:val="clear" w:pos="567"/>
                <w:tab w:val="left" w:pos="339"/>
                <w:tab w:val="left" w:pos="699"/>
                <w:tab w:val="left" w:leader="dot" w:pos="4299"/>
              </w:tabs>
              <w:spacing w:before="60"/>
            </w:pPr>
            <w:r>
              <w:t>Address:</w:t>
            </w:r>
          </w:p>
          <w:p>
            <w:pPr>
              <w:pStyle w:val="yTableNAm"/>
              <w:tabs>
                <w:tab w:val="clear" w:pos="567"/>
                <w:tab w:val="left" w:pos="339"/>
                <w:tab w:val="left" w:pos="699"/>
                <w:tab w:val="left" w:leader="dot" w:pos="4299"/>
              </w:tabs>
              <w:spacing w:before="60"/>
            </w:pPr>
            <w:r>
              <w:t>I agree to forfeit $             to the State if the above arrested person does not obey the above undertaking.</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rPr>
          <w:cantSplit/>
        </w:trPr>
        <w:tc>
          <w:tcPr>
            <w:tcW w:w="7088" w:type="dxa"/>
            <w:gridSpan w:val="4"/>
          </w:tcPr>
          <w:p>
            <w:pPr>
              <w:pStyle w:val="yTableNAm"/>
              <w:tabs>
                <w:tab w:val="clear" w:pos="567"/>
                <w:tab w:val="left" w:pos="339"/>
                <w:tab w:val="left" w:pos="699"/>
                <w:tab w:val="left" w:leader="dot" w:pos="4299"/>
              </w:tabs>
              <w:spacing w:before="60"/>
              <w:rPr>
                <w:b/>
                <w:bCs/>
              </w:rPr>
            </w:pPr>
            <w:r>
              <w:rPr>
                <w:b/>
                <w:bCs/>
              </w:rPr>
              <w:t>The original to be kept by the Court.</w:t>
            </w:r>
          </w:p>
          <w:p>
            <w:pPr>
              <w:pStyle w:val="yTableNAm"/>
              <w:tabs>
                <w:tab w:val="clear" w:pos="567"/>
                <w:tab w:val="left" w:pos="339"/>
                <w:tab w:val="left" w:pos="699"/>
                <w:tab w:val="left" w:leader="dot" w:pos="4299"/>
              </w:tabs>
              <w:spacing w:before="60"/>
              <w:rPr>
                <w:b/>
                <w:bCs/>
              </w:rPr>
            </w:pPr>
            <w:r>
              <w:rPr>
                <w:b/>
                <w:bCs/>
              </w:rPr>
              <w:t>Copy to be given to the arrested person and surety (if any).</w:t>
            </w:r>
          </w:p>
          <w:p>
            <w:pPr>
              <w:pStyle w:val="yTableNAm"/>
              <w:tabs>
                <w:tab w:val="clear" w:pos="567"/>
                <w:tab w:val="left" w:pos="339"/>
                <w:tab w:val="left" w:pos="699"/>
                <w:tab w:val="left" w:leader="dot" w:pos="4299"/>
              </w:tabs>
              <w:spacing w:before="60"/>
              <w:rPr>
                <w:sz w:val="16"/>
              </w:rPr>
            </w:pPr>
            <w:r>
              <w:rPr>
                <w:sz w:val="16"/>
              </w:rPr>
              <w:t>*</w:t>
            </w:r>
            <w:r>
              <w:rPr>
                <w:sz w:val="16"/>
              </w:rPr>
              <w:tab/>
            </w:r>
            <w:r>
              <w:rPr>
                <w:i/>
                <w:iCs/>
                <w:sz w:val="16"/>
              </w:rPr>
              <w:t>Strike out those words that are not applicable</w:t>
            </w:r>
          </w:p>
        </w:tc>
      </w:tr>
    </w:tbl>
    <w:p>
      <w:pPr>
        <w:pStyle w:val="yFootnotesection"/>
      </w:pPr>
      <w:r>
        <w:tab/>
        <w:t>[Form 2 amended: Gazette 14 Dec 2007 p. 6245.]</w:t>
      </w:r>
    </w:p>
    <w:p>
      <w:pPr>
        <w:pStyle w:val="yHeading5"/>
        <w:pageBreakBefore/>
        <w:spacing w:before="0" w:after="120"/>
      </w:pPr>
      <w:bookmarkStart w:id="201" w:name="_Toc47082109"/>
      <w:r>
        <w:rPr>
          <w:rStyle w:val="CharSClsNo"/>
        </w:rPr>
        <w:t>3</w:t>
      </w:r>
      <w:r>
        <w:t>.</w:t>
      </w:r>
      <w:r>
        <w:tab/>
        <w:t>Declaration that a person is a small business or a non</w:t>
      </w:r>
      <w:r>
        <w:noBreakHyphen/>
        <w:t>profit association</w:t>
      </w:r>
      <w:bookmarkEnd w:id="20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top w:val="single" w:sz="4" w:space="0" w:color="auto"/>
              <w:bottom w:val="nil"/>
            </w:tcBorders>
          </w:tcPr>
          <w:p>
            <w:pPr>
              <w:pStyle w:val="yTableNAm"/>
              <w:tabs>
                <w:tab w:val="clear" w:pos="567"/>
                <w:tab w:val="left" w:pos="339"/>
                <w:tab w:val="left" w:pos="699"/>
                <w:tab w:val="left" w:leader="dot" w:pos="4299"/>
              </w:tabs>
              <w:spacing w:before="60"/>
              <w:jc w:val="center"/>
              <w:rPr>
                <w:b/>
                <w:bCs/>
              </w:rPr>
            </w:pPr>
            <w:r>
              <w:rPr>
                <w:b/>
                <w:bCs/>
              </w:rPr>
              <w:t>Form 3</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i/>
                <w:iCs/>
              </w:rPr>
            </w:pPr>
            <w:r>
              <w:rPr>
                <w:b/>
                <w:bCs/>
                <w:i/>
                <w:iCs/>
              </w:rPr>
              <w:t>(Regulation </w:t>
            </w:r>
            <w:r>
              <w:rPr>
                <w:b/>
                <w:i/>
              </w:rPr>
              <w:t>107B(1)</w:t>
            </w:r>
            <w:r>
              <w:rPr>
                <w:b/>
                <w:bCs/>
                <w:i/>
                <w:iCs/>
              </w:rPr>
              <w:t>)</w:t>
            </w:r>
          </w:p>
        </w:tc>
      </w:tr>
      <w:tr>
        <w:tc>
          <w:tcPr>
            <w:tcW w:w="7080" w:type="dxa"/>
            <w:gridSpan w:val="4"/>
            <w:tcBorders>
              <w:top w:val="nil"/>
            </w:tcBorders>
          </w:tcPr>
          <w:p>
            <w:pPr>
              <w:pStyle w:val="yTableNAm"/>
              <w:tabs>
                <w:tab w:val="clear" w:pos="567"/>
                <w:tab w:val="left" w:pos="339"/>
                <w:tab w:val="left" w:pos="699"/>
                <w:tab w:val="left" w:leader="dot" w:pos="4299"/>
              </w:tabs>
              <w:spacing w:before="60"/>
              <w:ind w:right="252"/>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Court/Magistrates Court</w:t>
            </w:r>
          </w:p>
        </w:tc>
        <w:tc>
          <w:tcPr>
            <w:tcW w:w="3323" w:type="dxa"/>
          </w:tcPr>
          <w:p>
            <w:pPr>
              <w:pStyle w:val="yTableNAm"/>
              <w:tabs>
                <w:tab w:val="clear" w:pos="567"/>
                <w:tab w:val="left" w:pos="339"/>
                <w:tab w:val="left" w:pos="699"/>
                <w:tab w:val="left" w:leader="dot" w:pos="4299"/>
              </w:tabs>
              <w:spacing w:before="60"/>
            </w:pPr>
            <w:r>
              <w:t>No.         of  2   </w:t>
            </w:r>
          </w:p>
        </w:tc>
      </w:tr>
      <w:tr>
        <w:trPr>
          <w:cantSplit/>
          <w:trHeight w:val="433"/>
        </w:trPr>
        <w:tc>
          <w:tcPr>
            <w:tcW w:w="1843" w:type="dxa"/>
            <w:tcBorders>
              <w:bottom w:val="nil"/>
            </w:tcBorders>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843" w:type="dxa"/>
            <w:tcBorders>
              <w:top w:val="nil"/>
              <w:bottom w:val="nil"/>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843" w:type="dxa"/>
            <w:vMerge w:val="restart"/>
            <w:tcBorders>
              <w:top w:val="nil"/>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Name of small business/non</w:t>
            </w:r>
            <w:r>
              <w:noBreakHyphen/>
              <w:t>profit association*</w:t>
            </w:r>
          </w:p>
        </w:tc>
      </w:tr>
      <w:tr>
        <w:trPr>
          <w:cantSplit/>
          <w:trHeight w:val="431"/>
        </w:trPr>
        <w:tc>
          <w:tcPr>
            <w:tcW w:w="1843" w:type="dxa"/>
            <w:vMerge/>
            <w:tcBorders>
              <w:top w:val="single" w:sz="4" w:space="0" w:color="auto"/>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Position held by applicant in the small business/non</w:t>
            </w:r>
            <w:r>
              <w:noBreakHyphen/>
              <w:t>profit association*</w:t>
            </w:r>
          </w:p>
        </w:tc>
      </w:tr>
      <w:tr>
        <w:trPr>
          <w:cantSplit/>
        </w:trPr>
        <w:tc>
          <w:tcPr>
            <w:tcW w:w="7080" w:type="dxa"/>
            <w:gridSpan w:val="4"/>
          </w:tcPr>
          <w:p>
            <w:pPr>
              <w:pStyle w:val="yTableNAm"/>
              <w:tabs>
                <w:tab w:val="clear" w:pos="567"/>
                <w:tab w:val="left" w:pos="339"/>
                <w:tab w:val="left" w:pos="699"/>
                <w:tab w:val="left" w:leader="dot" w:pos="4299"/>
              </w:tabs>
              <w:spacing w:before="60"/>
            </w:pPr>
            <w:r>
              <w:t>I declare that the person in respect of which the application is made is a small business 1 or a non</w:t>
            </w:r>
            <w:r>
              <w:noBreakHyphen/>
              <w:t xml:space="preserve">profit association 2 within the meaning of that term in the </w:t>
            </w:r>
            <w:r>
              <w:rPr>
                <w:i/>
                <w:iCs/>
              </w:rPr>
              <w:t>Civil Judgments Enforcement Regulations 2005</w:t>
            </w:r>
            <w:r>
              <w:t>.</w:t>
            </w: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2"/>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2"/>
          </w:tcPr>
          <w:p>
            <w:pPr>
              <w:pStyle w:val="yTableNAm"/>
              <w:tabs>
                <w:tab w:val="clear" w:pos="567"/>
                <w:tab w:val="left" w:pos="339"/>
                <w:tab w:val="left" w:pos="699"/>
                <w:tab w:val="left" w:leader="dot" w:pos="4299"/>
              </w:tabs>
              <w:spacing w:before="60"/>
            </w:pPr>
          </w:p>
        </w:tc>
      </w:tr>
      <w:tr>
        <w:trPr>
          <w:cantSplit/>
          <w:trHeight w:val="429"/>
        </w:trPr>
        <w:tc>
          <w:tcPr>
            <w:tcW w:w="7080" w:type="dxa"/>
            <w:gridSpan w:val="4"/>
            <w:tcBorders>
              <w:bottom w:val="single" w:sz="4" w:space="0" w:color="auto"/>
            </w:tcBorders>
          </w:tcPr>
          <w:p>
            <w:pPr>
              <w:pStyle w:val="yTableNAm"/>
              <w:tabs>
                <w:tab w:val="clear" w:pos="567"/>
                <w:tab w:val="left" w:pos="699"/>
                <w:tab w:val="left" w:leader="dot" w:pos="4299"/>
              </w:tabs>
              <w:rPr>
                <w:i/>
                <w:iCs/>
                <w:sz w:val="16"/>
              </w:rPr>
            </w:pPr>
            <w:r>
              <w:rPr>
                <w:i/>
                <w:iCs/>
                <w:sz w:val="16"/>
              </w:rPr>
              <w:t>Note:  It is an offence under the Civil Judgments Enforcement Regulations 2005 regulation 101 for a person to make a statement or representation in this declaration that is false or misleading.  The maximum fine is $1 000.</w:t>
            </w:r>
          </w:p>
        </w:tc>
      </w:tr>
      <w:tr>
        <w:trPr>
          <w:cantSplit/>
          <w:trHeight w:val="429"/>
        </w:trPr>
        <w:tc>
          <w:tcPr>
            <w:tcW w:w="7080" w:type="dxa"/>
            <w:gridSpan w:val="4"/>
            <w:tcBorders>
              <w:bottom w:val="nil"/>
            </w:tcBorders>
          </w:tcPr>
          <w:p>
            <w:pPr>
              <w:pStyle w:val="yTableNAm"/>
              <w:tabs>
                <w:tab w:val="clear" w:pos="567"/>
                <w:tab w:val="left" w:pos="110"/>
                <w:tab w:val="left" w:pos="699"/>
                <w:tab w:val="left" w:leader="dot" w:pos="4299"/>
              </w:tabs>
              <w:ind w:left="110" w:right="372" w:hanging="110"/>
              <w:rPr>
                <w:i/>
                <w:iCs/>
                <w:sz w:val="16"/>
              </w:rPr>
            </w:pPr>
            <w:r>
              <w:rPr>
                <w:i/>
                <w:iCs/>
                <w:sz w:val="16"/>
                <w:vertAlign w:val="superscript"/>
              </w:rPr>
              <w:t>1</w:t>
            </w:r>
            <w:r>
              <w:rPr>
                <w:i/>
                <w:iCs/>
                <w:sz w:val="16"/>
              </w:rPr>
              <w:t xml:space="preserve"> Under the Civil Judgments Enforcement Regulations 2005 regulation 104 a small business is — </w:t>
            </w:r>
          </w:p>
          <w:p>
            <w:pPr>
              <w:pStyle w:val="yTableNAm"/>
              <w:tabs>
                <w:tab w:val="clear" w:pos="567"/>
                <w:tab w:val="left" w:pos="110"/>
                <w:tab w:val="left" w:pos="699"/>
                <w:tab w:val="left" w:leader="dot" w:pos="4299"/>
              </w:tabs>
              <w:ind w:left="110" w:right="372" w:hanging="110"/>
              <w:rPr>
                <w:i/>
                <w:iCs/>
                <w:sz w:val="16"/>
              </w:rPr>
            </w:pPr>
            <w:r>
              <w:rPr>
                <w:i/>
                <w:iCs/>
                <w:sz w:val="16"/>
              </w:rPr>
              <w:tab/>
            </w:r>
            <w:r>
              <w:rPr>
                <w:i/>
                <w:sz w:val="16"/>
              </w:rPr>
              <w:t>a business undertaking that is wholly owned and operated by an individual or individuals in partnership and has less than 20 full</w:t>
            </w:r>
            <w:r>
              <w:rPr>
                <w:i/>
                <w:sz w:val="16"/>
              </w:rPr>
              <w:noBreakHyphen/>
              <w:t>time equivalent employees or partners;</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7080" w:type="dxa"/>
            <w:gridSpan w:val="4"/>
            <w:tcBorders>
              <w:top w:val="nil"/>
              <w:left w:val="single" w:sz="4" w:space="0" w:color="auto"/>
              <w:bottom w:val="nil"/>
              <w:right w:val="single" w:sz="4" w:space="0" w:color="auto"/>
            </w:tcBorders>
          </w:tcPr>
          <w:p>
            <w:pPr>
              <w:pStyle w:val="yTableNAm"/>
              <w:tabs>
                <w:tab w:val="clear" w:pos="567"/>
                <w:tab w:val="left" w:pos="110"/>
                <w:tab w:val="left" w:pos="699"/>
                <w:tab w:val="left" w:leader="dot" w:pos="4299"/>
              </w:tabs>
              <w:spacing w:before="60"/>
              <w:ind w:left="108" w:right="372" w:hanging="108"/>
              <w:rPr>
                <w:i/>
                <w:iCs/>
                <w:sz w:val="16"/>
              </w:rPr>
            </w:pPr>
            <w:r>
              <w:rPr>
                <w:i/>
                <w:iCs/>
                <w:sz w:val="16"/>
              </w:rPr>
              <w:tab/>
              <w:t>a co</w:t>
            </w:r>
            <w:r>
              <w:rPr>
                <w:i/>
                <w:iCs/>
                <w:sz w:val="16"/>
              </w:rPr>
              <w:noBreakHyphen/>
              <w:t>operative as defined in the Co</w:t>
            </w:r>
            <w:r>
              <w:rPr>
                <w:i/>
                <w:iCs/>
                <w:sz w:val="16"/>
              </w:rPr>
              <w:noBreakHyphen/>
              <w:t>operatives Act 2009 that has less than 20 full</w:t>
            </w:r>
            <w:r>
              <w:rPr>
                <w:i/>
                <w:iCs/>
                <w:sz w:val="16"/>
              </w:rPr>
              <w:noBreakHyphen/>
              <w:t>time equivalent employees and that is not a subsidiary of another co</w:t>
            </w:r>
            <w:r>
              <w:rPr>
                <w:i/>
                <w:iCs/>
                <w:sz w:val="16"/>
              </w:rPr>
              <w:noBreakHyphen/>
              <w:t>operative or corporation that has 20 or more full</w:t>
            </w:r>
            <w:r>
              <w:rPr>
                <w:i/>
                <w:iCs/>
                <w:sz w:val="16"/>
              </w:rPr>
              <w:noBreakHyphen/>
              <w:t>time equivalent employees;</w:t>
            </w:r>
          </w:p>
        </w:tc>
      </w:tr>
      <w:tr>
        <w:trPr>
          <w:cantSplit/>
          <w:trHeight w:val="429"/>
        </w:trPr>
        <w:tc>
          <w:tcPr>
            <w:tcW w:w="7080" w:type="dxa"/>
            <w:gridSpan w:val="4"/>
            <w:tcBorders>
              <w:top w:val="single" w:sz="2" w:space="0" w:color="auto"/>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vertAlign w:val="superscript"/>
              </w:rPr>
            </w:pPr>
            <w:r>
              <w:rPr>
                <w:i/>
                <w:iCs/>
                <w:sz w:val="16"/>
              </w:rPr>
              <w:tab/>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7080" w:type="dxa"/>
            <w:gridSpan w:val="4"/>
            <w:tcBorders>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NAm"/>
              <w:tabs>
                <w:tab w:val="clear" w:pos="567"/>
                <w:tab w:val="left" w:pos="110"/>
                <w:tab w:val="left" w:pos="699"/>
                <w:tab w:val="left" w:leader="dot" w:pos="4299"/>
              </w:tabs>
              <w:spacing w:before="60"/>
              <w:ind w:left="108" w:right="492" w:hanging="108"/>
              <w:rPr>
                <w:sz w:val="16"/>
              </w:rPr>
            </w:pPr>
            <w:r>
              <w:rPr>
                <w:sz w:val="16"/>
              </w:rPr>
              <w:t>*</w:t>
            </w:r>
            <w:r>
              <w:rPr>
                <w:sz w:val="16"/>
              </w:rPr>
              <w:tab/>
            </w:r>
            <w:r>
              <w:rPr>
                <w:i/>
                <w:iCs/>
                <w:sz w:val="16"/>
              </w:rPr>
              <w:t>Strike out those words that are not applicable</w:t>
            </w:r>
          </w:p>
        </w:tc>
      </w:tr>
    </w:tbl>
    <w:p>
      <w:pPr>
        <w:pStyle w:val="yFootnotesection"/>
        <w:keepLines w:val="0"/>
        <w:spacing w:after="120"/>
      </w:pPr>
      <w:r>
        <w:tab/>
        <w:t>[Form 3 amended: Gazette 13 Jan 2017 p. 346.]</w:t>
      </w:r>
    </w:p>
    <w:p>
      <w:pPr>
        <w:pStyle w:val="yHeading5"/>
        <w:pageBreakBefore/>
      </w:pPr>
      <w:bookmarkStart w:id="202" w:name="_Toc47082110"/>
      <w:r>
        <w:rPr>
          <w:rStyle w:val="CharSClsNo"/>
        </w:rPr>
        <w:t>4</w:t>
      </w:r>
      <w:r>
        <w:t>.</w:t>
      </w:r>
      <w:r>
        <w:tab/>
        <w:t>Application to reduce fee</w:t>
      </w:r>
      <w:bookmarkEnd w:id="202"/>
    </w:p>
    <w:tbl>
      <w:tblPr>
        <w:tblW w:w="6629" w:type="dxa"/>
        <w:tblInd w:w="567" w:type="dxa"/>
        <w:tblLayout w:type="fixed"/>
        <w:tblLook w:val="04A0" w:firstRow="1" w:lastRow="0" w:firstColumn="1" w:lastColumn="0" w:noHBand="0" w:noVBand="1"/>
      </w:tblPr>
      <w:tblGrid>
        <w:gridCol w:w="1099"/>
        <w:gridCol w:w="269"/>
        <w:gridCol w:w="419"/>
        <w:gridCol w:w="161"/>
        <w:gridCol w:w="279"/>
        <w:gridCol w:w="74"/>
        <w:gridCol w:w="6"/>
        <w:gridCol w:w="9"/>
        <w:gridCol w:w="335"/>
        <w:gridCol w:w="86"/>
        <w:gridCol w:w="47"/>
        <w:gridCol w:w="295"/>
        <w:gridCol w:w="99"/>
        <w:gridCol w:w="73"/>
        <w:gridCol w:w="116"/>
        <w:gridCol w:w="73"/>
        <w:gridCol w:w="585"/>
        <w:gridCol w:w="33"/>
        <w:gridCol w:w="161"/>
        <w:gridCol w:w="136"/>
        <w:gridCol w:w="284"/>
        <w:gridCol w:w="122"/>
        <w:gridCol w:w="524"/>
        <w:gridCol w:w="21"/>
        <w:gridCol w:w="12"/>
        <w:gridCol w:w="47"/>
        <w:gridCol w:w="130"/>
        <w:gridCol w:w="91"/>
        <w:gridCol w:w="1043"/>
      </w:tblGrid>
      <w:tr>
        <w:tc>
          <w:tcPr>
            <w:tcW w:w="6629" w:type="dxa"/>
            <w:gridSpan w:val="29"/>
            <w:tcBorders>
              <w:top w:val="single" w:sz="4" w:space="0" w:color="auto"/>
              <w:left w:val="single" w:sz="4" w:space="0" w:color="auto"/>
              <w:bottom w:val="single" w:sz="4" w:space="0" w:color="auto"/>
              <w:right w:val="single" w:sz="4" w:space="0" w:color="auto"/>
            </w:tcBorders>
          </w:tcPr>
          <w:p>
            <w:pPr>
              <w:pStyle w:val="yTableNAm"/>
              <w:jc w:val="center"/>
            </w:pPr>
            <w:r>
              <w:rPr>
                <w:b/>
              </w:rPr>
              <w:t>Form 4</w:t>
            </w:r>
          </w:p>
          <w:p>
            <w:pPr>
              <w:pStyle w:val="yTableNAm"/>
              <w:jc w:val="center"/>
              <w:rPr>
                <w:b/>
                <w:i/>
                <w:iCs/>
              </w:rPr>
            </w:pPr>
            <w:r>
              <w:rPr>
                <w:b/>
                <w:i/>
                <w:iCs/>
              </w:rPr>
              <w:t>Civil Judgments Enforcement Regulations 2005</w:t>
            </w:r>
          </w:p>
          <w:p>
            <w:pPr>
              <w:pStyle w:val="yTableNAm"/>
              <w:jc w:val="center"/>
              <w:rPr>
                <w:b/>
                <w:i/>
              </w:rPr>
            </w:pPr>
            <w:r>
              <w:rPr>
                <w:b/>
                <w:i/>
                <w:iCs/>
              </w:rPr>
              <w:t>(Regulation 107D(1))</w:t>
            </w:r>
          </w:p>
          <w:p>
            <w:pPr>
              <w:pStyle w:val="yTableNAm"/>
              <w:jc w:val="center"/>
            </w:pPr>
            <w:r>
              <w:rPr>
                <w:b/>
              </w:rPr>
              <w:t>APPLICATION TO REDUCE FEE</w:t>
            </w:r>
          </w:p>
        </w:tc>
      </w:tr>
      <w:tr>
        <w:tc>
          <w:tcPr>
            <w:tcW w:w="4355" w:type="dxa"/>
            <w:gridSpan w:val="20"/>
            <w:tcBorders>
              <w:top w:val="single" w:sz="4" w:space="0" w:color="auto"/>
              <w:left w:val="single" w:sz="4" w:space="0" w:color="auto"/>
              <w:bottom w:val="single" w:sz="4" w:space="0" w:color="auto"/>
              <w:right w:val="single" w:sz="4" w:space="0" w:color="auto"/>
            </w:tcBorders>
          </w:tcPr>
          <w:p>
            <w:pPr>
              <w:pStyle w:val="yTableNAm"/>
            </w:pPr>
            <w:r>
              <w:t>In the Supreme Court / District Court / Magistrates Court</w:t>
            </w:r>
          </w:p>
        </w:tc>
        <w:tc>
          <w:tcPr>
            <w:tcW w:w="2274" w:type="dxa"/>
            <w:gridSpan w:val="9"/>
            <w:tcBorders>
              <w:top w:val="single" w:sz="4" w:space="0" w:color="auto"/>
              <w:left w:val="single" w:sz="4" w:space="0" w:color="auto"/>
              <w:bottom w:val="single" w:sz="4" w:space="0" w:color="auto"/>
              <w:right w:val="single" w:sz="4" w:space="0" w:color="auto"/>
            </w:tcBorders>
          </w:tcPr>
          <w:p>
            <w:pPr>
              <w:pStyle w:val="yTableNAm"/>
              <w:tabs>
                <w:tab w:val="clear" w:pos="567"/>
                <w:tab w:val="left" w:pos="1312"/>
              </w:tabs>
            </w:pPr>
            <w:r>
              <w:t xml:space="preserve">No. </w:t>
            </w:r>
            <w:r>
              <w:tab/>
              <w:t>of  2</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rPr>
              <w:t>Applicant:</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Fee type for which request is made:</w:t>
            </w:r>
          </w:p>
        </w:tc>
      </w:tr>
      <w:tr>
        <w:tc>
          <w:tcPr>
            <w:tcW w:w="3079" w:type="dxa"/>
            <w:gridSpan w:val="12"/>
            <w:tcBorders>
              <w:top w:val="single" w:sz="4" w:space="0" w:color="auto"/>
              <w:left w:val="single" w:sz="4" w:space="0" w:color="auto"/>
              <w:bottom w:val="single" w:sz="4" w:space="0" w:color="auto"/>
              <w:right w:val="single" w:sz="4" w:space="0" w:color="auto"/>
            </w:tcBorders>
          </w:tcPr>
          <w:p>
            <w:pPr>
              <w:pStyle w:val="yTableNAm"/>
              <w:tabs>
                <w:tab w:val="clear" w:pos="567"/>
              </w:tabs>
              <w:ind w:left="284" w:hanging="284"/>
            </w:pPr>
            <w:r>
              <w:rPr>
                <w:rFonts w:ascii="MS Mincho" w:eastAsia="MS Mincho" w:hAnsi="MS Mincho" w:cs="MS Mincho" w:hint="eastAsia"/>
              </w:rPr>
              <w:t>❑</w:t>
            </w:r>
            <w:r>
              <w:t xml:space="preserve"> Application or request under the </w:t>
            </w:r>
            <w:r>
              <w:rPr>
                <w:i/>
              </w:rPr>
              <w:t>Civil Judgments Enforcement Act 2004</w:t>
            </w:r>
          </w:p>
        </w:tc>
        <w:tc>
          <w:tcPr>
            <w:tcW w:w="3550" w:type="dxa"/>
            <w:gridSpan w:val="17"/>
            <w:tcBorders>
              <w:top w:val="single" w:sz="4" w:space="0" w:color="auto"/>
              <w:left w:val="single" w:sz="4" w:space="0" w:color="auto"/>
              <w:bottom w:val="single" w:sz="4" w:space="0" w:color="auto"/>
              <w:right w:val="single" w:sz="4" w:space="0" w:color="auto"/>
            </w:tcBorders>
          </w:tcPr>
          <w:p>
            <w:pPr>
              <w:pStyle w:val="yTableNAm"/>
              <w:tabs>
                <w:tab w:val="clear" w:pos="567"/>
              </w:tabs>
              <w:ind w:left="284" w:hanging="284"/>
            </w:pPr>
            <w:r>
              <w:rPr>
                <w:rFonts w:ascii="MS Mincho" w:eastAsia="MS Mincho" w:hAnsi="MS Mincho" w:cs="MS Mincho" w:hint="eastAsia"/>
              </w:rPr>
              <w:t>❑</w:t>
            </w:r>
            <w:r>
              <w:rPr>
                <w:rFonts w:ascii="MS Mincho" w:eastAsia="MS Mincho" w:hAnsi="MS Mincho" w:cs="MS Mincho"/>
              </w:rPr>
              <w:t xml:space="preserve"> </w:t>
            </w:r>
            <w:r>
              <w:t xml:space="preserve">Registering a judgment in a court under the </w:t>
            </w:r>
            <w:r>
              <w:rPr>
                <w:i/>
              </w:rPr>
              <w:t>Service and Execution of Process Act 1992</w:t>
            </w:r>
            <w:r>
              <w:t xml:space="preserve"> (Commonwealth) section 105(1) </w:t>
            </w:r>
          </w:p>
        </w:tc>
      </w:tr>
      <w:tr>
        <w:trPr>
          <w:trHeight w:val="742"/>
        </w:trPr>
        <w:tc>
          <w:tcPr>
            <w:tcW w:w="2651" w:type="dxa"/>
            <w:gridSpan w:val="9"/>
            <w:vMerge w:val="restart"/>
            <w:tcBorders>
              <w:top w:val="single" w:sz="4" w:space="0" w:color="auto"/>
              <w:left w:val="single" w:sz="4" w:space="0" w:color="auto"/>
              <w:bottom w:val="single" w:sz="4" w:space="0" w:color="auto"/>
              <w:right w:val="single" w:sz="4" w:space="0" w:color="auto"/>
            </w:tcBorders>
          </w:tcPr>
          <w:p>
            <w:pPr>
              <w:pStyle w:val="yTableNAm"/>
            </w:pPr>
            <w:r>
              <w:t>Concession Card Holder:</w:t>
            </w:r>
          </w:p>
          <w:p>
            <w:pPr>
              <w:pStyle w:val="yTableNAm"/>
            </w:pPr>
            <w:r>
              <w:rPr>
                <w:rFonts w:ascii="MS Mincho" w:eastAsia="MS Mincho" w:hAnsi="MS Mincho" w:cs="MS Mincho" w:hint="eastAsia"/>
              </w:rPr>
              <w:t>❑</w:t>
            </w:r>
            <w:r>
              <w:t xml:space="preserve">  Yes </w:t>
            </w:r>
            <w:r>
              <w:tab/>
            </w:r>
            <w:r>
              <w:rPr>
                <w:rFonts w:ascii="MS Mincho" w:eastAsia="MS Mincho" w:hAnsi="MS Mincho" w:cs="MS Mincho" w:hint="eastAsia"/>
              </w:rPr>
              <w:t>❑</w:t>
            </w:r>
            <w:r>
              <w:t xml:space="preserve">  No</w:t>
            </w: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r>
              <w:t>Pension Concession Card No:</w:t>
            </w: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r>
              <w:br/>
              <w:t>______________</w:t>
            </w:r>
          </w:p>
        </w:tc>
      </w:tr>
      <w:tr>
        <w:trPr>
          <w:trHeight w:val="765"/>
        </w:trPr>
        <w:tc>
          <w:tcPr>
            <w:tcW w:w="2651" w:type="dxa"/>
            <w:gridSpan w:val="9"/>
            <w:vMerge/>
            <w:tcBorders>
              <w:top w:val="single" w:sz="4" w:space="0" w:color="auto"/>
              <w:left w:val="single" w:sz="4" w:space="0" w:color="auto"/>
              <w:bottom w:val="single" w:sz="4" w:space="0" w:color="auto"/>
              <w:right w:val="single" w:sz="4" w:space="0" w:color="auto"/>
            </w:tcBorders>
          </w:tcPr>
          <w:p>
            <w:pPr>
              <w:pStyle w:val="zyTableNAm"/>
            </w:pP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r>
              <w:t>Health Care Card No:</w:t>
            </w: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r>
              <w:br/>
              <w:t>______________</w:t>
            </w:r>
          </w:p>
        </w:tc>
      </w:tr>
      <w:tr>
        <w:tc>
          <w:tcPr>
            <w:tcW w:w="2651" w:type="dxa"/>
            <w:gridSpan w:val="9"/>
            <w:tcBorders>
              <w:top w:val="single" w:sz="4" w:space="0" w:color="auto"/>
              <w:left w:val="single" w:sz="4" w:space="0" w:color="auto"/>
              <w:bottom w:val="single" w:sz="4" w:space="0" w:color="auto"/>
              <w:right w:val="single" w:sz="4" w:space="0" w:color="auto"/>
            </w:tcBorders>
          </w:tcPr>
          <w:p>
            <w:pPr>
              <w:pStyle w:val="yTableNAm"/>
            </w:pPr>
            <w:r>
              <w:t>Grant of Legal Aid under a legal aid scheme or service:</w:t>
            </w:r>
          </w:p>
          <w:p>
            <w:pPr>
              <w:pStyle w:val="yTableNAm"/>
            </w:pPr>
            <w:r>
              <w:rPr>
                <w:rFonts w:ascii="MS Mincho" w:eastAsia="MS Mincho" w:hAnsi="MS Mincho" w:cs="MS Mincho" w:hint="eastAsia"/>
              </w:rPr>
              <w:t>❑</w:t>
            </w:r>
            <w:r>
              <w:t xml:space="preserve">  Yes</w:t>
            </w:r>
            <w:r>
              <w:tab/>
            </w:r>
            <w:r>
              <w:rPr>
                <w:rFonts w:ascii="MS Mincho" w:eastAsia="MS Mincho" w:hAnsi="MS Mincho" w:cs="MS Mincho" w:hint="eastAsia"/>
              </w:rPr>
              <w:t>❑</w:t>
            </w:r>
            <w:r>
              <w:t xml:space="preserve">  No</w:t>
            </w: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p>
        </w:tc>
      </w:tr>
      <w:tr>
        <w:tc>
          <w:tcPr>
            <w:tcW w:w="1948" w:type="dxa"/>
            <w:gridSpan w:val="4"/>
            <w:vMerge w:val="restart"/>
            <w:tcBorders>
              <w:top w:val="single" w:sz="4" w:space="0" w:color="auto"/>
              <w:left w:val="single" w:sz="4" w:space="0" w:color="auto"/>
              <w:bottom w:val="single" w:sz="4" w:space="0" w:color="auto"/>
              <w:right w:val="single" w:sz="4" w:space="0" w:color="auto"/>
            </w:tcBorders>
            <w:vAlign w:val="center"/>
          </w:tcPr>
          <w:p>
            <w:pPr>
              <w:pStyle w:val="yTableNAm"/>
              <w:keepNext/>
            </w:pPr>
            <w:r>
              <w:rPr>
                <w:b/>
              </w:rPr>
              <w:t>Applicant Details:</w:t>
            </w: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keepNext/>
            </w:pPr>
            <w:r>
              <w:rPr>
                <w:b/>
              </w:rPr>
              <w:t>Full Name:</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keepNext/>
            </w:pP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4681" w:type="dxa"/>
            <w:gridSpan w:val="25"/>
            <w:tcBorders>
              <w:top w:val="single" w:sz="4" w:space="0" w:color="auto"/>
              <w:left w:val="single" w:sz="4" w:space="0" w:color="auto"/>
              <w:bottom w:val="single" w:sz="4" w:space="0" w:color="auto"/>
              <w:right w:val="single" w:sz="4" w:space="0" w:color="auto"/>
            </w:tcBorders>
          </w:tcPr>
          <w:p>
            <w:pPr>
              <w:pStyle w:val="yTableNAm"/>
            </w:pPr>
            <w:r>
              <w:t>Please indicate your party type:</w:t>
            </w:r>
          </w:p>
          <w:p>
            <w:pPr>
              <w:pStyle w:val="yTableNAm"/>
            </w:pPr>
            <w:r>
              <w:rPr>
                <w:rFonts w:ascii="MS Mincho" w:eastAsia="MS Mincho" w:hAnsi="MS Mincho" w:cs="MS Mincho" w:hint="eastAsia"/>
              </w:rPr>
              <w:t>❑</w:t>
            </w:r>
            <w:r>
              <w:t xml:space="preserve">  Individual</w:t>
            </w:r>
            <w:r>
              <w:tab/>
            </w:r>
            <w:r>
              <w:rPr>
                <w:rFonts w:ascii="MS Mincho" w:eastAsia="MS Mincho" w:hAnsi="MS Mincho" w:cs="MS Mincho" w:hint="eastAsia"/>
              </w:rPr>
              <w:t>❑</w:t>
            </w:r>
            <w:r>
              <w:t xml:space="preserve">  Entity</w:t>
            </w: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pPr>
            <w:r>
              <w:rPr>
                <w:b/>
              </w:rPr>
              <w:t>Address:</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pP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pPr>
            <w:r>
              <w:rPr>
                <w:b/>
              </w:rPr>
              <w:t>Date of Birth:</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pP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szCs w:val="22"/>
              </w:rPr>
              <w:t>Please</w:t>
            </w:r>
            <w:r>
              <w:t xml:space="preserve"> give supporting reasons for your request (attach a separate page if required). </w:t>
            </w:r>
            <w:r>
              <w:rPr>
                <w:u w:val="single"/>
              </w:rPr>
              <w:t>If the reasons include financial hardship you must complete the information on the following pages</w:t>
            </w:r>
            <w:r>
              <w:t>.</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rPr>
              <w:t>I certify that the above information and disclosures in this form are true and correct.</w:t>
            </w:r>
          </w:p>
        </w:tc>
      </w:tr>
      <w:tr>
        <w:tc>
          <w:tcPr>
            <w:tcW w:w="3440" w:type="dxa"/>
            <w:gridSpan w:val="16"/>
            <w:tcBorders>
              <w:top w:val="single" w:sz="4" w:space="0" w:color="auto"/>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NAm"/>
              <w:rPr>
                <w:i/>
              </w:rPr>
            </w:pPr>
            <w:r>
              <w:rPr>
                <w:i/>
              </w:rPr>
              <w:t>Applicant’s Signature</w:t>
            </w:r>
          </w:p>
        </w:tc>
        <w:tc>
          <w:tcPr>
            <w:tcW w:w="3189" w:type="dxa"/>
            <w:gridSpan w:val="13"/>
            <w:tcBorders>
              <w:top w:val="single" w:sz="4" w:space="0" w:color="auto"/>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NAm"/>
            </w:pPr>
            <w:r>
              <w:t>Dated:</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i/>
              </w:rPr>
              <w:t>*Note:</w:t>
            </w:r>
            <w:r>
              <w:rPr>
                <w:i/>
              </w:rPr>
              <w:t xml:space="preserve">  A person who makes a statement or representation in this application that the person knows or has reason to believe is false or misleading in a material particular commits an offence under the Civil Judgments Enforcement Regulations 2005 regulation 101(1).</w:t>
            </w:r>
          </w:p>
        </w:tc>
      </w:tr>
      <w:tr>
        <w:trPr>
          <w:trHeight w:val="188"/>
        </w:trPr>
        <w:tc>
          <w:tcPr>
            <w:tcW w:w="2301" w:type="dxa"/>
            <w:gridSpan w:val="6"/>
            <w:tcBorders>
              <w:top w:val="single" w:sz="4" w:space="0" w:color="auto"/>
              <w:left w:val="single" w:sz="4" w:space="0" w:color="auto"/>
              <w:bottom w:val="single" w:sz="4" w:space="0" w:color="auto"/>
              <w:right w:val="nil"/>
            </w:tcBorders>
          </w:tcPr>
          <w:p>
            <w:pPr>
              <w:pStyle w:val="yTableNAm"/>
            </w:pPr>
          </w:p>
        </w:tc>
        <w:tc>
          <w:tcPr>
            <w:tcW w:w="2338" w:type="dxa"/>
            <w:gridSpan w:val="15"/>
            <w:tcBorders>
              <w:top w:val="single" w:sz="4" w:space="0" w:color="auto"/>
              <w:left w:val="nil"/>
              <w:bottom w:val="single" w:sz="4" w:space="0" w:color="auto"/>
              <w:right w:val="nil"/>
            </w:tcBorders>
          </w:tcPr>
          <w:p>
            <w:pPr>
              <w:pStyle w:val="yTableNAm"/>
            </w:pPr>
          </w:p>
        </w:tc>
        <w:tc>
          <w:tcPr>
            <w:tcW w:w="1990" w:type="dxa"/>
            <w:gridSpan w:val="8"/>
            <w:tcBorders>
              <w:top w:val="single" w:sz="4" w:space="0" w:color="auto"/>
              <w:left w:val="nil"/>
              <w:bottom w:val="single" w:sz="4" w:space="0" w:color="auto"/>
              <w:right w:val="single" w:sz="4" w:space="0" w:color="auto"/>
            </w:tcBorders>
          </w:tcPr>
          <w:p>
            <w:pPr>
              <w:pStyle w:val="yTableNAm"/>
            </w:pPr>
            <w:r>
              <w:t>COURT SEAL</w:t>
            </w:r>
          </w:p>
        </w:tc>
      </w:tr>
      <w:tr>
        <w:trPr>
          <w:trHeight w:val="188"/>
        </w:trPr>
        <w:tc>
          <w:tcPr>
            <w:tcW w:w="6629" w:type="dxa"/>
            <w:gridSpan w:val="29"/>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yTableNAm"/>
            </w:pPr>
            <w:r>
              <w:rPr>
                <w:b/>
              </w:rPr>
              <w:t>FINANCIAL DETAILS: APPLICANT WHO IS AN INDIVIDUAL</w:t>
            </w:r>
          </w:p>
        </w:tc>
      </w:tr>
      <w:tr>
        <w:trPr>
          <w:trHeight w:val="187"/>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individual.</w:t>
            </w: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Occupation:</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Employer:</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Employer’s Address:</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trPr>
          <w:trHeight w:val="380"/>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tabs>
                <w:tab w:val="clear" w:pos="567"/>
                <w:tab w:val="left" w:pos="1276"/>
              </w:tabs>
            </w:pPr>
            <w:r>
              <w:rPr>
                <w:b/>
              </w:rPr>
              <w:t>Dependants:</w:t>
            </w:r>
            <w:r>
              <w:tab/>
            </w:r>
            <w:r>
              <w:rPr>
                <w:rFonts w:ascii="MS Mincho" w:eastAsia="MS Mincho" w:hAnsi="MS Mincho" w:cs="MS Mincho" w:hint="eastAsia"/>
              </w:rPr>
              <w:t>❑</w:t>
            </w:r>
            <w:r>
              <w:t xml:space="preserve">   dependant wife / husband / partner / de facto </w:t>
            </w:r>
            <w:r>
              <w:br/>
            </w:r>
            <w:r>
              <w:tab/>
              <w:t>____ (number of) dependant children</w:t>
            </w:r>
          </w:p>
        </w:tc>
      </w:tr>
      <w:tr>
        <w:trPr>
          <w:trHeight w:val="567"/>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INCOME AND FINANCIAL ASSETS DETAILS</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EXPENDITURE DETAILS</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52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0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b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Water</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Court orders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Credit card/s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Other debts (provide details)</w:t>
            </w:r>
            <w:r>
              <w:b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br/>
            </w:r>
            <w:r>
              <w:b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br/>
            </w: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r>
            <w:r>
              <w:br/>
              <w:t>$  _______</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19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INCOME</w:t>
            </w:r>
          </w:p>
        </w:tc>
        <w:tc>
          <w:tcPr>
            <w:tcW w:w="141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EXPENDITURE</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br/>
              <w:t>$  _______</w:t>
            </w:r>
          </w:p>
        </w:tc>
      </w:tr>
      <w:tr>
        <w:trPr>
          <w:trHeight w:val="490"/>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p>
        </w:tc>
      </w:tr>
      <w:tr>
        <w:trPr>
          <w:trHeight w:val="20"/>
        </w:trPr>
        <w:tc>
          <w:tcPr>
            <w:tcW w:w="5306"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t>House or other property (provide addresses)</w:t>
            </w:r>
          </w:p>
          <w:p>
            <w:pPr>
              <w:pStyle w:val="yTableNAm"/>
            </w:pPr>
          </w:p>
          <w:p>
            <w:pPr>
              <w:pStyle w:val="zyTableNAm"/>
              <w:keepNext/>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______</w:t>
            </w:r>
          </w:p>
        </w:tc>
      </w:tr>
      <w:tr>
        <w:trPr>
          <w:trHeight w:val="20"/>
        </w:trPr>
        <w:tc>
          <w:tcPr>
            <w:tcW w:w="1787" w:type="dxa"/>
            <w:gridSpan w:val="3"/>
            <w:vMerge w:val="restart"/>
            <w:tcBorders>
              <w:top w:val="single" w:sz="4" w:space="0" w:color="auto"/>
              <w:left w:val="single" w:sz="4" w:space="0" w:color="auto"/>
              <w:right w:val="single" w:sz="4" w:space="0" w:color="auto"/>
            </w:tcBorders>
            <w:shd w:val="clear" w:color="auto" w:fill="auto"/>
          </w:tcPr>
          <w:p>
            <w:pPr>
              <w:pStyle w:val="yTableNAm"/>
            </w:pPr>
            <w: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1</w:t>
            </w:r>
          </w:p>
        </w:tc>
        <w:tc>
          <w:tcPr>
            <w:tcW w:w="3079"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1787" w:type="dxa"/>
            <w:gridSpan w:val="3"/>
            <w:vMerge/>
            <w:tcBorders>
              <w:left w:val="single" w:sz="4" w:space="0" w:color="auto"/>
              <w:bottom w:val="single" w:sz="4" w:space="0" w:color="auto"/>
              <w:right w:val="single" w:sz="4" w:space="0" w:color="auto"/>
            </w:tcBorders>
            <w:shd w:val="clear" w:color="auto" w:fill="auto"/>
          </w:tcPr>
          <w:p>
            <w:pPr>
              <w:pStyle w:val="zyTableNAm"/>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2</w:t>
            </w:r>
          </w:p>
        </w:tc>
        <w:tc>
          <w:tcPr>
            <w:tcW w:w="3079"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5306"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t>Other assets (provide details)</w:t>
            </w:r>
          </w:p>
          <w:p>
            <w:pPr>
              <w:pStyle w:val="yTableNAm"/>
            </w:pPr>
          </w:p>
          <w:p>
            <w:pPr>
              <w:pStyle w:val="zyTableNAm"/>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_______</w:t>
            </w:r>
          </w:p>
        </w:tc>
      </w:tr>
      <w:tr>
        <w:trPr>
          <w:trHeight w:val="715"/>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TOTAL ASSET VALUE</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  ______</w:t>
            </w:r>
          </w:p>
        </w:tc>
      </w:tr>
      <w:tr>
        <w:trPr>
          <w:trHeight w:val="715"/>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HOME CONTENTS</w:t>
            </w:r>
            <w:r>
              <w:t xml:space="preserve"> (please complete appropriate box where applicable)</w:t>
            </w:r>
          </w:p>
        </w:tc>
      </w:tr>
      <w:tr>
        <w:trPr>
          <w:trHeight w:val="715"/>
        </w:trPr>
        <w:tc>
          <w:tcPr>
            <w:tcW w:w="109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Television</w:t>
            </w:r>
            <w:r>
              <w:rPr>
                <w:sz w:val="20"/>
              </w:rPr>
              <w:br/>
            </w:r>
            <w:r>
              <w:rPr>
                <w:sz w:val="20"/>
              </w:rPr>
              <w:br/>
            </w:r>
          </w:p>
          <w:p>
            <w:pPr>
              <w:pStyle w:val="yTableNAm"/>
            </w:pPr>
            <w:r>
              <w:t>$ ______</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DVD player</w:t>
            </w:r>
            <w:r>
              <w:rPr>
                <w:sz w:val="20"/>
              </w:rPr>
              <w:br/>
            </w:r>
          </w:p>
          <w:p>
            <w:pPr>
              <w:pStyle w:val="yTableNAm"/>
            </w:pPr>
            <w:r>
              <w:t>$ ____</w:t>
            </w:r>
          </w:p>
        </w:tc>
        <w:tc>
          <w:tcPr>
            <w:tcW w:w="1230"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Computers</w:t>
            </w:r>
            <w:r>
              <w:rPr>
                <w:sz w:val="20"/>
              </w:rPr>
              <w:br/>
            </w:r>
            <w:r>
              <w:rPr>
                <w:sz w:val="20"/>
              </w:rPr>
              <w:br/>
            </w:r>
          </w:p>
          <w:p>
            <w:pPr>
              <w:pStyle w:val="yTableNAm"/>
            </w:pPr>
            <w:r>
              <w:t>$ ______</w:t>
            </w:r>
          </w:p>
        </w:tc>
        <w:tc>
          <w:tcPr>
            <w:tcW w:w="1041"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 xml:space="preserve">Other </w:t>
            </w:r>
            <w:r>
              <w:rPr>
                <w:sz w:val="20"/>
              </w:rPr>
              <w:br/>
              <w:t>electronic</w:t>
            </w:r>
            <w:r>
              <w:rPr>
                <w:sz w:val="20"/>
              </w:rPr>
              <w:br/>
              <w:t>devices</w:t>
            </w:r>
          </w:p>
          <w:p>
            <w:pPr>
              <w:pStyle w:val="yTableNAm"/>
            </w:pPr>
            <w:r>
              <w:t>$ ______</w:t>
            </w:r>
          </w:p>
        </w:tc>
        <w:tc>
          <w:tcPr>
            <w:tcW w:w="1276"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Dishwasher</w:t>
            </w:r>
            <w:r>
              <w:rPr>
                <w:sz w:val="20"/>
              </w:rPr>
              <w:br/>
            </w:r>
            <w:r>
              <w:rPr>
                <w:sz w:val="20"/>
              </w:rPr>
              <w:br/>
            </w:r>
          </w:p>
          <w:p>
            <w:pPr>
              <w:pStyle w:val="yTableNAm"/>
            </w:pPr>
            <w:r>
              <w:t>$ _______</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tabs>
                <w:tab w:val="clear" w:pos="567"/>
              </w:tabs>
              <w:ind w:left="-108"/>
            </w:pPr>
            <w:r>
              <w:rPr>
                <w:sz w:val="20"/>
              </w:rPr>
              <w:t>Microwave</w:t>
            </w:r>
            <w:r>
              <w:rPr>
                <w:sz w:val="20"/>
              </w:rPr>
              <w:br/>
            </w:r>
            <w:r>
              <w:br/>
            </w:r>
          </w:p>
          <w:p>
            <w:pPr>
              <w:pStyle w:val="yTableNAm"/>
              <w:tabs>
                <w:tab w:val="clear" w:pos="567"/>
              </w:tabs>
              <w:ind w:left="-108"/>
            </w:pPr>
            <w:r>
              <w:t>$ _______</w:t>
            </w:r>
          </w:p>
        </w:tc>
      </w:tr>
      <w:tr>
        <w:trPr>
          <w:trHeight w:val="715"/>
        </w:trPr>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Furniture</w:t>
            </w:r>
            <w:r>
              <w:rPr>
                <w:sz w:val="20"/>
              </w:rPr>
              <w:br/>
            </w:r>
            <w:r>
              <w:rPr>
                <w:sz w:val="20"/>
              </w:rPr>
              <w:br/>
            </w:r>
            <w:r>
              <w:rPr>
                <w:sz w:val="20"/>
              </w:rPr>
              <w:br/>
            </w:r>
          </w:p>
          <w:p>
            <w:pPr>
              <w:pStyle w:val="yTableNAm"/>
            </w:pPr>
            <w:r>
              <w:t>$ _______</w:t>
            </w:r>
          </w:p>
        </w:tc>
        <w:tc>
          <w:tcPr>
            <w:tcW w:w="141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Collection of coins, stamps etc.</w:t>
            </w:r>
            <w:r>
              <w:rPr>
                <w:sz w:val="20"/>
              </w:rPr>
              <w:br/>
            </w:r>
          </w:p>
          <w:p>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collectables</w:t>
            </w:r>
            <w:r>
              <w:rPr>
                <w:sz w:val="20"/>
              </w:rPr>
              <w:br/>
            </w:r>
            <w:r>
              <w:rPr>
                <w:sz w:val="20"/>
              </w:rPr>
              <w:br/>
            </w:r>
          </w:p>
          <w:p>
            <w:pPr>
              <w:pStyle w:val="yTableNAm"/>
            </w:pPr>
            <w:r>
              <w:t>$ 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assets</w:t>
            </w:r>
            <w:r>
              <w:rPr>
                <w:sz w:val="20"/>
              </w:rPr>
              <w:br/>
            </w:r>
            <w:r>
              <w:rPr>
                <w:sz w:val="20"/>
              </w:rPr>
              <w:br/>
            </w:r>
            <w:r>
              <w:rPr>
                <w:sz w:val="20"/>
              </w:rPr>
              <w:br/>
            </w:r>
          </w:p>
          <w:p>
            <w:pPr>
              <w:pStyle w:val="yTableNAm"/>
            </w:pPr>
            <w:r>
              <w:t>$ ________</w:t>
            </w:r>
          </w:p>
        </w:tc>
        <w:tc>
          <w:tcPr>
            <w:tcW w:w="1264"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Interests in business or company</w:t>
            </w:r>
            <w:r>
              <w:rPr>
                <w:sz w:val="20"/>
              </w:rPr>
              <w:br/>
            </w:r>
          </w:p>
          <w:p>
            <w:pPr>
              <w:pStyle w:val="yTableNAm"/>
            </w:pPr>
            <w:r>
              <w:t>$ _______</w:t>
            </w:r>
          </w:p>
        </w:tc>
      </w:tr>
      <w:tr>
        <w:trPr>
          <w:trHeight w:val="723"/>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Other to:</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Time to Pay Order:</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306" w:type="dxa"/>
            <w:gridSpan w:val="24"/>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 LIABILITIES</w:t>
            </w:r>
          </w:p>
        </w:tc>
        <w:tc>
          <w:tcPr>
            <w:tcW w:w="1323"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  _______</w:t>
            </w:r>
          </w:p>
        </w:tc>
      </w:tr>
      <w:tr>
        <w:trPr>
          <w:trHeight w:val="188"/>
        </w:trPr>
        <w:tc>
          <w:tcPr>
            <w:tcW w:w="6629" w:type="dxa"/>
            <w:gridSpan w:val="29"/>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 DETAIL: APPLICANT WHO IS NOT AN INDIVIDUAL</w:t>
            </w:r>
          </w:p>
        </w:tc>
      </w:tr>
      <w:tr>
        <w:trPr>
          <w:cantSplit/>
          <w:trHeight w:val="187"/>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entity.</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285"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c>
          <w:tcPr>
            <w:tcW w:w="134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  _______</w:t>
            </w:r>
          </w:p>
        </w:tc>
      </w:tr>
    </w:tbl>
    <w:p>
      <w:pPr>
        <w:pStyle w:val="yFootnotesection"/>
        <w:keepLines w:val="0"/>
        <w:spacing w:after="120"/>
      </w:pPr>
      <w:r>
        <w:tab/>
        <w:t>[Form 4 inserted: Gazette 13 Jan 2017 p. 346</w:t>
      </w:r>
      <w:r>
        <w:noBreakHyphen/>
        <w:t>50; amended: Gazette 20 Jul 2018 p. 2623.]</w:t>
      </w:r>
    </w:p>
    <w:p>
      <w:pPr>
        <w:pStyle w:val="yHeading5"/>
        <w:pageBreakBefore/>
        <w:spacing w:before="0" w:after="80"/>
      </w:pPr>
      <w:bookmarkStart w:id="203" w:name="_Toc47082111"/>
      <w:r>
        <w:rPr>
          <w:rStyle w:val="CharSClsNo"/>
        </w:rPr>
        <w:t>5</w:t>
      </w:r>
      <w:r>
        <w:t>.</w:t>
      </w:r>
      <w:r>
        <w:tab/>
        <w:t>Application for determination of dispute about enforcement costs</w:t>
      </w:r>
      <w:bookmarkEnd w:id="2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3"/>
        <w:gridCol w:w="1914"/>
        <w:gridCol w:w="708"/>
        <w:gridCol w:w="2615"/>
      </w:tblGrid>
      <w:tr>
        <w:tc>
          <w:tcPr>
            <w:tcW w:w="7080" w:type="dxa"/>
            <w:gridSpan w:val="5"/>
          </w:tcPr>
          <w:p>
            <w:pPr>
              <w:pStyle w:val="yTableNAm"/>
              <w:tabs>
                <w:tab w:val="clear" w:pos="567"/>
                <w:tab w:val="left" w:pos="339"/>
                <w:tab w:val="left" w:pos="699"/>
                <w:tab w:val="left" w:leader="dot" w:pos="4299"/>
              </w:tabs>
              <w:spacing w:before="40"/>
              <w:jc w:val="center"/>
              <w:rPr>
                <w:b/>
                <w:bCs/>
              </w:rPr>
            </w:pPr>
            <w:r>
              <w:rPr>
                <w:b/>
                <w:bCs/>
              </w:rPr>
              <w:t>Form 5</w:t>
            </w:r>
          </w:p>
          <w:p>
            <w:pPr>
              <w:pStyle w:val="yTableNAm"/>
              <w:tabs>
                <w:tab w:val="clear" w:pos="567"/>
                <w:tab w:val="left" w:pos="339"/>
                <w:tab w:val="left" w:pos="699"/>
                <w:tab w:val="left" w:leader="dot" w:pos="4299"/>
              </w:tabs>
              <w:spacing w:before="4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40"/>
              <w:jc w:val="center"/>
              <w:rPr>
                <w:b/>
                <w:bCs/>
                <w:i/>
                <w:iCs/>
              </w:rPr>
            </w:pPr>
            <w:r>
              <w:rPr>
                <w:b/>
                <w:bCs/>
                <w:i/>
                <w:iCs/>
              </w:rPr>
              <w:t>(Regulation 108)</w:t>
            </w:r>
          </w:p>
          <w:p>
            <w:pPr>
              <w:pStyle w:val="yTableNAm"/>
              <w:tabs>
                <w:tab w:val="clear" w:pos="567"/>
                <w:tab w:val="left" w:pos="339"/>
                <w:tab w:val="left" w:pos="699"/>
                <w:tab w:val="left" w:leader="dot" w:pos="4299"/>
              </w:tabs>
              <w:spacing w:before="40"/>
              <w:jc w:val="center"/>
              <w:rPr>
                <w:b/>
                <w:bCs/>
              </w:rPr>
            </w:pPr>
            <w:r>
              <w:rPr>
                <w:b/>
                <w:bCs/>
              </w:rPr>
              <w:t>Application for determination of dispute about enforcement costs</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Court/Magistrates Court*</w:t>
            </w:r>
          </w:p>
        </w:tc>
        <w:tc>
          <w:tcPr>
            <w:tcW w:w="3323" w:type="dxa"/>
            <w:gridSpan w:val="2"/>
          </w:tcPr>
          <w:p>
            <w:pPr>
              <w:pStyle w:val="yTableNAm"/>
              <w:tabs>
                <w:tab w:val="clear" w:pos="567"/>
                <w:tab w:val="left" w:pos="339"/>
                <w:tab w:val="left" w:pos="699"/>
                <w:tab w:val="left" w:leader="dot" w:pos="4299"/>
              </w:tabs>
              <w:spacing w:before="60"/>
            </w:pPr>
            <w:r>
              <w:br/>
              <w:t>No. ............ of............20............</w:t>
            </w:r>
          </w:p>
        </w:tc>
      </w:tr>
      <w:tr>
        <w:trPr>
          <w:cantSplit/>
        </w:trPr>
        <w:tc>
          <w:tcPr>
            <w:tcW w:w="1680" w:type="dxa"/>
          </w:tcPr>
          <w:p>
            <w:pPr>
              <w:pStyle w:val="yTableNAm"/>
              <w:tabs>
                <w:tab w:val="clear" w:pos="567"/>
                <w:tab w:val="left" w:pos="339"/>
                <w:tab w:val="left" w:pos="699"/>
                <w:tab w:val="left" w:leader="dot" w:pos="4299"/>
              </w:tabs>
              <w:spacing w:before="60"/>
              <w:rPr>
                <w:b/>
                <w:bCs/>
              </w:rPr>
            </w:pPr>
            <w:r>
              <w:rPr>
                <w:b/>
                <w:bCs/>
              </w:rPr>
              <w:t>Application:</w:t>
            </w:r>
          </w:p>
        </w:tc>
        <w:tc>
          <w:tcPr>
            <w:tcW w:w="5400" w:type="dxa"/>
            <w:gridSpan w:val="4"/>
          </w:tcPr>
          <w:p>
            <w:pPr>
              <w:pStyle w:val="yTableNAm"/>
              <w:tabs>
                <w:tab w:val="clear" w:pos="567"/>
                <w:tab w:val="left" w:pos="339"/>
                <w:tab w:val="left" w:pos="699"/>
                <w:tab w:val="left" w:leader="dot" w:pos="4299"/>
              </w:tabs>
              <w:spacing w:before="60"/>
              <w:ind w:right="252"/>
            </w:pPr>
            <w:r>
              <w:t xml:space="preserve">To the Principal Registrar for a determination under the </w:t>
            </w:r>
            <w:r>
              <w:rPr>
                <w:i/>
                <w:iCs/>
              </w:rPr>
              <w:t>Civil Judgments Enforcement Regulations 2005</w:t>
            </w:r>
            <w:r>
              <w:t xml:space="preserve"> regulation 108 of a question regarding enforcement costs. </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400" w:type="dxa"/>
            <w:gridSpan w:val="4"/>
          </w:tcPr>
          <w:p>
            <w:pPr>
              <w:pStyle w:val="yTableNAm"/>
              <w:tabs>
                <w:tab w:val="clear" w:pos="567"/>
                <w:tab w:val="left" w:pos="339"/>
                <w:tab w:val="left" w:pos="699"/>
                <w:tab w:val="left" w:leader="dot" w:pos="4299"/>
              </w:tabs>
              <w:spacing w:before="60"/>
            </w:pPr>
            <w:r>
              <w:t>..............................................................................................</w:t>
            </w:r>
            <w:r>
              <w:br/>
              <w:t>Full name</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w:t>
            </w:r>
            <w:r>
              <w:br/>
              <w:t>Address</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2785" w:type="dxa"/>
            <w:gridSpan w:val="3"/>
          </w:tcPr>
          <w:p>
            <w:pPr>
              <w:pStyle w:val="yTableNAm"/>
              <w:tabs>
                <w:tab w:val="clear" w:pos="567"/>
                <w:tab w:val="left" w:pos="339"/>
                <w:tab w:val="left" w:pos="699"/>
                <w:tab w:val="left" w:leader="dot" w:pos="4299"/>
              </w:tabs>
              <w:spacing w:before="60"/>
            </w:pPr>
            <w:r>
              <w:t>.............................................</w:t>
            </w:r>
            <w:r>
              <w:br/>
              <w:t>Date of birth</w:t>
            </w:r>
          </w:p>
        </w:tc>
        <w:tc>
          <w:tcPr>
            <w:tcW w:w="2615" w:type="dxa"/>
          </w:tcPr>
          <w:p>
            <w:pPr>
              <w:pStyle w:val="yTableNAm"/>
              <w:tabs>
                <w:tab w:val="clear" w:pos="567"/>
                <w:tab w:val="left" w:pos="339"/>
                <w:tab w:val="left" w:pos="699"/>
                <w:tab w:val="left" w:leader="dot" w:pos="4299"/>
              </w:tabs>
              <w:spacing w:before="60"/>
            </w:pPr>
            <w:r>
              <w:t>...........................................</w:t>
            </w:r>
            <w:r>
              <w:br/>
              <w:t>MDL No.</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Disputed enforcement cost:</w:t>
            </w:r>
          </w:p>
        </w:tc>
        <w:tc>
          <w:tcPr>
            <w:tcW w:w="5400" w:type="dxa"/>
            <w:gridSpan w:val="4"/>
          </w:tcPr>
          <w:p>
            <w:pPr>
              <w:pStyle w:val="yTableNAm"/>
              <w:tabs>
                <w:tab w:val="clear" w:pos="567"/>
                <w:tab w:val="left" w:pos="339"/>
                <w:tab w:val="left" w:pos="699"/>
                <w:tab w:val="left" w:leader="dot" w:pos="4299"/>
              </w:tabs>
              <w:spacing w:before="60"/>
            </w:pPr>
            <w:r>
              <w:t>The disputed enforcement cost is ........................................</w:t>
            </w:r>
          </w:p>
          <w:p>
            <w:pPr>
              <w:pStyle w:val="yTableNAm"/>
              <w:tabs>
                <w:tab w:val="clear" w:pos="567"/>
                <w:tab w:val="left" w:pos="339"/>
                <w:tab w:val="left" w:pos="699"/>
                <w:tab w:val="left" w:leader="dot" w:pos="4299"/>
              </w:tabs>
              <w:spacing w:before="0"/>
            </w:pPr>
            <w:r>
              <w:t>..............................................................................................</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Payable under the </w:t>
            </w:r>
            <w:r>
              <w:rPr>
                <w:i/>
                <w:iCs/>
              </w:rPr>
              <w:t xml:space="preserve">Civil Judgments Enforcement Regulations 2005 </w:t>
            </w:r>
            <w:r>
              <w:t>Schedule 1/2/3* item ..............................</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I dispute — </w:t>
            </w:r>
          </w:p>
          <w:p>
            <w:pPr>
              <w:pStyle w:val="yTableNAm"/>
              <w:tabs>
                <w:tab w:val="clear" w:pos="567"/>
                <w:tab w:val="left" w:pos="339"/>
                <w:tab w:val="left" w:pos="699"/>
                <w:tab w:val="left" w:leader="dot" w:pos="4299"/>
              </w:tabs>
              <w:spacing w:before="60"/>
            </w:pPr>
            <w:r>
              <w:sym w:font="Monotype Sorts" w:char="F070"/>
            </w:r>
            <w:r>
              <w:tab/>
              <w:t>that the enforcement cost is payable</w:t>
            </w:r>
          </w:p>
          <w:p>
            <w:pPr>
              <w:pStyle w:val="yTableNAm"/>
              <w:tabs>
                <w:tab w:val="clear" w:pos="567"/>
                <w:tab w:val="left" w:pos="339"/>
                <w:tab w:val="left" w:pos="699"/>
                <w:tab w:val="left" w:leader="dot" w:pos="4299"/>
              </w:tabs>
              <w:spacing w:before="60"/>
            </w:pPr>
            <w:r>
              <w:sym w:font="Monotype Sorts" w:char="F070"/>
            </w:r>
            <w:r>
              <w:tab/>
              <w:t>the amount of the enforcement cost</w:t>
            </w:r>
          </w:p>
          <w:p>
            <w:pPr>
              <w:pStyle w:val="yTableNAm"/>
              <w:tabs>
                <w:tab w:val="clear" w:pos="567"/>
                <w:tab w:val="left" w:pos="339"/>
                <w:tab w:val="left" w:pos="699"/>
                <w:tab w:val="left" w:leader="dot" w:pos="4299"/>
              </w:tabs>
              <w:spacing w:before="60"/>
            </w:pPr>
            <w:r>
              <w:sym w:font="Monotype Sorts" w:char="F070"/>
            </w:r>
            <w:r>
              <w:tab/>
              <w:t xml:space="preserve">other </w:t>
            </w:r>
            <w:r>
              <w:rPr>
                <w:i/>
                <w:iCs/>
                <w:sz w:val="16"/>
              </w:rPr>
              <w:t>[give details]</w:t>
            </w:r>
            <w:r>
              <w:t xml:space="preserve"> ..............................................................</w:t>
            </w:r>
          </w:p>
          <w:p>
            <w:pPr>
              <w:pStyle w:val="yTableNAm"/>
              <w:tabs>
                <w:tab w:val="clear" w:pos="567"/>
                <w:tab w:val="left" w:pos="339"/>
                <w:tab w:val="left" w:pos="699"/>
                <w:tab w:val="left" w:leader="dot" w:pos="4299"/>
              </w:tabs>
              <w:spacing w:before="0"/>
            </w:pPr>
            <w:r>
              <w:tab/>
              <w:t>........................................................................................</w:t>
            </w:r>
          </w:p>
        </w:tc>
      </w:tr>
      <w:tr>
        <w:trPr>
          <w:cantSplit/>
        </w:trPr>
        <w:tc>
          <w:tcPr>
            <w:tcW w:w="7080" w:type="dxa"/>
            <w:gridSpan w:val="5"/>
          </w:tcPr>
          <w:p>
            <w:pPr>
              <w:pStyle w:val="yTableNAm"/>
              <w:tabs>
                <w:tab w:val="clear" w:pos="567"/>
                <w:tab w:val="left" w:pos="339"/>
                <w:tab w:val="left" w:pos="699"/>
                <w:tab w:val="left" w:leader="dot" w:pos="4299"/>
              </w:tabs>
              <w:spacing w:before="60"/>
            </w:pPr>
            <w:r>
              <w:t>I dispute the enforcement cost because: ............................................................</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5237" w:type="dxa"/>
            <w:gridSpan w:val="3"/>
          </w:tcPr>
          <w:p>
            <w:pPr>
              <w:pStyle w:val="yTableNAm"/>
              <w:tabs>
                <w:tab w:val="clear" w:pos="567"/>
                <w:tab w:val="left" w:pos="339"/>
                <w:tab w:val="left" w:pos="699"/>
                <w:tab w:val="left" w:leader="dot" w:pos="4299"/>
              </w:tabs>
              <w:spacing w:before="60"/>
            </w:pPr>
            <w:r>
              <w:b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Date:</w:t>
            </w:r>
          </w:p>
        </w:tc>
        <w:tc>
          <w:tcPr>
            <w:tcW w:w="5237" w:type="dxa"/>
            <w:gridSpan w:val="3"/>
          </w:tcPr>
          <w:p>
            <w:pPr>
              <w:pStyle w:val="yTableNAm"/>
              <w:tabs>
                <w:tab w:val="clear" w:pos="567"/>
                <w:tab w:val="left" w:pos="339"/>
                <w:tab w:val="left" w:pos="699"/>
                <w:tab w:val="left" w:leader="dot" w:pos="4299"/>
              </w:tabs>
              <w:spacing w:before="60"/>
            </w:pPr>
            <w:r>
              <w:t>........./ ......../20........</w:t>
            </w:r>
          </w:p>
        </w:tc>
      </w:tr>
      <w:tr>
        <w:trPr>
          <w:cantSplit/>
        </w:trPr>
        <w:tc>
          <w:tcPr>
            <w:tcW w:w="7080" w:type="dxa"/>
            <w:gridSpan w:val="5"/>
          </w:tcPr>
          <w:p>
            <w:pPr>
              <w:pStyle w:val="yTableNAm"/>
              <w:tabs>
                <w:tab w:val="clear" w:pos="567"/>
                <w:tab w:val="left" w:pos="339"/>
                <w:tab w:val="left" w:pos="699"/>
                <w:tab w:val="left" w:leader="dot" w:pos="4299"/>
              </w:tabs>
              <w:spacing w:before="60"/>
            </w:pPr>
            <w:r>
              <w:t>*</w:t>
            </w:r>
            <w:r>
              <w:tab/>
            </w:r>
            <w:r>
              <w:rPr>
                <w:i/>
                <w:iCs/>
                <w:sz w:val="16"/>
              </w:rPr>
              <w:t>Strike out words or numbers that are not applicable.</w:t>
            </w:r>
          </w:p>
        </w:tc>
      </w:tr>
    </w:tbl>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8"/>
          <w:headerReference w:type="default" r:id="rId29"/>
          <w:pgSz w:w="11907" w:h="16840" w:code="9"/>
          <w:pgMar w:top="2381" w:right="2410" w:bottom="3544" w:left="2410" w:header="720" w:footer="3544" w:gutter="0"/>
          <w:cols w:space="720"/>
        </w:sectPr>
      </w:pPr>
    </w:p>
    <w:p>
      <w:pPr>
        <w:pStyle w:val="nHeading2"/>
      </w:pPr>
      <w:bookmarkStart w:id="204" w:name="_Toc47014535"/>
      <w:bookmarkStart w:id="205" w:name="_Toc47015098"/>
      <w:bookmarkStart w:id="206" w:name="_Toc47082112"/>
      <w:r>
        <w:t>Notes</w:t>
      </w:r>
      <w:bookmarkEnd w:id="204"/>
      <w:bookmarkEnd w:id="205"/>
      <w:bookmarkEnd w:id="206"/>
    </w:p>
    <w:p>
      <w:pPr>
        <w:pStyle w:val="nStatement"/>
      </w:pPr>
      <w:r>
        <w:t xml:space="preserve">This is a compilation of the </w:t>
      </w:r>
      <w:r>
        <w:rPr>
          <w:i/>
          <w:noProof/>
        </w:rPr>
        <w:t>Civil Judgments Enforcement Regulations 2005</w:t>
      </w:r>
      <w:r>
        <w:t xml:space="preserve"> and includes amendments made by other written laws. For provisions that have come into operation, and for information about any reprints, see the compilation table.</w:t>
      </w:r>
    </w:p>
    <w:p>
      <w:pPr>
        <w:pStyle w:val="nHeading3"/>
      </w:pPr>
      <w:bookmarkStart w:id="207" w:name="_Toc47082113"/>
      <w:r>
        <w:t>Compilation table</w:t>
      </w:r>
      <w:bookmarkEnd w:id="20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Civil Judgments Enforcement Regulations 2005</w:t>
            </w:r>
          </w:p>
        </w:tc>
        <w:tc>
          <w:tcPr>
            <w:tcW w:w="1276" w:type="dxa"/>
            <w:tcBorders>
              <w:top w:val="single" w:sz="8" w:space="0" w:color="auto"/>
            </w:tcBorders>
          </w:tcPr>
          <w:p>
            <w:pPr>
              <w:pStyle w:val="nTable"/>
              <w:spacing w:after="40"/>
            </w:pPr>
            <w:r>
              <w:t>28 Apr 2005 p. 1483</w:t>
            </w:r>
            <w:r>
              <w:noBreakHyphen/>
              <w:t>559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2005</w:t>
            </w:r>
          </w:p>
        </w:tc>
        <w:tc>
          <w:tcPr>
            <w:tcW w:w="1276" w:type="dxa"/>
          </w:tcPr>
          <w:p>
            <w:pPr>
              <w:pStyle w:val="nTable"/>
              <w:spacing w:after="40"/>
            </w:pPr>
            <w:r>
              <w:t>13 Dec 2005 p. 5984</w:t>
            </w:r>
            <w:r>
              <w:noBreakHyphen/>
              <w:t>5</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2006</w:t>
            </w:r>
          </w:p>
        </w:tc>
        <w:tc>
          <w:tcPr>
            <w:tcW w:w="1276" w:type="dxa"/>
          </w:tcPr>
          <w:p>
            <w:pPr>
              <w:pStyle w:val="nTable"/>
              <w:spacing w:after="40"/>
            </w:pPr>
            <w:r>
              <w:t>23 Jun 2006 p. 2175</w:t>
            </w:r>
            <w:r>
              <w:noBreakHyphen/>
              <w:t>7</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2) 2007</w:t>
            </w:r>
          </w:p>
        </w:tc>
        <w:tc>
          <w:tcPr>
            <w:tcW w:w="1276" w:type="dxa"/>
          </w:tcPr>
          <w:p>
            <w:pPr>
              <w:pStyle w:val="nTable"/>
              <w:spacing w:after="40"/>
            </w:pPr>
            <w:r>
              <w:t>26 Jun 2007 p. 3037</w:t>
            </w:r>
            <w:r>
              <w:noBreakHyphen/>
              <w:t>9</w:t>
            </w:r>
          </w:p>
        </w:tc>
        <w:tc>
          <w:tcPr>
            <w:tcW w:w="2693" w:type="dxa"/>
          </w:tcPr>
          <w:p>
            <w:pPr>
              <w:pStyle w:val="nTable"/>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2007</w:t>
            </w:r>
          </w:p>
        </w:tc>
        <w:tc>
          <w:tcPr>
            <w:tcW w:w="1276" w:type="dxa"/>
          </w:tcPr>
          <w:p>
            <w:pPr>
              <w:pStyle w:val="nTable"/>
              <w:spacing w:after="40"/>
            </w:pPr>
            <w:r>
              <w:t>14 Dec 2007 p. 6239</w:t>
            </w:r>
            <w:r>
              <w:noBreakHyphen/>
              <w:t>45</w:t>
            </w:r>
          </w:p>
        </w:tc>
        <w:tc>
          <w:tcPr>
            <w:tcW w:w="2693" w:type="dxa"/>
          </w:tcPr>
          <w:p>
            <w:pPr>
              <w:pStyle w:val="nTable"/>
              <w:spacing w:after="40"/>
            </w:pPr>
            <w:r>
              <w:t>r. 1 and 2: 14 Dec 2007 (see r. 2(a));</w:t>
            </w:r>
            <w:r>
              <w:br/>
              <w:t>Regulations other than r. 1 and 2: 15 Dec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Cs/>
              </w:rPr>
            </w:pPr>
            <w:r>
              <w:rPr>
                <w:i/>
              </w:rPr>
              <w:t>Civil Judgments Enforcement Amendment Regulations 2008</w:t>
            </w:r>
          </w:p>
        </w:tc>
        <w:tc>
          <w:tcPr>
            <w:tcW w:w="1276" w:type="dxa"/>
          </w:tcPr>
          <w:p>
            <w:pPr>
              <w:pStyle w:val="nTable"/>
              <w:spacing w:after="40"/>
            </w:pPr>
            <w:r>
              <w:t>16 May 2008 p. 1908</w:t>
            </w:r>
            <w:r>
              <w:noBreakHyphen/>
              <w:t>9</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2) 2008</w:t>
            </w:r>
          </w:p>
        </w:tc>
        <w:tc>
          <w:tcPr>
            <w:tcW w:w="1276" w:type="dxa"/>
          </w:tcPr>
          <w:p>
            <w:pPr>
              <w:pStyle w:val="nTable"/>
              <w:spacing w:after="40"/>
            </w:pPr>
            <w:r>
              <w:t>27 Jun 2008 p. 3073</w:t>
            </w:r>
            <w:r>
              <w:noBreakHyphen/>
              <w:t>5</w:t>
            </w:r>
          </w:p>
        </w:tc>
        <w:tc>
          <w:tcPr>
            <w:tcW w:w="2693" w:type="dxa"/>
          </w:tcPr>
          <w:p>
            <w:pPr>
              <w:pStyle w:val="nTable"/>
              <w:spacing w:after="40"/>
            </w:pPr>
            <w:r>
              <w:t>r. 1 and 2: 27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rPr>
              <w:t>Civil Judgments Enforcement Regulations 2005</w:t>
            </w:r>
            <w:r>
              <w:rPr>
                <w:b/>
                <w:bCs/>
              </w:rPr>
              <w:t xml:space="preserve"> as at 14 Nov 2008</w:t>
            </w:r>
            <w:r>
              <w:t xml:space="preserve"> (includes amendments listed above) </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3) 2008</w:t>
            </w:r>
          </w:p>
        </w:tc>
        <w:tc>
          <w:tcPr>
            <w:tcW w:w="1276" w:type="dxa"/>
          </w:tcPr>
          <w:p>
            <w:pPr>
              <w:pStyle w:val="nTable"/>
              <w:spacing w:after="40"/>
            </w:pPr>
            <w:r>
              <w:t>23 Dec 2008 p. 5471</w:t>
            </w:r>
          </w:p>
        </w:tc>
        <w:tc>
          <w:tcPr>
            <w:tcW w:w="2693" w:type="dxa"/>
          </w:tcPr>
          <w:p>
            <w:pPr>
              <w:pStyle w:val="nTable"/>
              <w:spacing w:after="40"/>
            </w:pPr>
            <w:r>
              <w:t>r. 1 and 2: 23 Dec 2008 (see r. 2(a));</w:t>
            </w:r>
            <w:r>
              <w:br/>
              <w:t>Regulations other than r. 1 and 2: 24 Dec 2008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5) 2008</w:t>
            </w:r>
          </w:p>
        </w:tc>
        <w:tc>
          <w:tcPr>
            <w:tcW w:w="1276" w:type="dxa"/>
          </w:tcPr>
          <w:p>
            <w:pPr>
              <w:pStyle w:val="nTable"/>
              <w:spacing w:after="40"/>
            </w:pPr>
            <w:r>
              <w:t>23 Dec 2008 p. 5472</w:t>
            </w:r>
          </w:p>
        </w:tc>
        <w:tc>
          <w:tcPr>
            <w:tcW w:w="2693" w:type="dxa"/>
          </w:tcPr>
          <w:p>
            <w:pPr>
              <w:pStyle w:val="nTable"/>
              <w:spacing w:after="40"/>
            </w:pPr>
            <w:r>
              <w:t>r. 1 and 2: 23 Dec 2008 (see r. 2(a));</w:t>
            </w:r>
            <w:r>
              <w:br/>
              <w:t>Regulations other than r. 1 and 2: 1 Jan 2009 (see r. 2(b))</w:t>
            </w:r>
          </w:p>
        </w:tc>
      </w:tr>
      <w:tr>
        <w:tblPrEx>
          <w:tblBorders>
            <w:top w:val="none" w:sz="0" w:space="0" w:color="auto"/>
            <w:bottom w:val="none" w:sz="0" w:space="0" w:color="auto"/>
            <w:insideH w:val="none" w:sz="0" w:space="0" w:color="auto"/>
          </w:tblBorders>
        </w:tblPrEx>
        <w:tc>
          <w:tcPr>
            <w:tcW w:w="3118" w:type="dxa"/>
          </w:tcPr>
          <w:p>
            <w:pPr>
              <w:pStyle w:val="nTable"/>
              <w:keepNext/>
              <w:keepLines/>
              <w:spacing w:after="40"/>
              <w:rPr>
                <w:i/>
              </w:rPr>
            </w:pPr>
            <w:r>
              <w:rPr>
                <w:i/>
              </w:rPr>
              <w:t>Civil Judgments Enforcement Amendment Regulations 2009</w:t>
            </w:r>
          </w:p>
        </w:tc>
        <w:tc>
          <w:tcPr>
            <w:tcW w:w="1276" w:type="dxa"/>
          </w:tcPr>
          <w:p>
            <w:pPr>
              <w:pStyle w:val="nTable"/>
              <w:keepNext/>
              <w:keepLines/>
              <w:spacing w:after="40"/>
            </w:pPr>
            <w:r>
              <w:t>27 Feb 2009 p. 516-17</w:t>
            </w:r>
          </w:p>
        </w:tc>
        <w:tc>
          <w:tcPr>
            <w:tcW w:w="2693" w:type="dxa"/>
          </w:tcPr>
          <w:p>
            <w:pPr>
              <w:pStyle w:val="nTable"/>
              <w:keepNext/>
              <w:keepLines/>
              <w:spacing w:after="40"/>
            </w:pPr>
            <w:r>
              <w:t>r. 1 and 2: 27 Feb 2009 (see r. 2(a));</w:t>
            </w:r>
            <w:r>
              <w:br/>
              <w:t xml:space="preserve">Regulations other than r. 1 and 2: 1 Mar 2009 (see r. 2(b) and </w:t>
            </w:r>
            <w:r>
              <w:rPr>
                <w:i/>
                <w:iCs/>
              </w:rPr>
              <w:t>Gazette</w:t>
            </w:r>
            <w:r>
              <w:t xml:space="preserve"> 27 Feb 2009 p. 511)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3) 2009</w:t>
            </w:r>
          </w:p>
        </w:tc>
        <w:tc>
          <w:tcPr>
            <w:tcW w:w="1276" w:type="dxa"/>
          </w:tcPr>
          <w:p>
            <w:pPr>
              <w:pStyle w:val="nTable"/>
              <w:spacing w:after="40"/>
            </w:pPr>
            <w:r>
              <w:t>4 Sep 2009 p. 3485-7</w:t>
            </w:r>
          </w:p>
        </w:tc>
        <w:tc>
          <w:tcPr>
            <w:tcW w:w="2693" w:type="dxa"/>
          </w:tcPr>
          <w:p>
            <w:pPr>
              <w:pStyle w:val="nTable"/>
              <w:spacing w:after="40"/>
            </w:pPr>
            <w:r>
              <w:t>r. 1 and 2: 4 Sep 2009 (see r. 2(a));</w:t>
            </w:r>
            <w:r>
              <w:br/>
              <w:t>Regulations other than r. 1 and 2: 5 Sep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2) 2009</w:t>
            </w:r>
          </w:p>
        </w:tc>
        <w:tc>
          <w:tcPr>
            <w:tcW w:w="1276" w:type="dxa"/>
          </w:tcPr>
          <w:p>
            <w:pPr>
              <w:pStyle w:val="nTable"/>
              <w:spacing w:after="40"/>
            </w:pPr>
            <w:r>
              <w:t>27 Nov 2009 p. 4783-6</w:t>
            </w:r>
          </w:p>
        </w:tc>
        <w:tc>
          <w:tcPr>
            <w:tcW w:w="2693" w:type="dxa"/>
          </w:tcPr>
          <w:p>
            <w:pPr>
              <w:pStyle w:val="nTable"/>
              <w:spacing w:after="40"/>
            </w:pPr>
            <w:r>
              <w:t>r. 1 and 2: 27 Nov 2009 (see r. 2(a));</w:t>
            </w:r>
            <w:r>
              <w:br/>
              <w:t>Regulations other than r. 1 and 2: 28 Nov 2009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2: The </w:t>
            </w:r>
            <w:r>
              <w:rPr>
                <w:b/>
                <w:bCs/>
                <w:i/>
              </w:rPr>
              <w:t>Civil Judgments Enforcement Regulations 2005</w:t>
            </w:r>
            <w:r>
              <w:rPr>
                <w:b/>
                <w:bCs/>
              </w:rPr>
              <w:t xml:space="preserve"> as at 12 Feb 2010</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2011</w:t>
            </w:r>
          </w:p>
        </w:tc>
        <w:tc>
          <w:tcPr>
            <w:tcW w:w="1276" w:type="dxa"/>
          </w:tcPr>
          <w:p>
            <w:pPr>
              <w:pStyle w:val="nTable"/>
              <w:spacing w:after="40"/>
            </w:pPr>
            <w:r>
              <w:t>8 Mar 2011 p. 796</w:t>
            </w:r>
            <w:r>
              <w:noBreakHyphen/>
              <w:t>8</w:t>
            </w:r>
          </w:p>
        </w:tc>
        <w:tc>
          <w:tcPr>
            <w:tcW w:w="2693" w:type="dxa"/>
          </w:tcPr>
          <w:p>
            <w:pPr>
              <w:pStyle w:val="nTable"/>
              <w:spacing w:after="40"/>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2) 2011</w:t>
            </w:r>
          </w:p>
        </w:tc>
        <w:tc>
          <w:tcPr>
            <w:tcW w:w="1276" w:type="dxa"/>
          </w:tcPr>
          <w:p>
            <w:pPr>
              <w:pStyle w:val="nTable"/>
              <w:spacing w:after="40"/>
            </w:pPr>
            <w:r>
              <w:t>20 Dec 2011 p. 5393</w:t>
            </w:r>
            <w:r>
              <w:noBreakHyphen/>
              <w:t>5</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2012</w:t>
            </w:r>
          </w:p>
        </w:tc>
        <w:tc>
          <w:tcPr>
            <w:tcW w:w="1276" w:type="dxa"/>
          </w:tcPr>
          <w:p>
            <w:pPr>
              <w:pStyle w:val="nTable"/>
              <w:spacing w:after="40"/>
            </w:pPr>
            <w:r>
              <w:t>30 Nov 2012 p. 5797</w:t>
            </w:r>
            <w:r>
              <w:noBreakHyphen/>
              <w:t>9</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2013</w:t>
            </w:r>
          </w:p>
        </w:tc>
        <w:tc>
          <w:tcPr>
            <w:tcW w:w="1276" w:type="dxa"/>
          </w:tcPr>
          <w:p>
            <w:pPr>
              <w:pStyle w:val="nTable"/>
              <w:spacing w:after="40"/>
            </w:pPr>
            <w:r>
              <w:t>15 Nov 2013 p. 5253</w:t>
            </w:r>
            <w:r>
              <w:noBreakHyphen/>
              <w:t>5</w:t>
            </w:r>
          </w:p>
        </w:tc>
        <w:tc>
          <w:tcPr>
            <w:tcW w:w="2693" w:type="dxa"/>
          </w:tcPr>
          <w:p>
            <w:pPr>
              <w:pStyle w:val="nTable"/>
              <w:spacing w:after="40"/>
              <w:rPr>
                <w:snapToGrid w:val="0"/>
              </w:rPr>
            </w:pPr>
            <w:r>
              <w:rPr>
                <w:bCs/>
                <w:snapToGrid w:val="0"/>
              </w:rPr>
              <w:t>r. 1 and 2: 15 Nov 2013 (see r. 2(a));</w:t>
            </w:r>
            <w:r>
              <w:rPr>
                <w:bCs/>
                <w:snapToGrid w:val="0"/>
              </w:rPr>
              <w:br/>
              <w:t>Regulations other than r. 1 and 2: 16 Nov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2014</w:t>
            </w:r>
          </w:p>
        </w:tc>
        <w:tc>
          <w:tcPr>
            <w:tcW w:w="1276" w:type="dxa"/>
          </w:tcPr>
          <w:p>
            <w:pPr>
              <w:pStyle w:val="nTable"/>
              <w:spacing w:after="40"/>
            </w:pPr>
            <w:r>
              <w:t>27 Jun 2014 p. 2334-6</w:t>
            </w:r>
          </w:p>
        </w:tc>
        <w:tc>
          <w:tcPr>
            <w:tcW w:w="2693" w:type="dxa"/>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bCs/>
                <w:snapToGrid w:val="0"/>
              </w:rPr>
            </w:pPr>
            <w:r>
              <w:rPr>
                <w:b/>
                <w:bCs/>
              </w:rPr>
              <w:t xml:space="preserve">Reprint 3: The </w:t>
            </w:r>
            <w:r>
              <w:rPr>
                <w:b/>
                <w:bCs/>
                <w:i/>
              </w:rPr>
              <w:t>Civil Judgments Enforcement Regulations 2005</w:t>
            </w:r>
            <w:r>
              <w:rPr>
                <w:b/>
                <w:bCs/>
              </w:rPr>
              <w:t xml:space="preserve"> as at 16 Jan 2015</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2015</w:t>
            </w:r>
          </w:p>
        </w:tc>
        <w:tc>
          <w:tcPr>
            <w:tcW w:w="1276" w:type="dxa"/>
          </w:tcPr>
          <w:p>
            <w:pPr>
              <w:pStyle w:val="nTable"/>
              <w:spacing w:after="40"/>
            </w:pPr>
            <w:r>
              <w:t>10 Apr 2015 p. 1254</w:t>
            </w:r>
            <w:r>
              <w:noBreakHyphen/>
              <w:t>5</w:t>
            </w:r>
          </w:p>
        </w:tc>
        <w:tc>
          <w:tcPr>
            <w:tcW w:w="2693" w:type="dxa"/>
          </w:tcPr>
          <w:p>
            <w:pPr>
              <w:pStyle w:val="nTable"/>
              <w:spacing w:after="40"/>
              <w:rPr>
                <w:bCs/>
                <w:snapToGrid w:val="0"/>
              </w:rPr>
            </w:pPr>
            <w:r>
              <w:rPr>
                <w:bCs/>
                <w:snapToGrid w:val="0"/>
              </w:rPr>
              <w:t>r. 1 and 2: 10 Apr 2015 (see r. 2(a));</w:t>
            </w:r>
            <w:r>
              <w:rPr>
                <w:bCs/>
                <w:snapToGrid w:val="0"/>
              </w:rPr>
              <w:br/>
              <w:t>Regulations other than r. 1 and 2: 11 Apr 2015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2) 2015</w:t>
            </w:r>
          </w:p>
        </w:tc>
        <w:tc>
          <w:tcPr>
            <w:tcW w:w="1276" w:type="dxa"/>
          </w:tcPr>
          <w:p>
            <w:pPr>
              <w:pStyle w:val="nTable"/>
              <w:spacing w:after="40"/>
            </w:pPr>
            <w:r>
              <w:t>19 Jun 2015 p. 2116</w:t>
            </w:r>
            <w:r>
              <w:noBreakHyphen/>
              <w:t>18</w:t>
            </w:r>
          </w:p>
        </w:tc>
        <w:tc>
          <w:tcPr>
            <w:tcW w:w="2693" w:type="dxa"/>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Attorney General Regulations Amendment (Fees) Regulations 2016</w:t>
            </w:r>
            <w:r>
              <w:t xml:space="preserve"> Pt. 3</w:t>
            </w:r>
          </w:p>
        </w:tc>
        <w:tc>
          <w:tcPr>
            <w:tcW w:w="1276" w:type="dxa"/>
          </w:tcPr>
          <w:p>
            <w:pPr>
              <w:pStyle w:val="nTable"/>
              <w:spacing w:after="40"/>
            </w:pPr>
            <w:r>
              <w:t>14 Jun 2016 p. 1849</w:t>
            </w:r>
            <w:r>
              <w:noBreakHyphen/>
              <w:t>986</w:t>
            </w:r>
          </w:p>
        </w:tc>
        <w:tc>
          <w:tcPr>
            <w:tcW w:w="2693" w:type="dxa"/>
          </w:tcPr>
          <w:p>
            <w:pPr>
              <w:pStyle w:val="nTable"/>
              <w:spacing w:after="40"/>
              <w:rPr>
                <w:bCs/>
                <w:snapToGrid w:val="0"/>
              </w:rPr>
            </w:pPr>
            <w:r>
              <w:t>4 Jul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Attorney General Regulations Amendment (Electronic Processes) Regulations 2016</w:t>
            </w:r>
            <w:r>
              <w:t xml:space="preserve"> Pt. 2</w:t>
            </w:r>
          </w:p>
        </w:tc>
        <w:tc>
          <w:tcPr>
            <w:tcW w:w="1276" w:type="dxa"/>
          </w:tcPr>
          <w:p>
            <w:pPr>
              <w:pStyle w:val="nTable"/>
              <w:spacing w:after="40"/>
            </w:pPr>
            <w:r>
              <w:t>2 Dec 2016 p. 5385-7</w:t>
            </w:r>
          </w:p>
        </w:tc>
        <w:tc>
          <w:tcPr>
            <w:tcW w:w="2693" w:type="dxa"/>
          </w:tcPr>
          <w:p>
            <w:pPr>
              <w:pStyle w:val="nTable"/>
              <w:spacing w:after="40"/>
            </w:pPr>
            <w:r>
              <w:rPr>
                <w:bCs/>
                <w:snapToGrid w:val="0"/>
                <w:spacing w:val="-2"/>
              </w:rPr>
              <w:t>3 Dec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2016</w:t>
            </w:r>
          </w:p>
        </w:tc>
        <w:tc>
          <w:tcPr>
            <w:tcW w:w="1276" w:type="dxa"/>
          </w:tcPr>
          <w:p>
            <w:pPr>
              <w:pStyle w:val="nTable"/>
              <w:spacing w:after="40"/>
            </w:pPr>
            <w:r>
              <w:t>13 Jan 2017 p. 338</w:t>
            </w:r>
            <w:r>
              <w:noBreakHyphen/>
              <w:t>50</w:t>
            </w:r>
          </w:p>
        </w:tc>
        <w:tc>
          <w:tcPr>
            <w:tcW w:w="2693" w:type="dxa"/>
          </w:tcPr>
          <w:p>
            <w:pPr>
              <w:pStyle w:val="nTable"/>
              <w:spacing w:after="40"/>
              <w:rPr>
                <w:bCs/>
                <w:snapToGrid w:val="0"/>
                <w:spacing w:val="-2"/>
              </w:rPr>
            </w:pPr>
            <w:r>
              <w:rPr>
                <w:bCs/>
                <w:snapToGrid w:val="0"/>
              </w:rPr>
              <w:t xml:space="preserve">r. 1 and 2: </w:t>
            </w:r>
            <w:r>
              <w:t>13 Jan 2017</w:t>
            </w:r>
            <w:r>
              <w:rPr>
                <w:bCs/>
                <w:snapToGrid w:val="0"/>
              </w:rPr>
              <w:t xml:space="preserve"> (see r. 2(a));</w:t>
            </w:r>
            <w:r>
              <w:rPr>
                <w:bCs/>
                <w:snapToGrid w:val="0"/>
              </w:rPr>
              <w:br/>
              <w:t xml:space="preserve">Regulations other than r. 1 and 2: </w:t>
            </w:r>
            <w:r>
              <w:t>14 Jan 2017</w:t>
            </w:r>
            <w:r>
              <w:rPr>
                <w:bCs/>
                <w:snapToGrid w:val="0"/>
              </w:rPr>
              <w:t xml:space="preserve">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bookmarkStart w:id="208" w:name="OLE_LINK1"/>
            <w:r>
              <w:rPr>
                <w:i/>
              </w:rPr>
              <w:t>Attorney General Regulations Amendment (Fees and Charges) Regulations 2017</w:t>
            </w:r>
            <w:bookmarkEnd w:id="208"/>
            <w:r>
              <w:rPr>
                <w:i/>
              </w:rPr>
              <w:t xml:space="preserve"> </w:t>
            </w:r>
            <w:r>
              <w:t>Pt. 3</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(Bailiff Fees) Regulations 2018</w:t>
            </w:r>
            <w:r>
              <w:t xml:space="preserve"> Pt. 3</w:t>
            </w:r>
          </w:p>
        </w:tc>
        <w:tc>
          <w:tcPr>
            <w:tcW w:w="1276" w:type="dxa"/>
            <w:shd w:val="clear" w:color="auto" w:fill="auto"/>
          </w:tcPr>
          <w:p>
            <w:pPr>
              <w:pStyle w:val="nTable"/>
              <w:spacing w:after="40"/>
            </w:pPr>
            <w:r>
              <w:t>9 Feb 2018 p. 401</w:t>
            </w:r>
            <w:r>
              <w:noBreakHyphen/>
              <w:t>5</w:t>
            </w:r>
          </w:p>
        </w:tc>
        <w:tc>
          <w:tcPr>
            <w:tcW w:w="2693" w:type="dxa"/>
            <w:shd w:val="clear" w:color="auto" w:fill="auto"/>
          </w:tcPr>
          <w:p>
            <w:pPr>
              <w:pStyle w:val="nTable"/>
              <w:spacing w:after="40"/>
              <w:rPr>
                <w:bCs/>
                <w:snapToGrid w:val="0"/>
              </w:rPr>
            </w:pPr>
            <w:r>
              <w:rPr>
                <w:bCs/>
                <w:snapToGrid w:val="0"/>
              </w:rPr>
              <w:t>10 Feb 2018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2018</w:t>
            </w:r>
          </w:p>
        </w:tc>
        <w:tc>
          <w:tcPr>
            <w:tcW w:w="1276" w:type="dxa"/>
          </w:tcPr>
          <w:p>
            <w:pPr>
              <w:pStyle w:val="nTable"/>
              <w:spacing w:after="40"/>
            </w:pPr>
            <w:r>
              <w:t>8 May 2018 p. 1493</w:t>
            </w:r>
          </w:p>
        </w:tc>
        <w:tc>
          <w:tcPr>
            <w:tcW w:w="2693" w:type="dxa"/>
          </w:tcPr>
          <w:p>
            <w:pPr>
              <w:pStyle w:val="nTable"/>
              <w:spacing w:after="40"/>
              <w:rPr>
                <w:bCs/>
                <w:snapToGrid w:val="0"/>
                <w:spacing w:val="-2"/>
              </w:rPr>
            </w:pPr>
            <w:r>
              <w:rPr>
                <w:bCs/>
                <w:snapToGrid w:val="0"/>
              </w:rPr>
              <w:t>r. 1 and 2: 8</w:t>
            </w:r>
            <w:r>
              <w:t> May 2018</w:t>
            </w:r>
            <w:r>
              <w:rPr>
                <w:bCs/>
                <w:snapToGrid w:val="0"/>
              </w:rPr>
              <w:t xml:space="preserve"> (see r. 2(a));</w:t>
            </w:r>
            <w:r>
              <w:rPr>
                <w:bCs/>
                <w:snapToGrid w:val="0"/>
              </w:rPr>
              <w:br/>
              <w:t>Regulations other than r. 1 and 2: 9</w:t>
            </w:r>
            <w:r>
              <w:t> May 2018</w:t>
            </w:r>
            <w:r>
              <w:rPr>
                <w:bCs/>
                <w:snapToGrid w:val="0"/>
              </w:rPr>
              <w:t xml:space="preserve">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(Fees and Charges) Regulations 2018</w:t>
            </w:r>
            <w:r>
              <w:t xml:space="preserve"> Pt. 3</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Justice Regulations Amendment (Fee Relief) Regulations 2018</w:t>
            </w:r>
            <w:r>
              <w:t xml:space="preserve"> Pt. 3</w:t>
            </w:r>
          </w:p>
        </w:tc>
        <w:tc>
          <w:tcPr>
            <w:tcW w:w="1276" w:type="dxa"/>
            <w:shd w:val="clear" w:color="auto" w:fill="auto"/>
          </w:tcPr>
          <w:p>
            <w:pPr>
              <w:pStyle w:val="nTable"/>
              <w:keepNext/>
              <w:spacing w:after="40"/>
            </w:pPr>
            <w:r>
              <w:t>20 Jul 2018 p. 2621</w:t>
            </w:r>
            <w:r>
              <w:noBreakHyphen/>
              <w:t>30</w:t>
            </w:r>
          </w:p>
        </w:tc>
        <w:tc>
          <w:tcPr>
            <w:tcW w:w="2693" w:type="dxa"/>
            <w:shd w:val="clear" w:color="auto" w:fill="auto"/>
          </w:tcPr>
          <w:p>
            <w:pPr>
              <w:pStyle w:val="nTable"/>
              <w:keepNext/>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Attorney General Regulations Amendment (Fees and Charges) Regulations 2019</w:t>
            </w:r>
            <w:r>
              <w:t xml:space="preserve"> Pt. 4</w:t>
            </w:r>
          </w:p>
        </w:tc>
        <w:tc>
          <w:tcPr>
            <w:tcW w:w="1276" w:type="dxa"/>
            <w:shd w:val="clear" w:color="auto" w:fill="auto"/>
          </w:tcPr>
          <w:p>
            <w:pPr>
              <w:pStyle w:val="nTable"/>
              <w:keepNext/>
              <w:spacing w:after="40"/>
            </w:pPr>
            <w:r>
              <w:t>28 Jun 2019 p. 2553</w:t>
            </w:r>
            <w:r>
              <w:noBreakHyphen/>
              <w:t>642</w:t>
            </w:r>
          </w:p>
        </w:tc>
        <w:tc>
          <w:tcPr>
            <w:tcW w:w="2693" w:type="dxa"/>
            <w:shd w:val="clear" w:color="auto" w:fill="auto"/>
          </w:tcPr>
          <w:p>
            <w:pPr>
              <w:pStyle w:val="nTable"/>
              <w:keepNext/>
              <w:spacing w:after="40"/>
              <w:rPr>
                <w:bCs/>
                <w:snapToGrid w:val="0"/>
              </w:rPr>
            </w:pPr>
            <w:r>
              <w:t>1 Jul 2019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(Case Management System) Regulations 2019</w:t>
            </w:r>
            <w:r>
              <w:t xml:space="preserve"> Pt. 3</w:t>
            </w:r>
          </w:p>
        </w:tc>
        <w:tc>
          <w:tcPr>
            <w:tcW w:w="1276" w:type="dxa"/>
            <w:tcBorders>
              <w:top w:val="nil"/>
              <w:bottom w:val="nil"/>
            </w:tcBorders>
            <w:shd w:val="clear" w:color="auto" w:fill="auto"/>
          </w:tcPr>
          <w:p>
            <w:pPr>
              <w:pStyle w:val="nTable"/>
              <w:keepNext/>
              <w:spacing w:after="40"/>
            </w:pPr>
            <w:r>
              <w:t>31 Dec 2019 p. 4669-73</w:t>
            </w:r>
          </w:p>
        </w:tc>
        <w:tc>
          <w:tcPr>
            <w:tcW w:w="2693" w:type="dxa"/>
            <w:tcBorders>
              <w:top w:val="nil"/>
              <w:bottom w:val="nil"/>
            </w:tcBorders>
            <w:shd w:val="clear" w:color="auto" w:fill="auto"/>
          </w:tcPr>
          <w:p>
            <w:pPr>
              <w:pStyle w:val="nTable"/>
              <w:keepNext/>
              <w:spacing w:after="40"/>
            </w:pPr>
            <w:r>
              <w:t>1 Jan 2020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shd w:val="clear" w:color="auto" w:fill="auto"/>
          </w:tcPr>
          <w:p>
            <w:pPr>
              <w:pStyle w:val="nTable"/>
              <w:spacing w:after="40"/>
            </w:pPr>
            <w:r>
              <w:rPr>
                <w:i/>
              </w:rPr>
              <w:t>Attorney General Regulations Amendment (Fees and Charges) Regulations 2020</w:t>
            </w:r>
            <w:r>
              <w:t xml:space="preserve"> Pt. 3</w:t>
            </w:r>
          </w:p>
        </w:tc>
        <w:tc>
          <w:tcPr>
            <w:tcW w:w="1276" w:type="dxa"/>
            <w:tcBorders>
              <w:bottom w:val="single" w:sz="4" w:space="0" w:color="auto"/>
            </w:tcBorders>
            <w:shd w:val="clear" w:color="auto" w:fill="auto"/>
          </w:tcPr>
          <w:p>
            <w:pPr>
              <w:pStyle w:val="nTable"/>
              <w:spacing w:after="40"/>
            </w:pPr>
            <w:r>
              <w:t>SL 2020/124 31 Jul 2020</w:t>
            </w:r>
          </w:p>
        </w:tc>
        <w:tc>
          <w:tcPr>
            <w:tcW w:w="2693" w:type="dxa"/>
            <w:tcBorders>
              <w:bottom w:val="single" w:sz="4" w:space="0" w:color="auto"/>
            </w:tcBorders>
            <w:shd w:val="clear" w:color="auto" w:fill="auto"/>
          </w:tcPr>
          <w:p>
            <w:pPr>
              <w:pStyle w:val="nTable"/>
              <w:spacing w:after="40"/>
            </w:pPr>
            <w:r>
              <w:t>1 Aug 2020 (see r. 2(b))</w:t>
            </w:r>
          </w:p>
        </w:tc>
      </w:tr>
    </w:tbl>
    <w:p>
      <w:pPr>
        <w:pStyle w:val="nHeading3"/>
      </w:pPr>
      <w:bookmarkStart w:id="209" w:name="_Toc47082114"/>
      <w:r>
        <w:t>Other notes</w:t>
      </w:r>
      <w:bookmarkEnd w:id="209"/>
    </w:p>
    <w:p>
      <w:pPr>
        <w:pStyle w:val="nNote"/>
        <w:spacing w:before="160"/>
        <w:rPr>
          <w:iCs/>
        </w:rPr>
      </w:pPr>
      <w:r>
        <w:rPr>
          <w:vertAlign w:val="superscript"/>
        </w:rPr>
        <w:t>1</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Note"/>
      </w:pPr>
      <w:r>
        <w:rPr>
          <w:snapToGrid w:val="0"/>
          <w:vertAlign w:val="superscript"/>
        </w:rPr>
        <w:t>2</w:t>
      </w:r>
      <w:r>
        <w:rPr>
          <w:snapToGrid w:val="0"/>
        </w:rPr>
        <w:tab/>
        <w:t>T</w:t>
      </w:r>
      <w:r>
        <w:t>he</w:t>
      </w:r>
      <w:r>
        <w:rPr>
          <w:iCs/>
        </w:rPr>
        <w:t xml:space="preserve"> </w:t>
      </w:r>
      <w:r>
        <w:rPr>
          <w:snapToGrid w:val="0"/>
        </w:rPr>
        <w:t>Courts</w:t>
      </w:r>
      <w:r>
        <w:rPr>
          <w:iCs/>
        </w:rPr>
        <w:t xml:space="preserve"> Legislation Amendment and Repeal Act 2004</w:t>
      </w:r>
      <w:r>
        <w:t xml:space="preserve"> Pt. 22 came into operation on 1 May 2005.</w:t>
      </w:r>
    </w:p>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211" w:name="_Toc47014538"/>
      <w:bookmarkStart w:id="212" w:name="_Toc47015101"/>
      <w:bookmarkStart w:id="213" w:name="_Toc47082115"/>
      <w:r>
        <w:rPr>
          <w:sz w:val="28"/>
        </w:rPr>
        <w:t>Defined terms</w:t>
      </w:r>
      <w:bookmarkEnd w:id="211"/>
      <w:bookmarkEnd w:id="212"/>
      <w:bookmarkEnd w:id="2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approved form</w:t>
      </w:r>
      <w:r>
        <w:tab/>
        <w:t>3</w:t>
      </w:r>
    </w:p>
    <w:p>
      <w:pPr>
        <w:pStyle w:val="DefinedTerms"/>
      </w:pPr>
      <w:r>
        <w:t>arrest warrant</w:t>
      </w:r>
      <w:r>
        <w:tab/>
        <w:t>95A</w:t>
      </w:r>
    </w:p>
    <w:p>
      <w:pPr>
        <w:pStyle w:val="DefinedTerms"/>
      </w:pPr>
      <w:r>
        <w:t>arrested person</w:t>
      </w:r>
      <w:r>
        <w:tab/>
        <w:t>68, 96(1)</w:t>
      </w:r>
    </w:p>
    <w:p>
      <w:pPr>
        <w:pStyle w:val="DefinedTerms"/>
      </w:pPr>
      <w:r>
        <w:t>business day</w:t>
      </w:r>
      <w:r>
        <w:tab/>
        <w:t>3</w:t>
      </w:r>
    </w:p>
    <w:p>
      <w:pPr>
        <w:pStyle w:val="DefinedTerms"/>
      </w:pPr>
      <w:r>
        <w:t>Centrelink</w:t>
      </w:r>
      <w:r>
        <w:tab/>
        <w:t>107C(1)</w:t>
      </w:r>
    </w:p>
    <w:p>
      <w:pPr>
        <w:pStyle w:val="DefinedTerms"/>
      </w:pPr>
      <w:r>
        <w:t>ECMS</w:t>
      </w:r>
      <w:r>
        <w:tab/>
        <w:t>95A</w:t>
      </w:r>
    </w:p>
    <w:p>
      <w:pPr>
        <w:pStyle w:val="DefinedTerms"/>
      </w:pPr>
      <w:r>
        <w:t>eligible entity</w:t>
      </w:r>
      <w:r>
        <w:tab/>
        <w:t>104</w:t>
      </w:r>
    </w:p>
    <w:p>
      <w:pPr>
        <w:pStyle w:val="DefinedTerms"/>
      </w:pPr>
      <w:r>
        <w:t>eligible entity fee</w:t>
      </w:r>
      <w:r>
        <w:tab/>
        <w:t>104</w:t>
      </w:r>
    </w:p>
    <w:p>
      <w:pPr>
        <w:pStyle w:val="DefinedTerms"/>
      </w:pPr>
      <w:r>
        <w:t>eligible individual</w:t>
      </w:r>
      <w:r>
        <w:tab/>
        <w:t>104</w:t>
      </w:r>
    </w:p>
    <w:p>
      <w:pPr>
        <w:pStyle w:val="DefinedTerms"/>
      </w:pPr>
      <w:r>
        <w:t>eligible individual fee</w:t>
      </w:r>
      <w:r>
        <w:tab/>
        <w:t>104</w:t>
      </w:r>
    </w:p>
    <w:p>
      <w:pPr>
        <w:pStyle w:val="DefinedTerms"/>
      </w:pPr>
      <w:r>
        <w:t>entity</w:t>
      </w:r>
      <w:r>
        <w:tab/>
        <w:t>104</w:t>
      </w:r>
    </w:p>
    <w:p>
      <w:pPr>
        <w:pStyle w:val="DefinedTerms"/>
      </w:pPr>
      <w:r>
        <w:t>Form</w:t>
      </w:r>
      <w:r>
        <w:tab/>
        <w:t>3</w:t>
      </w:r>
    </w:p>
    <w:p>
      <w:pPr>
        <w:pStyle w:val="DefinedTerms"/>
      </w:pPr>
      <w:r>
        <w:t>individual</w:t>
      </w:r>
      <w:r>
        <w:tab/>
        <w:t>104</w:t>
      </w:r>
    </w:p>
    <w:p>
      <w:pPr>
        <w:pStyle w:val="DefinedTerms"/>
      </w:pPr>
      <w:r>
        <w:t>lawyer</w:t>
      </w:r>
      <w:r>
        <w:tab/>
        <w:t>3</w:t>
      </w:r>
    </w:p>
    <w:p>
      <w:pPr>
        <w:pStyle w:val="DefinedTerms"/>
      </w:pPr>
      <w:r>
        <w:t>non</w:t>
      </w:r>
      <w:r>
        <w:noBreakHyphen/>
        <w:t>profit association</w:t>
      </w:r>
      <w:r>
        <w:tab/>
        <w:t>104</w:t>
      </w:r>
    </w:p>
    <w:p>
      <w:pPr>
        <w:pStyle w:val="DefinedTerms"/>
      </w:pPr>
      <w:r>
        <w:t>ordinary service</w:t>
      </w:r>
      <w:r>
        <w:tab/>
        <w:t>3</w:t>
      </w:r>
    </w:p>
    <w:p>
      <w:pPr>
        <w:pStyle w:val="DefinedTerms"/>
      </w:pPr>
      <w:r>
        <w:t>person</w:t>
      </w:r>
      <w:r>
        <w:tab/>
        <w:t>104</w:t>
      </w:r>
    </w:p>
    <w:p>
      <w:pPr>
        <w:pStyle w:val="DefinedTerms"/>
      </w:pPr>
      <w:r>
        <w:t>personal service</w:t>
      </w:r>
      <w:r>
        <w:tab/>
        <w:t>3</w:t>
      </w:r>
    </w:p>
    <w:p>
      <w:pPr>
        <w:pStyle w:val="DefinedTerms"/>
      </w:pPr>
      <w:r>
        <w:t>prescribed rate</w:t>
      </w:r>
      <w:r>
        <w:tab/>
        <w:t>59(1)</w:t>
      </w:r>
    </w:p>
    <w:p>
      <w:pPr>
        <w:pStyle w:val="DefinedTerms"/>
      </w:pPr>
      <w:r>
        <w:t>prescribed registry</w:t>
      </w:r>
      <w:r>
        <w:tab/>
        <w:t>14(1), 62(1), 96(1)</w:t>
      </w:r>
    </w:p>
    <w:p>
      <w:pPr>
        <w:pStyle w:val="DefinedTerms"/>
      </w:pPr>
      <w:r>
        <w:t>serve personally</w:t>
      </w:r>
      <w:r>
        <w:tab/>
        <w:t>3</w:t>
      </w:r>
    </w:p>
    <w:p>
      <w:pPr>
        <w:pStyle w:val="DefinedTerms"/>
      </w:pPr>
      <w:r>
        <w:t>small business</w:t>
      </w:r>
      <w:r>
        <w:tab/>
        <w:t>104</w:t>
      </w:r>
    </w:p>
    <w:p>
      <w:pPr>
        <w:pStyle w:val="DefinedTerms"/>
      </w:pPr>
      <w:r>
        <w:t>specified registry</w:t>
      </w:r>
      <w:r>
        <w:tab/>
        <w:t>14(2), 62(2)</w:t>
      </w:r>
    </w:p>
    <w:p>
      <w:pPr>
        <w:pStyle w:val="DefinedTerms"/>
      </w:pPr>
      <w:r>
        <w:t>subsidiary</w:t>
      </w:r>
      <w:r>
        <w:tab/>
        <w:t>104</w:t>
      </w:r>
    </w:p>
    <w:p>
      <w:pPr>
        <w:pStyle w:val="DefinedTerms"/>
      </w:pPr>
      <w:r>
        <w:t>working day</w:t>
      </w:r>
      <w:r>
        <w:tab/>
        <w:t>9(3)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195" w:name="Schedule"/>
    <w:bookmarkEnd w:id="19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to be paid for anything done by the Marshal in Admiralty</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to be paid for anything done by the Marshal in Admiralty</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0" w:name="Compilation"/>
    <w:bookmarkEnd w:id="210"/>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4" w:name="DefinedTerms"/>
    <w:bookmarkEnd w:id="21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5" w:name="Coversheet"/>
    <w:bookmarkEnd w:id="21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7408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730145947"/>
    <w:docVar w:name="WAFER_20140109155943" w:val="RemoveTocBookmarks,RemoveUnusedBookmarks,RemoveLanguageTags,UsedStyles,ResetPageSize,UpdateArrangement"/>
    <w:docVar w:name="WAFER_20140109155943_GUID" w:val="f8c00851-e8c2-45d6-b39f-77a601826610"/>
    <w:docVar w:name="WAFER_20140109160719" w:val="RemoveTocBookmarks,RunningHeaders"/>
    <w:docVar w:name="WAFER_20140109160719_GUID" w:val="3acda685-c540-40eb-bbd7-0e3fc71e9974"/>
    <w:docVar w:name="WAFER_20141010101730" w:val="RemoveTocBookmarks,RemoveUnusedBookmarks,RemoveLanguageTags,UsedStyles,ResetPageSize,RemoveCustomizations,UpdateArrangement"/>
    <w:docVar w:name="WAFER_20141010101730_GUID" w:val="5f12f615-4bb1-4a83-8e15-78f900b3c279"/>
    <w:docVar w:name="WAFER_20141010101834" w:val="RemoveTocBookmarks,RemoveUnusedBookmarks,RemoveLanguageTags,UsedStyles,ResetPageSize,RemoveCustomizations,UpdateArrangement"/>
    <w:docVar w:name="WAFER_20141010101834_GUID" w:val="a09fe348-3cf3-4c36-96fa-432519c742ba"/>
    <w:docVar w:name="WAFER_20141204090541" w:val="RemoveTocBookmarks,RemoveUnusedBookmarks,RemoveLanguageTags,UsedStyles,ResetPageSize,RemoveBadVanishTags,RemoveDocumentProtection,ExtractDocX,RunningHeaders"/>
    <w:docVar w:name="WAFER_20141204090541_GUID" w:val="4e74190b-d7a7-4411-becd-590fe5ff6b20"/>
    <w:docVar w:name="WAFER_20150401122223" w:val="ResetPageSize,UpdateArrangement,UpdateNTable"/>
    <w:docVar w:name="WAFER_20150401122223_GUID" w:val="71b380e8-b750-4386-bd68-1f45cc03e663"/>
    <w:docVar w:name="WAFER_20151102151313" w:val="UpdateStyles,UsedStyles"/>
    <w:docVar w:name="WAFER_20151102151313_GUID" w:val="65161ec2-4466-4110-8e39-9dea582fe804"/>
    <w:docVar w:name="WAFER_20160630135218" w:val="RemoveTocBookmarks,RemoveUnusedBookmarks,RemoveLanguageTags,UsedStyles,ResetPageSize"/>
    <w:docVar w:name="WAFER_20160630135218_GUID" w:val="358dacb1-dc44-4637-9035-63db3683a6bb"/>
    <w:docVar w:name="WAFER_20160630135240" w:val="RemoveTocBookmarks,RemoveUnusedBookmarks,RemoveLanguageTags,UsedStyles,ResetPageSize"/>
    <w:docVar w:name="WAFER_20160630135240_GUID" w:val="7a79b3ea-7cef-45dd-991a-06eccdab4548"/>
    <w:docVar w:name="WAFER_20161201124618" w:val="RemoveTocBookmarks,RemoveUnusedBookmarks,RemoveLanguageTags,UsedStyles,ResetPageSize"/>
    <w:docVar w:name="WAFER_20161201124618_GUID" w:val="f1a39834-881f-4b2f-bd80-313fe4a8c131"/>
    <w:docVar w:name="WAFER_20170125141837" w:val="RemoveTocBookmarks,RemoveUnusedBookmarks,RemoveLanguageTags,UsedStyles,ResetPageSize"/>
    <w:docVar w:name="WAFER_20170125141837_GUID" w:val="4e66720a-cff9-4573-908f-feb1d6751ad5"/>
    <w:docVar w:name="WAFER_20170208084622" w:val="RemoveTocBookmarks,RemoveUnusedBookmarks,RemoveLanguageTags,UsedStyles,ResetPageSize"/>
    <w:docVar w:name="WAFER_20170208084622_GUID" w:val="f56300b6-d20a-4e80-b318-e6142a342523"/>
    <w:docVar w:name="WAFER_20180507122520" w:val="RemoveTocBookmarks,RemoveUnusedBookmarks,RemoveLanguageTags,UsedStyles,ResetPageSize"/>
    <w:docVar w:name="WAFER_20180507122520_GUID" w:val="58a3f8fa-3c32-437d-8e5b-d3234db98ea0"/>
    <w:docVar w:name="WAFER_20180614130740" w:val="RemoveTocBookmarks,RemoveUnusedBookmarks,RemoveLanguageTags,UsedStyles,ResetPageSize"/>
    <w:docVar w:name="WAFER_20180614130740_GUID" w:val="6cbeb554-b909-4c92-bdbc-ce433783c275"/>
    <w:docVar w:name="WAFER_20180625153248" w:val="RemoveTocBookmarks,RemoveUnusedBookmarks,RemoveLanguageTags,UsedStyles,ResetPageSize"/>
    <w:docVar w:name="WAFER_20180625153248_GUID" w:val="e1c27f9a-ed48-48e9-b50c-013392d1d444"/>
    <w:docVar w:name="WAFER_20180719102622" w:val="RemoveTocBookmarks,RemoveUnusedBookmarks,RemoveLanguageTags,UsedStyles,ResetPageSize"/>
    <w:docVar w:name="WAFER_20180719102622_GUID" w:val="450de9c9-683b-4855-888f-6b5afdf13acb"/>
    <w:docVar w:name="WAFER_20191220114701" w:val="RemoveTocBookmarks,RemoveUnusedBookmarks,RemoveLanguageTags,ResetPageSize,RunningHeaders,UpdateStyles,UsedStyles"/>
    <w:docVar w:name="WAFER_20191220114701_GUID" w:val="7ac1621c-7f58-42cf-aebe-22f7b836eb75"/>
    <w:docVar w:name="WAFER_2020021013500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5003_GUID" w:val="9bf139fd-aa5d-4a5f-897c-9f5d7537233d"/>
    <w:docVar w:name="WAFER_202007301459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45947_GUID" w:val="99700fad-b622-49de-975d-6bc71bf35f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75FF6-49E4-45DC-88E0-CE97DA4F5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20916</Words>
  <Characters>102072</Characters>
  <Application>Microsoft Office Word</Application>
  <DocSecurity>0</DocSecurity>
  <Lines>3402</Lines>
  <Paragraphs>2016</Paragraphs>
  <ScaleCrop>false</ScaleCrop>
  <HeadingPairs>
    <vt:vector size="2" baseType="variant">
      <vt:variant>
        <vt:lpstr>Title</vt:lpstr>
      </vt:variant>
      <vt:variant>
        <vt:i4>1</vt:i4>
      </vt:variant>
    </vt:vector>
  </HeadingPairs>
  <TitlesOfParts>
    <vt:vector size="1" baseType="lpstr">
      <vt:lpstr>Civil Judgments Enforcement Regulations 2005</vt:lpstr>
    </vt:vector>
  </TitlesOfParts>
  <Manager/>
  <Company/>
  <LinksUpToDate>false</LinksUpToDate>
  <CharactersWithSpaces>120972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2005 - 03-p0-00</dc:title>
  <dc:subject/>
  <dc:creator/>
  <cp:keywords/>
  <dc:description/>
  <cp:lastModifiedBy>svcMRProcess</cp:lastModifiedBy>
  <cp:revision>4</cp:revision>
  <cp:lastPrinted>2015-02-03T03:25:00Z</cp:lastPrinted>
  <dcterms:created xsi:type="dcterms:W3CDTF">2020-07-31T06:40:00Z</dcterms:created>
  <dcterms:modified xsi:type="dcterms:W3CDTF">2020-07-31T06:40:00Z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ThisVersion">
    <vt:lpwstr>02-b0-00</vt:lpwstr>
  </property>
  <property fmtid="{D5CDD505-2E9C-101B-9397-08002B2CF9AE}" pid="4" name="ReprintNo">
    <vt:lpwstr>3</vt:lpwstr>
  </property>
  <property fmtid="{D5CDD505-2E9C-101B-9397-08002B2CF9AE}" pid="5" name="ReprintedAsAt">
    <vt:filetime>2015-01-15T16:00:00Z</vt:filetime>
  </property>
  <property fmtid="{D5CDD505-2E9C-101B-9397-08002B2CF9AE}" pid="6" name="OWLSUId">
    <vt:i4>9237</vt:i4>
  </property>
  <property fmtid="{D5CDD505-2E9C-101B-9397-08002B2CF9AE}" pid="7" name="DocumentType">
    <vt:lpwstr>Reg</vt:lpwstr>
  </property>
  <property fmtid="{D5CDD505-2E9C-101B-9397-08002B2CF9AE}" pid="8" name="AsAtDate">
    <vt:lpwstr>01 Aug 2020</vt:lpwstr>
  </property>
  <property fmtid="{D5CDD505-2E9C-101B-9397-08002B2CF9AE}" pid="9" name="Suffix">
    <vt:lpwstr>03-p0-00</vt:lpwstr>
  </property>
  <property fmtid="{D5CDD505-2E9C-101B-9397-08002B2CF9AE}" pid="10" name="CommencementDate">
    <vt:lpwstr>20200801</vt:lpwstr>
  </property>
</Properties>
</file>