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Amendment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Amendment (COVID-19 Response)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_Toc48744745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_Toc48744746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_Toc48744747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5 amended</w:t>
      </w:r>
      <w:r>
        <w:tab/>
      </w:r>
      <w:r>
        <w:fldChar w:fldCharType="begin"/>
      </w:r>
      <w:r>
        <w:instrText xml:space="preserve"> PAGEREF _Toc48744748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5A amended</w:t>
      </w:r>
      <w:r>
        <w:tab/>
      </w:r>
      <w:r>
        <w:fldChar w:fldCharType="begin"/>
      </w:r>
      <w:r>
        <w:instrText xml:space="preserve"> PAGEREF _Toc48744749 \h </w:instrText>
      </w:r>
      <w:r>
        <w:fldChar w:fldCharType="separate"/>
      </w:r>
      <w:r>
        <w:t>3</w:t>
      </w:r>
      <w:r>
        <w:fldChar w:fldCharType="end"/>
      </w:r>
    </w:p>
    <w:p>
      <w:pPr>
        <w:pStyle w:val="TOC8"/>
        <w:rPr>
          <w:rFonts w:asciiTheme="minorHAnsi" w:eastAsiaTheme="minorEastAsia" w:hAnsiTheme="minorHAnsi" w:cstheme="minorBidi"/>
          <w:szCs w:val="22"/>
        </w:rPr>
      </w:pPr>
      <w:r>
        <w:t>6.</w:t>
      </w:r>
      <w:r>
        <w:tab/>
        <w:t>Part III Division 4B inserted</w:t>
      </w:r>
      <w:r>
        <w:tab/>
      </w:r>
      <w:r>
        <w:fldChar w:fldCharType="begin"/>
      </w:r>
      <w:r>
        <w:instrText xml:space="preserve"> PAGEREF _Toc48744750 \h </w:instrText>
      </w:r>
      <w:r>
        <w:fldChar w:fldCharType="separate"/>
      </w:r>
      <w:r>
        <w:t>5</w:t>
      </w:r>
      <w:r>
        <w:fldChar w:fldCharType="end"/>
      </w:r>
    </w:p>
    <w:p>
      <w:pPr>
        <w:pStyle w:val="TOC5"/>
        <w:tabs>
          <w:tab w:val="right" w:leader="dot" w:pos="7077"/>
        </w:tabs>
        <w:rPr>
          <w:rFonts w:asciiTheme="minorHAnsi" w:eastAsiaTheme="minorEastAsia" w:hAnsiTheme="minorHAnsi" w:cstheme="minorBidi"/>
          <w:b w:val="0"/>
          <w:sz w:val="22"/>
          <w:szCs w:val="22"/>
        </w:rPr>
      </w:pPr>
      <w:r>
        <w:t>Division 4B — Injury: prescribed diseases</w:t>
      </w:r>
    </w:p>
    <w:p>
      <w:pPr>
        <w:pStyle w:val="TOC9"/>
        <w:rPr>
          <w:rFonts w:asciiTheme="minorHAnsi" w:eastAsiaTheme="minorEastAsia" w:hAnsiTheme="minorHAnsi" w:cstheme="minorBidi"/>
          <w:noProof/>
          <w:sz w:val="22"/>
          <w:szCs w:val="22"/>
        </w:rPr>
      </w:pPr>
      <w:r>
        <w:rPr>
          <w:noProof/>
        </w:rPr>
        <w:t>49F.</w:t>
      </w:r>
      <w:r>
        <w:rPr>
          <w:noProof/>
        </w:rPr>
        <w:tab/>
        <w:t>Prescribed diseases taken to be from certain employment</w:t>
      </w:r>
      <w:r>
        <w:rPr>
          <w:noProof/>
        </w:rPr>
        <w:tab/>
      </w:r>
      <w:r>
        <w:rPr>
          <w:noProof/>
        </w:rPr>
        <w:fldChar w:fldCharType="begin"/>
      </w:r>
      <w:r>
        <w:rPr>
          <w:noProof/>
        </w:rPr>
        <w:instrText xml:space="preserve"> PAGEREF _Toc48744752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49G.</w:t>
      </w:r>
      <w:r>
        <w:rPr>
          <w:noProof/>
        </w:rPr>
        <w:tab/>
        <w:t>Division 3 does not apply if s. 49F(3) applies</w:t>
      </w:r>
      <w:r>
        <w:rPr>
          <w:noProof/>
        </w:rPr>
        <w:tab/>
      </w:r>
      <w:r>
        <w:rPr>
          <w:noProof/>
        </w:rPr>
        <w:fldChar w:fldCharType="begin"/>
      </w:r>
      <w:r>
        <w:rPr>
          <w:noProof/>
        </w:rPr>
        <w:instrText xml:space="preserve"> PAGEREF _Toc48744753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7.</w:t>
      </w:r>
      <w:r>
        <w:tab/>
        <w:t>Section 93L amended</w:t>
      </w:r>
      <w:r>
        <w:tab/>
      </w:r>
      <w:r>
        <w:fldChar w:fldCharType="begin"/>
      </w:r>
      <w:r>
        <w:instrText xml:space="preserve"> PAGEREF _Toc48744754 \h </w:instrText>
      </w:r>
      <w:r>
        <w:fldChar w:fldCharType="separate"/>
      </w:r>
      <w:r>
        <w:t>6</w:t>
      </w:r>
      <w:r>
        <w:fldChar w:fldCharType="end"/>
      </w:r>
    </w:p>
    <w:p>
      <w:pPr>
        <w:pStyle w:val="TOC8"/>
        <w:rPr>
          <w:rFonts w:asciiTheme="minorHAnsi" w:eastAsiaTheme="minorEastAsia" w:hAnsiTheme="minorHAnsi" w:cstheme="minorBidi"/>
          <w:szCs w:val="22"/>
        </w:rPr>
      </w:pPr>
      <w:r>
        <w:t>8.</w:t>
      </w:r>
      <w:r>
        <w:tab/>
        <w:t>Section 93M deleted</w:t>
      </w:r>
      <w:r>
        <w:tab/>
      </w:r>
      <w:r>
        <w:fldChar w:fldCharType="begin"/>
      </w:r>
      <w:r>
        <w:instrText xml:space="preserve"> PAGEREF _Toc48744755 \h </w:instrText>
      </w:r>
      <w:r>
        <w:fldChar w:fldCharType="separate"/>
      </w:r>
      <w:r>
        <w:t>7</w:t>
      </w:r>
      <w:r>
        <w:fldChar w:fldCharType="end"/>
      </w:r>
    </w:p>
    <w:p>
      <w:pPr>
        <w:pStyle w:val="TOC8"/>
        <w:rPr>
          <w:rFonts w:asciiTheme="minorHAnsi" w:eastAsiaTheme="minorEastAsia" w:hAnsiTheme="minorHAnsi" w:cstheme="minorBidi"/>
          <w:szCs w:val="22"/>
        </w:rPr>
      </w:pPr>
      <w:r>
        <w:t>9.</w:t>
      </w:r>
      <w:r>
        <w:tab/>
        <w:t>Section 93N amended</w:t>
      </w:r>
      <w:r>
        <w:tab/>
      </w:r>
      <w:r>
        <w:fldChar w:fldCharType="begin"/>
      </w:r>
      <w:r>
        <w:instrText xml:space="preserve"> PAGEREF _Toc48744756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93O deleted</w:t>
      </w:r>
      <w:r>
        <w:tab/>
      </w:r>
      <w:r>
        <w:fldChar w:fldCharType="begin"/>
      </w:r>
      <w:r>
        <w:instrText xml:space="preserve"> PAGEREF _Toc48744757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93Q amended</w:t>
      </w:r>
      <w:r>
        <w:tab/>
      </w:r>
      <w:r>
        <w:fldChar w:fldCharType="begin"/>
      </w:r>
      <w:r>
        <w:instrText xml:space="preserve"> PAGEREF _Toc48744758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93R amended</w:t>
      </w:r>
      <w:r>
        <w:tab/>
      </w:r>
      <w:r>
        <w:fldChar w:fldCharType="begin"/>
      </w:r>
      <w:r>
        <w:instrText xml:space="preserve"> PAGEREF _Toc48744759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93S amended</w:t>
      </w:r>
      <w:r>
        <w:tab/>
      </w:r>
      <w:r>
        <w:fldChar w:fldCharType="begin"/>
      </w:r>
      <w:r>
        <w:instrText xml:space="preserve"> PAGEREF _Toc48744760 \h </w:instrText>
      </w:r>
      <w:r>
        <w:fldChar w:fldCharType="separate"/>
      </w:r>
      <w:r>
        <w:t>8</w:t>
      </w:r>
      <w:r>
        <w:fldChar w:fldCharType="end"/>
      </w:r>
    </w:p>
    <w:p>
      <w:pPr>
        <w:pStyle w:val="TOC8"/>
        <w:rPr>
          <w:rFonts w:asciiTheme="minorHAnsi" w:eastAsiaTheme="minorEastAsia" w:hAnsiTheme="minorHAnsi" w:cstheme="minorBidi"/>
          <w:szCs w:val="22"/>
        </w:rPr>
      </w:pPr>
      <w:r>
        <w:t>14.</w:t>
      </w:r>
      <w:r>
        <w:tab/>
        <w:t>Part IV Division 2 Subdivision 4 inserted</w:t>
      </w:r>
      <w:r>
        <w:tab/>
      </w:r>
      <w:r>
        <w:fldChar w:fldCharType="begin"/>
      </w:r>
      <w:r>
        <w:instrText xml:space="preserve"> PAGEREF _Toc48744761 \h </w:instrText>
      </w:r>
      <w:r>
        <w:fldChar w:fldCharType="separate"/>
      </w:r>
      <w:r>
        <w:t>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 xml:space="preserve">Subdivision 4 — Savings and transitional arrangements arising from </w:t>
      </w:r>
      <w:r>
        <w:rPr>
          <w:i/>
          <w:noProof/>
        </w:rPr>
        <w:t>Workers’ Compensation and Injury Management Amendment (COVID</w:t>
      </w:r>
      <w:r>
        <w:rPr>
          <w:i/>
          <w:noProof/>
        </w:rPr>
        <w:noBreakHyphen/>
        <w:t>19 Response) Act 2020</w:t>
      </w:r>
    </w:p>
    <w:p>
      <w:pPr>
        <w:pStyle w:val="TOC9"/>
        <w:rPr>
          <w:rFonts w:asciiTheme="minorHAnsi" w:eastAsiaTheme="minorEastAsia" w:hAnsiTheme="minorHAnsi" w:cstheme="minorBidi"/>
          <w:noProof/>
          <w:sz w:val="22"/>
          <w:szCs w:val="22"/>
        </w:rPr>
      </w:pPr>
      <w:r>
        <w:rPr>
          <w:noProof/>
        </w:rPr>
        <w:t>93T.</w:t>
      </w:r>
      <w:r>
        <w:rPr>
          <w:noProof/>
        </w:rPr>
        <w:tab/>
        <w:t>Transitional arrangements for termination day</w:t>
      </w:r>
      <w:r>
        <w:rPr>
          <w:noProof/>
        </w:rPr>
        <w:tab/>
      </w:r>
      <w:r>
        <w:rPr>
          <w:noProof/>
        </w:rPr>
        <w:fldChar w:fldCharType="begin"/>
      </w:r>
      <w:r>
        <w:rPr>
          <w:noProof/>
        </w:rPr>
        <w:instrText xml:space="preserve"> PAGEREF _Toc48744763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15.</w:t>
      </w:r>
      <w:r>
        <w:tab/>
        <w:t>Section 314A inserted</w:t>
      </w:r>
      <w:r>
        <w:tab/>
      </w:r>
      <w:r>
        <w:fldChar w:fldCharType="begin"/>
      </w:r>
      <w:r>
        <w:instrText xml:space="preserve"> PAGEREF _Toc48744764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314A.</w:t>
      </w:r>
      <w:r>
        <w:rPr>
          <w:noProof/>
        </w:rPr>
        <w:tab/>
        <w:t>Facilitating electronic processes</w:t>
      </w:r>
      <w:r>
        <w:rPr>
          <w:noProof/>
        </w:rPr>
        <w:tab/>
      </w:r>
      <w:r>
        <w:rPr>
          <w:noProof/>
        </w:rPr>
        <w:fldChar w:fldCharType="begin"/>
      </w:r>
      <w:r>
        <w:rPr>
          <w:noProof/>
        </w:rPr>
        <w:instrText xml:space="preserve"> PAGEREF _Toc48744765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lastRenderedPageBreak/>
        <w:t>16.</w:t>
      </w:r>
      <w:r>
        <w:tab/>
        <w:t>Section 314B inserted</w:t>
      </w:r>
      <w:r>
        <w:tab/>
      </w:r>
      <w:r>
        <w:fldChar w:fldCharType="begin"/>
      </w:r>
      <w:r>
        <w:instrText xml:space="preserve"> PAGEREF _Toc48744766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314B.</w:t>
      </w:r>
      <w:r>
        <w:rPr>
          <w:noProof/>
        </w:rPr>
        <w:tab/>
        <w:t>Review of Act</w:t>
      </w:r>
      <w:r>
        <w:rPr>
          <w:noProof/>
        </w:rPr>
        <w:tab/>
      </w:r>
      <w:r>
        <w:rPr>
          <w:noProof/>
        </w:rPr>
        <w:fldChar w:fldCharType="begin"/>
      </w:r>
      <w:r>
        <w:rPr>
          <w:noProof/>
        </w:rPr>
        <w:instrText xml:space="preserve"> PAGEREF _Toc48744767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17.</w:t>
      </w:r>
      <w:r>
        <w:tab/>
        <w:t>Section 315 deleted</w:t>
      </w:r>
      <w:r>
        <w:tab/>
      </w:r>
      <w:r>
        <w:fldChar w:fldCharType="begin"/>
      </w:r>
      <w:r>
        <w:instrText xml:space="preserve"> PAGEREF _Toc48744768 \h </w:instrText>
      </w:r>
      <w:r>
        <w:fldChar w:fldCharType="separate"/>
      </w:r>
      <w:r>
        <w:t>11</w:t>
      </w:r>
      <w:r>
        <w:fldChar w:fldCharType="end"/>
      </w:r>
    </w:p>
    <w:p>
      <w:pPr>
        <w:pStyle w:val="TOC8"/>
        <w:rPr>
          <w:rFonts w:asciiTheme="minorHAnsi" w:eastAsiaTheme="minorEastAsia" w:hAnsiTheme="minorHAnsi" w:cstheme="minorBidi"/>
          <w:szCs w:val="22"/>
        </w:rPr>
      </w:pPr>
      <w:r>
        <w:t>18.</w:t>
      </w:r>
      <w:r>
        <w:tab/>
        <w:t>Schedule 1 amended</w:t>
      </w:r>
      <w:r>
        <w:tab/>
      </w:r>
      <w:r>
        <w:fldChar w:fldCharType="begin"/>
      </w:r>
      <w:r>
        <w:instrText xml:space="preserve"> PAGEREF _Toc48744769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Workers’ Compensation and Injury Management Amendment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31 of 2020</w:t>
      </w:r>
    </w:p>
    <w:p>
      <w:pPr>
        <w:pStyle w:val="LongTitle"/>
        <w:suppressLineNumbers/>
      </w:pPr>
      <w:r>
        <w:t xml:space="preserve">An Act to amend the </w:t>
      </w:r>
      <w:r>
        <w:rPr>
          <w:i/>
        </w:rPr>
        <w:t>Workers’ Compensation and Injury Management Act 1981</w:t>
      </w:r>
      <w:r>
        <w:t>.</w:t>
      </w:r>
    </w:p>
    <w:p>
      <w:pPr>
        <w:pStyle w:val="AssentNote"/>
      </w:pPr>
      <w:r>
        <w:t>[Assented to 18 August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8744745"/>
      <w:r>
        <w:rPr>
          <w:rStyle w:val="CharSectno"/>
        </w:rPr>
        <w:t>1</w:t>
      </w:r>
      <w:r>
        <w:t>.</w:t>
      </w:r>
      <w:r>
        <w:tab/>
        <w:t>Short title</w:t>
      </w:r>
      <w:bookmarkEnd w:id="4"/>
    </w:p>
    <w:p>
      <w:pPr>
        <w:pStyle w:val="Subsection"/>
      </w:pPr>
      <w:r>
        <w:tab/>
      </w:r>
      <w:r>
        <w:tab/>
        <w:t>This is the</w:t>
      </w:r>
      <w:r>
        <w:rPr>
          <w:i/>
        </w:rPr>
        <w:t xml:space="preserve"> Workers’ Compensation and Injury Management Amendment (COVID</w:t>
      </w:r>
      <w:r>
        <w:rPr>
          <w:i/>
        </w:rPr>
        <w:noBreakHyphen/>
        <w:t>19 Response) Act 2020</w:t>
      </w:r>
      <w:r>
        <w:t>.</w:t>
      </w:r>
    </w:p>
    <w:p>
      <w:pPr>
        <w:pStyle w:val="Heading5"/>
      </w:pPr>
      <w:bookmarkStart w:id="5" w:name="_Toc48744746"/>
      <w:r>
        <w:rPr>
          <w:rStyle w:val="CharSectno"/>
        </w:rPr>
        <w:t>2</w:t>
      </w:r>
      <w:r>
        <w:t>.</w:t>
      </w:r>
      <w:r>
        <w:tab/>
        <w:t>Commencement</w:t>
      </w:r>
      <w:bookmarkEnd w:id="5"/>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sections 3 and 16 — on the day after this Act receives the Royal Assent;</w:t>
      </w:r>
    </w:p>
    <w:p>
      <w:pPr>
        <w:pStyle w:val="Indenta"/>
      </w:pPr>
      <w:r>
        <w:tab/>
        <w:t>(c)</w:t>
      </w:r>
      <w:r>
        <w:tab/>
        <w:t>the rest of the Act — on a day fixed by proclamation, and different days may be fixed for different provisions.</w:t>
      </w:r>
    </w:p>
    <w:p>
      <w:pPr>
        <w:pStyle w:val="Subsection"/>
      </w:pPr>
      <w:r>
        <w:tab/>
        <w:t>(2)</w:t>
      </w:r>
      <w:r>
        <w:tab/>
        <w:t>However, if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6" w:name="_Toc48744747"/>
      <w:r>
        <w:rPr>
          <w:rStyle w:val="CharSectno"/>
        </w:rPr>
        <w:t>3</w:t>
      </w:r>
      <w:r>
        <w:rPr>
          <w:snapToGrid w:val="0"/>
        </w:rPr>
        <w:t>.</w:t>
      </w:r>
      <w:r>
        <w:rPr>
          <w:snapToGrid w:val="0"/>
        </w:rPr>
        <w:tab/>
        <w:t>Act amended</w:t>
      </w:r>
      <w:bookmarkEnd w:id="6"/>
    </w:p>
    <w:p>
      <w:pPr>
        <w:pStyle w:val="Subsection"/>
      </w:pPr>
      <w:r>
        <w:tab/>
      </w:r>
      <w:r>
        <w:tab/>
        <w:t xml:space="preserve">This Act amends the </w:t>
      </w:r>
      <w:r>
        <w:rPr>
          <w:i/>
        </w:rPr>
        <w:t>Workers’ Compensation and Injury Management Act 1981</w:t>
      </w:r>
      <w:r>
        <w:t>.</w:t>
      </w:r>
    </w:p>
    <w:p>
      <w:pPr>
        <w:pStyle w:val="Heading5"/>
      </w:pPr>
      <w:bookmarkStart w:id="7" w:name="_Toc48744748"/>
      <w:r>
        <w:rPr>
          <w:rStyle w:val="CharSectno"/>
        </w:rPr>
        <w:t>4</w:t>
      </w:r>
      <w:r>
        <w:t>.</w:t>
      </w:r>
      <w:r>
        <w:tab/>
        <w:t>Section 5 amended</w:t>
      </w:r>
      <w:bookmarkEnd w:id="7"/>
    </w:p>
    <w:p>
      <w:pPr>
        <w:pStyle w:val="Subsection"/>
      </w:pPr>
      <w:r>
        <w:tab/>
      </w:r>
      <w:r>
        <w:tab/>
        <w:t xml:space="preserve">In section 5(1) delete the definition of </w:t>
      </w:r>
      <w:r>
        <w:rPr>
          <w:b/>
          <w:i/>
        </w:rPr>
        <w:t xml:space="preserve">prescribed amount </w:t>
      </w:r>
      <w:r>
        <w:t>and insert:</w:t>
      </w:r>
    </w:p>
    <w:p>
      <w:pPr>
        <w:pStyle w:val="BlankOpen"/>
      </w:pPr>
    </w:p>
    <w:p>
      <w:pPr>
        <w:pStyle w:val="zDefstart"/>
      </w:pPr>
      <w:r>
        <w:tab/>
      </w:r>
      <w:r>
        <w:rPr>
          <w:rStyle w:val="CharDefText"/>
        </w:rPr>
        <w:t>prescribed amount</w:t>
      </w:r>
      <w:r>
        <w:t xml:space="preserve"> has the meaning given in section 5A(1A);</w:t>
      </w:r>
    </w:p>
    <w:p>
      <w:pPr>
        <w:pStyle w:val="BlankClose"/>
      </w:pPr>
    </w:p>
    <w:p>
      <w:pPr>
        <w:pStyle w:val="Heading5"/>
      </w:pPr>
      <w:bookmarkStart w:id="8" w:name="_Toc48744749"/>
      <w:r>
        <w:rPr>
          <w:rStyle w:val="CharSectno"/>
        </w:rPr>
        <w:t>5</w:t>
      </w:r>
      <w:r>
        <w:t>.</w:t>
      </w:r>
      <w:r>
        <w:tab/>
        <w:t>Section 5A amended</w:t>
      </w:r>
      <w:bookmarkEnd w:id="8"/>
    </w:p>
    <w:p>
      <w:pPr>
        <w:pStyle w:val="Subsection"/>
        <w:keepNext/>
      </w:pPr>
      <w:r>
        <w:tab/>
        <w:t>(1)</w:t>
      </w:r>
      <w:r>
        <w:tab/>
        <w:t>Before section 5A(1) insert:</w:t>
      </w:r>
    </w:p>
    <w:p>
      <w:pPr>
        <w:pStyle w:val="BlankOpen"/>
      </w:pPr>
    </w:p>
    <w:p>
      <w:pPr>
        <w:pStyle w:val="zSubsection"/>
      </w:pPr>
      <w:r>
        <w:tab/>
        <w:t>(1A)</w:t>
      </w:r>
      <w:r>
        <w:tab/>
        <w:t xml:space="preserve">In this section — </w:t>
      </w:r>
    </w:p>
    <w:p>
      <w:pPr>
        <w:pStyle w:val="zDefstart"/>
      </w:pPr>
      <w:r>
        <w:tab/>
      </w:r>
      <w:r>
        <w:rPr>
          <w:rStyle w:val="CharDefText"/>
        </w:rPr>
        <w:t>adjustable amount</w:t>
      </w:r>
      <w:r>
        <w:t xml:space="preserve"> means — </w:t>
      </w:r>
    </w:p>
    <w:p>
      <w:pPr>
        <w:pStyle w:val="zDefpara"/>
      </w:pPr>
      <w:r>
        <w:tab/>
        <w:t>(a)</w:t>
      </w:r>
      <w:r>
        <w:tab/>
        <w:t>the prescribed amount; or</w:t>
      </w:r>
    </w:p>
    <w:p>
      <w:pPr>
        <w:pStyle w:val="zDefpara"/>
      </w:pPr>
      <w:r>
        <w:tab/>
        <w:t>(b)</w:t>
      </w:r>
      <w:r>
        <w:tab/>
        <w:t>an amount that a provision of this Act describes as applying in accordance with this section; or</w:t>
      </w:r>
    </w:p>
    <w:p>
      <w:pPr>
        <w:pStyle w:val="zDefpara"/>
      </w:pPr>
      <w:r>
        <w:tab/>
        <w:t>(c)</w:t>
      </w:r>
      <w:r>
        <w:tab/>
        <w:t>Amount C;</w:t>
      </w:r>
    </w:p>
    <w:p>
      <w:pPr>
        <w:pStyle w:val="zDefstart"/>
      </w:pPr>
      <w:r>
        <w:tab/>
      </w:r>
      <w:r>
        <w:rPr>
          <w:rStyle w:val="CharDefText"/>
        </w:rPr>
        <w:t>Amount C</w:t>
      </w:r>
      <w:r>
        <w:t xml:space="preserve"> means — </w:t>
      </w:r>
    </w:p>
    <w:p>
      <w:pPr>
        <w:pStyle w:val="zDefpara"/>
      </w:pPr>
      <w:r>
        <w:tab/>
        <w:t>(a)</w:t>
      </w:r>
      <w:r>
        <w:tab/>
        <w:t>for a financial year ending before 1 July 2020, the amount worked out under clause 11(2) as in force on 1 July of that year;</w:t>
      </w:r>
    </w:p>
    <w:p>
      <w:pPr>
        <w:pStyle w:val="zDefpara"/>
      </w:pPr>
      <w:r>
        <w:tab/>
        <w:t>(b)</w:t>
      </w:r>
      <w:r>
        <w:tab/>
        <w:t xml:space="preserve">for the financial year ending 30 June 2021, the amount of $2 645.90; </w:t>
      </w:r>
    </w:p>
    <w:p>
      <w:pPr>
        <w:pStyle w:val="zIndenta"/>
      </w:pPr>
      <w:r>
        <w:tab/>
        <w:t>(c)</w:t>
      </w:r>
      <w:r>
        <w:tab/>
        <w:t>for any subsequent financial year, the amount prescribed, or worked out, under the regulations for that financial year;</w:t>
      </w:r>
    </w:p>
    <w:p>
      <w:pPr>
        <w:pStyle w:val="zDefstart"/>
      </w:pPr>
      <w:r>
        <w:tab/>
      </w:r>
      <w:r>
        <w:rPr>
          <w:rStyle w:val="CharDefText"/>
        </w:rPr>
        <w:t>prescribed amount</w:t>
      </w:r>
      <w:r>
        <w:t xml:space="preserve"> means — </w:t>
      </w:r>
    </w:p>
    <w:p>
      <w:pPr>
        <w:pStyle w:val="zDefpara"/>
      </w:pPr>
      <w:r>
        <w:tab/>
        <w:t>(a)</w:t>
      </w:r>
      <w:r>
        <w:tab/>
        <w:t>for a financial year ending before 1 July 2020, the amount that was the prescribed amount for that financial year under this Act as in force on 1 July of that year;</w:t>
      </w:r>
    </w:p>
    <w:p>
      <w:pPr>
        <w:pStyle w:val="zIndenta"/>
      </w:pPr>
      <w:r>
        <w:tab/>
        <w:t>(b)</w:t>
      </w:r>
      <w:r>
        <w:tab/>
        <w:t>for the financial year ending 30 June 2021, the amount of $235 971.00;</w:t>
      </w:r>
    </w:p>
    <w:p>
      <w:pPr>
        <w:pStyle w:val="zDefpara"/>
      </w:pPr>
      <w:r>
        <w:tab/>
        <w:t>(c)</w:t>
      </w:r>
      <w:r>
        <w:tab/>
        <w:t>for any subsequent financial year, the amount prescribed, or worked out, under the regulations for that financial year.</w:t>
      </w:r>
    </w:p>
    <w:p>
      <w:pPr>
        <w:pStyle w:val="BlankClose"/>
      </w:pPr>
    </w:p>
    <w:p>
      <w:pPr>
        <w:pStyle w:val="Subsection"/>
        <w:keepNext/>
      </w:pPr>
      <w:r>
        <w:tab/>
        <w:t>(2)</w:t>
      </w:r>
      <w:r>
        <w:tab/>
        <w:t>In section 5A(1):</w:t>
      </w:r>
    </w:p>
    <w:p>
      <w:pPr>
        <w:pStyle w:val="Indenta"/>
        <w:keepNext/>
      </w:pPr>
      <w:r>
        <w:tab/>
        <w:t>(a)</w:t>
      </w:r>
      <w:r>
        <w:tab/>
        <w:t>in paragraph (a) delete “provision; and” and insert:</w:t>
      </w:r>
    </w:p>
    <w:p>
      <w:pPr>
        <w:pStyle w:val="BlankOpen"/>
      </w:pPr>
    </w:p>
    <w:p>
      <w:pPr>
        <w:pStyle w:val="Indenta"/>
      </w:pPr>
      <w:r>
        <w:tab/>
      </w:r>
      <w:r>
        <w:tab/>
        <w:t>provision;</w:t>
      </w:r>
    </w:p>
    <w:p>
      <w:pPr>
        <w:pStyle w:val="BlankClose"/>
      </w:pPr>
    </w:p>
    <w:p>
      <w:pPr>
        <w:pStyle w:val="Indenta"/>
        <w:spacing w:before="40"/>
      </w:pPr>
      <w:r>
        <w:tab/>
        <w:t>(b)</w:t>
      </w:r>
      <w:r>
        <w:tab/>
        <w:t>in paragraph (b):</w:t>
      </w:r>
    </w:p>
    <w:p>
      <w:pPr>
        <w:pStyle w:val="Indenti"/>
      </w:pPr>
      <w:r>
        <w:tab/>
        <w:t>(i)</w:t>
      </w:r>
      <w:r>
        <w:tab/>
        <w:t>delete “1 July 1997,” and insert:</w:t>
      </w:r>
    </w:p>
    <w:p>
      <w:pPr>
        <w:pStyle w:val="BlankOpen"/>
      </w:pPr>
    </w:p>
    <w:p>
      <w:pPr>
        <w:pStyle w:val="Indenti"/>
      </w:pPr>
      <w:r>
        <w:tab/>
      </w:r>
      <w:r>
        <w:tab/>
        <w:t>1 July 1997 and ending before 1 July 2021,</w:t>
      </w:r>
    </w:p>
    <w:p>
      <w:pPr>
        <w:pStyle w:val="BlankClose"/>
      </w:pPr>
    </w:p>
    <w:p>
      <w:pPr>
        <w:pStyle w:val="Indenti"/>
        <w:keepNext/>
      </w:pPr>
      <w:r>
        <w:tab/>
        <w:t>(ii)</w:t>
      </w:r>
      <w:r>
        <w:tab/>
        <w:t>delete “dollars).” and insert:</w:t>
      </w:r>
    </w:p>
    <w:p>
      <w:pPr>
        <w:pStyle w:val="BlankOpen"/>
      </w:pPr>
    </w:p>
    <w:p>
      <w:pPr>
        <w:pStyle w:val="Indenti"/>
      </w:pPr>
      <w:r>
        <w:tab/>
      </w:r>
      <w:r>
        <w:tab/>
        <w:t>dollars);</w:t>
      </w:r>
    </w:p>
    <w:p>
      <w:pPr>
        <w:pStyle w:val="BlankClose"/>
      </w:pPr>
    </w:p>
    <w:p>
      <w:pPr>
        <w:pStyle w:val="Subsection"/>
      </w:pPr>
      <w:r>
        <w:tab/>
        <w:t>(3)</w:t>
      </w:r>
      <w:r>
        <w:tab/>
        <w:t>After section 5A(1)(b) insert:</w:t>
      </w:r>
    </w:p>
    <w:p>
      <w:pPr>
        <w:pStyle w:val="BlankOpen"/>
      </w:pPr>
    </w:p>
    <w:p>
      <w:pPr>
        <w:pStyle w:val="zIndenta"/>
      </w:pPr>
      <w:r>
        <w:tab/>
        <w:t>(c)</w:t>
      </w:r>
      <w:r>
        <w:tab/>
        <w:t>for any subsequent financial year, the amount prescribed for the purposes of the provision, or worked out, under the regulations for that financial year.</w:t>
      </w:r>
    </w:p>
    <w:p>
      <w:pPr>
        <w:pStyle w:val="BlankClose"/>
      </w:pPr>
    </w:p>
    <w:p>
      <w:pPr>
        <w:pStyle w:val="Subsection"/>
      </w:pPr>
      <w:r>
        <w:tab/>
        <w:t>(4)</w:t>
      </w:r>
      <w:r>
        <w:tab/>
        <w:t>After section 5A(2) insert:</w:t>
      </w:r>
    </w:p>
    <w:p>
      <w:pPr>
        <w:pStyle w:val="BlankOpen"/>
      </w:pPr>
    </w:p>
    <w:p>
      <w:pPr>
        <w:pStyle w:val="z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zSubsection"/>
      </w:pPr>
      <w:r>
        <w:tab/>
        <w:t>(4)</w:t>
      </w:r>
      <w:r>
        <w:tab/>
        <w:t>The regulations may provide for different adjustment methodologies for different adjustable amounts.</w:t>
      </w:r>
    </w:p>
    <w:p>
      <w:pPr>
        <w:pStyle w:val="zSubsection"/>
      </w:pPr>
      <w:r>
        <w:tab/>
        <w:t>(5)</w:t>
      </w:r>
      <w:r>
        <w:tab/>
        <w:t>If, for a particular period, variation under the regulations of an adjustable amount would reduce the amount, the amount is not to be varied for the period.</w:t>
      </w:r>
    </w:p>
    <w:p>
      <w:pPr>
        <w:pStyle w:val="zSubsection"/>
      </w:pPr>
      <w:r>
        <w:tab/>
        <w:t>(6)</w:t>
      </w:r>
      <w:r>
        <w:tab/>
        <w:t>An adjustable amount for a financial year must be published on the WorkCover WA website.</w:t>
      </w:r>
    </w:p>
    <w:p>
      <w:pPr>
        <w:pStyle w:val="BlankClose"/>
      </w:pPr>
    </w:p>
    <w:p>
      <w:pPr>
        <w:pStyle w:val="SectAltNote"/>
      </w:pPr>
      <w:r>
        <w:tab/>
        <w:t>Note:</w:t>
      </w:r>
      <w:r>
        <w:tab/>
        <w:t>The heading to amended section 5A is to read:</w:t>
      </w:r>
    </w:p>
    <w:p>
      <w:pPr>
        <w:pStyle w:val="SectAltHeading"/>
      </w:pPr>
      <w:r>
        <w:rPr>
          <w:b w:val="0"/>
        </w:rPr>
        <w:tab/>
      </w:r>
      <w:r>
        <w:rPr>
          <w:b w:val="0"/>
        </w:rPr>
        <w:tab/>
      </w:r>
      <w:r>
        <w:t>Prescribed amount and variation of certain amounts</w:t>
      </w:r>
    </w:p>
    <w:p>
      <w:pPr>
        <w:pStyle w:val="Heading5"/>
      </w:pPr>
      <w:bookmarkStart w:id="9" w:name="_Toc48744750"/>
      <w:r>
        <w:rPr>
          <w:rStyle w:val="CharSectno"/>
        </w:rPr>
        <w:t>6</w:t>
      </w:r>
      <w:r>
        <w:t>.</w:t>
      </w:r>
      <w:r>
        <w:tab/>
        <w:t>Part III Division 4B inserted</w:t>
      </w:r>
      <w:bookmarkEnd w:id="9"/>
    </w:p>
    <w:p>
      <w:pPr>
        <w:pStyle w:val="Subsection"/>
        <w:keepNext/>
      </w:pPr>
      <w:r>
        <w:tab/>
      </w:r>
      <w:r>
        <w:tab/>
        <w:t>After Part III Division 4A insert:</w:t>
      </w:r>
    </w:p>
    <w:p>
      <w:pPr>
        <w:pStyle w:val="BlankOpen"/>
      </w:pPr>
    </w:p>
    <w:p>
      <w:pPr>
        <w:pStyle w:val="zHeading3"/>
      </w:pPr>
      <w:bookmarkStart w:id="10" w:name="_Toc48743893"/>
      <w:bookmarkStart w:id="11" w:name="_Toc48744346"/>
      <w:bookmarkStart w:id="12" w:name="_Toc48744751"/>
      <w:r>
        <w:t>Division 4B — Injury: prescribed diseases</w:t>
      </w:r>
      <w:bookmarkEnd w:id="10"/>
      <w:bookmarkEnd w:id="11"/>
      <w:bookmarkEnd w:id="12"/>
    </w:p>
    <w:p>
      <w:pPr>
        <w:pStyle w:val="zHeading5"/>
      </w:pPr>
      <w:bookmarkStart w:id="13" w:name="_Toc48744752"/>
      <w:r>
        <w:t>49F.</w:t>
      </w:r>
      <w:r>
        <w:tab/>
        <w:t>Prescribed diseases taken to be from certain employment</w:t>
      </w:r>
      <w:bookmarkEnd w:id="13"/>
    </w:p>
    <w:p>
      <w:pPr>
        <w:pStyle w:val="zSubsection"/>
      </w:pPr>
      <w:r>
        <w:tab/>
        <w:t>(1)</w:t>
      </w:r>
      <w:r>
        <w:tab/>
        <w:t xml:space="preserve">The regulations may — </w:t>
      </w:r>
    </w:p>
    <w:p>
      <w:pPr>
        <w:pStyle w:val="zIndenta"/>
      </w:pPr>
      <w:r>
        <w:tab/>
        <w:t>(a)</w:t>
      </w:r>
      <w:r>
        <w:tab/>
        <w:t xml:space="preserve">specify diseases for the purposes of this section (each a </w:t>
      </w:r>
      <w:r>
        <w:rPr>
          <w:rStyle w:val="CharDefText"/>
        </w:rPr>
        <w:t>prescribed disease</w:t>
      </w:r>
      <w:r>
        <w:t>);</w:t>
      </w:r>
    </w:p>
    <w:p>
      <w:pPr>
        <w:pStyle w:val="zIndenta"/>
      </w:pPr>
      <w:r>
        <w:tab/>
        <w:t>(b)</w:t>
      </w:r>
      <w:r>
        <w:tab/>
        <w:t xml:space="preserve">for each prescribed disease specify 1 or more kinds of employment as </w:t>
      </w:r>
      <w:r>
        <w:rPr>
          <w:rStyle w:val="CharDefText"/>
        </w:rPr>
        <w:t>prescribed employment</w:t>
      </w:r>
      <w:r>
        <w:t xml:space="preserve"> for that disease.</w:t>
      </w:r>
    </w:p>
    <w:p>
      <w:pPr>
        <w:pStyle w:val="zSubsection"/>
      </w:pPr>
      <w:r>
        <w:tab/>
        <w:t>(2)</w:t>
      </w:r>
      <w:r>
        <w:tab/>
        <w:t>The regulations cannot specify a disease to which section 33 or 34 applies.</w:t>
      </w:r>
    </w:p>
    <w:p>
      <w:pPr>
        <w:pStyle w:val="z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zSubsection"/>
        <w:keepNext/>
      </w:pPr>
      <w:r>
        <w:tab/>
        <w:t>(4)</w:t>
      </w:r>
      <w:r>
        <w:tab/>
        <w:t xml:space="preserve">The regulations may — </w:t>
      </w:r>
    </w:p>
    <w:p>
      <w:pPr>
        <w:pStyle w:val="zIndenta"/>
      </w:pPr>
      <w:r>
        <w:tab/>
        <w:t>(a)</w:t>
      </w:r>
      <w:r>
        <w:tab/>
        <w:t>impose conditions or limitations on the operation of subsection (3); and</w:t>
      </w:r>
    </w:p>
    <w:p>
      <w:pPr>
        <w:pStyle w:val="zIndenta"/>
      </w:pPr>
      <w:r>
        <w:tab/>
        <w:t>(b)</w:t>
      </w:r>
      <w:r>
        <w:tab/>
        <w:t>specify the day on which subsection (3) applies to a worker or class of worker in relation to a prescribed disease; and</w:t>
      </w:r>
    </w:p>
    <w:p>
      <w:pPr>
        <w:pStyle w:val="zIndenta"/>
      </w:pPr>
      <w:r>
        <w:tab/>
        <w:t>(c)</w:t>
      </w:r>
      <w:r>
        <w:tab/>
        <w:t>specify the day on which an injury by contracting a prescribed disease that under subsection (3) is taken to be from prescribed employment is taken to have been suffered.</w:t>
      </w:r>
    </w:p>
    <w:p>
      <w:pPr>
        <w:pStyle w:val="zSubsection"/>
      </w:pPr>
      <w:r>
        <w:tab/>
        <w:t>(5)</w:t>
      </w:r>
      <w:r>
        <w:tab/>
        <w:t xml:space="preserve">A day specified for the purposes of subsection (4)(b) or (c) may be — </w:t>
      </w:r>
    </w:p>
    <w:p>
      <w:pPr>
        <w:pStyle w:val="z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zIndenta"/>
      </w:pPr>
      <w:r>
        <w:tab/>
        <w:t>(b)</w:t>
      </w:r>
      <w:r>
        <w:tab/>
        <w:t>a day before or after the relevant disease is specified as a prescribed disease by the regulations.</w:t>
      </w:r>
    </w:p>
    <w:p>
      <w:pPr>
        <w:pStyle w:val="z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zHeading5"/>
        <w:spacing w:before="180"/>
      </w:pPr>
      <w:bookmarkStart w:id="14" w:name="_Toc48744753"/>
      <w:r>
        <w:t>49G.</w:t>
      </w:r>
      <w:r>
        <w:tab/>
        <w:t>Division 3 does not apply if s. 49F(3) applies</w:t>
      </w:r>
      <w:bookmarkEnd w:id="14"/>
    </w:p>
    <w:p>
      <w:pPr>
        <w:pStyle w:val="zSubsection"/>
        <w:spacing w:before="120"/>
      </w:pPr>
      <w:r>
        <w:tab/>
      </w:r>
      <w:r>
        <w:tab/>
        <w:t>If section 49F(3) applies to a worker in relation to a disease and employment, Division 3 does not apply to the worker in relation to the same disease and employment.</w:t>
      </w:r>
    </w:p>
    <w:p>
      <w:pPr>
        <w:pStyle w:val="BlankClose"/>
      </w:pPr>
    </w:p>
    <w:p>
      <w:pPr>
        <w:pStyle w:val="Heading5"/>
      </w:pPr>
      <w:bookmarkStart w:id="15" w:name="_Toc48744754"/>
      <w:r>
        <w:rPr>
          <w:rStyle w:val="CharSectno"/>
        </w:rPr>
        <w:t>7</w:t>
      </w:r>
      <w:r>
        <w:t>.</w:t>
      </w:r>
      <w:r>
        <w:tab/>
        <w:t>Section 93L amended</w:t>
      </w:r>
      <w:bookmarkEnd w:id="15"/>
    </w:p>
    <w:p>
      <w:pPr>
        <w:pStyle w:val="Subsection"/>
      </w:pPr>
      <w:r>
        <w:tab/>
      </w:r>
      <w:r>
        <w:tab/>
        <w:t>Delete section 93L(1) and (4).</w:t>
      </w:r>
    </w:p>
    <w:p>
      <w:pPr>
        <w:pStyle w:val="Heading5"/>
      </w:pPr>
      <w:bookmarkStart w:id="16" w:name="_Toc48744755"/>
      <w:r>
        <w:rPr>
          <w:rStyle w:val="CharSectno"/>
        </w:rPr>
        <w:t>8</w:t>
      </w:r>
      <w:r>
        <w:t>.</w:t>
      </w:r>
      <w:r>
        <w:tab/>
        <w:t>Section 93M deleted</w:t>
      </w:r>
      <w:bookmarkEnd w:id="16"/>
    </w:p>
    <w:p>
      <w:pPr>
        <w:pStyle w:val="Subsection"/>
      </w:pPr>
      <w:r>
        <w:tab/>
      </w:r>
      <w:r>
        <w:tab/>
        <w:t>Delete section 93M.</w:t>
      </w:r>
    </w:p>
    <w:p>
      <w:pPr>
        <w:pStyle w:val="Heading5"/>
      </w:pPr>
      <w:bookmarkStart w:id="17" w:name="_Toc48744756"/>
      <w:r>
        <w:rPr>
          <w:rStyle w:val="CharSectno"/>
        </w:rPr>
        <w:t>9</w:t>
      </w:r>
      <w:r>
        <w:t>.</w:t>
      </w:r>
      <w:r>
        <w:tab/>
        <w:t>Section 93N amended</w:t>
      </w:r>
      <w:bookmarkEnd w:id="17"/>
    </w:p>
    <w:p>
      <w:pPr>
        <w:pStyle w:val="Subsection"/>
      </w:pPr>
      <w:r>
        <w:tab/>
        <w:t>(1)</w:t>
      </w:r>
      <w:r>
        <w:tab/>
        <w:t>In section 93N(1) delete “6 months after the day that would have been the termination day had there been no extension under section 93M(4),” and insert:</w:t>
      </w:r>
    </w:p>
    <w:p>
      <w:pPr>
        <w:pStyle w:val="BlankOpen"/>
      </w:pPr>
    </w:p>
    <w:p>
      <w:pPr>
        <w:pStyle w:val="Subsection"/>
      </w:pPr>
      <w:r>
        <w:tab/>
      </w:r>
      <w:r>
        <w:tab/>
        <w:t>18 months after the day on which a claim for compensation by way of weekly payments is made by a worker,</w:t>
      </w:r>
    </w:p>
    <w:p>
      <w:pPr>
        <w:pStyle w:val="BlankClose"/>
      </w:pPr>
    </w:p>
    <w:p>
      <w:pPr>
        <w:pStyle w:val="Subsection"/>
      </w:pPr>
      <w:r>
        <w:tab/>
        <w:t>(2)</w:t>
      </w:r>
      <w:r>
        <w:tab/>
        <w:t>After section 93N(1) insert:</w:t>
      </w:r>
    </w:p>
    <w:p>
      <w:pPr>
        <w:pStyle w:val="BlankOpen"/>
      </w:pPr>
    </w:p>
    <w:p>
      <w:pPr>
        <w:pStyle w:val="zSubsection"/>
      </w:pPr>
      <w:r>
        <w:tab/>
        <w:t>(1A)</w:t>
      </w:r>
      <w:r>
        <w:tab/>
        <w:t xml:space="preserve">In subsection (1) — </w:t>
      </w:r>
    </w:p>
    <w:p>
      <w:pPr>
        <w:pStyle w:val="z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BlankClose"/>
      </w:pPr>
    </w:p>
    <w:p>
      <w:pPr>
        <w:pStyle w:val="Subsection"/>
      </w:pPr>
      <w:r>
        <w:tab/>
        <w:t>(3)</w:t>
      </w:r>
      <w:r>
        <w:tab/>
        <w:t>In section 93N(4) delete “not later than 8 weeks before the termination day”.</w:t>
      </w:r>
    </w:p>
    <w:p>
      <w:pPr>
        <w:pStyle w:val="Heading5"/>
      </w:pPr>
      <w:bookmarkStart w:id="18" w:name="_Toc48744757"/>
      <w:r>
        <w:rPr>
          <w:rStyle w:val="CharSectno"/>
        </w:rPr>
        <w:t>10</w:t>
      </w:r>
      <w:r>
        <w:t>.</w:t>
      </w:r>
      <w:r>
        <w:tab/>
        <w:t>Section 93O deleted</w:t>
      </w:r>
      <w:bookmarkEnd w:id="18"/>
    </w:p>
    <w:p>
      <w:pPr>
        <w:pStyle w:val="Subsection"/>
      </w:pPr>
      <w:r>
        <w:tab/>
      </w:r>
      <w:r>
        <w:tab/>
        <w:t>Delete section 93O.</w:t>
      </w:r>
    </w:p>
    <w:p>
      <w:pPr>
        <w:pStyle w:val="Heading5"/>
      </w:pPr>
      <w:bookmarkStart w:id="19" w:name="_Toc48744758"/>
      <w:r>
        <w:rPr>
          <w:rStyle w:val="CharSectno"/>
        </w:rPr>
        <w:t>11</w:t>
      </w:r>
      <w:r>
        <w:t>.</w:t>
      </w:r>
      <w:r>
        <w:tab/>
        <w:t>Section 93Q amended</w:t>
      </w:r>
      <w:bookmarkEnd w:id="19"/>
    </w:p>
    <w:p>
      <w:pPr>
        <w:pStyle w:val="Subsection"/>
      </w:pPr>
      <w:r>
        <w:tab/>
      </w:r>
      <w:r>
        <w:tab/>
        <w:t>Delete section 93Q(7).</w:t>
      </w:r>
    </w:p>
    <w:p>
      <w:pPr>
        <w:pStyle w:val="Heading5"/>
      </w:pPr>
      <w:bookmarkStart w:id="20" w:name="_Toc48744759"/>
      <w:r>
        <w:rPr>
          <w:rStyle w:val="CharSectno"/>
        </w:rPr>
        <w:t>12</w:t>
      </w:r>
      <w:r>
        <w:t>.</w:t>
      </w:r>
      <w:r>
        <w:tab/>
        <w:t>Section 93R amended</w:t>
      </w:r>
      <w:bookmarkEnd w:id="20"/>
    </w:p>
    <w:p>
      <w:pPr>
        <w:pStyle w:val="Subsection"/>
      </w:pPr>
      <w:r>
        <w:tab/>
      </w:r>
      <w:r>
        <w:tab/>
        <w:t>Delete section 93R(6).</w:t>
      </w:r>
    </w:p>
    <w:p>
      <w:pPr>
        <w:pStyle w:val="Heading5"/>
      </w:pPr>
      <w:bookmarkStart w:id="21" w:name="_Toc48744760"/>
      <w:r>
        <w:rPr>
          <w:rStyle w:val="CharSectno"/>
        </w:rPr>
        <w:t>13</w:t>
      </w:r>
      <w:r>
        <w:t>.</w:t>
      </w:r>
      <w:r>
        <w:tab/>
        <w:t>Section 93S amended</w:t>
      </w:r>
      <w:bookmarkEnd w:id="21"/>
    </w:p>
    <w:p>
      <w:pPr>
        <w:pStyle w:val="Subsection"/>
        <w:keepNext/>
      </w:pPr>
      <w:r>
        <w:tab/>
        <w:t>(1)</w:t>
      </w:r>
      <w:r>
        <w:tab/>
        <w:t>In section 93S(d) delete “impairment;” and insert:</w:t>
      </w:r>
    </w:p>
    <w:p>
      <w:pPr>
        <w:pStyle w:val="BlankOpen"/>
      </w:pPr>
    </w:p>
    <w:p>
      <w:pPr>
        <w:pStyle w:val="Subsection"/>
      </w:pPr>
      <w:r>
        <w:tab/>
      </w:r>
      <w:r>
        <w:tab/>
        <w:t>impairment.</w:t>
      </w:r>
    </w:p>
    <w:p>
      <w:pPr>
        <w:pStyle w:val="BlankClose"/>
      </w:pPr>
    </w:p>
    <w:p>
      <w:pPr>
        <w:pStyle w:val="Subsection"/>
      </w:pPr>
      <w:r>
        <w:tab/>
        <w:t>(2)</w:t>
      </w:r>
      <w:r>
        <w:tab/>
        <w:t>Delete section 93S(e).</w:t>
      </w:r>
    </w:p>
    <w:p>
      <w:pPr>
        <w:pStyle w:val="Heading5"/>
      </w:pPr>
      <w:bookmarkStart w:id="22" w:name="_Toc48744761"/>
      <w:r>
        <w:rPr>
          <w:rStyle w:val="CharSectno"/>
        </w:rPr>
        <w:t>14</w:t>
      </w:r>
      <w:r>
        <w:t>.</w:t>
      </w:r>
      <w:r>
        <w:tab/>
        <w:t>Part IV Division 2 Subdivision 4 inserted</w:t>
      </w:r>
      <w:bookmarkEnd w:id="22"/>
    </w:p>
    <w:p>
      <w:pPr>
        <w:pStyle w:val="Subsection"/>
      </w:pPr>
      <w:r>
        <w:tab/>
      </w:r>
      <w:r>
        <w:tab/>
        <w:t>At the end of Part IV Division 2 insert:</w:t>
      </w:r>
    </w:p>
    <w:p>
      <w:pPr>
        <w:pStyle w:val="BlankOpen"/>
      </w:pPr>
    </w:p>
    <w:p>
      <w:pPr>
        <w:pStyle w:val="zHeading4"/>
      </w:pPr>
      <w:bookmarkStart w:id="23" w:name="_Toc48743904"/>
      <w:bookmarkStart w:id="24" w:name="_Toc48744357"/>
      <w:bookmarkStart w:id="25" w:name="_Toc48744762"/>
      <w:r>
        <w:t xml:space="preserve">Subdivision 4 — Savings and transitional arrangements arising from </w:t>
      </w:r>
      <w:r>
        <w:rPr>
          <w:i/>
        </w:rPr>
        <w:t>Workers’ Compensation and Injury Management Amendment (COVID</w:t>
      </w:r>
      <w:r>
        <w:rPr>
          <w:i/>
        </w:rPr>
        <w:noBreakHyphen/>
        <w:t>19 Response) Act 2020</w:t>
      </w:r>
      <w:bookmarkEnd w:id="23"/>
      <w:bookmarkEnd w:id="24"/>
      <w:bookmarkEnd w:id="25"/>
    </w:p>
    <w:p>
      <w:pPr>
        <w:pStyle w:val="zHeading5"/>
      </w:pPr>
      <w:bookmarkStart w:id="26" w:name="_Toc48744763"/>
      <w:r>
        <w:t>93T.</w:t>
      </w:r>
      <w:r>
        <w:tab/>
        <w:t>Transitional arrangements for termination day</w:t>
      </w:r>
      <w:bookmarkEnd w:id="2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zDefstart"/>
      </w:pPr>
      <w:r>
        <w:tab/>
      </w:r>
      <w:r>
        <w:rPr>
          <w:rStyle w:val="CharDefText"/>
        </w:rPr>
        <w:t>former Subdivision</w:t>
      </w:r>
      <w:r>
        <w:t xml:space="preserve"> means Subdivision 3 as in force immediately before commencement day.</w:t>
      </w:r>
    </w:p>
    <w:p>
      <w:pPr>
        <w:pStyle w:val="z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z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BlankClose"/>
      </w:pPr>
    </w:p>
    <w:p>
      <w:pPr>
        <w:pStyle w:val="Heading5"/>
      </w:pPr>
      <w:bookmarkStart w:id="27" w:name="_Toc48744764"/>
      <w:r>
        <w:rPr>
          <w:rStyle w:val="CharSectno"/>
        </w:rPr>
        <w:t>15</w:t>
      </w:r>
      <w:r>
        <w:t>.</w:t>
      </w:r>
      <w:r>
        <w:tab/>
        <w:t>Section 314A inserted</w:t>
      </w:r>
      <w:bookmarkEnd w:id="27"/>
    </w:p>
    <w:p>
      <w:pPr>
        <w:pStyle w:val="Subsection"/>
      </w:pPr>
      <w:r>
        <w:tab/>
      </w:r>
      <w:r>
        <w:tab/>
        <w:t>After section 314 insert:</w:t>
      </w:r>
    </w:p>
    <w:p>
      <w:pPr>
        <w:pStyle w:val="BlankOpen"/>
      </w:pPr>
    </w:p>
    <w:p>
      <w:pPr>
        <w:pStyle w:val="zHeading5"/>
      </w:pPr>
      <w:bookmarkStart w:id="28" w:name="_Toc48744765"/>
      <w:r>
        <w:t>314A.</w:t>
      </w:r>
      <w:r>
        <w:tab/>
        <w:t>Facilitating electronic processes</w:t>
      </w:r>
      <w:bookmarkEnd w:id="28"/>
    </w:p>
    <w:p>
      <w:pPr>
        <w:pStyle w:val="zSubsection"/>
      </w:pPr>
      <w:r>
        <w:tab/>
        <w:t>(1)</w:t>
      </w:r>
      <w:r>
        <w:tab/>
        <w:t xml:space="preserve">In this section — </w:t>
      </w:r>
    </w:p>
    <w:p>
      <w:pPr>
        <w:pStyle w:val="z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zSubsection"/>
      </w:pPr>
      <w:r>
        <w:tab/>
        <w:t>(2)</w:t>
      </w:r>
      <w:r>
        <w:tab/>
        <w:t xml:space="preserve">A person who is required or permitted under this Act to give a document to a person other than WorkCover WA may — </w:t>
      </w:r>
    </w:p>
    <w:p>
      <w:pPr>
        <w:pStyle w:val="zIndenta"/>
      </w:pPr>
      <w:r>
        <w:tab/>
        <w:t>(a)</w:t>
      </w:r>
      <w:r>
        <w:tab/>
        <w:t>create and record the document in the form (if any) specified under the regulations, which may include an electronic, paper or other form; and</w:t>
      </w:r>
    </w:p>
    <w:p>
      <w:pPr>
        <w:pStyle w:val="zIndenta"/>
      </w:pPr>
      <w:r>
        <w:tab/>
        <w:t>(b)</w:t>
      </w:r>
      <w:r>
        <w:tab/>
        <w:t>give the document in the manner (if any) specified under the regulations.</w:t>
      </w:r>
    </w:p>
    <w:p>
      <w:pPr>
        <w:pStyle w:val="BlankClose"/>
      </w:pPr>
    </w:p>
    <w:p>
      <w:pPr>
        <w:pStyle w:val="Heading5"/>
      </w:pPr>
      <w:bookmarkStart w:id="29" w:name="_Toc48744766"/>
      <w:r>
        <w:rPr>
          <w:rStyle w:val="CharSectno"/>
        </w:rPr>
        <w:t>16</w:t>
      </w:r>
      <w:r>
        <w:t>.</w:t>
      </w:r>
      <w:r>
        <w:tab/>
        <w:t>Section 314B inserted</w:t>
      </w:r>
      <w:bookmarkEnd w:id="29"/>
    </w:p>
    <w:p>
      <w:pPr>
        <w:pStyle w:val="Subsection"/>
        <w:keepNext/>
        <w:spacing w:before="120"/>
      </w:pPr>
      <w:r>
        <w:tab/>
      </w:r>
      <w:r>
        <w:tab/>
        <w:t>Before section 315 insert:</w:t>
      </w:r>
    </w:p>
    <w:p>
      <w:pPr>
        <w:pStyle w:val="BlankOpen"/>
      </w:pPr>
    </w:p>
    <w:p>
      <w:pPr>
        <w:pStyle w:val="zHeading5"/>
        <w:spacing w:before="160"/>
      </w:pPr>
      <w:bookmarkStart w:id="30" w:name="_Toc48744767"/>
      <w:r>
        <w:t>314B.</w:t>
      </w:r>
      <w:r>
        <w:tab/>
        <w:t>Review of Act</w:t>
      </w:r>
      <w:bookmarkEnd w:id="30"/>
    </w:p>
    <w:p>
      <w:pPr>
        <w:pStyle w:val="zSubsection"/>
        <w:keepNext/>
      </w:pPr>
      <w:r>
        <w:tab/>
        <w:t>(1)</w:t>
      </w:r>
      <w:r>
        <w:tab/>
        <w:t>The Minister must review the operation and effectiveness of this Act, and prepare a report based on the review —</w:t>
      </w:r>
    </w:p>
    <w:p>
      <w:pPr>
        <w:pStyle w:val="z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zIndenta"/>
      </w:pPr>
      <w:r>
        <w:tab/>
        <w:t>(b)</w:t>
      </w:r>
      <w:r>
        <w:tab/>
        <w:t>after that, at intervals of not more than 5 years.</w:t>
      </w:r>
    </w:p>
    <w:p>
      <w:pPr>
        <w:pStyle w:val="z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zSubsection"/>
      </w:pPr>
      <w:r>
        <w:tab/>
        <w:t>(3)</w:t>
      </w:r>
      <w:r>
        <w:tab/>
        <w:t>The Minister must transmit a copy of the report to the Clerk of a House of Parliament if —</w:t>
      </w:r>
    </w:p>
    <w:p>
      <w:pPr>
        <w:pStyle w:val="zIndenta"/>
      </w:pPr>
      <w:r>
        <w:tab/>
        <w:t>(a)</w:t>
      </w:r>
      <w:r>
        <w:tab/>
        <w:t>the report has been prepared; and</w:t>
      </w:r>
    </w:p>
    <w:p>
      <w:pPr>
        <w:pStyle w:val="zIndenta"/>
      </w:pPr>
      <w:r>
        <w:tab/>
        <w:t>(b)</w:t>
      </w:r>
      <w:r>
        <w:tab/>
        <w:t>the Minister is of the opinion that the House will not sit during the period of 21 days after the finalisation of the report.</w:t>
      </w:r>
    </w:p>
    <w:p>
      <w:pPr>
        <w:pStyle w:val="zSubsection"/>
      </w:pPr>
      <w:r>
        <w:tab/>
        <w:t>(4)</w:t>
      </w:r>
      <w:r>
        <w:tab/>
        <w:t>A copy of the report transmitted to the Clerk of a House is taken to have been laid before that House.</w:t>
      </w:r>
    </w:p>
    <w:p>
      <w:pPr>
        <w:pStyle w:val="z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BlankClose"/>
      </w:pPr>
    </w:p>
    <w:p>
      <w:pPr>
        <w:pStyle w:val="Heading5"/>
      </w:pPr>
      <w:bookmarkStart w:id="31" w:name="_Toc48744768"/>
      <w:r>
        <w:rPr>
          <w:rStyle w:val="CharSectno"/>
        </w:rPr>
        <w:t>17</w:t>
      </w:r>
      <w:r>
        <w:t>.</w:t>
      </w:r>
      <w:r>
        <w:tab/>
        <w:t>Section 315 deleted</w:t>
      </w:r>
      <w:bookmarkEnd w:id="31"/>
    </w:p>
    <w:p>
      <w:pPr>
        <w:pStyle w:val="Subsection"/>
      </w:pPr>
      <w:r>
        <w:tab/>
      </w:r>
      <w:r>
        <w:tab/>
        <w:t>Delete section 315.</w:t>
      </w:r>
    </w:p>
    <w:p>
      <w:pPr>
        <w:pStyle w:val="Heading5"/>
      </w:pPr>
      <w:bookmarkStart w:id="32" w:name="_Toc48744769"/>
      <w:r>
        <w:rPr>
          <w:rStyle w:val="CharSectno"/>
        </w:rPr>
        <w:t>18</w:t>
      </w:r>
      <w:r>
        <w:t>.</w:t>
      </w:r>
      <w:r>
        <w:tab/>
        <w:t>Schedule 1 amended</w:t>
      </w:r>
      <w:bookmarkEnd w:id="32"/>
    </w:p>
    <w:p>
      <w:pPr>
        <w:pStyle w:val="Subsection"/>
      </w:pPr>
      <w:r>
        <w:tab/>
      </w:r>
      <w:r>
        <w:tab/>
        <w:t xml:space="preserve">In Schedule 1 clause 11(2) delete the definition of </w:t>
      </w:r>
      <w:r>
        <w:rPr>
          <w:b/>
          <w:i/>
        </w:rPr>
        <w:t>Amount C</w:t>
      </w:r>
      <w:r>
        <w:t xml:space="preserve"> and insert:</w:t>
      </w:r>
    </w:p>
    <w:p>
      <w:pPr>
        <w:pStyle w:val="BlankOpen"/>
      </w:pPr>
    </w:p>
    <w:p>
      <w:pPr>
        <w:pStyle w:val="zyDefstart"/>
      </w:pPr>
      <w:r>
        <w:tab/>
      </w:r>
      <w:r>
        <w:rPr>
          <w:rStyle w:val="CharDefText"/>
        </w:rPr>
        <w:t>Amount C</w:t>
      </w:r>
      <w:r>
        <w:t xml:space="preserve"> has the meaning given in section 5A(1A);</w:t>
      </w:r>
    </w:p>
    <w:p>
      <w:pPr>
        <w:pStyle w:val="BlankClose"/>
      </w:pPr>
    </w:p>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posOffset>1523206</wp:posOffset>
                </wp:positionH>
                <wp:positionV relativeFrom="page">
                  <wp:posOffset>7763669</wp:posOffset>
                </wp:positionV>
                <wp:extent cx="4650581"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0581" cy="1143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95pt;margin-top:611.3pt;width:366.2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31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Amendment (COVID-19 Response)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Amendment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Amendment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915345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10172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0172716_GUID" w:val="a11bbfdc-f8a6-4d9c-92b9-88b291804b93"/>
    <w:docVar w:name="WAFER_20200623085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85050_GUID" w:val="acb76610-c23c-4c6b-8b61-2811b240df5b"/>
    <w:docVar w:name="WAFER_20200819153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9153430_GUID" w:val="5f0ba351-449c-4082-87b9-ce4cd2df9bcb"/>
    <w:docVar w:name="WAFER_20200819153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19153454_GUID" w:val="d1bbcc84-0c09-42c6-b7e2-eefbc23e90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5ADF-5FB3-4E15-A85B-78D8343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2022</Words>
  <Characters>10054</Characters>
  <Application>Microsoft Office Word</Application>
  <DocSecurity>0</DocSecurity>
  <Lines>372</Lines>
  <Paragraphs>204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11872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Amendment (COVID-19 Response) Act 2020 - 00-00-00</dc:title>
  <dc:subject/>
  <dc:creator/>
  <cp:keywords/>
  <dc:description/>
  <cp:lastModifiedBy>svcMRProcess</cp:lastModifiedBy>
  <cp:revision>4</cp:revision>
  <cp:lastPrinted>2020-08-17T01:40:00Z</cp:lastPrinted>
  <dcterms:created xsi:type="dcterms:W3CDTF">2020-08-19T07:54:00Z</dcterms:created>
  <dcterms:modified xsi:type="dcterms:W3CDTF">2020-08-19T07:54:00Z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2855</vt:lpwstr>
  </property>
  <property fmtid="{D5CDD505-2E9C-101B-9397-08002B2CF9AE}" pid="3" name="ActNo">
    <vt:lpwstr>31 of 2020</vt:lpwstr>
  </property>
  <property fmtid="{D5CDD505-2E9C-101B-9397-08002B2CF9AE}" pid="4" name="DocumentType">
    <vt:lpwstr>Act</vt:lpwstr>
  </property>
  <property fmtid="{D5CDD505-2E9C-101B-9397-08002B2CF9AE}" pid="5" name="AsAtDate">
    <vt:lpwstr>18 Aug 2020</vt:lpwstr>
  </property>
  <property fmtid="{D5CDD505-2E9C-101B-9397-08002B2CF9AE}" pid="6" name="Suffix">
    <vt:lpwstr>00-00-00</vt:lpwstr>
  </property>
  <property fmtid="{D5CDD505-2E9C-101B-9397-08002B2CF9AE}" pid="7" name="ActNoFooter">
    <vt:lpwstr>No. 31 of 2020</vt:lpwstr>
  </property>
  <property fmtid="{D5CDD505-2E9C-101B-9397-08002B2CF9AE}" pid="8" name="CommencementDate">
    <vt:lpwstr>20200818</vt:lpwstr>
  </property>
</Properties>
</file>