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_Toc50973076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_Toc50973077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_Toc50973078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_Toc50973079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_Toc50973080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_Toc50973081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_Toc50973082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_Toc50973083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_Toc50973084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_Toc50973085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_Toc50973086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_Toc50973087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_Toc50973088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_Toc50973089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_Toc50973090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_Toc50973091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_Toc50973092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_Toc50973093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_Toc50973094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_Toc50973095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_Toc50973096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_Toc50973097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_Toc50973098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_Toc50973099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Bidding by seller or auctioneer or person on their behalf</w:t>
      </w:r>
      <w:r>
        <w:tab/>
      </w:r>
      <w:r>
        <w:fldChar w:fldCharType="begin"/>
      </w:r>
      <w:r>
        <w:instrText xml:space="preserve"> PAGEREF _Toc50973100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_Toc50973101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31</w:t>
      </w:r>
      <w:r>
        <w:rPr>
          <w:snapToGrid w:val="0"/>
        </w:rPr>
        <w:t>.</w:t>
      </w:r>
      <w:r>
        <w:rPr>
          <w:snapToGrid w:val="0"/>
        </w:rPr>
        <w:tab/>
        <w:t>Splitting of lots of livestock or farm produce</w:t>
      </w:r>
      <w:r>
        <w:tab/>
      </w:r>
      <w:r>
        <w:fldChar w:fldCharType="begin"/>
      </w:r>
      <w:r>
        <w:instrText xml:space="preserve"> PAGEREF _Toc50973102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_Toc50973103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_Toc50973104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_Toc50973105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_Toc50973106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_Toc50973107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_Toc50973108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_Toc50973110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_Toc50973111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_Toc50973112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1</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50973076"/>
      <w:r>
        <w:rPr>
          <w:rStyle w:val="CharSectno"/>
        </w:rPr>
        <w:t>1</w:t>
      </w:r>
      <w:r>
        <w:rPr>
          <w:snapToGrid w:val="0"/>
        </w:rPr>
        <w:t>.</w:t>
      </w:r>
      <w:r>
        <w:rPr>
          <w:snapToGrid w:val="0"/>
        </w:rPr>
        <w:tab/>
      </w:r>
      <w:r>
        <w:t>Short</w:t>
      </w:r>
      <w:r>
        <w:rPr>
          <w:snapToGrid w:val="0"/>
        </w:rPr>
        <w:t xml:space="preserve">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rPr>
        <w:t>.</w:t>
      </w:r>
    </w:p>
    <w:p>
      <w:pPr>
        <w:pStyle w:val="Heading5"/>
        <w:rPr>
          <w:snapToGrid w:val="0"/>
        </w:rPr>
      </w:pPr>
      <w:bookmarkStart w:id="4" w:name="_Toc5097307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p>
    <w:p>
      <w:pPr>
        <w:pStyle w:val="Ednotesection"/>
      </w:pPr>
      <w:r>
        <w:t>[</w:t>
      </w:r>
      <w:r>
        <w:rPr>
          <w:b/>
          <w:bCs/>
        </w:rPr>
        <w:t>3.</w:t>
      </w:r>
      <w:r>
        <w:tab/>
        <w:t>Omitted under the Reprints Act 1984 s. 7(4)(f).]</w:t>
      </w:r>
    </w:p>
    <w:p>
      <w:pPr>
        <w:pStyle w:val="Heading5"/>
        <w:rPr>
          <w:snapToGrid w:val="0"/>
        </w:rPr>
      </w:pPr>
      <w:bookmarkStart w:id="5" w:name="_Toc50973078"/>
      <w:r>
        <w:rPr>
          <w:rStyle w:val="CharSectno"/>
        </w:rPr>
        <w:t>4</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keepNext/>
      </w:pPr>
      <w:r>
        <w:rPr>
          <w:b/>
        </w:rPr>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6" w:name="_Toc50973079"/>
      <w:r>
        <w:rPr>
          <w:rStyle w:val="CharSectno"/>
        </w:rPr>
        <w:t>5</w:t>
      </w:r>
      <w:r>
        <w:rPr>
          <w:snapToGrid w:val="0"/>
        </w:rPr>
        <w:t>.</w:t>
      </w:r>
      <w:r>
        <w:rPr>
          <w:snapToGrid w:val="0"/>
        </w:rPr>
        <w:tab/>
        <w:t>Exemptions</w:t>
      </w:r>
      <w:bookmarkEnd w:id="6"/>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keepNext/>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7" w:name="_Toc50973080"/>
      <w:r>
        <w:rPr>
          <w:rStyle w:val="CharSectno"/>
        </w:rPr>
        <w:t>6</w:t>
      </w:r>
      <w:r>
        <w:rPr>
          <w:snapToGrid w:val="0"/>
        </w:rPr>
        <w:t>.</w:t>
      </w:r>
      <w:r>
        <w:rPr>
          <w:snapToGrid w:val="0"/>
        </w:rPr>
        <w:tab/>
        <w:t>Auctioneers to be licensed</w:t>
      </w:r>
      <w:bookmarkEnd w:id="7"/>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keepNext/>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for this subsection: a fine of $50 000.</w:t>
      </w:r>
    </w:p>
    <w:p>
      <w:pPr>
        <w:pStyle w:val="Footnotesection"/>
      </w:pPr>
      <w:r>
        <w:tab/>
        <w:t xml:space="preserve">[Section 6 amended: No. 60 of 1975 s. 2; No. 25 of 2019 s. 7.] </w:t>
      </w:r>
    </w:p>
    <w:p>
      <w:pPr>
        <w:pStyle w:val="Heading5"/>
        <w:rPr>
          <w:snapToGrid w:val="0"/>
        </w:rPr>
      </w:pPr>
      <w:bookmarkStart w:id="8" w:name="_Toc50973081"/>
      <w:r>
        <w:rPr>
          <w:rStyle w:val="CharSectno"/>
        </w:rPr>
        <w:t>7</w:t>
      </w:r>
      <w:r>
        <w:rPr>
          <w:snapToGrid w:val="0"/>
        </w:rPr>
        <w:t>.</w:t>
      </w:r>
      <w:r>
        <w:rPr>
          <w:snapToGrid w:val="0"/>
        </w:rPr>
        <w:tab/>
        <w:t>Kinds of licence</w:t>
      </w:r>
      <w:bookmarkEnd w:id="8"/>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9" w:name="_Toc50973082"/>
      <w:r>
        <w:rPr>
          <w:rStyle w:val="CharSectno"/>
        </w:rPr>
        <w:t>8</w:t>
      </w:r>
      <w:r>
        <w:rPr>
          <w:snapToGrid w:val="0"/>
        </w:rPr>
        <w:t>.</w:t>
      </w:r>
      <w:r>
        <w:rPr>
          <w:snapToGrid w:val="0"/>
        </w:rPr>
        <w:tab/>
        <w:t>Licences may be issued for the benefit of a firm or corporation</w:t>
      </w:r>
      <w:bookmarkEnd w:id="9"/>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r>
        <w:t>[</w:t>
      </w:r>
      <w:r>
        <w:rPr>
          <w:b/>
        </w:rPr>
        <w:t>9.</w:t>
      </w:r>
      <w:r>
        <w:tab/>
        <w:t>Deleted: No. 44 of 2016 s. 4.]</w:t>
      </w:r>
    </w:p>
    <w:p>
      <w:pPr>
        <w:pStyle w:val="Heading5"/>
        <w:rPr>
          <w:snapToGrid w:val="0"/>
        </w:rPr>
      </w:pPr>
      <w:bookmarkStart w:id="10" w:name="_Toc50973083"/>
      <w:r>
        <w:rPr>
          <w:rStyle w:val="CharSectno"/>
        </w:rPr>
        <w:t>10</w:t>
      </w:r>
      <w:r>
        <w:rPr>
          <w:snapToGrid w:val="0"/>
        </w:rPr>
        <w:t>.</w:t>
      </w:r>
      <w:r>
        <w:rPr>
          <w:snapToGrid w:val="0"/>
        </w:rPr>
        <w:tab/>
        <w:t>Classes of businesses</w:t>
      </w:r>
      <w:bookmarkEnd w:id="10"/>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11" w:name="_Toc50973084"/>
      <w:r>
        <w:rPr>
          <w:rStyle w:val="CharSectno"/>
        </w:rPr>
        <w:t>11</w:t>
      </w:r>
      <w:r>
        <w:rPr>
          <w:snapToGrid w:val="0"/>
        </w:rPr>
        <w:t>.</w:t>
      </w:r>
      <w:r>
        <w:rPr>
          <w:snapToGrid w:val="0"/>
        </w:rPr>
        <w:tab/>
        <w:t>Applications</w:t>
      </w:r>
      <w:bookmarkEnd w:id="1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12" w:name="_Toc50973085"/>
      <w:r>
        <w:rPr>
          <w:rStyle w:val="CharSectno"/>
        </w:rPr>
        <w:t>13</w:t>
      </w:r>
      <w:r>
        <w:rPr>
          <w:snapToGrid w:val="0"/>
        </w:rPr>
        <w:t>.</w:t>
      </w:r>
      <w:r>
        <w:rPr>
          <w:snapToGrid w:val="0"/>
        </w:rPr>
        <w:tab/>
        <w:t>Occasional licences</w:t>
      </w:r>
      <w:bookmarkEnd w:id="12"/>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keepNext/>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13" w:name="_Toc50973086"/>
      <w:r>
        <w:rPr>
          <w:rStyle w:val="CharSectno"/>
        </w:rPr>
        <w:t>14</w:t>
      </w:r>
      <w:r>
        <w:rPr>
          <w:snapToGrid w:val="0"/>
        </w:rPr>
        <w:t>.</w:t>
      </w:r>
      <w:r>
        <w:rPr>
          <w:snapToGrid w:val="0"/>
        </w:rPr>
        <w:tab/>
        <w:t>Interim licence</w:t>
      </w:r>
      <w:bookmarkEnd w:id="1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14" w:name="_Toc50973087"/>
      <w:r>
        <w:rPr>
          <w:rStyle w:val="CharSectno"/>
        </w:rPr>
        <w:t>15</w:t>
      </w:r>
      <w:r>
        <w:rPr>
          <w:snapToGrid w:val="0"/>
        </w:rPr>
        <w:t>.</w:t>
      </w:r>
      <w:r>
        <w:rPr>
          <w:snapToGrid w:val="0"/>
        </w:rPr>
        <w:tab/>
        <w:t>Provisional licences</w:t>
      </w:r>
      <w:bookmarkEnd w:id="14"/>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keepNext/>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15" w:name="_Toc50973088"/>
      <w:r>
        <w:rPr>
          <w:rStyle w:val="CharSectno"/>
        </w:rPr>
        <w:t>16</w:t>
      </w:r>
      <w:r>
        <w:rPr>
          <w:snapToGrid w:val="0"/>
        </w:rPr>
        <w:t>.</w:t>
      </w:r>
      <w:r>
        <w:rPr>
          <w:snapToGrid w:val="0"/>
        </w:rPr>
        <w:tab/>
        <w:t>Hearing of applications</w:t>
      </w:r>
      <w:bookmarkEnd w:id="15"/>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16" w:name="_Toc50973089"/>
      <w:r>
        <w:rPr>
          <w:rStyle w:val="CharSectno"/>
        </w:rPr>
        <w:t>17</w:t>
      </w:r>
      <w:r>
        <w:rPr>
          <w:snapToGrid w:val="0"/>
        </w:rPr>
        <w:t>.</w:t>
      </w:r>
      <w:r>
        <w:rPr>
          <w:snapToGrid w:val="0"/>
        </w:rPr>
        <w:tab/>
        <w:t>Form of licence</w:t>
      </w:r>
      <w:bookmarkEnd w:id="16"/>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17" w:name="_Toc50973090"/>
      <w:r>
        <w:rPr>
          <w:rStyle w:val="CharSectno"/>
        </w:rPr>
        <w:t>18</w:t>
      </w:r>
      <w:r>
        <w:rPr>
          <w:snapToGrid w:val="0"/>
        </w:rPr>
        <w:t>.</w:t>
      </w:r>
      <w:r>
        <w:rPr>
          <w:snapToGrid w:val="0"/>
        </w:rPr>
        <w:tab/>
        <w:t>Duplicate licences</w:t>
      </w:r>
      <w:bookmarkEnd w:id="17"/>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18" w:name="_Toc50973091"/>
      <w:r>
        <w:rPr>
          <w:rStyle w:val="CharSectno"/>
        </w:rPr>
        <w:t>19</w:t>
      </w:r>
      <w:r>
        <w:rPr>
          <w:snapToGrid w:val="0"/>
        </w:rPr>
        <w:t>.</w:t>
      </w:r>
      <w:r>
        <w:rPr>
          <w:snapToGrid w:val="0"/>
        </w:rPr>
        <w:tab/>
        <w:t>Duration of general and restricted licences</w:t>
      </w:r>
      <w:bookmarkEnd w:id="18"/>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19" w:name="_Toc50973092"/>
      <w:r>
        <w:rPr>
          <w:rStyle w:val="CharSectno"/>
        </w:rPr>
        <w:t>21</w:t>
      </w:r>
      <w:r>
        <w:rPr>
          <w:snapToGrid w:val="0"/>
        </w:rPr>
        <w:t>.</w:t>
      </w:r>
      <w:r>
        <w:rPr>
          <w:snapToGrid w:val="0"/>
        </w:rPr>
        <w:tab/>
        <w:t>Surrender of a licence</w:t>
      </w:r>
      <w:bookmarkEnd w:id="19"/>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20" w:name="_Toc50973093"/>
      <w:r>
        <w:rPr>
          <w:rStyle w:val="CharSectno"/>
        </w:rPr>
        <w:t>22</w:t>
      </w:r>
      <w:r>
        <w:rPr>
          <w:snapToGrid w:val="0"/>
        </w:rPr>
        <w:t>.</w:t>
      </w:r>
      <w:r>
        <w:rPr>
          <w:snapToGrid w:val="0"/>
        </w:rPr>
        <w:tab/>
        <w:t>Suspension, cancellation and disqualification</w:t>
      </w:r>
      <w:bookmarkEnd w:id="2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No. 25 of 2019 s. 6.] </w:t>
      </w:r>
    </w:p>
    <w:p>
      <w:pPr>
        <w:pStyle w:val="Heading5"/>
        <w:spacing w:before="120"/>
        <w:rPr>
          <w:snapToGrid w:val="0"/>
        </w:rPr>
      </w:pPr>
      <w:bookmarkStart w:id="21" w:name="_Toc50973094"/>
      <w:r>
        <w:rPr>
          <w:rStyle w:val="CharSectno"/>
        </w:rPr>
        <w:t>23</w:t>
      </w:r>
      <w:r>
        <w:rPr>
          <w:snapToGrid w:val="0"/>
        </w:rPr>
        <w:t>.</w:t>
      </w:r>
      <w:r>
        <w:rPr>
          <w:snapToGrid w:val="0"/>
        </w:rPr>
        <w:tab/>
        <w:t>Advertising</w:t>
      </w:r>
      <w:bookmarkEnd w:id="21"/>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Footnotesection"/>
      </w:pPr>
      <w:r>
        <w:tab/>
        <w:t xml:space="preserve">[Section 23 amended: No. 25 of 2019 s. 6.] </w:t>
      </w:r>
    </w:p>
    <w:p>
      <w:pPr>
        <w:pStyle w:val="Heading5"/>
        <w:rPr>
          <w:snapToGrid w:val="0"/>
        </w:rPr>
      </w:pPr>
      <w:bookmarkStart w:id="22" w:name="_Toc50973095"/>
      <w:r>
        <w:rPr>
          <w:rStyle w:val="CharSectno"/>
        </w:rPr>
        <w:t>24</w:t>
      </w:r>
      <w:r>
        <w:rPr>
          <w:snapToGrid w:val="0"/>
        </w:rPr>
        <w:t>.</w:t>
      </w:r>
      <w:r>
        <w:rPr>
          <w:snapToGrid w:val="0"/>
        </w:rPr>
        <w:tab/>
        <w:t>Misrepresentation</w:t>
      </w:r>
      <w:bookmarkEnd w:id="22"/>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 No. 25 of 2019 s. 6.]</w:t>
      </w:r>
    </w:p>
    <w:p>
      <w:pPr>
        <w:pStyle w:val="Heading5"/>
        <w:rPr>
          <w:snapToGrid w:val="0"/>
        </w:rPr>
      </w:pPr>
      <w:bookmarkStart w:id="23" w:name="_Toc50973096"/>
      <w:r>
        <w:rPr>
          <w:rStyle w:val="CharSectno"/>
        </w:rPr>
        <w:t>25</w:t>
      </w:r>
      <w:r>
        <w:rPr>
          <w:snapToGrid w:val="0"/>
        </w:rPr>
        <w:t>.</w:t>
      </w:r>
      <w:r>
        <w:rPr>
          <w:snapToGrid w:val="0"/>
        </w:rPr>
        <w:tab/>
        <w:t>Mock auctions</w:t>
      </w:r>
      <w:bookmarkEnd w:id="23"/>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for this subsection: a fine of $50 000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Footnotesection"/>
      </w:pPr>
      <w:r>
        <w:tab/>
        <w:t xml:space="preserve">[Section 25 amended: No. 25 of 2019 s. 7.] </w:t>
      </w:r>
    </w:p>
    <w:p>
      <w:pPr>
        <w:pStyle w:val="Heading5"/>
        <w:rPr>
          <w:snapToGrid w:val="0"/>
        </w:rPr>
      </w:pPr>
      <w:bookmarkStart w:id="24" w:name="_Toc50973097"/>
      <w:r>
        <w:rPr>
          <w:rStyle w:val="CharSectno"/>
        </w:rPr>
        <w:t>26</w:t>
      </w:r>
      <w:r>
        <w:rPr>
          <w:snapToGrid w:val="0"/>
        </w:rPr>
        <w:t>.</w:t>
      </w:r>
      <w:r>
        <w:rPr>
          <w:snapToGrid w:val="0"/>
        </w:rPr>
        <w:tab/>
        <w:t>Records to be kept</w:t>
      </w:r>
      <w:bookmarkEnd w:id="24"/>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Footnotesection"/>
      </w:pPr>
      <w:r>
        <w:tab/>
        <w:t xml:space="preserve">[Section 26 amended: No. 25 of 2019 s. 6.] </w:t>
      </w:r>
    </w:p>
    <w:p>
      <w:pPr>
        <w:pStyle w:val="Heading5"/>
        <w:rPr>
          <w:snapToGrid w:val="0"/>
        </w:rPr>
      </w:pPr>
      <w:bookmarkStart w:id="25" w:name="_Toc50973098"/>
      <w:r>
        <w:rPr>
          <w:rStyle w:val="CharSectno"/>
        </w:rPr>
        <w:t>27</w:t>
      </w:r>
      <w:r>
        <w:rPr>
          <w:snapToGrid w:val="0"/>
        </w:rPr>
        <w:t>.</w:t>
      </w:r>
      <w:r>
        <w:rPr>
          <w:snapToGrid w:val="0"/>
        </w:rPr>
        <w:tab/>
        <w:t>Account to be rendered</w:t>
      </w:r>
      <w:bookmarkEnd w:id="25"/>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Footnotesection"/>
      </w:pPr>
      <w:r>
        <w:tab/>
        <w:t xml:space="preserve">[Section 27 amended: No. 25 of 2019 s. 6.] </w:t>
      </w:r>
    </w:p>
    <w:p>
      <w:pPr>
        <w:pStyle w:val="Heading5"/>
        <w:rPr>
          <w:snapToGrid w:val="0"/>
        </w:rPr>
      </w:pPr>
      <w:bookmarkStart w:id="26" w:name="_Toc50973099"/>
      <w:r>
        <w:rPr>
          <w:rStyle w:val="CharSectno"/>
        </w:rPr>
        <w:t>28</w:t>
      </w:r>
      <w:r>
        <w:rPr>
          <w:snapToGrid w:val="0"/>
        </w:rPr>
        <w:t>.</w:t>
      </w:r>
      <w:r>
        <w:rPr>
          <w:snapToGrid w:val="0"/>
        </w:rPr>
        <w:tab/>
        <w:t>Inspection of records</w:t>
      </w:r>
      <w:bookmarkEnd w:id="26"/>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Ednotesubsection"/>
      </w:pPr>
      <w:r>
        <w:tab/>
        <w:t>[(9)</w:t>
      </w:r>
      <w:r>
        <w:tab/>
        <w:t>deleted]</w:t>
      </w:r>
    </w:p>
    <w:p>
      <w:pPr>
        <w:pStyle w:val="Footnotesection"/>
      </w:pPr>
      <w:r>
        <w:tab/>
        <w:t xml:space="preserve">[Section 28 amended: No. 98 of 1985 s. 3; No. 77 of 2006 s. 17; No. 25 of 2019 s. 4.] </w:t>
      </w:r>
    </w:p>
    <w:p>
      <w:pPr>
        <w:pStyle w:val="Heading5"/>
        <w:rPr>
          <w:snapToGrid w:val="0"/>
        </w:rPr>
      </w:pPr>
      <w:bookmarkStart w:id="27" w:name="_Toc50973100"/>
      <w:r>
        <w:rPr>
          <w:rStyle w:val="CharSectno"/>
        </w:rPr>
        <w:t>29</w:t>
      </w:r>
      <w:r>
        <w:rPr>
          <w:snapToGrid w:val="0"/>
        </w:rPr>
        <w:t>.</w:t>
      </w:r>
      <w:r>
        <w:rPr>
          <w:snapToGrid w:val="0"/>
        </w:rPr>
        <w:tab/>
        <w:t>Bidding by seller or auctioneer or person on their behalf</w:t>
      </w:r>
      <w:bookmarkEnd w:id="27"/>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Footnotesection"/>
      </w:pPr>
      <w:r>
        <w:tab/>
        <w:t xml:space="preserve">[Section 29 amended: No. 25 of 2019 s. 6.] </w:t>
      </w:r>
    </w:p>
    <w:p>
      <w:pPr>
        <w:pStyle w:val="Heading5"/>
        <w:rPr>
          <w:snapToGrid w:val="0"/>
        </w:rPr>
      </w:pPr>
      <w:bookmarkStart w:id="28" w:name="_Toc50973101"/>
      <w:r>
        <w:rPr>
          <w:rStyle w:val="CharSectno"/>
        </w:rPr>
        <w:t>30</w:t>
      </w:r>
      <w:r>
        <w:rPr>
          <w:snapToGrid w:val="0"/>
        </w:rPr>
        <w:t>.</w:t>
      </w:r>
      <w:r>
        <w:rPr>
          <w:snapToGrid w:val="0"/>
        </w:rPr>
        <w:tab/>
        <w:t>Sales of cattle, sheep, pigs or goats</w:t>
      </w:r>
      <w:bookmarkEnd w:id="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for this subsection: a fine of $10 000.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for this subsection: a fine of $50 000 or imprisonment for 12 months, or both.</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 No. 25 of 2019 s. 7.]</w:t>
      </w:r>
    </w:p>
    <w:p>
      <w:pPr>
        <w:pStyle w:val="Heading5"/>
        <w:rPr>
          <w:snapToGrid w:val="0"/>
        </w:rPr>
      </w:pPr>
      <w:bookmarkStart w:id="29" w:name="_Toc50973102"/>
      <w:r>
        <w:rPr>
          <w:rStyle w:val="CharSectno"/>
        </w:rPr>
        <w:t>31</w:t>
      </w:r>
      <w:r>
        <w:rPr>
          <w:snapToGrid w:val="0"/>
        </w:rPr>
        <w:t>.</w:t>
      </w:r>
      <w:r>
        <w:rPr>
          <w:snapToGrid w:val="0"/>
        </w:rPr>
        <w:tab/>
        <w:t>Splitting of lots of livestock or farm produce</w:t>
      </w:r>
      <w:bookmarkEnd w:id="29"/>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Penstart"/>
        <w:rPr>
          <w:snapToGrid w:val="0"/>
        </w:rPr>
      </w:pPr>
      <w:r>
        <w:tab/>
      </w:r>
      <w:r>
        <w:rPr>
          <w:snapToGrid w:val="0"/>
        </w:rPr>
        <w:t>Penalty for this subsection: a fine of $25 000.</w:t>
      </w:r>
    </w:p>
    <w:p>
      <w:pPr>
        <w:pStyle w:val="Footnotesection"/>
      </w:pPr>
      <w:r>
        <w:tab/>
        <w:t xml:space="preserve">[Section 31 amended: No. 25 of 2019 s. 6.] </w:t>
      </w:r>
    </w:p>
    <w:p>
      <w:pPr>
        <w:pStyle w:val="Heading5"/>
        <w:rPr>
          <w:snapToGrid w:val="0"/>
        </w:rPr>
      </w:pPr>
      <w:bookmarkStart w:id="30" w:name="_Toc50973103"/>
      <w:r>
        <w:rPr>
          <w:rStyle w:val="CharSectno"/>
        </w:rPr>
        <w:t>32</w:t>
      </w:r>
      <w:r>
        <w:rPr>
          <w:snapToGrid w:val="0"/>
        </w:rPr>
        <w:t>.</w:t>
      </w:r>
      <w:r>
        <w:rPr>
          <w:snapToGrid w:val="0"/>
        </w:rPr>
        <w:tab/>
        <w:t>Sale of livestock</w:t>
      </w:r>
      <w:bookmarkEnd w:id="3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31" w:name="_Toc50973104"/>
      <w:r>
        <w:rPr>
          <w:rStyle w:val="CharSectno"/>
        </w:rPr>
        <w:t>33</w:t>
      </w:r>
      <w:r>
        <w:rPr>
          <w:snapToGrid w:val="0"/>
        </w:rPr>
        <w:t>.</w:t>
      </w:r>
      <w:r>
        <w:rPr>
          <w:snapToGrid w:val="0"/>
        </w:rPr>
        <w:tab/>
        <w:t>Liquor</w:t>
      </w:r>
      <w:bookmarkEnd w:id="31"/>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32" w:name="_Toc50973105"/>
      <w:r>
        <w:rPr>
          <w:rStyle w:val="CharSectno"/>
        </w:rPr>
        <w:t>34</w:t>
      </w:r>
      <w:r>
        <w:rPr>
          <w:snapToGrid w:val="0"/>
        </w:rPr>
        <w:t>.</w:t>
      </w:r>
      <w:r>
        <w:rPr>
          <w:snapToGrid w:val="0"/>
        </w:rPr>
        <w:tab/>
        <w:t>Savings of other remedies or actions</w:t>
      </w:r>
      <w:bookmarkEnd w:id="32"/>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33" w:name="_Toc50973106"/>
      <w:r>
        <w:rPr>
          <w:rStyle w:val="CharSectno"/>
        </w:rPr>
        <w:t>35</w:t>
      </w:r>
      <w:r>
        <w:rPr>
          <w:snapToGrid w:val="0"/>
        </w:rPr>
        <w:t>.</w:t>
      </w:r>
      <w:r>
        <w:rPr>
          <w:snapToGrid w:val="0"/>
        </w:rPr>
        <w:tab/>
        <w:t>Offences</w:t>
      </w:r>
      <w:bookmarkEnd w:id="33"/>
      <w:r>
        <w:rPr>
          <w:snapToGrid w:val="0"/>
        </w:rPr>
        <w:t xml:space="preserve"> </w:t>
      </w:r>
    </w:p>
    <w:p>
      <w:pPr>
        <w:pStyle w:val="Ednotesubsection"/>
      </w:pPr>
      <w:r>
        <w:tab/>
        <w:t>[(1), (2)</w:t>
      </w:r>
      <w:r>
        <w:tab/>
        <w:t>deleted]</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No. 25 of 2019 s. 5.] </w:t>
      </w:r>
    </w:p>
    <w:p>
      <w:pPr>
        <w:pStyle w:val="Heading5"/>
        <w:rPr>
          <w:snapToGrid w:val="0"/>
        </w:rPr>
      </w:pPr>
      <w:bookmarkStart w:id="34" w:name="_Toc50973107"/>
      <w:r>
        <w:rPr>
          <w:rStyle w:val="CharSectno"/>
        </w:rPr>
        <w:t>36</w:t>
      </w:r>
      <w:r>
        <w:rPr>
          <w:snapToGrid w:val="0"/>
        </w:rPr>
        <w:t>.</w:t>
      </w:r>
      <w:r>
        <w:rPr>
          <w:snapToGrid w:val="0"/>
        </w:rPr>
        <w:tab/>
        <w:t>Enforcement</w:t>
      </w:r>
      <w:bookmarkEnd w:id="3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35" w:name="_Toc50973108"/>
      <w:r>
        <w:rPr>
          <w:rStyle w:val="CharSectno"/>
        </w:rPr>
        <w:t>37</w:t>
      </w:r>
      <w:r>
        <w:rPr>
          <w:snapToGrid w:val="0"/>
        </w:rPr>
        <w:t>.</w:t>
      </w:r>
      <w:r>
        <w:rPr>
          <w:snapToGrid w:val="0"/>
        </w:rPr>
        <w:tab/>
        <w:t>Regulations</w:t>
      </w:r>
      <w:bookmarkEnd w:id="35"/>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Ednotesubsection"/>
      </w:pPr>
      <w:r>
        <w:tab/>
        <w:t>[(2)</w:t>
      </w:r>
      <w:r>
        <w:tab/>
        <w:t>deleted]</w:t>
      </w:r>
    </w:p>
    <w:p>
      <w:pPr>
        <w:pStyle w:val="Footnotesection"/>
      </w:pPr>
      <w:r>
        <w:tab/>
        <w:t>[Section 37 amended: No. 44 of 2016 s. 9; No. 34 of 2020 s. 95(2).]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6" w:name="_Toc50708995"/>
      <w:bookmarkStart w:id="37" w:name="_Toc50709232"/>
      <w:bookmarkStart w:id="38" w:name="_Toc50973109"/>
      <w:r>
        <w:t>Notes</w:t>
      </w:r>
      <w:bookmarkEnd w:id="36"/>
      <w:bookmarkEnd w:id="37"/>
      <w:bookmarkEnd w:id="38"/>
    </w:p>
    <w:p>
      <w:pPr>
        <w:pStyle w:val="nStatement"/>
      </w:pPr>
      <w:r>
        <w:t xml:space="preserve">This is a compilation of the </w:t>
      </w:r>
      <w:r>
        <w:rPr>
          <w:i/>
          <w:noProof/>
        </w:rPr>
        <w:t>Auction Sales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 w:name="_Toc50973110"/>
      <w:r>
        <w:t>Compilation table</w:t>
      </w:r>
      <w:bookmarkEnd w:id="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7"/>
        <w:gridCol w:w="1136"/>
        <w:gridCol w:w="2552"/>
        <w:gridCol w:w="18"/>
      </w:tblGrid>
      <w:tr>
        <w:trPr>
          <w:gridAfter w:val="1"/>
          <w:wAfter w:w="18" w:type="dxa"/>
          <w:tblHeader/>
        </w:trPr>
        <w:tc>
          <w:tcPr>
            <w:tcW w:w="2268" w:type="dxa"/>
          </w:tcPr>
          <w:p>
            <w:pPr>
              <w:pStyle w:val="nTable"/>
              <w:spacing w:after="40"/>
              <w:rPr>
                <w:b/>
              </w:rPr>
            </w:pPr>
            <w:r>
              <w:rPr>
                <w:b/>
              </w:rPr>
              <w:t>Short title</w:t>
            </w:r>
          </w:p>
        </w:tc>
        <w:tc>
          <w:tcPr>
            <w:tcW w:w="1137"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52"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52" w:type="dxa"/>
          </w:tcPr>
          <w:p>
            <w:pPr>
              <w:pStyle w:val="nTable"/>
              <w:spacing w:after="40"/>
            </w:pPr>
            <w:r>
              <w:t>29 Aug 1978</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p/>
        </w:tc>
        <w:tc>
          <w:tcPr>
            <w:tcW w:w="2552" w:type="dxa"/>
          </w:tcPr>
          <w:p>
            <w:pPr>
              <w:pStyle w:val="nTable"/>
              <w:spacing w:after="40"/>
            </w:pPr>
            <w:r>
              <w:t xml:space="preserve">1 Jul 1982 (see s. 2(1) and </w:t>
            </w:r>
            <w:r>
              <w:rPr>
                <w:i/>
                <w:iCs/>
              </w:rPr>
              <w:t>Gazette</w:t>
            </w:r>
            <w:r>
              <w:t xml:space="preserve"> 25 Jun 1982 p. 2079)</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52" w:type="dxa"/>
          </w:tcPr>
          <w:p>
            <w:pPr>
              <w:pStyle w:val="nTable"/>
              <w:spacing w:after="40"/>
            </w:pPr>
            <w:r>
              <w:t xml:space="preserve">17 May 1995 (see s. 2 and </w:t>
            </w:r>
            <w:r>
              <w:rPr>
                <w:i/>
              </w:rPr>
              <w:t>Gazette</w:t>
            </w:r>
            <w:r>
              <w:t xml:space="preserve"> 16 May 1995 p. 1839)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52" w:type="dxa"/>
          </w:tcPr>
          <w:p>
            <w:pPr>
              <w:pStyle w:val="nTable"/>
              <w:spacing w:after="40"/>
              <w:rPr>
                <w:snapToGrid w:val="0"/>
              </w:rPr>
            </w:pPr>
            <w:r>
              <w:t xml:space="preserve">7 May 2007 (see s. 2(2) and </w:t>
            </w:r>
            <w:r>
              <w:rPr>
                <w:i/>
                <w:iCs/>
              </w:rPr>
              <w:t xml:space="preserve">Gazette </w:t>
            </w:r>
            <w:r>
              <w:t>1 May 2007 p. 1893)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70"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52"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snapToGrid w:val="0"/>
              </w:rPr>
            </w:pPr>
            <w:r>
              <w:rPr>
                <w:i/>
              </w:rPr>
              <w:t>Licensing Provisions Amendment Act 2016</w:t>
            </w:r>
            <w:r>
              <w:t xml:space="preserve"> Pt. 2</w:t>
            </w:r>
          </w:p>
        </w:tc>
        <w:tc>
          <w:tcPr>
            <w:tcW w:w="1137" w:type="dxa"/>
          </w:tcPr>
          <w:p>
            <w:pPr>
              <w:pStyle w:val="nTable"/>
              <w:spacing w:after="40"/>
              <w:rPr>
                <w:snapToGrid w:val="0"/>
              </w:rPr>
            </w:pPr>
            <w:r>
              <w:t>44 of 2016</w:t>
            </w:r>
          </w:p>
        </w:tc>
        <w:tc>
          <w:tcPr>
            <w:tcW w:w="1136" w:type="dxa"/>
          </w:tcPr>
          <w:p>
            <w:pPr>
              <w:pStyle w:val="nTable"/>
              <w:spacing w:after="40"/>
              <w:rPr>
                <w:snapToGrid w:val="0"/>
              </w:rPr>
            </w:pPr>
            <w:r>
              <w:t>1 Dec 2016</w:t>
            </w:r>
          </w:p>
        </w:tc>
        <w:tc>
          <w:tcPr>
            <w:tcW w:w="2552" w:type="dxa"/>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Borders>
              <w:top w:val="nil"/>
              <w:bottom w:val="nil"/>
            </w:tcBorders>
          </w:tcPr>
          <w:p>
            <w:pPr>
              <w:pStyle w:val="nTable"/>
              <w:spacing w:after="40"/>
              <w:ind w:right="113"/>
            </w:pPr>
            <w:r>
              <w:rPr>
                <w:i/>
              </w:rPr>
              <w:t>Consumer Protection Legislation Amendment Act 2019</w:t>
            </w:r>
            <w:r>
              <w:t xml:space="preserve"> Pt. 2</w:t>
            </w:r>
          </w:p>
        </w:tc>
        <w:tc>
          <w:tcPr>
            <w:tcW w:w="1137" w:type="dxa"/>
            <w:tcBorders>
              <w:top w:val="nil"/>
              <w:bottom w:val="nil"/>
            </w:tcBorders>
          </w:tcPr>
          <w:p>
            <w:pPr>
              <w:pStyle w:val="nTable"/>
              <w:spacing w:after="40"/>
            </w:pPr>
            <w:r>
              <w:t>25 of 2019</w:t>
            </w:r>
          </w:p>
        </w:tc>
        <w:tc>
          <w:tcPr>
            <w:tcW w:w="1136" w:type="dxa"/>
            <w:tcBorders>
              <w:top w:val="nil"/>
              <w:bottom w:val="nil"/>
            </w:tcBorders>
          </w:tcPr>
          <w:p>
            <w:pPr>
              <w:pStyle w:val="nTable"/>
              <w:spacing w:after="40"/>
            </w:pPr>
            <w:r>
              <w:t>24 Oct 2019</w:t>
            </w:r>
          </w:p>
        </w:tc>
        <w:tc>
          <w:tcPr>
            <w:tcW w:w="2552" w:type="dxa"/>
            <w:tcBorders>
              <w:top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24 Dec 2019 p. 4415)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Borders>
              <w:bottom w:val="single" w:sz="4" w:space="0" w:color="auto"/>
            </w:tcBorders>
          </w:tcPr>
          <w:p>
            <w:pPr>
              <w:pStyle w:val="nTable"/>
              <w:spacing w:after="40"/>
              <w:ind w:right="113"/>
            </w:pPr>
            <w:r>
              <w:rPr>
                <w:i/>
              </w:rPr>
              <w:t>COVID-19 Response and Economic Recovery Omnibus Act 2020</w:t>
            </w:r>
            <w:r>
              <w:t xml:space="preserve"> s. 95</w:t>
            </w:r>
          </w:p>
        </w:tc>
        <w:tc>
          <w:tcPr>
            <w:tcW w:w="1137" w:type="dxa"/>
            <w:tcBorders>
              <w:bottom w:val="single" w:sz="4" w:space="0" w:color="auto"/>
            </w:tcBorders>
          </w:tcPr>
          <w:p>
            <w:pPr>
              <w:pStyle w:val="nTable"/>
              <w:spacing w:after="40"/>
            </w:pPr>
            <w:r>
              <w:t>34 of 2020</w:t>
            </w:r>
          </w:p>
        </w:tc>
        <w:tc>
          <w:tcPr>
            <w:tcW w:w="1136"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40" w:name="_Toc50973111"/>
      <w:r>
        <w:t>Uncommenced provisions table</w:t>
      </w:r>
      <w:bookmarkEnd w:id="4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61" w:type="dxa"/>
            <w:gridSpan w:val="2"/>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Heading3"/>
      </w:pPr>
      <w:bookmarkStart w:id="41" w:name="_Toc50973112"/>
      <w:r>
        <w:t>Other notes</w:t>
      </w:r>
      <w:bookmarkEnd w:id="41"/>
    </w:p>
    <w:p>
      <w:pPr>
        <w:pStyle w:val="nNote"/>
        <w:rPr>
          <w:snapToGrid w:val="0"/>
        </w:rPr>
      </w:pPr>
      <w:r>
        <w:rPr>
          <w:vertAlign w:val="superscript"/>
        </w:rPr>
        <w:t>1</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3" w:name="_Toc50708999"/>
      <w:bookmarkStart w:id="44" w:name="_Toc50709236"/>
      <w:bookmarkStart w:id="45" w:name="_Toc50973113"/>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2832"/>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 w:name="WAFER_20191219112054" w:val="RemoveTocBookmarks,RemoveUnusedBookmarks,RemoveLanguageTags,ResetPageSize,RunningHeaders,UpdateStyles,UsedStyles"/>
    <w:docVar w:name="WAFER_20191219112054_GUID" w:val="ee0e138d-248f-4edf-b3b8-34b51b344c76"/>
    <w:docVar w:name="WAFER_202002101234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412_GUID" w:val="ea87af6b-32d9-4a1e-be44-cf850fcb7102"/>
    <w:docVar w:name="WAFER_20200911092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2832_GUID" w:val="2ed01b85-35ce-4f42-b755-f4cb2d5e7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10940</Words>
  <Characters>49454</Characters>
  <Application>Microsoft Office Word</Application>
  <DocSecurity>0</DocSecurity>
  <Lines>1336</Lines>
  <Paragraphs>694</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59700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1973 - 04-j0-00</dc:title>
  <dc:subject/>
  <dc:creator/>
  <cp:keywords/>
  <dc:description/>
  <cp:lastModifiedBy>svcMRProcess</cp:lastModifiedBy>
  <cp:revision>4</cp:revision>
  <cp:lastPrinted>2007-05-30T02:03:00Z</cp:lastPrinted>
  <dcterms:created xsi:type="dcterms:W3CDTF">2020-09-14T03:57:00Z</dcterms:created>
  <dcterms:modified xsi:type="dcterms:W3CDTF">2020-09-14T03:57:00Z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AsAtDate">
    <vt:lpwstr>12 Sep 2020</vt:lpwstr>
  </property>
  <property fmtid="{D5CDD505-2E9C-101B-9397-08002B2CF9AE}" pid="8" name="Suffix">
    <vt:lpwstr>04-j0-00</vt:lpwstr>
  </property>
  <property fmtid="{D5CDD505-2E9C-101B-9397-08002B2CF9AE}" pid="9" name="CommencementDate">
    <vt:lpwstr>20200912</vt:lpwstr>
  </property>
</Properties>
</file>