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_Toc51665512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_Toc51665513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_Toc51665514 \h </w:instrText>
      </w:r>
      <w:r>
        <w:fldChar w:fldCharType="separate"/>
      </w:r>
      <w:r>
        <w:t>2</w:t>
      </w:r>
      <w:r>
        <w:fldChar w:fldCharType="end"/>
      </w:r>
    </w:p>
    <w:p>
      <w:pPr>
        <w:pStyle w:val="TOC8"/>
        <w:rPr>
          <w:rFonts w:asciiTheme="minorHAnsi" w:eastAsiaTheme="minorEastAsia" w:hAnsiTheme="minorHAnsi" w:cstheme="minorBidi"/>
          <w:szCs w:val="22"/>
        </w:rPr>
      </w:pPr>
      <w:r>
        <w:t>4.</w:t>
      </w:r>
      <w:r>
        <w:tab/>
        <w:t>General principles relating to enforcement of fines</w:t>
      </w:r>
      <w:r>
        <w:tab/>
      </w:r>
      <w:r>
        <w:fldChar w:fldCharType="begin"/>
      </w:r>
      <w:r>
        <w:instrText xml:space="preserve"> PAGEREF _Toc51665515 \h </w:instrText>
      </w:r>
      <w:r>
        <w:fldChar w:fldCharType="separate"/>
      </w:r>
      <w:r>
        <w:t>4</w:t>
      </w:r>
      <w:r>
        <w:fldChar w:fldCharType="end"/>
      </w:r>
    </w:p>
    <w:p>
      <w:pPr>
        <w:pStyle w:val="TOC8"/>
        <w:rPr>
          <w:rFonts w:asciiTheme="minorHAnsi" w:eastAsiaTheme="minorEastAsia" w:hAnsiTheme="minorHAnsi" w:cstheme="minorBidi"/>
          <w:szCs w:val="22"/>
        </w:rPr>
      </w:pPr>
      <w:r>
        <w:t>4A.</w:t>
      </w:r>
      <w:r>
        <w:tab/>
        <w:t>Hardship</w:t>
      </w:r>
      <w:r>
        <w:tab/>
      </w:r>
      <w:r>
        <w:fldChar w:fldCharType="begin"/>
      </w:r>
      <w:r>
        <w:instrText xml:space="preserve"> PAGEREF _Toc51665516 \h </w:instrText>
      </w:r>
      <w:r>
        <w:fldChar w:fldCharType="separate"/>
      </w:r>
      <w:r>
        <w:t>4</w:t>
      </w:r>
      <w:r>
        <w:fldChar w:fldCharType="end"/>
      </w:r>
    </w:p>
    <w:p>
      <w:pPr>
        <w:pStyle w:val="TOC8"/>
        <w:rPr>
          <w:rFonts w:asciiTheme="minorHAnsi" w:eastAsiaTheme="minorEastAsia" w:hAnsiTheme="minorHAnsi" w:cstheme="minorBidi"/>
          <w:szCs w:val="22"/>
        </w:rPr>
      </w:pPr>
      <w:r>
        <w:t>4B.</w:t>
      </w:r>
      <w:r>
        <w:tab/>
        <w:t>Remote areas</w:t>
      </w:r>
      <w:r>
        <w:tab/>
      </w:r>
      <w:r>
        <w:fldChar w:fldCharType="begin"/>
      </w:r>
      <w:r>
        <w:instrText xml:space="preserve"> PAGEREF _Toc51665517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_Toc51665518 \h </w:instrText>
      </w:r>
      <w:r>
        <w:fldChar w:fldCharType="separate"/>
      </w:r>
      <w:r>
        <w:t>5</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_Toc51665519 \h </w:instrText>
      </w:r>
      <w:r>
        <w:fldChar w:fldCharType="separate"/>
      </w:r>
      <w:r>
        <w:t>6</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_Toc51665520 \h </w:instrText>
      </w:r>
      <w:r>
        <w:fldChar w:fldCharType="separate"/>
      </w:r>
      <w:r>
        <w:t>7</w:t>
      </w:r>
      <w:r>
        <w:fldChar w:fldCharType="end"/>
      </w:r>
    </w:p>
    <w:p>
      <w:pPr>
        <w:pStyle w:val="TOC8"/>
        <w:rPr>
          <w:rFonts w:asciiTheme="minorHAnsi" w:eastAsiaTheme="minorEastAsia" w:hAnsiTheme="minorHAnsi" w:cstheme="minorBidi"/>
          <w:szCs w:val="22"/>
        </w:rPr>
      </w:pPr>
      <w:r>
        <w:t>5C.</w:t>
      </w:r>
      <w:r>
        <w:tab/>
        <w:t>Act binds Crown</w:t>
      </w:r>
      <w:r>
        <w:tab/>
      </w:r>
      <w:r>
        <w:fldChar w:fldCharType="begin"/>
      </w:r>
      <w:r>
        <w:instrText xml:space="preserve"> PAGEREF _Toc51665521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_Toc51665523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_Toc51665524 \h </w:instrText>
      </w:r>
      <w:r>
        <w:fldChar w:fldCharType="separate"/>
      </w:r>
      <w:r>
        <w:t>8</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_Toc51665525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_Toc51665526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_Toc51665527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_Toc51665528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_Toc51665531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_Toc51665532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Approved prosecuting authorities and officers</w:t>
      </w:r>
      <w:r>
        <w:tab/>
      </w:r>
      <w:r>
        <w:fldChar w:fldCharType="begin"/>
      </w:r>
      <w:r>
        <w:instrText xml:space="preserve"> PAGEREF _Toc51665533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_Toc51665535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_Toc51665536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_Toc51665537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_Toc51665538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_Toc51665539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_Toc51665540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_Toc51665541 \h </w:instrText>
      </w:r>
      <w:r>
        <w:fldChar w:fldCharType="separate"/>
      </w:r>
      <w:r>
        <w:t>21</w:t>
      </w:r>
      <w:r>
        <w:fldChar w:fldCharType="end"/>
      </w:r>
    </w:p>
    <w:p>
      <w:pPr>
        <w:pStyle w:val="TOC8"/>
        <w:rPr>
          <w:rFonts w:asciiTheme="minorHAnsi" w:eastAsiaTheme="minorEastAsia" w:hAnsiTheme="minorHAnsi" w:cstheme="minorBidi"/>
          <w:szCs w:val="22"/>
        </w:rPr>
      </w:pPr>
      <w:r>
        <w:t>20A.</w:t>
      </w:r>
      <w:r>
        <w:tab/>
        <w:t>Alleged offender may request cancellation of licence suspension order</w:t>
      </w:r>
      <w:r>
        <w:tab/>
      </w:r>
      <w:r>
        <w:fldChar w:fldCharType="begin"/>
      </w:r>
      <w:r>
        <w:instrText xml:space="preserve"> PAGEREF _Toc51665542 \h </w:instrText>
      </w:r>
      <w:r>
        <w:fldChar w:fldCharType="separate"/>
      </w:r>
      <w:r>
        <w:t>22</w:t>
      </w:r>
      <w:r>
        <w:fldChar w:fldCharType="end"/>
      </w:r>
    </w:p>
    <w:p>
      <w:pPr>
        <w:pStyle w:val="TOC8"/>
        <w:rPr>
          <w:rFonts w:asciiTheme="minorHAnsi" w:eastAsiaTheme="minorEastAsia" w:hAnsiTheme="minorHAnsi" w:cstheme="minorBidi"/>
          <w:szCs w:val="22"/>
        </w:rPr>
      </w:pPr>
      <w:r>
        <w:t>20B.</w:t>
      </w:r>
      <w:r>
        <w:tab/>
        <w:t>Registrar may request further information</w:t>
      </w:r>
      <w:r>
        <w:tab/>
      </w:r>
      <w:r>
        <w:fldChar w:fldCharType="begin"/>
      </w:r>
      <w:r>
        <w:instrText xml:space="preserve"> PAGEREF _Toc51665543 \h </w:instrText>
      </w:r>
      <w:r>
        <w:fldChar w:fldCharType="separate"/>
      </w:r>
      <w:r>
        <w:t>23</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_Toc51665544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Time to pay orders</w:t>
      </w:r>
    </w:p>
    <w:p>
      <w:pPr>
        <w:pStyle w:val="TOC8"/>
        <w:rPr>
          <w:rFonts w:asciiTheme="minorHAnsi" w:eastAsiaTheme="minorEastAsia" w:hAnsiTheme="minorHAnsi" w:cstheme="minorBidi"/>
          <w:szCs w:val="22"/>
        </w:rPr>
      </w:pPr>
      <w:r>
        <w:t>21B.</w:t>
      </w:r>
      <w:r>
        <w:tab/>
        <w:t>Application for time to pay order</w:t>
      </w:r>
      <w:r>
        <w:tab/>
      </w:r>
      <w:r>
        <w:fldChar w:fldCharType="begin"/>
      </w:r>
      <w:r>
        <w:instrText xml:space="preserve"> PAGEREF _Toc51665546 \h </w:instrText>
      </w:r>
      <w:r>
        <w:fldChar w:fldCharType="separate"/>
      </w:r>
      <w:r>
        <w:t>25</w:t>
      </w:r>
      <w:r>
        <w:fldChar w:fldCharType="end"/>
      </w:r>
    </w:p>
    <w:p>
      <w:pPr>
        <w:pStyle w:val="TOC8"/>
        <w:rPr>
          <w:rFonts w:asciiTheme="minorHAnsi" w:eastAsiaTheme="minorEastAsia" w:hAnsiTheme="minorHAnsi" w:cstheme="minorBidi"/>
          <w:szCs w:val="22"/>
        </w:rPr>
      </w:pPr>
      <w:r>
        <w:t>21C.</w:t>
      </w:r>
      <w:r>
        <w:tab/>
        <w:t>Making time to pay order</w:t>
      </w:r>
      <w:r>
        <w:tab/>
      </w:r>
      <w:r>
        <w:fldChar w:fldCharType="begin"/>
      </w:r>
      <w:r>
        <w:instrText xml:space="preserve"> PAGEREF _Toc51665547 \h </w:instrText>
      </w:r>
      <w:r>
        <w:fldChar w:fldCharType="separate"/>
      </w:r>
      <w:r>
        <w:t>25</w:t>
      </w:r>
      <w:r>
        <w:fldChar w:fldCharType="end"/>
      </w:r>
    </w:p>
    <w:p>
      <w:pPr>
        <w:pStyle w:val="TOC8"/>
        <w:rPr>
          <w:rFonts w:asciiTheme="minorHAnsi" w:eastAsiaTheme="minorEastAsia" w:hAnsiTheme="minorHAnsi" w:cstheme="minorBidi"/>
          <w:szCs w:val="22"/>
        </w:rPr>
      </w:pPr>
      <w:r>
        <w:t>21D.</w:t>
      </w:r>
      <w:r>
        <w:tab/>
        <w:t>Alleged offender may apply to have time to pay order amended</w:t>
      </w:r>
      <w:r>
        <w:tab/>
      </w:r>
      <w:r>
        <w:fldChar w:fldCharType="begin"/>
      </w:r>
      <w:r>
        <w:instrText xml:space="preserve"> PAGEREF _Toc51665548 \h </w:instrText>
      </w:r>
      <w:r>
        <w:fldChar w:fldCharType="separate"/>
      </w:r>
      <w:r>
        <w:t>27</w:t>
      </w:r>
      <w:r>
        <w:fldChar w:fldCharType="end"/>
      </w:r>
    </w:p>
    <w:p>
      <w:pPr>
        <w:pStyle w:val="TOC8"/>
        <w:rPr>
          <w:rFonts w:asciiTheme="minorHAnsi" w:eastAsiaTheme="minorEastAsia" w:hAnsiTheme="minorHAnsi" w:cstheme="minorBidi"/>
          <w:szCs w:val="22"/>
        </w:rPr>
      </w:pPr>
      <w:r>
        <w:t>21E.</w:t>
      </w:r>
      <w:r>
        <w:tab/>
        <w:t>Registrar may amend time to pay order</w:t>
      </w:r>
      <w:r>
        <w:tab/>
      </w:r>
      <w:r>
        <w:fldChar w:fldCharType="begin"/>
      </w:r>
      <w:r>
        <w:instrText xml:space="preserve"> PAGEREF _Toc51665549 \h </w:instrText>
      </w:r>
      <w:r>
        <w:fldChar w:fldCharType="separate"/>
      </w:r>
      <w:r>
        <w:t>27</w:t>
      </w:r>
      <w:r>
        <w:fldChar w:fldCharType="end"/>
      </w:r>
    </w:p>
    <w:p>
      <w:pPr>
        <w:pStyle w:val="TOC8"/>
        <w:rPr>
          <w:rFonts w:asciiTheme="minorHAnsi" w:eastAsiaTheme="minorEastAsia" w:hAnsiTheme="minorHAnsi" w:cstheme="minorBidi"/>
          <w:szCs w:val="22"/>
        </w:rPr>
      </w:pPr>
      <w:r>
        <w:t>21F.</w:t>
      </w:r>
      <w:r>
        <w:tab/>
        <w:t>Payments ordered must be within means of alleged offender</w:t>
      </w:r>
      <w:r>
        <w:tab/>
      </w:r>
      <w:r>
        <w:fldChar w:fldCharType="begin"/>
      </w:r>
      <w:r>
        <w:instrText xml:space="preserve"> PAGEREF _Toc51665550 \h </w:instrText>
      </w:r>
      <w:r>
        <w:fldChar w:fldCharType="separate"/>
      </w:r>
      <w:r>
        <w:t>28</w:t>
      </w:r>
      <w:r>
        <w:fldChar w:fldCharType="end"/>
      </w:r>
    </w:p>
    <w:p>
      <w:pPr>
        <w:pStyle w:val="TOC8"/>
        <w:rPr>
          <w:rFonts w:asciiTheme="minorHAnsi" w:eastAsiaTheme="minorEastAsia" w:hAnsiTheme="minorHAnsi" w:cstheme="minorBidi"/>
          <w:szCs w:val="22"/>
        </w:rPr>
      </w:pPr>
      <w:r>
        <w:t>21G.</w:t>
      </w:r>
      <w:r>
        <w:tab/>
        <w:t>Registrar may cancel time to pay order</w:t>
      </w:r>
      <w:r>
        <w:tab/>
      </w:r>
      <w:r>
        <w:fldChar w:fldCharType="begin"/>
      </w:r>
      <w:r>
        <w:instrText xml:space="preserve"> PAGEREF _Toc51665551 \h </w:instrText>
      </w:r>
      <w:r>
        <w:fldChar w:fldCharType="separate"/>
      </w:r>
      <w:r>
        <w:t>28</w:t>
      </w:r>
      <w:r>
        <w:fldChar w:fldCharType="end"/>
      </w:r>
    </w:p>
    <w:p>
      <w:pPr>
        <w:pStyle w:val="TOC8"/>
        <w:rPr>
          <w:rFonts w:asciiTheme="minorHAnsi" w:eastAsiaTheme="minorEastAsia" w:hAnsiTheme="minorHAnsi" w:cstheme="minorBidi"/>
          <w:szCs w:val="22"/>
        </w:rPr>
      </w:pPr>
      <w:r>
        <w:t>21H.</w:t>
      </w:r>
      <w:r>
        <w:tab/>
        <w:t>Enforcement action suspended while time to pay order is in force</w:t>
      </w:r>
      <w:r>
        <w:tab/>
      </w:r>
      <w:r>
        <w:fldChar w:fldCharType="begin"/>
      </w:r>
      <w:r>
        <w:instrText xml:space="preserve"> PAGEREF _Toc51665552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_Toc51665554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_Toc51665555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_Toc51665556 \h </w:instrText>
      </w:r>
      <w:r>
        <w:fldChar w:fldCharType="separate"/>
      </w:r>
      <w:r>
        <w:t>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_Toc51665557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_Toc51665558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Road laws: effect of proceedings under this Part</w:t>
      </w:r>
      <w:r>
        <w:tab/>
      </w:r>
      <w:r>
        <w:fldChar w:fldCharType="begin"/>
      </w:r>
      <w:r>
        <w:instrText xml:space="preserve"> PAGEREF _Toc51665559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_Toc51665560 \h </w:instrText>
      </w:r>
      <w:r>
        <w:fldChar w:fldCharType="separate"/>
      </w:r>
      <w:r>
        <w:t>34</w:t>
      </w:r>
      <w:r>
        <w:fldChar w:fldCharType="end"/>
      </w:r>
    </w:p>
    <w:p>
      <w:pPr>
        <w:pStyle w:val="TOC8"/>
        <w:rPr>
          <w:rFonts w:asciiTheme="minorHAnsi" w:eastAsiaTheme="minorEastAsia" w:hAnsiTheme="minorHAnsi" w:cstheme="minorBidi"/>
          <w:szCs w:val="22"/>
        </w:rPr>
      </w:pPr>
      <w:r>
        <w:t>27A.</w:t>
      </w:r>
      <w:r>
        <w:tab/>
        <w:t>Certain decisions of Registrar are final</w:t>
      </w:r>
      <w:r>
        <w:tab/>
      </w:r>
      <w:r>
        <w:fldChar w:fldCharType="begin"/>
      </w:r>
      <w:r>
        <w:instrText xml:space="preserve"> PAGEREF _Toc51665561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_Toc51665564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_Toc51665565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_Toc51665566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and registration of fines</w:t>
      </w:r>
    </w:p>
    <w:p>
      <w:pPr>
        <w:pStyle w:val="TOC6"/>
        <w:tabs>
          <w:tab w:val="right" w:leader="dot" w:pos="7077"/>
        </w:tabs>
        <w:rPr>
          <w:rFonts w:asciiTheme="minorHAnsi" w:eastAsiaTheme="minorEastAsia" w:hAnsiTheme="minorHAnsi" w:cstheme="minorBidi"/>
          <w:b w:val="0"/>
          <w:sz w:val="22"/>
          <w:szCs w:val="22"/>
        </w:rPr>
      </w:pPr>
      <w:r>
        <w:t>Subdivision 1 — Fines taken to be registered when imposed</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_Toc51665569 \h </w:instrText>
      </w:r>
      <w:r>
        <w:fldChar w:fldCharType="separate"/>
      </w:r>
      <w:r>
        <w:t>40</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_Toc51665570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Fines registered at request of prosecuting authority</w:t>
      </w:r>
    </w:p>
    <w:p>
      <w:pPr>
        <w:pStyle w:val="TOC8"/>
        <w:rPr>
          <w:rFonts w:asciiTheme="minorHAnsi" w:eastAsiaTheme="minorEastAsia" w:hAnsiTheme="minorHAnsi" w:cstheme="minorBidi"/>
          <w:szCs w:val="22"/>
        </w:rPr>
      </w:pPr>
      <w:r>
        <w:t>32A.</w:t>
      </w:r>
      <w:r>
        <w:tab/>
        <w:t>Application</w:t>
      </w:r>
      <w:r>
        <w:tab/>
      </w:r>
      <w:r>
        <w:fldChar w:fldCharType="begin"/>
      </w:r>
      <w:r>
        <w:instrText xml:space="preserve"> PAGEREF _Toc51665572 \h </w:instrText>
      </w:r>
      <w:r>
        <w:fldChar w:fldCharType="separate"/>
      </w:r>
      <w:r>
        <w:t>42</w:t>
      </w:r>
      <w:r>
        <w:fldChar w:fldCharType="end"/>
      </w:r>
    </w:p>
    <w:p>
      <w:pPr>
        <w:pStyle w:val="TOC8"/>
        <w:rPr>
          <w:rFonts w:asciiTheme="minorHAnsi" w:eastAsiaTheme="minorEastAsia" w:hAnsiTheme="minorHAnsi" w:cstheme="minorBidi"/>
          <w:szCs w:val="22"/>
        </w:rPr>
      </w:pPr>
      <w:r>
        <w:t>32B.</w:t>
      </w:r>
      <w:r>
        <w:tab/>
        <w:t>Fine may be registered at request of prosecuting authority</w:t>
      </w:r>
      <w:r>
        <w:tab/>
      </w:r>
      <w:r>
        <w:fldChar w:fldCharType="begin"/>
      </w:r>
      <w:r>
        <w:instrText xml:space="preserve"> PAGEREF _Toc51665573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Time to pay orders</w:t>
      </w:r>
    </w:p>
    <w:p>
      <w:pPr>
        <w:pStyle w:val="TOC8"/>
        <w:rPr>
          <w:rFonts w:asciiTheme="minorHAnsi" w:eastAsiaTheme="minorEastAsia" w:hAnsiTheme="minorHAnsi" w:cstheme="minorBidi"/>
          <w:szCs w:val="22"/>
        </w:rPr>
      </w:pPr>
      <w:r>
        <w:t>32C.</w:t>
      </w:r>
      <w:r>
        <w:tab/>
        <w:t>Application for time to pay order</w:t>
      </w:r>
      <w:r>
        <w:tab/>
      </w:r>
      <w:r>
        <w:fldChar w:fldCharType="begin"/>
      </w:r>
      <w:r>
        <w:instrText xml:space="preserve"> PAGEREF _Toc51665575 \h </w:instrText>
      </w:r>
      <w:r>
        <w:fldChar w:fldCharType="separate"/>
      </w:r>
      <w:r>
        <w:t>42</w:t>
      </w:r>
      <w:r>
        <w:fldChar w:fldCharType="end"/>
      </w:r>
    </w:p>
    <w:p>
      <w:pPr>
        <w:pStyle w:val="TOC8"/>
        <w:rPr>
          <w:rFonts w:asciiTheme="minorHAnsi" w:eastAsiaTheme="minorEastAsia" w:hAnsiTheme="minorHAnsi" w:cstheme="minorBidi"/>
          <w:szCs w:val="22"/>
        </w:rPr>
      </w:pPr>
      <w:r>
        <w:t>33.</w:t>
      </w:r>
      <w:r>
        <w:tab/>
        <w:t>Making time to pay order</w:t>
      </w:r>
      <w:r>
        <w:tab/>
      </w:r>
      <w:r>
        <w:fldChar w:fldCharType="begin"/>
      </w:r>
      <w:r>
        <w:instrText xml:space="preserve"> PAGEREF _Toc51665576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_Toc51665577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_Toc51665578 \h </w:instrText>
      </w:r>
      <w:r>
        <w:fldChar w:fldCharType="separate"/>
      </w:r>
      <w:r>
        <w:t>45</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_Toc51665579 \h </w:instrText>
      </w:r>
      <w:r>
        <w:fldChar w:fldCharType="separate"/>
      </w:r>
      <w:r>
        <w:t>45</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_Toc51665580 \h </w:instrText>
      </w:r>
      <w:r>
        <w:fldChar w:fldCharType="separate"/>
      </w:r>
      <w:r>
        <w:t>46</w:t>
      </w:r>
      <w:r>
        <w:fldChar w:fldCharType="end"/>
      </w:r>
    </w:p>
    <w:p>
      <w:pPr>
        <w:pStyle w:val="TOC8"/>
        <w:rPr>
          <w:rFonts w:asciiTheme="minorHAnsi" w:eastAsiaTheme="minorEastAsia" w:hAnsiTheme="minorHAnsi" w:cstheme="minorBidi"/>
          <w:szCs w:val="22"/>
        </w:rPr>
      </w:pPr>
      <w:r>
        <w:t>37.</w:t>
      </w:r>
      <w:r>
        <w:tab/>
        <w:t>Enforcement action suspended while time to pay order is in force</w:t>
      </w:r>
      <w:r>
        <w:tab/>
      </w:r>
      <w:r>
        <w:fldChar w:fldCharType="begin"/>
      </w:r>
      <w:r>
        <w:instrText xml:space="preserve"> PAGEREF _Toc51665581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Cancellation of registration</w:t>
      </w:r>
    </w:p>
    <w:p>
      <w:pPr>
        <w:pStyle w:val="TOC8"/>
        <w:rPr>
          <w:rFonts w:asciiTheme="minorHAnsi" w:eastAsiaTheme="minorEastAsia" w:hAnsiTheme="minorHAnsi" w:cstheme="minorBidi"/>
          <w:szCs w:val="22"/>
        </w:rPr>
      </w:pPr>
      <w:r>
        <w:t>41</w:t>
      </w:r>
      <w:r>
        <w:rPr>
          <w:snapToGrid w:val="0"/>
        </w:rPr>
        <w:t>.</w:t>
      </w:r>
      <w:r>
        <w:rPr>
          <w:snapToGrid w:val="0"/>
        </w:rPr>
        <w:tab/>
        <w:t>Cancellation of registration</w:t>
      </w:r>
      <w:r>
        <w:tab/>
      </w:r>
      <w:r>
        <w:fldChar w:fldCharType="begin"/>
      </w:r>
      <w:r>
        <w:instrText xml:space="preserve"> PAGEREF _Toc51665583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Notice of intention to enforce</w:t>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_Toc51665585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3A — Licence suspension orders</w:t>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_Toc51665587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_Toc51665588 \h </w:instrText>
      </w:r>
      <w:r>
        <w:fldChar w:fldCharType="separate"/>
      </w:r>
      <w:r>
        <w:t>51</w:t>
      </w:r>
      <w:r>
        <w:fldChar w:fldCharType="end"/>
      </w:r>
    </w:p>
    <w:p>
      <w:pPr>
        <w:pStyle w:val="TOC8"/>
        <w:rPr>
          <w:rFonts w:asciiTheme="minorHAnsi" w:eastAsiaTheme="minorEastAsia" w:hAnsiTheme="minorHAnsi" w:cstheme="minorBidi"/>
          <w:szCs w:val="22"/>
        </w:rPr>
      </w:pPr>
      <w:r>
        <w:t>44A.</w:t>
      </w:r>
      <w:r>
        <w:tab/>
        <w:t>Offender may request cancellation of licence suspension order</w:t>
      </w:r>
      <w:r>
        <w:tab/>
      </w:r>
      <w:r>
        <w:fldChar w:fldCharType="begin"/>
      </w:r>
      <w:r>
        <w:instrText xml:space="preserve"> PAGEREF _Toc51665589 \h </w:instrText>
      </w:r>
      <w:r>
        <w:fldChar w:fldCharType="separate"/>
      </w:r>
      <w:r>
        <w:t>52</w:t>
      </w:r>
      <w:r>
        <w:fldChar w:fldCharType="end"/>
      </w:r>
    </w:p>
    <w:p>
      <w:pPr>
        <w:pStyle w:val="TOC8"/>
        <w:rPr>
          <w:rFonts w:asciiTheme="minorHAnsi" w:eastAsiaTheme="minorEastAsia" w:hAnsiTheme="minorHAnsi" w:cstheme="minorBidi"/>
          <w:szCs w:val="22"/>
        </w:rPr>
      </w:pPr>
      <w:r>
        <w:t>44B.</w:t>
      </w:r>
      <w:r>
        <w:tab/>
        <w:t>Registrar may request further information</w:t>
      </w:r>
      <w:r>
        <w:tab/>
      </w:r>
      <w:r>
        <w:fldChar w:fldCharType="begin"/>
      </w:r>
      <w:r>
        <w:instrText xml:space="preserve"> PAGEREF _Toc51665590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3B — Enforcement warrants</w:t>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_Toc51665592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3C — Work and development</w:t>
      </w:r>
    </w:p>
    <w:p>
      <w:pPr>
        <w:pStyle w:val="TOC8"/>
        <w:rPr>
          <w:rFonts w:asciiTheme="minorHAnsi" w:eastAsiaTheme="minorEastAsia" w:hAnsiTheme="minorHAnsi" w:cstheme="minorBidi"/>
          <w:szCs w:val="22"/>
        </w:rPr>
      </w:pPr>
      <w:r>
        <w:t>46.</w:t>
      </w:r>
      <w:r>
        <w:tab/>
        <w:t>Division does not apply to body corporate</w:t>
      </w:r>
      <w:r>
        <w:tab/>
      </w:r>
      <w:r>
        <w:fldChar w:fldCharType="begin"/>
      </w:r>
      <w:r>
        <w:instrText xml:space="preserve"> PAGEREF _Toc51665594 \h </w:instrText>
      </w:r>
      <w:r>
        <w:fldChar w:fldCharType="separate"/>
      </w:r>
      <w:r>
        <w:t>55</w:t>
      </w:r>
      <w:r>
        <w:fldChar w:fldCharType="end"/>
      </w:r>
    </w:p>
    <w:p>
      <w:pPr>
        <w:pStyle w:val="TOC8"/>
        <w:rPr>
          <w:rFonts w:asciiTheme="minorHAnsi" w:eastAsiaTheme="minorEastAsia" w:hAnsiTheme="minorHAnsi" w:cstheme="minorBidi"/>
          <w:szCs w:val="22"/>
        </w:rPr>
      </w:pPr>
      <w:r>
        <w:t>47.</w:t>
      </w:r>
      <w:r>
        <w:tab/>
        <w:t>Order to attend for work and development</w:t>
      </w:r>
      <w:r>
        <w:tab/>
      </w:r>
      <w:r>
        <w:fldChar w:fldCharType="begin"/>
      </w:r>
      <w:r>
        <w:instrText xml:space="preserve"> PAGEREF _Toc51665595 \h </w:instrText>
      </w:r>
      <w:r>
        <w:fldChar w:fldCharType="separate"/>
      </w:r>
      <w:r>
        <w:t>55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_Toc51665596 \h </w:instrText>
      </w:r>
      <w:r>
        <w:fldChar w:fldCharType="separate"/>
      </w:r>
      <w:r>
        <w:t>56</w:t>
      </w:r>
      <w:r>
        <w:fldChar w:fldCharType="end"/>
      </w:r>
    </w:p>
    <w:p>
      <w:pPr>
        <w:pStyle w:val="TOC8"/>
        <w:rPr>
          <w:rFonts w:asciiTheme="minorHAnsi" w:eastAsiaTheme="minorEastAsia" w:hAnsiTheme="minorHAnsi" w:cstheme="minorBidi"/>
          <w:szCs w:val="22"/>
        </w:rPr>
      </w:pPr>
      <w:r>
        <w:t>47C.</w:t>
      </w:r>
      <w:r>
        <w:tab/>
        <w:t>Cancellation and duration of order to attend for work and development</w:t>
      </w:r>
      <w:r>
        <w:tab/>
      </w:r>
      <w:r>
        <w:fldChar w:fldCharType="begin"/>
      </w:r>
      <w:r>
        <w:instrText xml:space="preserve"> PAGEREF _Toc51665597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Making work and development order</w:t>
      </w:r>
      <w:r>
        <w:tab/>
      </w:r>
      <w:r>
        <w:fldChar w:fldCharType="begin"/>
      </w:r>
      <w:r>
        <w:instrText xml:space="preserve"> PAGEREF _Toc51665598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Effect of work and development order</w:t>
      </w:r>
      <w:r>
        <w:tab/>
      </w:r>
      <w:r>
        <w:fldChar w:fldCharType="begin"/>
      </w:r>
      <w:r>
        <w:instrText xml:space="preserve"> PAGEREF _Toc51665599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Primary requirements of work and development order</w:t>
      </w:r>
      <w:r>
        <w:tab/>
      </w:r>
      <w:r>
        <w:fldChar w:fldCharType="begin"/>
      </w:r>
      <w:r>
        <w:instrText xml:space="preserve"> PAGEREF _Toc51665600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Discharge of liability under work and development order</w:t>
      </w:r>
      <w:r>
        <w:tab/>
      </w:r>
      <w:r>
        <w:fldChar w:fldCharType="begin"/>
      </w:r>
      <w:r>
        <w:instrText xml:space="preserve"> PAGEREF _Toc51665601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Cancellation and duration of work and development order</w:t>
      </w:r>
      <w:r>
        <w:tab/>
      </w:r>
      <w:r>
        <w:fldChar w:fldCharType="begin"/>
      </w:r>
      <w:r>
        <w:instrText xml:space="preserve"> PAGEREF _Toc51665602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3D — Fine expiation orders</w:t>
      </w:r>
    </w:p>
    <w:p>
      <w:pPr>
        <w:pStyle w:val="TOC8"/>
        <w:rPr>
          <w:rFonts w:asciiTheme="minorHAnsi" w:eastAsiaTheme="minorEastAsia" w:hAnsiTheme="minorHAnsi" w:cstheme="minorBidi"/>
          <w:szCs w:val="22"/>
        </w:rPr>
      </w:pPr>
      <w:r>
        <w:t>52A.</w:t>
      </w:r>
      <w:r>
        <w:tab/>
        <w:t>Division does not apply to body corporate</w:t>
      </w:r>
      <w:r>
        <w:tab/>
      </w:r>
      <w:r>
        <w:fldChar w:fldCharType="begin"/>
      </w:r>
      <w:r>
        <w:instrText xml:space="preserve"> PAGEREF _Toc51665604 \h </w:instrText>
      </w:r>
      <w:r>
        <w:fldChar w:fldCharType="separate"/>
      </w:r>
      <w:r>
        <w:t>60</w:t>
      </w:r>
      <w:r>
        <w:fldChar w:fldCharType="end"/>
      </w:r>
    </w:p>
    <w:p>
      <w:pPr>
        <w:pStyle w:val="TOC8"/>
        <w:rPr>
          <w:rFonts w:asciiTheme="minorHAnsi" w:eastAsiaTheme="minorEastAsia" w:hAnsiTheme="minorHAnsi" w:cstheme="minorBidi"/>
          <w:szCs w:val="22"/>
        </w:rPr>
      </w:pPr>
      <w:r>
        <w:t>52B.</w:t>
      </w:r>
      <w:r>
        <w:tab/>
        <w:t>Term used: daily expiation amount</w:t>
      </w:r>
      <w:r>
        <w:tab/>
      </w:r>
      <w:r>
        <w:fldChar w:fldCharType="begin"/>
      </w:r>
      <w:r>
        <w:instrText xml:space="preserve"> PAGEREF _Toc51665605 \h </w:instrText>
      </w:r>
      <w:r>
        <w:fldChar w:fldCharType="separate"/>
      </w:r>
      <w:r>
        <w:t>61</w:t>
      </w:r>
      <w:r>
        <w:fldChar w:fldCharType="end"/>
      </w:r>
    </w:p>
    <w:p>
      <w:pPr>
        <w:pStyle w:val="TOC8"/>
        <w:rPr>
          <w:rFonts w:asciiTheme="minorHAnsi" w:eastAsiaTheme="minorEastAsia" w:hAnsiTheme="minorHAnsi" w:cstheme="minorBidi"/>
          <w:szCs w:val="22"/>
        </w:rPr>
      </w:pPr>
      <w:r>
        <w:t>52C.</w:t>
      </w:r>
      <w:r>
        <w:tab/>
        <w:t>When a person is in custody for the purposes of fine expiation order</w:t>
      </w:r>
      <w:r>
        <w:tab/>
      </w:r>
      <w:r>
        <w:fldChar w:fldCharType="begin"/>
      </w:r>
      <w:r>
        <w:instrText xml:space="preserve"> PAGEREF _Toc51665606 \h </w:instrText>
      </w:r>
      <w:r>
        <w:fldChar w:fldCharType="separate"/>
      </w:r>
      <w:r>
        <w:t>61</w:t>
      </w:r>
      <w:r>
        <w:fldChar w:fldCharType="end"/>
      </w:r>
    </w:p>
    <w:p>
      <w:pPr>
        <w:pStyle w:val="TOC8"/>
        <w:rPr>
          <w:rFonts w:asciiTheme="minorHAnsi" w:eastAsiaTheme="minorEastAsia" w:hAnsiTheme="minorHAnsi" w:cstheme="minorBidi"/>
          <w:szCs w:val="22"/>
        </w:rPr>
      </w:pPr>
      <w:r>
        <w:t>52D.</w:t>
      </w:r>
      <w:r>
        <w:tab/>
        <w:t>Fine expiation order</w:t>
      </w:r>
      <w:r>
        <w:tab/>
      </w:r>
      <w:r>
        <w:fldChar w:fldCharType="begin"/>
      </w:r>
      <w:r>
        <w:instrText xml:space="preserve"> PAGEREF _Toc51665607 \h </w:instrText>
      </w:r>
      <w:r>
        <w:fldChar w:fldCharType="separate"/>
      </w:r>
      <w:r>
        <w:t>62</w:t>
      </w:r>
      <w:r>
        <w:fldChar w:fldCharType="end"/>
      </w:r>
    </w:p>
    <w:p>
      <w:pPr>
        <w:pStyle w:val="TOC8"/>
        <w:rPr>
          <w:rFonts w:asciiTheme="minorHAnsi" w:eastAsiaTheme="minorEastAsia" w:hAnsiTheme="minorHAnsi" w:cstheme="minorBidi"/>
          <w:szCs w:val="22"/>
        </w:rPr>
      </w:pPr>
      <w:r>
        <w:t>52E.</w:t>
      </w:r>
      <w:r>
        <w:tab/>
        <w:t>Application for fine expiation order</w:t>
      </w:r>
      <w:r>
        <w:tab/>
      </w:r>
      <w:r>
        <w:fldChar w:fldCharType="begin"/>
      </w:r>
      <w:r>
        <w:instrText xml:space="preserve"> PAGEREF _Toc51665608 \h </w:instrText>
      </w:r>
      <w:r>
        <w:fldChar w:fldCharType="separate"/>
      </w:r>
      <w:r>
        <w:t>62</w:t>
      </w:r>
      <w:r>
        <w:fldChar w:fldCharType="end"/>
      </w:r>
    </w:p>
    <w:p>
      <w:pPr>
        <w:pStyle w:val="TOC8"/>
        <w:rPr>
          <w:rFonts w:asciiTheme="minorHAnsi" w:eastAsiaTheme="minorEastAsia" w:hAnsiTheme="minorHAnsi" w:cstheme="minorBidi"/>
          <w:szCs w:val="22"/>
        </w:rPr>
      </w:pPr>
      <w:r>
        <w:t>52F.</w:t>
      </w:r>
      <w:r>
        <w:tab/>
        <w:t>Issue of fine expiation order</w:t>
      </w:r>
      <w:r>
        <w:tab/>
      </w:r>
      <w:r>
        <w:fldChar w:fldCharType="begin"/>
      </w:r>
      <w:r>
        <w:instrText xml:space="preserve"> PAGEREF _Toc51665609 \h </w:instrText>
      </w:r>
      <w:r>
        <w:fldChar w:fldCharType="separate"/>
      </w:r>
      <w:r>
        <w:t>63</w:t>
      </w:r>
      <w:r>
        <w:fldChar w:fldCharType="end"/>
      </w:r>
    </w:p>
    <w:p>
      <w:pPr>
        <w:pStyle w:val="TOC8"/>
        <w:rPr>
          <w:rFonts w:asciiTheme="minorHAnsi" w:eastAsiaTheme="minorEastAsia" w:hAnsiTheme="minorHAnsi" w:cstheme="minorBidi"/>
          <w:szCs w:val="22"/>
        </w:rPr>
      </w:pPr>
      <w:r>
        <w:t>52G.</w:t>
      </w:r>
      <w:r>
        <w:tab/>
        <w:t>Form of fine expiation order</w:t>
      </w:r>
      <w:r>
        <w:tab/>
      </w:r>
      <w:r>
        <w:fldChar w:fldCharType="begin"/>
      </w:r>
      <w:r>
        <w:instrText xml:space="preserve"> PAGEREF _Toc51665610 \h </w:instrText>
      </w:r>
      <w:r>
        <w:fldChar w:fldCharType="separate"/>
      </w:r>
      <w:r>
        <w:t>64</w:t>
      </w:r>
      <w:r>
        <w:fldChar w:fldCharType="end"/>
      </w:r>
    </w:p>
    <w:p>
      <w:pPr>
        <w:pStyle w:val="TOC8"/>
        <w:rPr>
          <w:rFonts w:asciiTheme="minorHAnsi" w:eastAsiaTheme="minorEastAsia" w:hAnsiTheme="minorHAnsi" w:cstheme="minorBidi"/>
          <w:szCs w:val="22"/>
        </w:rPr>
      </w:pPr>
      <w:r>
        <w:t>52H.</w:t>
      </w:r>
      <w:r>
        <w:tab/>
        <w:t>Discharge of liability when fine expiation order is issued</w:t>
      </w:r>
      <w:r>
        <w:tab/>
      </w:r>
      <w:r>
        <w:fldChar w:fldCharType="begin"/>
      </w:r>
      <w:r>
        <w:instrText xml:space="preserve"> PAGEREF _Toc51665611 \h </w:instrText>
      </w:r>
      <w:r>
        <w:fldChar w:fldCharType="separate"/>
      </w:r>
      <w:r>
        <w:t>64</w:t>
      </w:r>
      <w:r>
        <w:fldChar w:fldCharType="end"/>
      </w:r>
    </w:p>
    <w:p>
      <w:pPr>
        <w:pStyle w:val="TOC8"/>
        <w:rPr>
          <w:rFonts w:asciiTheme="minorHAnsi" w:eastAsiaTheme="minorEastAsia" w:hAnsiTheme="minorHAnsi" w:cstheme="minorBidi"/>
          <w:szCs w:val="22"/>
        </w:rPr>
      </w:pPr>
      <w:r>
        <w:t>52I.</w:t>
      </w:r>
      <w:r>
        <w:tab/>
        <w:t>Discharge of liability under ongoing fine expiation order</w:t>
      </w:r>
      <w:r>
        <w:tab/>
      </w:r>
      <w:r>
        <w:fldChar w:fldCharType="begin"/>
      </w:r>
      <w:r>
        <w:instrText xml:space="preserve"> PAGEREF _Toc51665612 \h </w:instrText>
      </w:r>
      <w:r>
        <w:fldChar w:fldCharType="separate"/>
      </w:r>
      <w:r>
        <w:t>65</w:t>
      </w:r>
      <w:r>
        <w:fldChar w:fldCharType="end"/>
      </w:r>
    </w:p>
    <w:p>
      <w:pPr>
        <w:pStyle w:val="TOC8"/>
        <w:rPr>
          <w:rFonts w:asciiTheme="minorHAnsi" w:eastAsiaTheme="minorEastAsia" w:hAnsiTheme="minorHAnsi" w:cstheme="minorBidi"/>
          <w:szCs w:val="22"/>
        </w:rPr>
      </w:pPr>
      <w:r>
        <w:t>52J.</w:t>
      </w:r>
      <w:r>
        <w:tab/>
        <w:t>Cancellation and duration of fine expiation order</w:t>
      </w:r>
      <w:r>
        <w:tab/>
      </w:r>
      <w:r>
        <w:fldChar w:fldCharType="begin"/>
      </w:r>
      <w:r>
        <w:instrText xml:space="preserve"> PAGEREF _Toc51665613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3E — Warrants of commitment and other court</w:t>
      </w:r>
      <w:r>
        <w:noBreakHyphen/>
        <w:t>ordered enforcement action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52K.</w:t>
      </w:r>
      <w:r>
        <w:tab/>
        <w:t>Division does not apply to body corporate</w:t>
      </w:r>
      <w:r>
        <w:tab/>
      </w:r>
      <w:r>
        <w:fldChar w:fldCharType="begin"/>
      </w:r>
      <w:r>
        <w:instrText xml:space="preserve"> PAGEREF _Toc51665616 \h </w:instrText>
      </w:r>
      <w:r>
        <w:fldChar w:fldCharType="separate"/>
      </w:r>
      <w:r>
        <w:t>67</w:t>
      </w:r>
      <w:r>
        <w:fldChar w:fldCharType="end"/>
      </w:r>
    </w:p>
    <w:p>
      <w:pPr>
        <w:pStyle w:val="TOC8"/>
        <w:rPr>
          <w:rFonts w:asciiTheme="minorHAnsi" w:eastAsiaTheme="minorEastAsia" w:hAnsiTheme="minorHAnsi" w:cstheme="minorBidi"/>
          <w:szCs w:val="22"/>
        </w:rPr>
      </w:pPr>
      <w:r>
        <w:t>52L.</w:t>
      </w:r>
      <w:r>
        <w:tab/>
        <w:t>Magistrates Court to be constituted by Magistrate</w:t>
      </w:r>
      <w:r>
        <w:tab/>
      </w:r>
      <w:r>
        <w:fldChar w:fldCharType="begin"/>
      </w:r>
      <w:r>
        <w:instrText xml:space="preserve"> PAGEREF _Toc51665617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for and conduct of warrant of commitment inquiry</w:t>
      </w:r>
    </w:p>
    <w:p>
      <w:pPr>
        <w:pStyle w:val="TOC8"/>
        <w:rPr>
          <w:rFonts w:asciiTheme="minorHAnsi" w:eastAsiaTheme="minorEastAsia" w:hAnsiTheme="minorHAnsi" w:cstheme="minorBidi"/>
          <w:szCs w:val="22"/>
        </w:rPr>
      </w:pPr>
      <w:r>
        <w:t>52M.</w:t>
      </w:r>
      <w:r>
        <w:tab/>
        <w:t>Warrant of commitment inquiry</w:t>
      </w:r>
      <w:r>
        <w:tab/>
      </w:r>
      <w:r>
        <w:fldChar w:fldCharType="begin"/>
      </w:r>
      <w:r>
        <w:instrText xml:space="preserve"> PAGEREF _Toc51665619 \h </w:instrText>
      </w:r>
      <w:r>
        <w:fldChar w:fldCharType="separate"/>
      </w:r>
      <w:r>
        <w:t>67</w:t>
      </w:r>
      <w:r>
        <w:fldChar w:fldCharType="end"/>
      </w:r>
    </w:p>
    <w:p>
      <w:pPr>
        <w:pStyle w:val="TOC8"/>
        <w:rPr>
          <w:rFonts w:asciiTheme="minorHAnsi" w:eastAsiaTheme="minorEastAsia" w:hAnsiTheme="minorHAnsi" w:cstheme="minorBidi"/>
          <w:szCs w:val="22"/>
        </w:rPr>
      </w:pPr>
      <w:r>
        <w:t>52N.</w:t>
      </w:r>
      <w:r>
        <w:tab/>
        <w:t>Application for warrant of commitment inquiry</w:t>
      </w:r>
      <w:r>
        <w:tab/>
      </w:r>
      <w:r>
        <w:fldChar w:fldCharType="begin"/>
      </w:r>
      <w:r>
        <w:instrText xml:space="preserve"> PAGEREF _Toc51665620 \h </w:instrText>
      </w:r>
      <w:r>
        <w:fldChar w:fldCharType="separate"/>
      </w:r>
      <w:r>
        <w:t>68</w:t>
      </w:r>
      <w:r>
        <w:fldChar w:fldCharType="end"/>
      </w:r>
    </w:p>
    <w:p>
      <w:pPr>
        <w:pStyle w:val="TOC8"/>
        <w:rPr>
          <w:rFonts w:asciiTheme="minorHAnsi" w:eastAsiaTheme="minorEastAsia" w:hAnsiTheme="minorHAnsi" w:cstheme="minorBidi"/>
          <w:szCs w:val="22"/>
        </w:rPr>
      </w:pPr>
      <w:r>
        <w:t>52O.</w:t>
      </w:r>
      <w:r>
        <w:tab/>
        <w:t>Information and evidence to be included in application</w:t>
      </w:r>
      <w:r>
        <w:tab/>
      </w:r>
      <w:r>
        <w:fldChar w:fldCharType="begin"/>
      </w:r>
      <w:r>
        <w:instrText xml:space="preserve"> PAGEREF _Toc51665621 \h </w:instrText>
      </w:r>
      <w:r>
        <w:fldChar w:fldCharType="separate"/>
      </w:r>
      <w:r>
        <w:t>70</w:t>
      </w:r>
      <w:r>
        <w:fldChar w:fldCharType="end"/>
      </w:r>
    </w:p>
    <w:p>
      <w:pPr>
        <w:pStyle w:val="TOC8"/>
        <w:rPr>
          <w:rFonts w:asciiTheme="minorHAnsi" w:eastAsiaTheme="minorEastAsia" w:hAnsiTheme="minorHAnsi" w:cstheme="minorBidi"/>
          <w:szCs w:val="22"/>
        </w:rPr>
      </w:pPr>
      <w:r>
        <w:t>52P.</w:t>
      </w:r>
      <w:r>
        <w:tab/>
        <w:t>Decision on application for warrant of commitment inquiry</w:t>
      </w:r>
      <w:r>
        <w:tab/>
      </w:r>
      <w:r>
        <w:fldChar w:fldCharType="begin"/>
      </w:r>
      <w:r>
        <w:instrText xml:space="preserve"> PAGEREF _Toc51665622 \h </w:instrText>
      </w:r>
      <w:r>
        <w:fldChar w:fldCharType="separate"/>
      </w:r>
      <w:r>
        <w:t>71</w:t>
      </w:r>
      <w:r>
        <w:fldChar w:fldCharType="end"/>
      </w:r>
    </w:p>
    <w:p>
      <w:pPr>
        <w:pStyle w:val="TOC8"/>
        <w:rPr>
          <w:rFonts w:asciiTheme="minorHAnsi" w:eastAsiaTheme="minorEastAsia" w:hAnsiTheme="minorHAnsi" w:cstheme="minorBidi"/>
          <w:szCs w:val="22"/>
        </w:rPr>
      </w:pPr>
      <w:r>
        <w:t>52Q.</w:t>
      </w:r>
      <w:r>
        <w:tab/>
        <w:t>Issue of summons or arrest warrant</w:t>
      </w:r>
      <w:r>
        <w:tab/>
      </w:r>
      <w:r>
        <w:fldChar w:fldCharType="begin"/>
      </w:r>
      <w:r>
        <w:instrText xml:space="preserve"> PAGEREF _Toc51665623 \h </w:instrText>
      </w:r>
      <w:r>
        <w:fldChar w:fldCharType="separate"/>
      </w:r>
      <w:r>
        <w:t>71</w:t>
      </w:r>
      <w:r>
        <w:fldChar w:fldCharType="end"/>
      </w:r>
    </w:p>
    <w:p>
      <w:pPr>
        <w:pStyle w:val="TOC8"/>
        <w:rPr>
          <w:rFonts w:asciiTheme="minorHAnsi" w:eastAsiaTheme="minorEastAsia" w:hAnsiTheme="minorHAnsi" w:cstheme="minorBidi"/>
          <w:szCs w:val="22"/>
        </w:rPr>
      </w:pPr>
      <w:r>
        <w:t>52R.</w:t>
      </w:r>
      <w:r>
        <w:tab/>
        <w:t>Conduct of warrant of commitment inquiry</w:t>
      </w:r>
      <w:r>
        <w:tab/>
      </w:r>
      <w:r>
        <w:fldChar w:fldCharType="begin"/>
      </w:r>
      <w:r>
        <w:instrText xml:space="preserve"> PAGEREF _Toc51665624 \h </w:instrText>
      </w:r>
      <w:r>
        <w:fldChar w:fldCharType="separate"/>
      </w:r>
      <w:r>
        <w:t>72</w:t>
      </w:r>
      <w:r>
        <w:fldChar w:fldCharType="end"/>
      </w:r>
    </w:p>
    <w:p>
      <w:pPr>
        <w:pStyle w:val="TOC8"/>
        <w:rPr>
          <w:rFonts w:asciiTheme="minorHAnsi" w:eastAsiaTheme="minorEastAsia" w:hAnsiTheme="minorHAnsi" w:cstheme="minorBidi"/>
          <w:szCs w:val="22"/>
        </w:rPr>
      </w:pPr>
      <w:r>
        <w:t>52S.</w:t>
      </w:r>
      <w:r>
        <w:tab/>
        <w:t>Court may make orders or issue warrant of commitment</w:t>
      </w:r>
      <w:r>
        <w:tab/>
      </w:r>
      <w:r>
        <w:fldChar w:fldCharType="begin"/>
      </w:r>
      <w:r>
        <w:instrText xml:space="preserve"> PAGEREF _Toc51665625 \h </w:instrText>
      </w:r>
      <w:r>
        <w:fldChar w:fldCharType="separate"/>
      </w:r>
      <w:r>
        <w:t>73</w:t>
      </w:r>
      <w:r>
        <w:fldChar w:fldCharType="end"/>
      </w:r>
    </w:p>
    <w:p>
      <w:pPr>
        <w:pStyle w:val="TOC8"/>
        <w:rPr>
          <w:rFonts w:asciiTheme="minorHAnsi" w:eastAsiaTheme="minorEastAsia" w:hAnsiTheme="minorHAnsi" w:cstheme="minorBidi"/>
          <w:szCs w:val="22"/>
        </w:rPr>
      </w:pPr>
      <w:r>
        <w:t>52T.</w:t>
      </w:r>
      <w:r>
        <w:tab/>
        <w:t>Effect of orders under s. 52S(1)(a) to (c)</w:t>
      </w:r>
      <w:r>
        <w:tab/>
      </w:r>
      <w:r>
        <w:fldChar w:fldCharType="begin"/>
      </w:r>
      <w:r>
        <w:instrText xml:space="preserve"> PAGEREF _Toc51665626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Summons to appear at warrant of commitment inquiry</w:t>
      </w:r>
    </w:p>
    <w:p>
      <w:pPr>
        <w:pStyle w:val="TOC8"/>
        <w:rPr>
          <w:rFonts w:asciiTheme="minorHAnsi" w:eastAsiaTheme="minorEastAsia" w:hAnsiTheme="minorHAnsi" w:cstheme="minorBidi"/>
          <w:szCs w:val="22"/>
        </w:rPr>
      </w:pPr>
      <w:r>
        <w:t>52U.</w:t>
      </w:r>
      <w:r>
        <w:tab/>
        <w:t>Form of summons</w:t>
      </w:r>
      <w:r>
        <w:tab/>
      </w:r>
      <w:r>
        <w:fldChar w:fldCharType="begin"/>
      </w:r>
      <w:r>
        <w:instrText xml:space="preserve"> PAGEREF _Toc51665628 \h </w:instrText>
      </w:r>
      <w:r>
        <w:fldChar w:fldCharType="separate"/>
      </w:r>
      <w:r>
        <w:t>75</w:t>
      </w:r>
      <w:r>
        <w:fldChar w:fldCharType="end"/>
      </w:r>
    </w:p>
    <w:p>
      <w:pPr>
        <w:pStyle w:val="TOC8"/>
        <w:rPr>
          <w:rFonts w:asciiTheme="minorHAnsi" w:eastAsiaTheme="minorEastAsia" w:hAnsiTheme="minorHAnsi" w:cstheme="minorBidi"/>
          <w:szCs w:val="22"/>
        </w:rPr>
      </w:pPr>
      <w:r>
        <w:t>52V.</w:t>
      </w:r>
      <w:r>
        <w:tab/>
        <w:t>Service of summons</w:t>
      </w:r>
      <w:r>
        <w:tab/>
      </w:r>
      <w:r>
        <w:fldChar w:fldCharType="begin"/>
      </w:r>
      <w:r>
        <w:instrText xml:space="preserve"> PAGEREF _Toc51665629 \h </w:instrText>
      </w:r>
      <w:r>
        <w:fldChar w:fldCharType="separate"/>
      </w:r>
      <w:r>
        <w:t>75</w:t>
      </w:r>
      <w:r>
        <w:fldChar w:fldCharType="end"/>
      </w:r>
    </w:p>
    <w:p>
      <w:pPr>
        <w:pStyle w:val="TOC8"/>
        <w:rPr>
          <w:rFonts w:asciiTheme="minorHAnsi" w:eastAsiaTheme="minorEastAsia" w:hAnsiTheme="minorHAnsi" w:cstheme="minorBidi"/>
          <w:szCs w:val="22"/>
        </w:rPr>
      </w:pPr>
      <w:r>
        <w:t>52W.</w:t>
      </w:r>
      <w:r>
        <w:tab/>
        <w:t>Oral service or substituted service of summons</w:t>
      </w:r>
      <w:r>
        <w:tab/>
      </w:r>
      <w:r>
        <w:fldChar w:fldCharType="begin"/>
      </w:r>
      <w:r>
        <w:instrText xml:space="preserve"> PAGEREF _Toc51665630 \h </w:instrText>
      </w:r>
      <w:r>
        <w:fldChar w:fldCharType="separate"/>
      </w:r>
      <w:r>
        <w:t>76</w:t>
      </w:r>
      <w:r>
        <w:fldChar w:fldCharType="end"/>
      </w:r>
    </w:p>
    <w:p>
      <w:pPr>
        <w:pStyle w:val="TOC8"/>
        <w:rPr>
          <w:rFonts w:asciiTheme="minorHAnsi" w:eastAsiaTheme="minorEastAsia" w:hAnsiTheme="minorHAnsi" w:cstheme="minorBidi"/>
          <w:szCs w:val="22"/>
        </w:rPr>
      </w:pPr>
      <w:r>
        <w:t>52X.</w:t>
      </w:r>
      <w:r>
        <w:tab/>
        <w:t>Summons ceases to have effect if application withdrawn</w:t>
      </w:r>
      <w:r>
        <w:tab/>
      </w:r>
      <w:r>
        <w:fldChar w:fldCharType="begin"/>
      </w:r>
      <w:r>
        <w:instrText xml:space="preserve"> PAGEREF _Toc51665631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Arrest warrant for appearance at warrant of commitment inquiry</w:t>
      </w:r>
    </w:p>
    <w:p>
      <w:pPr>
        <w:pStyle w:val="TOC8"/>
        <w:rPr>
          <w:rFonts w:asciiTheme="minorHAnsi" w:eastAsiaTheme="minorEastAsia" w:hAnsiTheme="minorHAnsi" w:cstheme="minorBidi"/>
          <w:szCs w:val="22"/>
        </w:rPr>
      </w:pPr>
      <w:r>
        <w:t>52Y.</w:t>
      </w:r>
      <w:r>
        <w:tab/>
        <w:t>Form of arrest warrant</w:t>
      </w:r>
      <w:r>
        <w:tab/>
      </w:r>
      <w:r>
        <w:fldChar w:fldCharType="begin"/>
      </w:r>
      <w:r>
        <w:instrText xml:space="preserve"> PAGEREF _Toc51665633 \h </w:instrText>
      </w:r>
      <w:r>
        <w:fldChar w:fldCharType="separate"/>
      </w:r>
      <w:r>
        <w:t>77</w:t>
      </w:r>
      <w:r>
        <w:fldChar w:fldCharType="end"/>
      </w:r>
    </w:p>
    <w:p>
      <w:pPr>
        <w:pStyle w:val="TOC8"/>
        <w:rPr>
          <w:rFonts w:asciiTheme="minorHAnsi" w:eastAsiaTheme="minorEastAsia" w:hAnsiTheme="minorHAnsi" w:cstheme="minorBidi"/>
          <w:szCs w:val="22"/>
        </w:rPr>
      </w:pPr>
      <w:r>
        <w:t>52Z.</w:t>
      </w:r>
      <w:r>
        <w:tab/>
        <w:t>Effect of arrest warrant</w:t>
      </w:r>
      <w:r>
        <w:tab/>
      </w:r>
      <w:r>
        <w:fldChar w:fldCharType="begin"/>
      </w:r>
      <w:r>
        <w:instrText xml:space="preserve"> PAGEREF _Toc51665634 \h </w:instrText>
      </w:r>
      <w:r>
        <w:fldChar w:fldCharType="separate"/>
      </w:r>
      <w:r>
        <w:t>78</w:t>
      </w:r>
      <w:r>
        <w:fldChar w:fldCharType="end"/>
      </w:r>
    </w:p>
    <w:p>
      <w:pPr>
        <w:pStyle w:val="TOC8"/>
        <w:rPr>
          <w:rFonts w:asciiTheme="minorHAnsi" w:eastAsiaTheme="minorEastAsia" w:hAnsiTheme="minorHAnsi" w:cstheme="minorBidi"/>
          <w:szCs w:val="22"/>
        </w:rPr>
      </w:pPr>
      <w:r>
        <w:t>52ZA.</w:t>
      </w:r>
      <w:r>
        <w:tab/>
        <w:t>Duration of arrest warrant</w:t>
      </w:r>
      <w:r>
        <w:tab/>
      </w:r>
      <w:r>
        <w:fldChar w:fldCharType="begin"/>
      </w:r>
      <w:r>
        <w:instrText xml:space="preserve"> PAGEREF _Toc51665635 \h </w:instrText>
      </w:r>
      <w:r>
        <w:fldChar w:fldCharType="separate"/>
      </w:r>
      <w:r>
        <w:t>78</w:t>
      </w:r>
      <w:r>
        <w:fldChar w:fldCharType="end"/>
      </w:r>
    </w:p>
    <w:p>
      <w:pPr>
        <w:pStyle w:val="TOC8"/>
        <w:rPr>
          <w:rFonts w:asciiTheme="minorHAnsi" w:eastAsiaTheme="minorEastAsia" w:hAnsiTheme="minorHAnsi" w:cstheme="minorBidi"/>
          <w:szCs w:val="22"/>
        </w:rPr>
      </w:pPr>
      <w:r>
        <w:t>52ZB.</w:t>
      </w:r>
      <w:r>
        <w:tab/>
        <w:t>Conditional release of arrested offender</w:t>
      </w:r>
      <w:r>
        <w:tab/>
      </w:r>
      <w:r>
        <w:fldChar w:fldCharType="begin"/>
      </w:r>
      <w:r>
        <w:instrText xml:space="preserve"> PAGEREF _Toc51665636 \h </w:instrText>
      </w:r>
      <w:r>
        <w:fldChar w:fldCharType="separate"/>
      </w:r>
      <w:r>
        <w:t>79</w:t>
      </w:r>
      <w:r>
        <w:fldChar w:fldCharType="end"/>
      </w:r>
    </w:p>
    <w:p>
      <w:pPr>
        <w:pStyle w:val="TOC8"/>
        <w:rPr>
          <w:rFonts w:asciiTheme="minorHAnsi" w:eastAsiaTheme="minorEastAsia" w:hAnsiTheme="minorHAnsi" w:cstheme="minorBidi"/>
          <w:szCs w:val="22"/>
        </w:rPr>
      </w:pPr>
      <w:r>
        <w:t>52ZC.</w:t>
      </w:r>
      <w:r>
        <w:tab/>
        <w:t>Responsible officer for conditional release of offender</w:t>
      </w:r>
      <w:r>
        <w:tab/>
      </w:r>
      <w:r>
        <w:fldChar w:fldCharType="begin"/>
      </w:r>
      <w:r>
        <w:instrText xml:space="preserve"> PAGEREF _Toc51665637 \h </w:instrText>
      </w:r>
      <w:r>
        <w:fldChar w:fldCharType="separate"/>
      </w:r>
      <w:r>
        <w:t>80</w:t>
      </w:r>
      <w:r>
        <w:fldChar w:fldCharType="end"/>
      </w:r>
    </w:p>
    <w:p>
      <w:pPr>
        <w:pStyle w:val="TOC8"/>
        <w:rPr>
          <w:rFonts w:asciiTheme="minorHAnsi" w:eastAsiaTheme="minorEastAsia" w:hAnsiTheme="minorHAnsi" w:cstheme="minorBidi"/>
          <w:szCs w:val="22"/>
        </w:rPr>
      </w:pPr>
      <w:r>
        <w:t>52ZD.</w:t>
      </w:r>
      <w:r>
        <w:tab/>
        <w:t>Conditional release undertaking</w:t>
      </w:r>
      <w:r>
        <w:tab/>
      </w:r>
      <w:r>
        <w:fldChar w:fldCharType="begin"/>
      </w:r>
      <w:r>
        <w:instrText xml:space="preserve"> PAGEREF _Toc51665638 \h </w:instrText>
      </w:r>
      <w:r>
        <w:fldChar w:fldCharType="separate"/>
      </w:r>
      <w:r>
        <w:t>81</w:t>
      </w:r>
      <w:r>
        <w:fldChar w:fldCharType="end"/>
      </w:r>
    </w:p>
    <w:p>
      <w:pPr>
        <w:pStyle w:val="TOC8"/>
        <w:rPr>
          <w:rFonts w:asciiTheme="minorHAnsi" w:eastAsiaTheme="minorEastAsia" w:hAnsiTheme="minorHAnsi" w:cstheme="minorBidi"/>
          <w:szCs w:val="22"/>
        </w:rPr>
      </w:pPr>
      <w:r>
        <w:t>52ZE.</w:t>
      </w:r>
      <w:r>
        <w:tab/>
        <w:t>Duties of person before whom conditional release undertaking entered into</w:t>
      </w:r>
      <w:r>
        <w:tab/>
      </w:r>
      <w:r>
        <w:fldChar w:fldCharType="begin"/>
      </w:r>
      <w:r>
        <w:instrText xml:space="preserve"> PAGEREF _Toc51665639 \h </w:instrText>
      </w:r>
      <w:r>
        <w:fldChar w:fldCharType="separate"/>
      </w:r>
      <w:r>
        <w:t>82</w:t>
      </w:r>
      <w:r>
        <w:fldChar w:fldCharType="end"/>
      </w:r>
    </w:p>
    <w:p>
      <w:pPr>
        <w:pStyle w:val="TOC8"/>
        <w:rPr>
          <w:rFonts w:asciiTheme="minorHAnsi" w:eastAsiaTheme="minorEastAsia" w:hAnsiTheme="minorHAnsi" w:cstheme="minorBidi"/>
          <w:szCs w:val="22"/>
        </w:rPr>
      </w:pPr>
      <w:r>
        <w:t>52ZF.</w:t>
      </w:r>
      <w:r>
        <w:tab/>
        <w:t>Limitations on right to conditional release</w:t>
      </w:r>
      <w:r>
        <w:tab/>
      </w:r>
      <w:r>
        <w:fldChar w:fldCharType="begin"/>
      </w:r>
      <w:r>
        <w:instrText xml:space="preserve"> PAGEREF _Toc51665640 \h </w:instrText>
      </w:r>
      <w:r>
        <w:fldChar w:fldCharType="separate"/>
      </w:r>
      <w:r>
        <w:t>83</w:t>
      </w:r>
      <w:r>
        <w:fldChar w:fldCharType="end"/>
      </w:r>
    </w:p>
    <w:p>
      <w:pPr>
        <w:pStyle w:val="TOC8"/>
        <w:rPr>
          <w:rFonts w:asciiTheme="minorHAnsi" w:eastAsiaTheme="minorEastAsia" w:hAnsiTheme="minorHAnsi" w:cstheme="minorBidi"/>
          <w:szCs w:val="22"/>
        </w:rPr>
      </w:pPr>
      <w:r>
        <w:t>52ZG.</w:t>
      </w:r>
      <w:r>
        <w:tab/>
        <w:t>Offence of failure to comply with conditional release undertaking</w:t>
      </w:r>
      <w:r>
        <w:tab/>
      </w:r>
      <w:r>
        <w:fldChar w:fldCharType="begin"/>
      </w:r>
      <w:r>
        <w:instrText xml:space="preserve"> PAGEREF _Toc51665641 \h </w:instrText>
      </w:r>
      <w:r>
        <w:fldChar w:fldCharType="separate"/>
      </w:r>
      <w:r>
        <w:t>83</w:t>
      </w:r>
      <w:r>
        <w:fldChar w:fldCharType="end"/>
      </w:r>
    </w:p>
    <w:p>
      <w:pPr>
        <w:pStyle w:val="TOC8"/>
        <w:rPr>
          <w:rFonts w:asciiTheme="minorHAnsi" w:eastAsiaTheme="minorEastAsia" w:hAnsiTheme="minorHAnsi" w:cstheme="minorBidi"/>
          <w:szCs w:val="22"/>
        </w:rPr>
      </w:pPr>
      <w:r>
        <w:t>52ZH.</w:t>
      </w:r>
      <w:r>
        <w:tab/>
        <w:t>General provisions about conditional release</w:t>
      </w:r>
      <w:r>
        <w:tab/>
      </w:r>
      <w:r>
        <w:fldChar w:fldCharType="begin"/>
      </w:r>
      <w:r>
        <w:instrText xml:space="preserve"> PAGEREF _Toc51665642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provisions about warrant of commitment inquiry</w:t>
      </w:r>
    </w:p>
    <w:p>
      <w:pPr>
        <w:pStyle w:val="TOC8"/>
        <w:rPr>
          <w:rFonts w:asciiTheme="minorHAnsi" w:eastAsiaTheme="minorEastAsia" w:hAnsiTheme="minorHAnsi" w:cstheme="minorBidi"/>
          <w:szCs w:val="22"/>
        </w:rPr>
      </w:pPr>
      <w:r>
        <w:t>52ZI.</w:t>
      </w:r>
      <w:r>
        <w:tab/>
        <w:t>Withdrawal of application for warrant of commitment inquiry</w:t>
      </w:r>
      <w:r>
        <w:tab/>
      </w:r>
      <w:r>
        <w:fldChar w:fldCharType="begin"/>
      </w:r>
      <w:r>
        <w:instrText xml:space="preserve"> PAGEREF _Toc51665644 \h </w:instrText>
      </w:r>
      <w:r>
        <w:fldChar w:fldCharType="separate"/>
      </w:r>
      <w:r>
        <w:t>84</w:t>
      </w:r>
      <w:r>
        <w:fldChar w:fldCharType="end"/>
      </w:r>
    </w:p>
    <w:p>
      <w:pPr>
        <w:pStyle w:val="TOC8"/>
        <w:rPr>
          <w:rFonts w:asciiTheme="minorHAnsi" w:eastAsiaTheme="minorEastAsia" w:hAnsiTheme="minorHAnsi" w:cstheme="minorBidi"/>
          <w:szCs w:val="22"/>
        </w:rPr>
      </w:pPr>
      <w:r>
        <w:t>52ZJ.</w:t>
      </w:r>
      <w:r>
        <w:tab/>
        <w:t>Appearance of offender at warrant of commitment inquiry by video link or audio link</w:t>
      </w:r>
      <w:r>
        <w:tab/>
      </w:r>
      <w:r>
        <w:fldChar w:fldCharType="begin"/>
      </w:r>
      <w:r>
        <w:instrText xml:space="preserve"> PAGEREF _Toc51665645 \h </w:instrText>
      </w:r>
      <w:r>
        <w:fldChar w:fldCharType="separate"/>
      </w:r>
      <w:r>
        <w:t>85</w:t>
      </w:r>
      <w:r>
        <w:fldChar w:fldCharType="end"/>
      </w:r>
    </w:p>
    <w:p>
      <w:pPr>
        <w:pStyle w:val="TOC8"/>
        <w:rPr>
          <w:rFonts w:asciiTheme="minorHAnsi" w:eastAsiaTheme="minorEastAsia" w:hAnsiTheme="minorHAnsi" w:cstheme="minorBidi"/>
          <w:szCs w:val="22"/>
        </w:rPr>
      </w:pPr>
      <w:r>
        <w:t>52ZK.</w:t>
      </w:r>
      <w:r>
        <w:tab/>
        <w:t>Appeal</w:t>
      </w:r>
      <w:r>
        <w:tab/>
      </w:r>
      <w:r>
        <w:fldChar w:fldCharType="begin"/>
      </w:r>
      <w:r>
        <w:instrText xml:space="preserve"> PAGEREF _Toc51665646 \h </w:instrText>
      </w:r>
      <w:r>
        <w:fldChar w:fldCharType="separate"/>
      </w:r>
      <w:r>
        <w:t>86</w:t>
      </w:r>
      <w:r>
        <w:fldChar w:fldCharType="end"/>
      </w:r>
    </w:p>
    <w:p>
      <w:pPr>
        <w:pStyle w:val="TOC8"/>
        <w:rPr>
          <w:rFonts w:asciiTheme="minorHAnsi" w:eastAsiaTheme="minorEastAsia" w:hAnsiTheme="minorHAnsi" w:cstheme="minorBidi"/>
          <w:szCs w:val="22"/>
        </w:rPr>
      </w:pPr>
      <w:r>
        <w:t>52ZL.</w:t>
      </w:r>
      <w:r>
        <w:tab/>
        <w:t>Evidence of appearance or non</w:t>
      </w:r>
      <w:r>
        <w:noBreakHyphen/>
        <w:t>appearance of offender</w:t>
      </w:r>
      <w:r>
        <w:tab/>
      </w:r>
      <w:r>
        <w:fldChar w:fldCharType="begin"/>
      </w:r>
      <w:r>
        <w:instrText xml:space="preserve"> PAGEREF _Toc51665647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6 — Imprisonment under warrant of commitment</w:t>
      </w:r>
    </w:p>
    <w:p>
      <w:pPr>
        <w:pStyle w:val="TOC8"/>
        <w:rPr>
          <w:rFonts w:asciiTheme="minorHAnsi" w:eastAsiaTheme="minorEastAsia" w:hAnsiTheme="minorHAnsi" w:cstheme="minorBidi"/>
          <w:szCs w:val="22"/>
        </w:rPr>
      </w:pPr>
      <w:r>
        <w:t>53</w:t>
      </w:r>
      <w:r>
        <w:rPr>
          <w:snapToGrid w:val="0"/>
        </w:rPr>
        <w:t>.</w:t>
      </w:r>
      <w:r>
        <w:rPr>
          <w:snapToGrid w:val="0"/>
        </w:rPr>
        <w:tab/>
        <w:t>Effect of warrant of commitment</w:t>
      </w:r>
      <w:r>
        <w:tab/>
      </w:r>
      <w:r>
        <w:fldChar w:fldCharType="begin"/>
      </w:r>
      <w:r>
        <w:instrText xml:space="preserve"> PAGEREF _Toc51665649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3F — Interaction of enforcement action under this Part</w:t>
      </w:r>
    </w:p>
    <w:p>
      <w:pPr>
        <w:pStyle w:val="TOC8"/>
        <w:rPr>
          <w:rFonts w:asciiTheme="minorHAnsi" w:eastAsiaTheme="minorEastAsia" w:hAnsiTheme="minorHAnsi" w:cstheme="minorBidi"/>
          <w:szCs w:val="22"/>
        </w:rPr>
      </w:pPr>
      <w:r>
        <w:t>53A.</w:t>
      </w:r>
      <w:r>
        <w:tab/>
        <w:t>Effect of enforcement instrument or WDO on other enforcement powers</w:t>
      </w:r>
      <w:r>
        <w:tab/>
      </w:r>
      <w:r>
        <w:fldChar w:fldCharType="begin"/>
      </w:r>
      <w:r>
        <w:instrText xml:space="preserve"> PAGEREF _Toc51665651 \h </w:instrText>
      </w:r>
      <w:r>
        <w:fldChar w:fldCharType="separate"/>
      </w:r>
      <w:r>
        <w:t>89</w:t>
      </w:r>
      <w:r>
        <w:fldChar w:fldCharType="end"/>
      </w:r>
    </w:p>
    <w:p>
      <w:pPr>
        <w:pStyle w:val="TOC8"/>
        <w:rPr>
          <w:rFonts w:asciiTheme="minorHAnsi" w:eastAsiaTheme="minorEastAsia" w:hAnsiTheme="minorHAnsi" w:cstheme="minorBidi"/>
          <w:szCs w:val="22"/>
        </w:rPr>
      </w:pPr>
      <w:r>
        <w:t>53B.</w:t>
      </w:r>
      <w:r>
        <w:tab/>
        <w:t>Effect of warrant of commitment inquiry process or warrant of commitment on other enforcement powers</w:t>
      </w:r>
      <w:r>
        <w:tab/>
      </w:r>
      <w:r>
        <w:fldChar w:fldCharType="begin"/>
      </w:r>
      <w:r>
        <w:instrText xml:space="preserve"> PAGEREF _Toc51665652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tab/>
        <w:t xml:space="preserve">Functions of Registrar in relation to </w:t>
      </w:r>
      <w:r>
        <w:rPr>
          <w:i/>
        </w:rPr>
        <w:t>Service and Execution of Process Act 1992</w:t>
      </w:r>
      <w:r>
        <w:t xml:space="preserve"> (Commonwealth) Part 7</w:t>
      </w:r>
      <w:r>
        <w:tab/>
      </w:r>
      <w:r>
        <w:fldChar w:fldCharType="begin"/>
      </w:r>
      <w:r>
        <w:instrText xml:space="preserve"> PAGEREF _Toc51665654 \h </w:instrText>
      </w:r>
      <w:r>
        <w:fldChar w:fldCharType="separate"/>
      </w:r>
      <w:r>
        <w:t>91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_Toc51665655 \h </w:instrText>
      </w:r>
      <w:r>
        <w:fldChar w:fldCharType="separate"/>
      </w:r>
      <w:r>
        <w:t>91</w:t>
      </w:r>
      <w:r>
        <w:fldChar w:fldCharType="end"/>
      </w:r>
    </w:p>
    <w:p>
      <w:pPr>
        <w:pStyle w:val="TOC8"/>
        <w:rPr>
          <w:rFonts w:asciiTheme="minorHAnsi" w:eastAsiaTheme="minorEastAsia" w:hAnsiTheme="minorHAnsi" w:cstheme="minorBidi"/>
          <w:szCs w:val="22"/>
        </w:rPr>
      </w:pPr>
      <w:r>
        <w:t>55A.</w:t>
      </w:r>
      <w:r>
        <w:tab/>
        <w:t>Certain decisions of Registrar are final</w:t>
      </w:r>
      <w:r>
        <w:tab/>
      </w:r>
      <w:r>
        <w:fldChar w:fldCharType="begin"/>
      </w:r>
      <w:r>
        <w:instrText xml:space="preserve"> PAGEREF _Toc51665656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_Toc51665659 \h </w:instrText>
      </w:r>
      <w:r>
        <w:fldChar w:fldCharType="separate"/>
      </w:r>
      <w:r>
        <w:t>93</w:t>
      </w:r>
      <w:r>
        <w:fldChar w:fldCharType="end"/>
      </w:r>
    </w:p>
    <w:p>
      <w:pPr>
        <w:pStyle w:val="TOC8"/>
        <w:rPr>
          <w:rFonts w:asciiTheme="minorHAnsi" w:eastAsiaTheme="minorEastAsia" w:hAnsiTheme="minorHAnsi" w:cstheme="minorBidi"/>
          <w:szCs w:val="22"/>
        </w:rPr>
      </w:pPr>
      <w:r>
        <w:t>56AA.</w:t>
      </w:r>
      <w:r>
        <w:tab/>
        <w:t>Outstanding orders to pay or elect</w:t>
      </w:r>
      <w:r>
        <w:tab/>
      </w:r>
      <w:r>
        <w:fldChar w:fldCharType="begin"/>
      </w:r>
      <w:r>
        <w:instrText xml:space="preserve"> PAGEREF _Toc51665660 \h </w:instrText>
      </w:r>
      <w:r>
        <w:fldChar w:fldCharType="separate"/>
      </w:r>
      <w:r>
        <w:t>94</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_Toc51665661 \h </w:instrText>
      </w:r>
      <w:r>
        <w:fldChar w:fldCharType="separate"/>
      </w:r>
      <w:r>
        <w:t>94</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_Toc51665662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_Toc51665664 \h </w:instrText>
      </w:r>
      <w:r>
        <w:fldChar w:fldCharType="separate"/>
      </w:r>
      <w:r>
        <w:t>96</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_Toc51665665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_Toc51665667 \h </w:instrText>
      </w:r>
      <w:r>
        <w:fldChar w:fldCharType="separate"/>
      </w:r>
      <w:r>
        <w:t>98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_Toc51665668 \h </w:instrText>
      </w:r>
      <w:r>
        <w:fldChar w:fldCharType="separate"/>
      </w:r>
      <w:r>
        <w:t>99</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_Toc51665669 \h </w:instrText>
      </w:r>
      <w:r>
        <w:fldChar w:fldCharType="separate"/>
      </w:r>
      <w:r>
        <w:t>99</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_Toc51665670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_Toc51665672 \h </w:instrText>
      </w:r>
      <w:r>
        <w:fldChar w:fldCharType="separate"/>
      </w:r>
      <w:r>
        <w:t>101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_Toc51665673 \h </w:instrText>
      </w:r>
      <w:r>
        <w:fldChar w:fldCharType="separate"/>
      </w:r>
      <w:r>
        <w:t>101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_Toc51665674 \h </w:instrText>
      </w:r>
      <w:r>
        <w:fldChar w:fldCharType="separate"/>
      </w:r>
      <w:r>
        <w:t>102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_Toc51665675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_Toc51665678 \h </w:instrText>
      </w:r>
      <w:r>
        <w:fldChar w:fldCharType="separate"/>
      </w:r>
      <w:r>
        <w:t>104</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_Toc51665679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_Toc51665681 \h </w:instrText>
      </w:r>
      <w:r>
        <w:fldChar w:fldCharType="separate"/>
      </w:r>
      <w:r>
        <w:t>107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_Toc51665682 \h </w:instrText>
      </w:r>
      <w:r>
        <w:fldChar w:fldCharType="separate"/>
      </w:r>
      <w:r>
        <w:t>107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_Toc51665683 \h </w:instrText>
      </w:r>
      <w:r>
        <w:fldChar w:fldCharType="separate"/>
      </w:r>
      <w:r>
        <w:t>108</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_Toc51665684 \h </w:instrText>
      </w:r>
      <w:r>
        <w:fldChar w:fldCharType="separate"/>
      </w:r>
      <w:r>
        <w:t>108</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_Toc51665685 \h </w:instrText>
      </w:r>
      <w:r>
        <w:fldChar w:fldCharType="separate"/>
      </w:r>
      <w:r>
        <w:t>109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_Toc51665686 \h </w:instrText>
      </w:r>
      <w:r>
        <w:fldChar w:fldCharType="separate"/>
      </w:r>
      <w:r>
        <w:t>111</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_Toc51665687 \h </w:instrText>
      </w:r>
      <w:r>
        <w:fldChar w:fldCharType="separate"/>
      </w:r>
      <w:r>
        <w:t>111</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_Toc51665688 \h </w:instrText>
      </w:r>
      <w:r>
        <w:fldChar w:fldCharType="separate"/>
      </w:r>
      <w:r>
        <w:t>113</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_Toc51665689 \h </w:instrText>
      </w:r>
      <w:r>
        <w:fldChar w:fldCharType="separate"/>
      </w:r>
      <w:r>
        <w:t>113</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_Toc51665690 \h </w:instrText>
      </w:r>
      <w:r>
        <w:fldChar w:fldCharType="separate"/>
      </w:r>
      <w:r>
        <w:t>113</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_Toc51665691 \h </w:instrText>
      </w:r>
      <w:r>
        <w:fldChar w:fldCharType="separate"/>
      </w:r>
      <w:r>
        <w:t>114</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_Toc51665692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_Toc51665694 \h </w:instrText>
      </w:r>
      <w:r>
        <w:fldChar w:fldCharType="separate"/>
      </w:r>
      <w:r>
        <w:t>115</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_Toc51665695 \h </w:instrText>
      </w:r>
      <w:r>
        <w:fldChar w:fldCharType="separate"/>
      </w:r>
      <w:r>
        <w:t>117</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_Toc51665696 \h </w:instrText>
      </w:r>
      <w:r>
        <w:fldChar w:fldCharType="separate"/>
      </w:r>
      <w:r>
        <w:t>118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_Toc51665697 \h </w:instrText>
      </w:r>
      <w:r>
        <w:fldChar w:fldCharType="separate"/>
      </w:r>
      <w:r>
        <w:t>118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_Toc51665698 \h </w:instrText>
      </w:r>
      <w:r>
        <w:fldChar w:fldCharType="separate"/>
      </w:r>
      <w:r>
        <w:t>119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_Toc51665699 \h </w:instrText>
      </w:r>
      <w:r>
        <w:fldChar w:fldCharType="separate"/>
      </w:r>
      <w:r>
        <w:t>119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_Toc51665700 \h </w:instrText>
      </w:r>
      <w:r>
        <w:fldChar w:fldCharType="separate"/>
      </w:r>
      <w:r>
        <w:t>120</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_Toc51665701 \h </w:instrText>
      </w:r>
      <w:r>
        <w:fldChar w:fldCharType="separate"/>
      </w:r>
      <w:r>
        <w:t>121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_Toc51665702 \h </w:instrText>
      </w:r>
      <w:r>
        <w:fldChar w:fldCharType="separate"/>
      </w:r>
      <w:r>
        <w:t>121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_Toc51665703 \h </w:instrText>
      </w:r>
      <w:r>
        <w:fldChar w:fldCharType="separate"/>
      </w:r>
      <w:r>
        <w:t>122</w:t>
      </w:r>
      <w:r>
        <w:fldChar w:fldCharType="end"/>
      </w:r>
    </w:p>
    <w:p>
      <w:pPr>
        <w:pStyle w:val="TOC8"/>
        <w:rPr>
          <w:rFonts w:asciiTheme="minorHAnsi" w:eastAsiaTheme="minorEastAsia" w:hAnsiTheme="minorHAnsi" w:cstheme="minorBidi"/>
          <w:szCs w:val="22"/>
        </w:rPr>
      </w:pPr>
      <w:r>
        <w:t>87.</w:t>
      </w:r>
      <w:r>
        <w:tab/>
        <w:t>Sale passes good title: protection of Sheriff</w:t>
      </w:r>
      <w:r>
        <w:tab/>
      </w:r>
      <w:r>
        <w:fldChar w:fldCharType="begin"/>
      </w:r>
      <w:r>
        <w:instrText xml:space="preserve"> PAGEREF _Toc51665704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_Toc51665706 \h </w:instrText>
      </w:r>
      <w:r>
        <w:fldChar w:fldCharType="separate"/>
      </w:r>
      <w:r>
        <w:t>123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_Toc51665707 \h </w:instrText>
      </w:r>
      <w:r>
        <w:fldChar w:fldCharType="separate"/>
      </w:r>
      <w:r>
        <w:t>124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_Toc51665708 \h </w:instrText>
      </w:r>
      <w:r>
        <w:fldChar w:fldCharType="separate"/>
      </w:r>
      <w:r>
        <w:t>126</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_Toc51665709 \h </w:instrText>
      </w:r>
      <w:r>
        <w:fldChar w:fldCharType="separate"/>
      </w:r>
      <w:r>
        <w:t>126</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_Toc51665710 \h </w:instrText>
      </w:r>
      <w:r>
        <w:fldChar w:fldCharType="separate"/>
      </w:r>
      <w:r>
        <w:t>127</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_Toc51665711 \h </w:instrText>
      </w:r>
      <w:r>
        <w:fldChar w:fldCharType="separate"/>
      </w:r>
      <w:r>
        <w:t>128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_Toc51665712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_Toc51665714 \h </w:instrText>
      </w:r>
      <w:r>
        <w:fldChar w:fldCharType="separate"/>
      </w:r>
      <w:r>
        <w:t>129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_Toc51665715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_Toc51665718 \h </w:instrText>
      </w:r>
      <w:r>
        <w:fldChar w:fldCharType="separate"/>
      </w:r>
      <w:r>
        <w:t>130</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_Toc51665719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_Toc51665721 \h </w:instrText>
      </w:r>
      <w:r>
        <w:fldChar w:fldCharType="separate"/>
      </w:r>
      <w:r>
        <w:t>131</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_Toc51665722 \h </w:instrText>
      </w:r>
      <w:r>
        <w:fldChar w:fldCharType="separate"/>
      </w:r>
      <w:r>
        <w:t>132</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_Toc51665723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_Toc51665725 \h </w:instrText>
      </w:r>
      <w:r>
        <w:fldChar w:fldCharType="separate"/>
      </w:r>
      <w:r>
        <w:t>133</w:t>
      </w:r>
      <w:r>
        <w:fldChar w:fldCharType="end"/>
      </w:r>
    </w:p>
    <w:p>
      <w:pPr>
        <w:pStyle w:val="TOC8"/>
        <w:rPr>
          <w:rFonts w:asciiTheme="minorHAnsi" w:eastAsiaTheme="minorEastAsia" w:hAnsiTheme="minorHAnsi" w:cstheme="minorBidi"/>
          <w:szCs w:val="22"/>
        </w:rPr>
      </w:pPr>
      <w:r>
        <w:t>95G.</w:t>
      </w:r>
      <w:r>
        <w:tab/>
        <w:t>Vehicle licence suspension and disqualification order made when number plates are removed</w:t>
      </w:r>
      <w:r>
        <w:tab/>
      </w:r>
      <w:r>
        <w:fldChar w:fldCharType="begin"/>
      </w:r>
      <w:r>
        <w:instrText xml:space="preserve"> PAGEREF _Toc51665726 \h </w:instrText>
      </w:r>
      <w:r>
        <w:fldChar w:fldCharType="separate"/>
      </w:r>
      <w:r>
        <w:t>135</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_Toc51665727 \h </w:instrText>
      </w:r>
      <w:r>
        <w:fldChar w:fldCharType="separate"/>
      </w:r>
      <w:r>
        <w:t>136</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_Toc51665728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and disqualification orders</w:t>
      </w:r>
    </w:p>
    <w:p>
      <w:pPr>
        <w:pStyle w:val="TOC8"/>
        <w:rPr>
          <w:rFonts w:asciiTheme="minorHAnsi" w:eastAsiaTheme="minorEastAsia" w:hAnsiTheme="minorHAnsi" w:cstheme="minorBidi"/>
          <w:szCs w:val="22"/>
        </w:rPr>
      </w:pPr>
      <w:r>
        <w:t>95J.</w:t>
      </w:r>
      <w:r>
        <w:tab/>
        <w:t>Vehicle licence cancellation and disqualification order</w:t>
      </w:r>
      <w:r>
        <w:tab/>
      </w:r>
      <w:r>
        <w:fldChar w:fldCharType="begin"/>
      </w:r>
      <w:r>
        <w:instrText xml:space="preserve"> PAGEREF _Toc51665730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_Toc51665732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6B — Garnishment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95L.</w:t>
      </w:r>
      <w:r>
        <w:tab/>
        <w:t>Application</w:t>
      </w:r>
      <w:r>
        <w:tab/>
      </w:r>
      <w:r>
        <w:fldChar w:fldCharType="begin"/>
      </w:r>
      <w:r>
        <w:instrText xml:space="preserve"> PAGEREF _Toc51665735 \h </w:instrText>
      </w:r>
      <w:r>
        <w:fldChar w:fldCharType="separate"/>
      </w:r>
      <w:r>
        <w:t>141</w:t>
      </w:r>
      <w:r>
        <w:fldChar w:fldCharType="end"/>
      </w:r>
    </w:p>
    <w:p>
      <w:pPr>
        <w:pStyle w:val="TOC8"/>
        <w:rPr>
          <w:rFonts w:asciiTheme="minorHAnsi" w:eastAsiaTheme="minorEastAsia" w:hAnsiTheme="minorHAnsi" w:cstheme="minorBidi"/>
          <w:szCs w:val="22"/>
        </w:rPr>
      </w:pPr>
      <w:r>
        <w:t>95M.</w:t>
      </w:r>
      <w:r>
        <w:tab/>
        <w:t>Garnishee orders</w:t>
      </w:r>
      <w:r>
        <w:tab/>
      </w:r>
      <w:r>
        <w:fldChar w:fldCharType="begin"/>
      </w:r>
      <w:r>
        <w:instrText xml:space="preserve"> PAGEREF _Toc51665736 \h </w:instrText>
      </w:r>
      <w:r>
        <w:fldChar w:fldCharType="separate"/>
      </w:r>
      <w:r>
        <w:t>141</w:t>
      </w:r>
      <w:r>
        <w:fldChar w:fldCharType="end"/>
      </w:r>
    </w:p>
    <w:p>
      <w:pPr>
        <w:pStyle w:val="TOC8"/>
        <w:rPr>
          <w:rFonts w:asciiTheme="minorHAnsi" w:eastAsiaTheme="minorEastAsia" w:hAnsiTheme="minorHAnsi" w:cstheme="minorBidi"/>
          <w:szCs w:val="22"/>
        </w:rPr>
      </w:pPr>
      <w:r>
        <w:t>95N.</w:t>
      </w:r>
      <w:r>
        <w:tab/>
        <w:t>Duration, amendment and cancellation of garnishee order</w:t>
      </w:r>
      <w:r>
        <w:tab/>
      </w:r>
      <w:r>
        <w:fldChar w:fldCharType="begin"/>
      </w:r>
      <w:r>
        <w:instrText xml:space="preserve"> PAGEREF _Toc51665737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Garnishee orders on earnings</w:t>
      </w:r>
    </w:p>
    <w:p>
      <w:pPr>
        <w:pStyle w:val="TOC8"/>
        <w:rPr>
          <w:rFonts w:asciiTheme="minorHAnsi" w:eastAsiaTheme="minorEastAsia" w:hAnsiTheme="minorHAnsi" w:cstheme="minorBidi"/>
          <w:szCs w:val="22"/>
        </w:rPr>
      </w:pPr>
      <w:r>
        <w:t>95O.</w:t>
      </w:r>
      <w:r>
        <w:tab/>
        <w:t>Issue of garnishee order on earnings</w:t>
      </w:r>
      <w:r>
        <w:tab/>
      </w:r>
      <w:r>
        <w:fldChar w:fldCharType="begin"/>
      </w:r>
      <w:r>
        <w:instrText xml:space="preserve"> PAGEREF _Toc51665739 \h </w:instrText>
      </w:r>
      <w:r>
        <w:fldChar w:fldCharType="separate"/>
      </w:r>
      <w:r>
        <w:t>143</w:t>
      </w:r>
      <w:r>
        <w:fldChar w:fldCharType="end"/>
      </w:r>
    </w:p>
    <w:p>
      <w:pPr>
        <w:pStyle w:val="TOC8"/>
        <w:rPr>
          <w:rFonts w:asciiTheme="minorHAnsi" w:eastAsiaTheme="minorEastAsia" w:hAnsiTheme="minorHAnsi" w:cstheme="minorBidi"/>
          <w:szCs w:val="22"/>
        </w:rPr>
      </w:pPr>
      <w:r>
        <w:t>95P.</w:t>
      </w:r>
      <w:r>
        <w:tab/>
        <w:t>Compliance with garnishee order on earnings</w:t>
      </w:r>
      <w:r>
        <w:tab/>
      </w:r>
      <w:r>
        <w:fldChar w:fldCharType="begin"/>
      </w:r>
      <w:r>
        <w:instrText xml:space="preserve"> PAGEREF _Toc51665740 \h </w:instrText>
      </w:r>
      <w:r>
        <w:fldChar w:fldCharType="separate"/>
      </w:r>
      <w:r>
        <w:t>144</w:t>
      </w:r>
      <w:r>
        <w:fldChar w:fldCharType="end"/>
      </w:r>
    </w:p>
    <w:p>
      <w:pPr>
        <w:pStyle w:val="TOC8"/>
        <w:rPr>
          <w:rFonts w:asciiTheme="minorHAnsi" w:eastAsiaTheme="minorEastAsia" w:hAnsiTheme="minorHAnsi" w:cstheme="minorBidi"/>
          <w:szCs w:val="22"/>
        </w:rPr>
      </w:pPr>
      <w:r>
        <w:t>95Q.</w:t>
      </w:r>
      <w:r>
        <w:tab/>
        <w:t>Notices and returns to be given in relation to garnishee orders on earnings</w:t>
      </w:r>
      <w:r>
        <w:tab/>
      </w:r>
      <w:r>
        <w:fldChar w:fldCharType="begin"/>
      </w:r>
      <w:r>
        <w:instrText xml:space="preserve"> PAGEREF _Toc51665741 \h </w:instrText>
      </w:r>
      <w:r>
        <w:fldChar w:fldCharType="separate"/>
      </w:r>
      <w:r>
        <w:t>146</w:t>
      </w:r>
      <w:r>
        <w:fldChar w:fldCharType="end"/>
      </w:r>
    </w:p>
    <w:p>
      <w:pPr>
        <w:pStyle w:val="TOC8"/>
        <w:rPr>
          <w:rFonts w:asciiTheme="minorHAnsi" w:eastAsiaTheme="minorEastAsia" w:hAnsiTheme="minorHAnsi" w:cstheme="minorBidi"/>
          <w:szCs w:val="22"/>
        </w:rPr>
      </w:pPr>
      <w:r>
        <w:t>95R.</w:t>
      </w:r>
      <w:r>
        <w:tab/>
        <w:t>Discharge of liability to pay debtor</w:t>
      </w:r>
      <w:r>
        <w:tab/>
      </w:r>
      <w:r>
        <w:fldChar w:fldCharType="begin"/>
      </w:r>
      <w:r>
        <w:instrText xml:space="preserve"> PAGEREF _Toc51665742 \h </w:instrText>
      </w:r>
      <w:r>
        <w:fldChar w:fldCharType="separate"/>
      </w:r>
      <w:r>
        <w:t>147</w:t>
      </w:r>
      <w:r>
        <w:fldChar w:fldCharType="end"/>
      </w:r>
    </w:p>
    <w:p>
      <w:pPr>
        <w:pStyle w:val="TOC8"/>
        <w:rPr>
          <w:rFonts w:asciiTheme="minorHAnsi" w:eastAsiaTheme="minorEastAsia" w:hAnsiTheme="minorHAnsi" w:cstheme="minorBidi"/>
          <w:szCs w:val="22"/>
        </w:rPr>
      </w:pPr>
      <w:r>
        <w:t>95S.</w:t>
      </w:r>
      <w:r>
        <w:tab/>
        <w:t>Records to be kept by relevant payers</w:t>
      </w:r>
      <w:r>
        <w:tab/>
      </w:r>
      <w:r>
        <w:fldChar w:fldCharType="begin"/>
      </w:r>
      <w:r>
        <w:instrText xml:space="preserve"> PAGEREF _Toc51665743 \h </w:instrText>
      </w:r>
      <w:r>
        <w:fldChar w:fldCharType="separate"/>
      </w:r>
      <w:r>
        <w:t>147</w:t>
      </w:r>
      <w:r>
        <w:fldChar w:fldCharType="end"/>
      </w:r>
    </w:p>
    <w:p>
      <w:pPr>
        <w:pStyle w:val="TOC8"/>
        <w:rPr>
          <w:rFonts w:asciiTheme="minorHAnsi" w:eastAsiaTheme="minorEastAsia" w:hAnsiTheme="minorHAnsi" w:cstheme="minorBidi"/>
          <w:szCs w:val="22"/>
        </w:rPr>
      </w:pPr>
      <w:r>
        <w:t>95T.</w:t>
      </w:r>
      <w:r>
        <w:tab/>
        <w:t>Protection of employees</w:t>
      </w:r>
      <w:r>
        <w:tab/>
      </w:r>
      <w:r>
        <w:fldChar w:fldCharType="begin"/>
      </w:r>
      <w:r>
        <w:instrText xml:space="preserve"> PAGEREF _Toc51665744 \h </w:instrText>
      </w:r>
      <w:r>
        <w:fldChar w:fldCharType="separate"/>
      </w:r>
      <w:r>
        <w:t>147</w:t>
      </w:r>
      <w:r>
        <w:fldChar w:fldCharType="end"/>
      </w:r>
    </w:p>
    <w:p>
      <w:pPr>
        <w:pStyle w:val="TOC8"/>
        <w:rPr>
          <w:rFonts w:asciiTheme="minorHAnsi" w:eastAsiaTheme="minorEastAsia" w:hAnsiTheme="minorHAnsi" w:cstheme="minorBidi"/>
          <w:szCs w:val="22"/>
        </w:rPr>
      </w:pPr>
      <w:r>
        <w:t>95U.</w:t>
      </w:r>
      <w:r>
        <w:tab/>
        <w:t>Regulations for this Subdivision</w:t>
      </w:r>
      <w:r>
        <w:tab/>
      </w:r>
      <w:r>
        <w:fldChar w:fldCharType="begin"/>
      </w:r>
      <w:r>
        <w:instrText xml:space="preserve"> PAGEREF _Toc51665745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Garnishee orders on bank accounts</w:t>
      </w:r>
    </w:p>
    <w:p>
      <w:pPr>
        <w:pStyle w:val="TOC8"/>
        <w:rPr>
          <w:rFonts w:asciiTheme="minorHAnsi" w:eastAsiaTheme="minorEastAsia" w:hAnsiTheme="minorHAnsi" w:cstheme="minorBidi"/>
          <w:szCs w:val="22"/>
        </w:rPr>
      </w:pPr>
      <w:r>
        <w:t>95V.</w:t>
      </w:r>
      <w:r>
        <w:tab/>
        <w:t>Issue of bank account garnishee order</w:t>
      </w:r>
      <w:r>
        <w:tab/>
      </w:r>
      <w:r>
        <w:fldChar w:fldCharType="begin"/>
      </w:r>
      <w:r>
        <w:instrText xml:space="preserve"> PAGEREF _Toc51665747 \h </w:instrText>
      </w:r>
      <w:r>
        <w:fldChar w:fldCharType="separate"/>
      </w:r>
      <w:r>
        <w:t>148</w:t>
      </w:r>
      <w:r>
        <w:fldChar w:fldCharType="end"/>
      </w:r>
    </w:p>
    <w:p>
      <w:pPr>
        <w:pStyle w:val="TOC8"/>
        <w:rPr>
          <w:rFonts w:asciiTheme="minorHAnsi" w:eastAsiaTheme="minorEastAsia" w:hAnsiTheme="minorHAnsi" w:cstheme="minorBidi"/>
          <w:szCs w:val="22"/>
        </w:rPr>
      </w:pPr>
      <w:r>
        <w:t>95W.</w:t>
      </w:r>
      <w:r>
        <w:tab/>
        <w:t>Compliance with bank account garnishee order</w:t>
      </w:r>
      <w:r>
        <w:tab/>
      </w:r>
      <w:r>
        <w:fldChar w:fldCharType="begin"/>
      </w:r>
      <w:r>
        <w:instrText xml:space="preserve"> PAGEREF _Toc51665748 \h </w:instrText>
      </w:r>
      <w:r>
        <w:fldChar w:fldCharType="separate"/>
      </w:r>
      <w:r>
        <w:t>150</w:t>
      </w:r>
      <w:r>
        <w:fldChar w:fldCharType="end"/>
      </w:r>
    </w:p>
    <w:p>
      <w:pPr>
        <w:pStyle w:val="TOC8"/>
        <w:rPr>
          <w:rFonts w:asciiTheme="minorHAnsi" w:eastAsiaTheme="minorEastAsia" w:hAnsiTheme="minorHAnsi" w:cstheme="minorBidi"/>
          <w:szCs w:val="22"/>
        </w:rPr>
      </w:pPr>
      <w:r>
        <w:t>95X.</w:t>
      </w:r>
      <w:r>
        <w:tab/>
        <w:t>Notices to be given by banks</w:t>
      </w:r>
      <w:r>
        <w:tab/>
      </w:r>
      <w:r>
        <w:fldChar w:fldCharType="begin"/>
      </w:r>
      <w:r>
        <w:instrText xml:space="preserve"> PAGEREF _Toc51665749 \h </w:instrText>
      </w:r>
      <w:r>
        <w:fldChar w:fldCharType="separate"/>
      </w:r>
      <w:r>
        <w:t>152</w:t>
      </w:r>
      <w:r>
        <w:fldChar w:fldCharType="end"/>
      </w:r>
    </w:p>
    <w:p>
      <w:pPr>
        <w:pStyle w:val="TOC8"/>
        <w:rPr>
          <w:rFonts w:asciiTheme="minorHAnsi" w:eastAsiaTheme="minorEastAsia" w:hAnsiTheme="minorHAnsi" w:cstheme="minorBidi"/>
          <w:szCs w:val="22"/>
        </w:rPr>
      </w:pPr>
      <w:r>
        <w:t>95Y.</w:t>
      </w:r>
      <w:r>
        <w:tab/>
        <w:t>Records to be kept by banks</w:t>
      </w:r>
      <w:r>
        <w:tab/>
      </w:r>
      <w:r>
        <w:fldChar w:fldCharType="begin"/>
      </w:r>
      <w:r>
        <w:instrText xml:space="preserve"> PAGEREF _Toc51665750 \h </w:instrText>
      </w:r>
      <w:r>
        <w:fldChar w:fldCharType="separate"/>
      </w:r>
      <w:r>
        <w:t>152</w:t>
      </w:r>
      <w:r>
        <w:fldChar w:fldCharType="end"/>
      </w:r>
    </w:p>
    <w:p>
      <w:pPr>
        <w:pStyle w:val="TOC8"/>
        <w:rPr>
          <w:rFonts w:asciiTheme="minorHAnsi" w:eastAsiaTheme="minorEastAsia" w:hAnsiTheme="minorHAnsi" w:cstheme="minorBidi"/>
          <w:szCs w:val="22"/>
        </w:rPr>
      </w:pPr>
      <w:r>
        <w:t>95Z.</w:t>
      </w:r>
      <w:r>
        <w:tab/>
        <w:t>Administration fee for deduction under bank account garnishee order</w:t>
      </w:r>
      <w:r>
        <w:tab/>
      </w:r>
      <w:r>
        <w:fldChar w:fldCharType="begin"/>
      </w:r>
      <w:r>
        <w:instrText xml:space="preserve"> PAGEREF _Toc51665751 \h </w:instrText>
      </w:r>
      <w:r>
        <w:fldChar w:fldCharType="separate"/>
      </w:r>
      <w:r>
        <w:t>152</w:t>
      </w:r>
      <w:r>
        <w:fldChar w:fldCharType="end"/>
      </w:r>
    </w:p>
    <w:p>
      <w:pPr>
        <w:pStyle w:val="TOC8"/>
        <w:rPr>
          <w:rFonts w:asciiTheme="minorHAnsi" w:eastAsiaTheme="minorEastAsia" w:hAnsiTheme="minorHAnsi" w:cstheme="minorBidi"/>
          <w:szCs w:val="22"/>
        </w:rPr>
      </w:pPr>
      <w:r>
        <w:t>95ZA.</w:t>
      </w:r>
      <w:r>
        <w:tab/>
        <w:t>Requirements for debtor if bank account garnishee order issued</w:t>
      </w:r>
      <w:r>
        <w:tab/>
      </w:r>
      <w:r>
        <w:fldChar w:fldCharType="begin"/>
      </w:r>
      <w:r>
        <w:instrText xml:space="preserve"> PAGEREF _Toc51665752 \h </w:instrText>
      </w:r>
      <w:r>
        <w:fldChar w:fldCharType="separate"/>
      </w:r>
      <w:r>
        <w:t>153</w:t>
      </w:r>
      <w:r>
        <w:fldChar w:fldCharType="end"/>
      </w:r>
    </w:p>
    <w:p>
      <w:pPr>
        <w:pStyle w:val="TOC8"/>
        <w:rPr>
          <w:rFonts w:asciiTheme="minorHAnsi" w:eastAsiaTheme="minorEastAsia" w:hAnsiTheme="minorHAnsi" w:cstheme="minorBidi"/>
          <w:szCs w:val="22"/>
        </w:rPr>
      </w:pPr>
      <w:r>
        <w:t>95ZB.</w:t>
      </w:r>
      <w:r>
        <w:tab/>
        <w:t>Regulations for this Subdivision</w:t>
      </w:r>
      <w:r>
        <w:tab/>
      </w:r>
      <w:r>
        <w:fldChar w:fldCharType="begin"/>
      </w:r>
      <w:r>
        <w:instrText xml:space="preserve"> PAGEREF _Toc51665753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95ZC.</w:t>
      </w:r>
      <w:r>
        <w:tab/>
        <w:t>Sheriff may refund money deducted under garnishee order</w:t>
      </w:r>
      <w:r>
        <w:tab/>
      </w:r>
      <w:r>
        <w:fldChar w:fldCharType="begin"/>
      </w:r>
      <w:r>
        <w:instrText xml:space="preserve"> PAGEREF _Toc51665755 \h </w:instrText>
      </w:r>
      <w:r>
        <w:fldChar w:fldCharType="separate"/>
      </w:r>
      <w:r>
        <w:t>154</w:t>
      </w:r>
      <w:r>
        <w:fldChar w:fldCharType="end"/>
      </w:r>
    </w:p>
    <w:p>
      <w:pPr>
        <w:pStyle w:val="TOC8"/>
        <w:rPr>
          <w:rFonts w:asciiTheme="minorHAnsi" w:eastAsiaTheme="minorEastAsia" w:hAnsiTheme="minorHAnsi" w:cstheme="minorBidi"/>
          <w:szCs w:val="22"/>
        </w:rPr>
      </w:pPr>
      <w:r>
        <w:t>95ZD.</w:t>
      </w:r>
      <w:r>
        <w:tab/>
        <w:t>Obtaining information relevant to garnishee order</w:t>
      </w:r>
      <w:r>
        <w:tab/>
      </w:r>
      <w:r>
        <w:fldChar w:fldCharType="begin"/>
      </w:r>
      <w:r>
        <w:instrText xml:space="preserve"> PAGEREF _Toc51665756 \h </w:instrText>
      </w:r>
      <w:r>
        <w:fldChar w:fldCharType="separate"/>
      </w:r>
      <w:r>
        <w:t>154</w:t>
      </w:r>
      <w:r>
        <w:fldChar w:fldCharType="end"/>
      </w:r>
    </w:p>
    <w:p>
      <w:pPr>
        <w:pStyle w:val="TOC8"/>
        <w:rPr>
          <w:rFonts w:asciiTheme="minorHAnsi" w:eastAsiaTheme="minorEastAsia" w:hAnsiTheme="minorHAnsi" w:cstheme="minorBidi"/>
          <w:szCs w:val="22"/>
        </w:rPr>
      </w:pPr>
      <w:r>
        <w:t>95ZE.</w:t>
      </w:r>
      <w:r>
        <w:tab/>
        <w:t>Relevant payer or bank must not disclose information</w:t>
      </w:r>
      <w:r>
        <w:tab/>
      </w:r>
      <w:r>
        <w:fldChar w:fldCharType="begin"/>
      </w:r>
      <w:r>
        <w:instrText xml:space="preserve"> PAGEREF _Toc51665757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_Toc51665759 \h </w:instrText>
      </w:r>
      <w:r>
        <w:fldChar w:fldCharType="separate"/>
      </w:r>
      <w:r>
        <w:t>156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_Toc51665760 \h </w:instrText>
      </w:r>
      <w:r>
        <w:fldChar w:fldCharType="separate"/>
      </w:r>
      <w:r>
        <w:t>156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_Toc51665761 \h </w:instrText>
      </w:r>
      <w:r>
        <w:fldChar w:fldCharType="separate"/>
      </w:r>
      <w:r>
        <w:t>157</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_Toc51665762 \h </w:instrText>
      </w:r>
      <w:r>
        <w:fldChar w:fldCharType="separate"/>
      </w:r>
      <w:r>
        <w:t>158</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_Toc51665763 \h </w:instrText>
      </w:r>
      <w:r>
        <w:fldChar w:fldCharType="separate"/>
      </w:r>
      <w:r>
        <w:t>158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_Toc51665764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7A — Information</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_Toc51665766 \h </w:instrText>
      </w:r>
      <w:r>
        <w:fldChar w:fldCharType="separate"/>
      </w:r>
      <w:r>
        <w:t>159</w:t>
      </w:r>
      <w:r>
        <w:fldChar w:fldCharType="end"/>
      </w:r>
    </w:p>
    <w:p>
      <w:pPr>
        <w:pStyle w:val="TOC8"/>
        <w:rPr>
          <w:rFonts w:asciiTheme="minorHAnsi" w:eastAsiaTheme="minorEastAsia" w:hAnsiTheme="minorHAnsi" w:cstheme="minorBidi"/>
          <w:szCs w:val="22"/>
        </w:rPr>
      </w:pPr>
      <w:r>
        <w:t>100A.</w:t>
      </w:r>
      <w:r>
        <w:tab/>
        <w:t>Disclosure of information to Registrar or Sheriff</w:t>
      </w:r>
      <w:r>
        <w:tab/>
      </w:r>
      <w:r>
        <w:fldChar w:fldCharType="begin"/>
      </w:r>
      <w:r>
        <w:instrText xml:space="preserve"> PAGEREF _Toc51665767 \h </w:instrText>
      </w:r>
      <w:r>
        <w:fldChar w:fldCharType="separate"/>
      </w:r>
      <w:r>
        <w:t>160</w:t>
      </w:r>
      <w:r>
        <w:fldChar w:fldCharType="end"/>
      </w:r>
    </w:p>
    <w:p>
      <w:pPr>
        <w:pStyle w:val="TOC8"/>
        <w:rPr>
          <w:rFonts w:asciiTheme="minorHAnsi" w:eastAsiaTheme="minorEastAsia" w:hAnsiTheme="minorHAnsi" w:cstheme="minorBidi"/>
          <w:szCs w:val="22"/>
        </w:rPr>
      </w:pPr>
      <w:r>
        <w:t>100B.</w:t>
      </w:r>
      <w:r>
        <w:tab/>
        <w:t>Disclosure of information by Registrar or Sheriff</w:t>
      </w:r>
      <w:r>
        <w:tab/>
      </w:r>
      <w:r>
        <w:fldChar w:fldCharType="begin"/>
      </w:r>
      <w:r>
        <w:instrText xml:space="preserve"> PAGEREF _Toc51665768 \h </w:instrText>
      </w:r>
      <w:r>
        <w:fldChar w:fldCharType="separate"/>
      </w:r>
      <w:r>
        <w:t>160</w:t>
      </w:r>
      <w:r>
        <w:fldChar w:fldCharType="end"/>
      </w:r>
    </w:p>
    <w:p>
      <w:pPr>
        <w:pStyle w:val="TOC8"/>
        <w:rPr>
          <w:rFonts w:asciiTheme="minorHAnsi" w:eastAsiaTheme="minorEastAsia" w:hAnsiTheme="minorHAnsi" w:cstheme="minorBidi"/>
          <w:szCs w:val="22"/>
        </w:rPr>
      </w:pPr>
      <w:r>
        <w:t>100C.</w:t>
      </w:r>
      <w:r>
        <w:tab/>
        <w:t>Registrar and Sheriff to have access to records of Director General</w:t>
      </w:r>
      <w:r>
        <w:tab/>
      </w:r>
      <w:r>
        <w:fldChar w:fldCharType="begin"/>
      </w:r>
      <w:r>
        <w:instrText xml:space="preserve"> PAGEREF _Toc51665769 \h </w:instrText>
      </w:r>
      <w:r>
        <w:fldChar w:fldCharType="separate"/>
      </w:r>
      <w:r>
        <w:t>161</w:t>
      </w:r>
      <w:r>
        <w:fldChar w:fldCharType="end"/>
      </w:r>
    </w:p>
    <w:p>
      <w:pPr>
        <w:pStyle w:val="TOC8"/>
        <w:rPr>
          <w:rFonts w:asciiTheme="minorHAnsi" w:eastAsiaTheme="minorEastAsia" w:hAnsiTheme="minorHAnsi" w:cstheme="minorBidi"/>
          <w:szCs w:val="22"/>
        </w:rPr>
      </w:pPr>
      <w:r>
        <w:t>100D.</w:t>
      </w:r>
      <w:r>
        <w:tab/>
        <w:t>Regulations relating to information</w:t>
      </w:r>
      <w:r>
        <w:tab/>
      </w:r>
      <w:r>
        <w:fldChar w:fldCharType="begin"/>
      </w:r>
      <w:r>
        <w:instrText xml:space="preserve"> PAGEREF _Toc51665770 \h </w:instrText>
      </w:r>
      <w:r>
        <w:fldChar w:fldCharType="separate"/>
      </w:r>
      <w:r>
        <w:t>161</w:t>
      </w:r>
      <w:r>
        <w:fldChar w:fldCharType="end"/>
      </w:r>
    </w:p>
    <w:p>
      <w:pPr>
        <w:pStyle w:val="TOC8"/>
        <w:rPr>
          <w:rFonts w:asciiTheme="minorHAnsi" w:eastAsiaTheme="minorEastAsia" w:hAnsiTheme="minorHAnsi" w:cstheme="minorBidi"/>
          <w:szCs w:val="22"/>
        </w:rPr>
      </w:pPr>
      <w:r>
        <w:t>100E.</w:t>
      </w:r>
      <w:r>
        <w:tab/>
        <w:t>Disclosure not subject to other laws</w:t>
      </w:r>
      <w:r>
        <w:tab/>
      </w:r>
      <w:r>
        <w:fldChar w:fldCharType="begin"/>
      </w:r>
      <w:r>
        <w:instrText xml:space="preserve"> PAGEREF _Toc51665771 \h </w:instrText>
      </w:r>
      <w:r>
        <w:fldChar w:fldCharType="separate"/>
      </w:r>
      <w:r>
        <w:t>162</w:t>
      </w:r>
      <w:r>
        <w:fldChar w:fldCharType="end"/>
      </w:r>
    </w:p>
    <w:p>
      <w:pPr>
        <w:pStyle w:val="TOC8"/>
        <w:rPr>
          <w:rFonts w:asciiTheme="minorHAnsi" w:eastAsiaTheme="minorEastAsia" w:hAnsiTheme="minorHAnsi" w:cstheme="minorBidi"/>
          <w:szCs w:val="22"/>
        </w:rPr>
      </w:pPr>
      <w:r>
        <w:t>100F.</w:t>
      </w:r>
      <w:r>
        <w:tab/>
        <w:t>Confidentiality</w:t>
      </w:r>
      <w:r>
        <w:tab/>
      </w:r>
      <w:r>
        <w:fldChar w:fldCharType="begin"/>
      </w:r>
      <w:r>
        <w:instrText xml:space="preserve"> PAGEREF _Toc51665772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_Toc51665774 \h </w:instrText>
      </w:r>
      <w:r>
        <w:fldChar w:fldCharType="separate"/>
      </w:r>
      <w:r>
        <w:t>164</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_Toc51665775 \h </w:instrText>
      </w:r>
      <w:r>
        <w:fldChar w:fldCharType="separate"/>
      </w:r>
      <w:r>
        <w:t>165</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_Toc51665776 \h </w:instrText>
      </w:r>
      <w:r>
        <w:fldChar w:fldCharType="separate"/>
      </w:r>
      <w:r>
        <w:t>166</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_Toc51665777 \h </w:instrText>
      </w:r>
      <w:r>
        <w:fldChar w:fldCharType="separate"/>
      </w:r>
      <w:r>
        <w:t>167</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_Toc51665778 \h </w:instrText>
      </w:r>
      <w:r>
        <w:fldChar w:fldCharType="separate"/>
      </w:r>
      <w:r>
        <w:t>171</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_Toc51665779 \h </w:instrText>
      </w:r>
      <w:r>
        <w:fldChar w:fldCharType="separate"/>
      </w:r>
      <w:r>
        <w:t>173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_Toc51665780 \h </w:instrText>
      </w:r>
      <w:r>
        <w:fldChar w:fldCharType="separate"/>
      </w:r>
      <w:r>
        <w:t>173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_Toc51665781 \h </w:instrText>
      </w:r>
      <w:r>
        <w:fldChar w:fldCharType="separate"/>
      </w:r>
      <w:r>
        <w:t>174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_Toc51665782 \h </w:instrText>
      </w:r>
      <w:r>
        <w:fldChar w:fldCharType="separate"/>
      </w:r>
      <w:r>
        <w:t>174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_Toc51665783 \h </w:instrText>
      </w:r>
      <w:r>
        <w:fldChar w:fldCharType="separate"/>
      </w:r>
      <w:r>
        <w:t>174</w:t>
      </w:r>
      <w:r>
        <w:fldChar w:fldCharType="end"/>
      </w:r>
    </w:p>
    <w:p>
      <w:pPr>
        <w:pStyle w:val="TOC8"/>
        <w:rPr>
          <w:rFonts w:asciiTheme="minorHAnsi" w:eastAsiaTheme="minorEastAsia" w:hAnsiTheme="minorHAnsi" w:cstheme="minorBidi"/>
          <w:szCs w:val="22"/>
        </w:rPr>
      </w:pPr>
      <w:r>
        <w:t>105A.</w:t>
      </w:r>
      <w:r>
        <w:tab/>
        <w:t>Delegation by CEO (fines enforcement)</w:t>
      </w:r>
      <w:r>
        <w:tab/>
      </w:r>
      <w:r>
        <w:fldChar w:fldCharType="begin"/>
      </w:r>
      <w:r>
        <w:instrText xml:space="preserve"> PAGEREF _Toc51665784 \h </w:instrText>
      </w:r>
      <w:r>
        <w:fldChar w:fldCharType="separate"/>
      </w:r>
      <w:r>
        <w:t>174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_Toc51665785 \h </w:instrText>
      </w:r>
      <w:r>
        <w:fldChar w:fldCharType="separate"/>
      </w:r>
      <w:r>
        <w:t>175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_Toc51665786 \h </w:instrText>
      </w:r>
      <w:r>
        <w:fldChar w:fldCharType="separate"/>
      </w:r>
      <w:r>
        <w:t>175</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_Toc51665787 \h </w:instrText>
      </w:r>
      <w:r>
        <w:fldChar w:fldCharType="separate"/>
      </w:r>
      <w:r>
        <w:t>175</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_Toc51665788 \h </w:instrText>
      </w:r>
      <w:r>
        <w:fldChar w:fldCharType="separate"/>
      </w:r>
      <w:r>
        <w:t>177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_Toc51665789 \h </w:instrText>
      </w:r>
      <w:r>
        <w:fldChar w:fldCharType="separate"/>
      </w:r>
      <w:r>
        <w:t>177</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_Toc51665790 \h </w:instrText>
      </w:r>
      <w:r>
        <w:fldChar w:fldCharType="separate"/>
      </w:r>
      <w:r>
        <w:t>180</w:t>
      </w:r>
      <w:r>
        <w:fldChar w:fldCharType="end"/>
      </w:r>
    </w:p>
    <w:p>
      <w:pPr>
        <w:pStyle w:val="TOC8"/>
        <w:rPr>
          <w:rFonts w:asciiTheme="minorHAnsi" w:eastAsiaTheme="minorEastAsia" w:hAnsiTheme="minorHAnsi" w:cstheme="minorBidi"/>
          <w:szCs w:val="22"/>
        </w:rPr>
      </w:pPr>
      <w:r>
        <w:t>109A.</w:t>
      </w:r>
      <w:r>
        <w:tab/>
        <w:t xml:space="preserve">Review of certain amendments made by </w:t>
      </w:r>
      <w:r>
        <w:rPr>
          <w:i/>
        </w:rPr>
        <w:t>Fines, Penalties and Infringement Notices Enforcement Amendment Act 2020</w:t>
      </w:r>
      <w:r>
        <w:tab/>
      </w:r>
      <w:r>
        <w:fldChar w:fldCharType="begin"/>
      </w:r>
      <w:r>
        <w:instrText xml:space="preserve"> PAGEREF _Toc51665791 \h </w:instrText>
      </w:r>
      <w:r>
        <w:fldChar w:fldCharType="separate"/>
      </w:r>
      <w:r>
        <w:t>180</w:t>
      </w:r>
      <w:r>
        <w:fldChar w:fldCharType="end"/>
      </w:r>
    </w:p>
    <w:p>
      <w:pPr>
        <w:pStyle w:val="TOC8"/>
        <w:rPr>
          <w:rFonts w:asciiTheme="minorHAnsi" w:eastAsiaTheme="minorEastAsia" w:hAnsiTheme="minorHAnsi" w:cstheme="minorBidi"/>
          <w:szCs w:val="22"/>
        </w:rPr>
      </w:pPr>
      <w:r>
        <w:t>109B.</w:t>
      </w:r>
      <w:r>
        <w:tab/>
        <w:t>Review of Part 4 Division 3C Subdivision 2</w:t>
      </w:r>
      <w:r>
        <w:tab/>
      </w:r>
      <w:r>
        <w:fldChar w:fldCharType="begin"/>
      </w:r>
      <w:r>
        <w:instrText xml:space="preserve"> PAGEREF _Toc51665792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Fines, Penalties and Infringement Notices Enforcement Amendment Act 2012</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_Toc51665795 \h </w:instrText>
      </w:r>
      <w:r>
        <w:fldChar w:fldCharType="separate"/>
      </w:r>
      <w:r>
        <w:t>183</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_Toc51665796 \h </w:instrText>
      </w:r>
      <w:r>
        <w:fldChar w:fldCharType="separate"/>
      </w:r>
      <w:r>
        <w:t>183</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_Toc51665797 \h </w:instrText>
      </w:r>
      <w:r>
        <w:fldChar w:fldCharType="separate"/>
      </w:r>
      <w:r>
        <w:t>184</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_Toc51665798 \h </w:instrText>
      </w:r>
      <w:r>
        <w:fldChar w:fldCharType="separate"/>
      </w:r>
      <w:r>
        <w:t>184</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_Toc51665799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Fines, Penalties and Infringement Notices Enforcement Amendment Act 2020</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_Toc51665801 \h </w:instrText>
      </w:r>
      <w:r>
        <w:fldChar w:fldCharType="separate"/>
      </w:r>
      <w:r>
        <w:t>185</w:t>
      </w:r>
      <w:r>
        <w:fldChar w:fldCharType="end"/>
      </w:r>
    </w:p>
    <w:p>
      <w:pPr>
        <w:pStyle w:val="TOC8"/>
        <w:rPr>
          <w:rFonts w:asciiTheme="minorHAnsi" w:eastAsiaTheme="minorEastAsia" w:hAnsiTheme="minorHAnsi" w:cstheme="minorBidi"/>
          <w:szCs w:val="22"/>
        </w:rPr>
      </w:pPr>
      <w:r>
        <w:t>116.</w:t>
      </w:r>
      <w:r>
        <w:tab/>
        <w:t>Offender not yet arrested under warrant of commitment issued before first commencement day</w:t>
      </w:r>
      <w:r>
        <w:tab/>
      </w:r>
      <w:r>
        <w:fldChar w:fldCharType="begin"/>
      </w:r>
      <w:r>
        <w:instrText xml:space="preserve"> PAGEREF _Toc51665802 \h </w:instrText>
      </w:r>
      <w:r>
        <w:fldChar w:fldCharType="separate"/>
      </w:r>
      <w:r>
        <w:t>186</w:t>
      </w:r>
      <w:r>
        <w:fldChar w:fldCharType="end"/>
      </w:r>
    </w:p>
    <w:p>
      <w:pPr>
        <w:pStyle w:val="TOC8"/>
        <w:rPr>
          <w:rFonts w:asciiTheme="minorHAnsi" w:eastAsiaTheme="minorEastAsia" w:hAnsiTheme="minorHAnsi" w:cstheme="minorBidi"/>
          <w:szCs w:val="22"/>
        </w:rPr>
      </w:pPr>
      <w:r>
        <w:t>117.</w:t>
      </w:r>
      <w:r>
        <w:tab/>
        <w:t>Offender in custody under warrant of commitment issued before first commencement day</w:t>
      </w:r>
      <w:r>
        <w:tab/>
      </w:r>
      <w:r>
        <w:fldChar w:fldCharType="begin"/>
      </w:r>
      <w:r>
        <w:instrText xml:space="preserve"> PAGEREF _Toc51665803 \h </w:instrText>
      </w:r>
      <w:r>
        <w:fldChar w:fldCharType="separate"/>
      </w:r>
      <w:r>
        <w:t>186</w:t>
      </w:r>
      <w:r>
        <w:fldChar w:fldCharType="end"/>
      </w:r>
    </w:p>
    <w:p>
      <w:pPr>
        <w:pStyle w:val="TOC8"/>
        <w:rPr>
          <w:rFonts w:asciiTheme="minorHAnsi" w:eastAsiaTheme="minorEastAsia" w:hAnsiTheme="minorHAnsi" w:cstheme="minorBidi"/>
          <w:szCs w:val="22"/>
        </w:rPr>
      </w:pPr>
      <w:r>
        <w:t>118.</w:t>
      </w:r>
      <w:r>
        <w:tab/>
        <w:t>Issue and cancellation of warrants of commitment in transitional period</w:t>
      </w:r>
      <w:r>
        <w:tab/>
      </w:r>
      <w:r>
        <w:fldChar w:fldCharType="begin"/>
      </w:r>
      <w:r>
        <w:instrText xml:space="preserve"> PAGEREF _Toc51665804 \h </w:instrText>
      </w:r>
      <w:r>
        <w:fldChar w:fldCharType="separate"/>
      </w:r>
      <w:r>
        <w:t>187</w:t>
      </w:r>
      <w:r>
        <w:fldChar w:fldCharType="end"/>
      </w:r>
    </w:p>
    <w:p>
      <w:pPr>
        <w:pStyle w:val="TOC8"/>
        <w:rPr>
          <w:rFonts w:asciiTheme="minorHAnsi" w:eastAsiaTheme="minorEastAsia" w:hAnsiTheme="minorHAnsi" w:cstheme="minorBidi"/>
          <w:szCs w:val="22"/>
        </w:rPr>
      </w:pPr>
      <w:r>
        <w:t>119.</w:t>
      </w:r>
      <w:r>
        <w:tab/>
        <w:t>Notices issued under s. 78(1) before first commencement day</w:t>
      </w:r>
      <w:r>
        <w:tab/>
      </w:r>
      <w:r>
        <w:fldChar w:fldCharType="begin"/>
      </w:r>
      <w:r>
        <w:instrText xml:space="preserve"> PAGEREF _Toc51665805 \h </w:instrText>
      </w:r>
      <w:r>
        <w:fldChar w:fldCharType="separate"/>
      </w:r>
      <w:r>
        <w:t>188</w:t>
      </w:r>
      <w:r>
        <w:fldChar w:fldCharType="end"/>
      </w:r>
    </w:p>
    <w:p>
      <w:pPr>
        <w:pStyle w:val="TOC8"/>
        <w:rPr>
          <w:rFonts w:asciiTheme="minorHAnsi" w:eastAsiaTheme="minorEastAsia" w:hAnsiTheme="minorHAnsi" w:cstheme="minorBidi"/>
          <w:szCs w:val="22"/>
        </w:rPr>
      </w:pPr>
      <w:r>
        <w:t>120.</w:t>
      </w:r>
      <w:r>
        <w:tab/>
        <w:t>Application of amendments</w:t>
      </w:r>
      <w:r>
        <w:tab/>
      </w:r>
      <w:r>
        <w:fldChar w:fldCharType="begin"/>
      </w:r>
      <w:r>
        <w:instrText xml:space="preserve"> PAGEREF _Toc51665806 \h </w:instrText>
      </w:r>
      <w:r>
        <w:fldChar w:fldCharType="separate"/>
      </w:r>
      <w:r>
        <w:t>189</w:t>
      </w:r>
      <w:r>
        <w:fldChar w:fldCharType="end"/>
      </w:r>
    </w:p>
    <w:p>
      <w:pPr>
        <w:pStyle w:val="TOC8"/>
        <w:rPr>
          <w:rFonts w:asciiTheme="minorHAnsi" w:eastAsiaTheme="minorEastAsia" w:hAnsiTheme="minorHAnsi" w:cstheme="minorBidi"/>
          <w:szCs w:val="22"/>
        </w:rPr>
      </w:pPr>
      <w:r>
        <w:t>121.</w:t>
      </w:r>
      <w:r>
        <w:tab/>
        <w:t>Time to pay orders</w:t>
      </w:r>
      <w:r>
        <w:tab/>
      </w:r>
      <w:r>
        <w:fldChar w:fldCharType="begin"/>
      </w:r>
      <w:r>
        <w:instrText xml:space="preserve"> PAGEREF _Toc51665807 \h </w:instrText>
      </w:r>
      <w:r>
        <w:fldChar w:fldCharType="separate"/>
      </w:r>
      <w:r>
        <w:t>189</w:t>
      </w:r>
      <w:r>
        <w:fldChar w:fldCharType="end"/>
      </w:r>
    </w:p>
    <w:p>
      <w:pPr>
        <w:pStyle w:val="TOC8"/>
        <w:rPr>
          <w:rFonts w:asciiTheme="minorHAnsi" w:eastAsiaTheme="minorEastAsia" w:hAnsiTheme="minorHAnsi" w:cstheme="minorBidi"/>
          <w:szCs w:val="22"/>
        </w:rPr>
      </w:pPr>
      <w:r>
        <w:t>122.</w:t>
      </w:r>
      <w:r>
        <w:tab/>
        <w:t>Enforcement warrant issued before second commencement day authorises issue of garnishee order</w:t>
      </w:r>
      <w:r>
        <w:tab/>
      </w:r>
      <w:r>
        <w:fldChar w:fldCharType="begin"/>
      </w:r>
      <w:r>
        <w:instrText xml:space="preserve"> PAGEREF _Toc51665808 \h </w:instrText>
      </w:r>
      <w:r>
        <w:fldChar w:fldCharType="separate"/>
      </w:r>
      <w:r>
        <w:t>190</w:t>
      </w:r>
      <w:r>
        <w:fldChar w:fldCharType="end"/>
      </w:r>
    </w:p>
    <w:p>
      <w:pPr>
        <w:pStyle w:val="TOC8"/>
        <w:rPr>
          <w:rFonts w:asciiTheme="minorHAnsi" w:eastAsiaTheme="minorEastAsia" w:hAnsiTheme="minorHAnsi" w:cstheme="minorBidi"/>
          <w:szCs w:val="22"/>
        </w:rPr>
      </w:pPr>
      <w:r>
        <w:t>123.</w:t>
      </w:r>
      <w:r>
        <w:tab/>
        <w:t>Instruments issued under provisions of former Act</w:t>
      </w:r>
      <w:r>
        <w:tab/>
      </w:r>
      <w:r>
        <w:fldChar w:fldCharType="begin"/>
      </w:r>
      <w:r>
        <w:instrText xml:space="preserve"> PAGEREF _Toc51665809 \h </w:instrText>
      </w:r>
      <w:r>
        <w:fldChar w:fldCharType="separate"/>
      </w:r>
      <w:r>
        <w:t>191</w:t>
      </w:r>
      <w:r>
        <w:fldChar w:fldCharType="end"/>
      </w:r>
    </w:p>
    <w:p>
      <w:pPr>
        <w:pStyle w:val="TOC8"/>
        <w:rPr>
          <w:rFonts w:asciiTheme="minorHAnsi" w:eastAsiaTheme="minorEastAsia" w:hAnsiTheme="minorHAnsi" w:cstheme="minorBidi"/>
          <w:szCs w:val="22"/>
        </w:rPr>
      </w:pPr>
      <w:r>
        <w:t>124.</w:t>
      </w:r>
      <w:r>
        <w:tab/>
        <w:t>Administrative information sharing arrangements</w:t>
      </w:r>
      <w:r>
        <w:tab/>
      </w:r>
      <w:r>
        <w:fldChar w:fldCharType="begin"/>
      </w:r>
      <w:r>
        <w:instrText xml:space="preserve"> PAGEREF _Toc51665810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_Toc51665812 \h </w:instrText>
      </w:r>
      <w:r>
        <w:fldChar w:fldCharType="separate"/>
      </w:r>
      <w:r>
        <w:t>193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_Toc51665813 \h </w:instrText>
      </w:r>
      <w:r>
        <w:fldChar w:fldCharType="separate"/>
      </w:r>
      <w:r>
        <w:t>196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_Toc51665814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51245515"/>
      <w:bookmarkStart w:id="4" w:name="_Toc51317069"/>
      <w:bookmarkStart w:id="5" w:name="_Toc51319705"/>
      <w:bookmarkStart w:id="6" w:name="_Toc51320158"/>
      <w:bookmarkStart w:id="7" w:name="_Toc51581098"/>
      <w:bookmarkStart w:id="8" w:name="_Toc51581403"/>
      <w:bookmarkStart w:id="9" w:name="_Toc516655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51665512"/>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11" w:name="_Toc51665513"/>
      <w:r>
        <w:rPr>
          <w:rStyle w:val="CharSectno"/>
        </w:rPr>
        <w:t>2</w:t>
      </w:r>
      <w:r>
        <w:rPr>
          <w:snapToGrid w:val="0"/>
        </w:rPr>
        <w:t>.</w:t>
      </w:r>
      <w:r>
        <w:rPr>
          <w:snapToGrid w:val="0"/>
        </w:rPr>
        <w:tab/>
        <w:t>Commencement</w:t>
      </w:r>
      <w:bookmarkEnd w:id="11"/>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12" w:name="_Toc51665514"/>
      <w:r>
        <w:rPr>
          <w:rStyle w:val="CharSectno"/>
        </w:rPr>
        <w:t>3</w:t>
      </w:r>
      <w:r>
        <w:rPr>
          <w:snapToGrid w:val="0"/>
        </w:rPr>
        <w:t>.</w:t>
      </w:r>
      <w:r>
        <w:rPr>
          <w:snapToGrid w:val="0"/>
        </w:rPr>
        <w:tab/>
        <w:t>Terms used</w:t>
      </w:r>
      <w:bookmarkEnd w:id="12"/>
    </w:p>
    <w:p>
      <w:pPr>
        <w:pStyle w:val="Subsection"/>
        <w:spacing w:before="120"/>
        <w:rPr>
          <w:snapToGrid w:val="0"/>
        </w:rPr>
      </w:pPr>
      <w:r>
        <w:rPr>
          <w:snapToGrid w:val="0"/>
        </w:rPr>
        <w:tab/>
        <w:t>(1)</w:t>
      </w:r>
      <w:r>
        <w:rPr>
          <w:snapToGrid w:val="0"/>
        </w:rPr>
        <w:tab/>
        <w:t>In this Act —</w:t>
      </w:r>
    </w:p>
    <w:p>
      <w:pPr>
        <w:pStyle w:val="Defstart"/>
      </w:pPr>
      <w:r>
        <w:tab/>
      </w:r>
      <w:r>
        <w:rPr>
          <w:rStyle w:val="CharDefText"/>
        </w:rPr>
        <w:t>approved form</w:t>
      </w:r>
      <w:r>
        <w:t xml:space="preserve"> means a form approved in writing by the CEO (fines enforcement);</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CEO (fines enforcement)</w:t>
      </w:r>
      <w:r>
        <w:t xml:space="preserve"> means the chief executive officer of the department of the Public Service principally assisting the Minister in the administration of this Act;</w:t>
      </w:r>
    </w:p>
    <w:p>
      <w:pPr>
        <w:pStyle w:val="Defstart"/>
      </w:pPr>
      <w:r>
        <w:tab/>
      </w:r>
      <w:r>
        <w:rPr>
          <w:rStyle w:val="CharDefText"/>
        </w:rPr>
        <w:t>child</w:t>
      </w:r>
      <w:r>
        <w:t xml:space="preserve"> means a person who is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Defstart"/>
      </w:pPr>
      <w:r>
        <w:rPr>
          <w:b/>
        </w:rPr>
        <w:tab/>
      </w:r>
      <w:r>
        <w:rPr>
          <w:rStyle w:val="CharDefText"/>
        </w:rPr>
        <w:t>give</w:t>
      </w:r>
      <w:r>
        <w:t xml:space="preserve"> information or a document or notice, has a meaning affected by section 5A;</w:t>
      </w:r>
    </w:p>
    <w:p>
      <w:pPr>
        <w:pStyle w:val="Defstart"/>
      </w:pPr>
      <w:r>
        <w:tab/>
      </w:r>
      <w:r>
        <w:rPr>
          <w:rStyle w:val="CharDefText"/>
        </w:rPr>
        <w:t>hardship</w:t>
      </w:r>
      <w:r>
        <w:t xml:space="preserve"> has a meaning affected by section 4A;</w:t>
      </w:r>
    </w:p>
    <w:p>
      <w:pPr>
        <w:pStyle w:val="Defstart"/>
      </w:pPr>
      <w:r>
        <w:tab/>
      </w:r>
      <w:r>
        <w:rPr>
          <w:rStyle w:val="CharDefText"/>
        </w:rPr>
        <w:t>number plate</w:t>
      </w:r>
      <w:r>
        <w:t xml:space="preserve"> has the meaning given in the </w:t>
      </w:r>
      <w:r>
        <w:rPr>
          <w:i/>
        </w:rPr>
        <w:t>Road Traffic (Vehicles) Act 2012</w:t>
      </w:r>
      <w:r>
        <w:t xml:space="preserve"> section 3(1);</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tab/>
      </w:r>
      <w:r>
        <w:rPr>
          <w:rStyle w:val="CharDefText"/>
        </w:rPr>
        <w:t>Registrar’s website</w:t>
      </w:r>
      <w:r>
        <w:t xml:space="preserve"> means a website, or a part of a website, maintained by or on behalf of the Registrar;</w:t>
      </w:r>
    </w:p>
    <w:p>
      <w:pPr>
        <w:pStyle w:val="Defstart"/>
      </w:pPr>
      <w:r>
        <w:rPr>
          <w:b/>
        </w:rPr>
        <w:tab/>
      </w:r>
      <w:r>
        <w:rPr>
          <w:rStyle w:val="CharDefText"/>
        </w:rPr>
        <w:t>Registry</w:t>
      </w:r>
      <w:r>
        <w:t xml:space="preserve"> means the Fines Enforcement Registry established under section 6;</w:t>
      </w:r>
    </w:p>
    <w:p>
      <w:pPr>
        <w:pStyle w:val="Defstart"/>
      </w:pPr>
      <w:r>
        <w:tab/>
      </w:r>
      <w:r>
        <w:rPr>
          <w:rStyle w:val="CharDefText"/>
        </w:rPr>
        <w:t>remote area</w:t>
      </w:r>
      <w:r>
        <w:t xml:space="preserve"> means an area designated as a remote area under regulations made for the purposes of section 4B;</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r>
        <w:t>;</w:t>
      </w:r>
    </w:p>
    <w:p>
      <w:pPr>
        <w:pStyle w:val="Defstart"/>
      </w:pPr>
      <w:r>
        <w:tab/>
      </w:r>
      <w:r>
        <w:rPr>
          <w:rStyle w:val="CharDefText"/>
        </w:rPr>
        <w:t>work and development order (WDO)</w:t>
      </w:r>
      <w:r>
        <w:t xml:space="preserve"> means an order made under section 48, as amended from time to time.</w:t>
      </w:r>
    </w:p>
    <w:p>
      <w:pPr>
        <w:pStyle w:val="Ednotesubsection"/>
      </w:pPr>
      <w:r>
        <w:tab/>
        <w:t>[(2)</w:t>
      </w:r>
      <w:r>
        <w:tab/>
        <w:t>deleted]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 No. 25 of 2020 s. 9</w:t>
      </w:r>
      <w:r>
        <w:t>.]</w:t>
      </w:r>
    </w:p>
    <w:p>
      <w:pPr>
        <w:pStyle w:val="Heading5"/>
      </w:pPr>
      <w:bookmarkStart w:id="13" w:name="_Toc51665515"/>
      <w:r>
        <w:rPr>
          <w:rStyle w:val="CharSectno"/>
        </w:rPr>
        <w:t>4</w:t>
      </w:r>
      <w:r>
        <w:t>.</w:t>
      </w:r>
      <w:r>
        <w:tab/>
        <w:t>General principles relating to enforcement of fines</w:t>
      </w:r>
      <w:bookmarkEnd w:id="13"/>
    </w:p>
    <w:p>
      <w:pPr>
        <w:pStyle w:val="Subsection"/>
      </w:pPr>
      <w:r>
        <w:tab/>
        <w:t>(1)</w:t>
      </w:r>
      <w:r>
        <w:tab/>
        <w:t>A person performing a function under this Act must have regard to the principles set out in subsection (2).</w:t>
      </w:r>
    </w:p>
    <w:p>
      <w:pPr>
        <w:pStyle w:val="Subsection"/>
      </w:pPr>
      <w:r>
        <w:tab/>
        <w:t>(2)</w:t>
      </w:r>
      <w:r>
        <w:tab/>
        <w:t xml:space="preserve">For the purposes of subsection (1), the principles are — </w:t>
      </w:r>
    </w:p>
    <w:p>
      <w:pPr>
        <w:pStyle w:val="Indenta"/>
      </w:pPr>
      <w:r>
        <w:tab/>
        <w:t>(a)</w:t>
      </w:r>
      <w:r>
        <w:tab/>
        <w:t>that imprisonment for failure to pay a fine is an enforcement measure of last resort; and</w:t>
      </w:r>
    </w:p>
    <w:p>
      <w:pPr>
        <w:pStyle w:val="Indenta"/>
        <w:keepNext/>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Footnotesection"/>
      </w:pPr>
      <w:r>
        <w:tab/>
        <w:t>[Section 4 inserted: No. 25 of 2020 s. 10.]</w:t>
      </w:r>
    </w:p>
    <w:p>
      <w:pPr>
        <w:pStyle w:val="Heading5"/>
      </w:pPr>
      <w:bookmarkStart w:id="14" w:name="_Toc51665516"/>
      <w:r>
        <w:rPr>
          <w:rStyle w:val="CharSectno"/>
        </w:rPr>
        <w:t>4A</w:t>
      </w:r>
      <w:r>
        <w:t>.</w:t>
      </w:r>
      <w:r>
        <w:tab/>
        <w:t>Hardship</w:t>
      </w:r>
      <w:bookmarkEnd w:id="14"/>
    </w:p>
    <w:p>
      <w:pPr>
        <w:pStyle w:val="Subsection"/>
      </w:pPr>
      <w:r>
        <w:tab/>
        <w:t>(1)</w:t>
      </w:r>
      <w:r>
        <w:tab/>
        <w:t xml:space="preserve">For the purposes of this Act, a person is experiencing hardship if the person — </w:t>
      </w:r>
    </w:p>
    <w:p>
      <w:pPr>
        <w:pStyle w:val="Indenta"/>
      </w:pPr>
      <w:r>
        <w:tab/>
        <w:t>(a)</w:t>
      </w:r>
      <w:r>
        <w:tab/>
        <w:t>is experiencing financial hardship; or</w:t>
      </w:r>
    </w:p>
    <w:p>
      <w:pPr>
        <w:pStyle w:val="Indenta"/>
      </w:pPr>
      <w:r>
        <w:tab/>
        <w:t>(b)</w:t>
      </w:r>
      <w:r>
        <w:tab/>
        <w:t xml:space="preserve">has been or might be subjected or exposed to family violence (as defined in the </w:t>
      </w:r>
      <w:r>
        <w:rPr>
          <w:i/>
        </w:rPr>
        <w:t>Restraining Orders Act 1997</w:t>
      </w:r>
      <w:r>
        <w:t xml:space="preserve"> section 3(1)); or</w:t>
      </w:r>
    </w:p>
    <w:p>
      <w:pPr>
        <w:pStyle w:val="Indenta"/>
      </w:pPr>
      <w:r>
        <w:tab/>
        <w:t>(c)</w:t>
      </w:r>
      <w:r>
        <w:tab/>
        <w:t xml:space="preserve">has a mental illness (as defined in the </w:t>
      </w:r>
      <w:r>
        <w:rPr>
          <w:i/>
        </w:rPr>
        <w:t>Mental Health Act 2014</w:t>
      </w:r>
      <w:r>
        <w:t xml:space="preserve"> section 4); or</w:t>
      </w:r>
    </w:p>
    <w:p>
      <w:pPr>
        <w:pStyle w:val="Indenta"/>
      </w:pPr>
      <w:r>
        <w:tab/>
        <w:t>(d)</w:t>
      </w:r>
      <w:r>
        <w:tab/>
        <w:t xml:space="preserve">has a disability (as defined in the </w:t>
      </w:r>
      <w:r>
        <w:rPr>
          <w:i/>
        </w:rPr>
        <w:t>Disability Services Act 1993</w:t>
      </w:r>
      <w:r>
        <w:t xml:space="preserve"> section 3); or</w:t>
      </w:r>
    </w:p>
    <w:p>
      <w:pPr>
        <w:pStyle w:val="Indenta"/>
      </w:pPr>
      <w:r>
        <w:tab/>
        <w:t>(e)</w:t>
      </w:r>
      <w:r>
        <w:tab/>
        <w:t>is homeless; or</w:t>
      </w:r>
    </w:p>
    <w:p>
      <w:pPr>
        <w:pStyle w:val="Indenta"/>
      </w:pPr>
      <w:r>
        <w:tab/>
        <w:t>(f)</w:t>
      </w:r>
      <w:r>
        <w:tab/>
        <w:t>is experiencing alcohol or other drug use problems.</w:t>
      </w:r>
    </w:p>
    <w:p>
      <w:pPr>
        <w:pStyle w:val="Subsection"/>
      </w:pPr>
      <w:r>
        <w:tab/>
        <w:t>(2)</w:t>
      </w:r>
      <w:r>
        <w:tab/>
        <w:t>Subsection (1) does not limit the circumstances in which a person may be experiencing hardship for the purposes of this Act.</w:t>
      </w:r>
    </w:p>
    <w:p>
      <w:pPr>
        <w:pStyle w:val="Footnotesection"/>
      </w:pPr>
      <w:r>
        <w:tab/>
        <w:t>[Section 4A inserted: No. 25 of 2020 s. 10.]</w:t>
      </w:r>
    </w:p>
    <w:p>
      <w:pPr>
        <w:pStyle w:val="Heading5"/>
      </w:pPr>
      <w:bookmarkStart w:id="15" w:name="_Toc51665517"/>
      <w:r>
        <w:rPr>
          <w:rStyle w:val="CharSectno"/>
        </w:rPr>
        <w:t>4B</w:t>
      </w:r>
      <w:r>
        <w:t>.</w:t>
      </w:r>
      <w:r>
        <w:tab/>
        <w:t>Remote areas</w:t>
      </w:r>
      <w:bookmarkEnd w:id="15"/>
    </w:p>
    <w:p>
      <w:pPr>
        <w:pStyle w:val="Subsection"/>
      </w:pPr>
      <w:r>
        <w:tab/>
        <w:t>(1)</w:t>
      </w:r>
      <w:r>
        <w:tab/>
        <w:t>The regulations may designate 1 or more areas of the State as remote areas for the purposes of this Act.</w:t>
      </w:r>
    </w:p>
    <w:p>
      <w:pPr>
        <w:pStyle w:val="Subsection"/>
        <w:keepNext/>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Footnotesection"/>
      </w:pPr>
      <w:r>
        <w:tab/>
        <w:t>[Section 4B inserted: No. 25 of 2020 s. 10.]</w:t>
      </w:r>
    </w:p>
    <w:p>
      <w:pPr>
        <w:pStyle w:val="Heading5"/>
        <w:rPr>
          <w:snapToGrid w:val="0"/>
        </w:rPr>
      </w:pPr>
      <w:bookmarkStart w:id="16" w:name="_Toc51665518"/>
      <w:r>
        <w:rPr>
          <w:rStyle w:val="CharSectno"/>
        </w:rPr>
        <w:t>5</w:t>
      </w:r>
      <w:r>
        <w:rPr>
          <w:snapToGrid w:val="0"/>
        </w:rPr>
        <w:t>.</w:t>
      </w:r>
      <w:r>
        <w:rPr>
          <w:snapToGrid w:val="0"/>
        </w:rPr>
        <w:tab/>
        <w:t>Service of documents</w:t>
      </w:r>
      <w:bookmarkEnd w:id="16"/>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r>
        <w:t>this Act, if a fine has been imposed on a</w:t>
      </w:r>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r>
        <w:t xml:space="preserve">or the Sheriff that the person </w:t>
      </w:r>
      <w:r>
        <w:rPr>
          <w:snapToGrid w:val="0"/>
        </w:rPr>
        <w:t>has another address.</w:t>
      </w:r>
    </w:p>
    <w:p>
      <w:pPr>
        <w:pStyle w:val="Subsection"/>
      </w:pPr>
      <w:r>
        <w:tab/>
        <w:t>(4)</w:t>
      </w:r>
      <w:r>
        <w:tab/>
        <w:t>For the purposes of this Act, a person’s last known address may be taken to be the person’s current address shown in the records of —</w:t>
      </w:r>
    </w:p>
    <w:p>
      <w:pPr>
        <w:pStyle w:val="Indenta"/>
      </w:pPr>
      <w:r>
        <w:tab/>
        <w:t>(a)</w:t>
      </w:r>
      <w:r>
        <w:tab/>
        <w:t>the Director General; or</w:t>
      </w:r>
    </w:p>
    <w:p>
      <w:pPr>
        <w:pStyle w:val="Indenta"/>
      </w:pPr>
      <w:r>
        <w:tab/>
        <w:t>(b)</w:t>
      </w:r>
      <w:r>
        <w:tab/>
        <w:t>an electricity corporation; or</w:t>
      </w:r>
    </w:p>
    <w:p>
      <w:pPr>
        <w:pStyle w:val="Indenta"/>
      </w:pPr>
      <w:r>
        <w:tab/>
        <w:t>(c)</w:t>
      </w:r>
      <w:r>
        <w:tab/>
        <w:t>a government department, or agency, of the Commonwealth.</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 No. 25 of 2020 s. 11.]</w:t>
      </w:r>
    </w:p>
    <w:p>
      <w:pPr>
        <w:pStyle w:val="Heading5"/>
      </w:pPr>
      <w:bookmarkStart w:id="17" w:name="_Toc51665519"/>
      <w:r>
        <w:rPr>
          <w:rStyle w:val="CharSectno"/>
        </w:rPr>
        <w:t>5A</w:t>
      </w:r>
      <w:r>
        <w:t>.</w:t>
      </w:r>
      <w:r>
        <w:tab/>
        <w:t>Service by electronic means</w:t>
      </w:r>
      <w:bookmarkEnd w:id="17"/>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Indenta"/>
      </w:pPr>
      <w:r>
        <w:tab/>
        <w:t>(e)</w:t>
      </w:r>
      <w:r>
        <w:tab/>
        <w:t>a summons or arrest warrant issued under section 52Q;</w:t>
      </w:r>
    </w:p>
    <w:p>
      <w:pPr>
        <w:pStyle w:val="Indenta"/>
      </w:pPr>
      <w:r>
        <w:tab/>
        <w:t>(f)</w:t>
      </w:r>
      <w:r>
        <w:tab/>
        <w:t>any information or a document or notice under Part 7, other than a garnishee order under section 95O or 95V;</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 No. 25 of 2020 s. 12.]</w:t>
      </w:r>
    </w:p>
    <w:p>
      <w:pPr>
        <w:pStyle w:val="Heading5"/>
      </w:pPr>
      <w:bookmarkStart w:id="18" w:name="_Toc51665520"/>
      <w:r>
        <w:rPr>
          <w:rStyle w:val="CharSectno"/>
        </w:rPr>
        <w:t>5B</w:t>
      </w:r>
      <w:r>
        <w:t>.</w:t>
      </w:r>
      <w:r>
        <w:tab/>
      </w:r>
      <w:r>
        <w:rPr>
          <w:i/>
        </w:rPr>
        <w:t>Courts and Tribunals (Electronic Processes Facilitation) Act 2013</w:t>
      </w:r>
      <w:r>
        <w:t xml:space="preserve"> Part 2 applies</w:t>
      </w:r>
      <w:bookmarkEnd w:id="18"/>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pPr>
      <w:bookmarkStart w:id="19" w:name="_Toc51665521"/>
      <w:bookmarkStart w:id="20" w:name="_Toc51245522"/>
      <w:r>
        <w:rPr>
          <w:rStyle w:val="CharSectno"/>
        </w:rPr>
        <w:t>5C</w:t>
      </w:r>
      <w:r>
        <w:t>.</w:t>
      </w:r>
      <w:r>
        <w:tab/>
        <w:t>Act binds Crown</w:t>
      </w:r>
      <w:bookmarkEnd w:id="19"/>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5C inserted: No. 25 of 2020 s. 13.]</w:t>
      </w:r>
    </w:p>
    <w:p>
      <w:pPr>
        <w:pStyle w:val="Heading2"/>
      </w:pPr>
      <w:bookmarkStart w:id="21" w:name="_Toc51317080"/>
      <w:bookmarkStart w:id="22" w:name="_Toc51319716"/>
      <w:bookmarkStart w:id="23" w:name="_Toc51320169"/>
      <w:bookmarkStart w:id="24" w:name="_Toc51581109"/>
      <w:bookmarkStart w:id="25" w:name="_Toc51581414"/>
      <w:bookmarkStart w:id="26" w:name="_Toc51665522"/>
      <w:r>
        <w:rPr>
          <w:rStyle w:val="CharPartNo"/>
        </w:rPr>
        <w:t>Part 2</w:t>
      </w:r>
      <w:r>
        <w:rPr>
          <w:rStyle w:val="CharDivNo"/>
        </w:rPr>
        <w:t> </w:t>
      </w:r>
      <w:r>
        <w:t>—</w:t>
      </w:r>
      <w:r>
        <w:rPr>
          <w:rStyle w:val="CharDivText"/>
        </w:rPr>
        <w:t> </w:t>
      </w:r>
      <w:r>
        <w:rPr>
          <w:rStyle w:val="CharPartText"/>
        </w:rPr>
        <w:t>Fines Enforcement Registry</w:t>
      </w:r>
      <w:bookmarkEnd w:id="20"/>
      <w:bookmarkEnd w:id="21"/>
      <w:bookmarkEnd w:id="22"/>
      <w:bookmarkEnd w:id="23"/>
      <w:bookmarkEnd w:id="24"/>
      <w:bookmarkEnd w:id="25"/>
      <w:bookmarkEnd w:id="26"/>
    </w:p>
    <w:p>
      <w:pPr>
        <w:pStyle w:val="Heading5"/>
        <w:rPr>
          <w:snapToGrid w:val="0"/>
        </w:rPr>
      </w:pPr>
      <w:bookmarkStart w:id="27" w:name="_Toc51665523"/>
      <w:r>
        <w:rPr>
          <w:rStyle w:val="CharSectno"/>
        </w:rPr>
        <w:t>6</w:t>
      </w:r>
      <w:r>
        <w:rPr>
          <w:snapToGrid w:val="0"/>
        </w:rPr>
        <w:t>.</w:t>
      </w:r>
      <w:r>
        <w:rPr>
          <w:snapToGrid w:val="0"/>
        </w:rPr>
        <w:tab/>
        <w:t>Registry established</w:t>
      </w:r>
      <w:bookmarkEnd w:id="27"/>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28" w:name="_Toc51665524"/>
      <w:r>
        <w:rPr>
          <w:rStyle w:val="CharSectno"/>
        </w:rPr>
        <w:t>7</w:t>
      </w:r>
      <w:r>
        <w:rPr>
          <w:snapToGrid w:val="0"/>
        </w:rPr>
        <w:t>.</w:t>
      </w:r>
      <w:r>
        <w:rPr>
          <w:snapToGrid w:val="0"/>
        </w:rPr>
        <w:tab/>
        <w:t>Registrar</w:t>
      </w:r>
      <w:bookmarkEnd w:id="28"/>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29" w:name="_Toc51665525"/>
      <w:r>
        <w:rPr>
          <w:rStyle w:val="CharSectno"/>
        </w:rPr>
        <w:t>7A</w:t>
      </w:r>
      <w:r>
        <w:t>.</w:t>
      </w:r>
      <w:r>
        <w:tab/>
        <w:t>Registrar may delegate</w:t>
      </w:r>
      <w:bookmarkEnd w:id="29"/>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52F to issue a fine expiation order.</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 No. 25 of 2020 s. 14.]</w:t>
      </w:r>
    </w:p>
    <w:p>
      <w:pPr>
        <w:pStyle w:val="Heading5"/>
        <w:spacing w:before="180"/>
        <w:rPr>
          <w:snapToGrid w:val="0"/>
        </w:rPr>
      </w:pPr>
      <w:bookmarkStart w:id="30" w:name="_Toc51665526"/>
      <w:r>
        <w:rPr>
          <w:rStyle w:val="CharSectno"/>
        </w:rPr>
        <w:t>8</w:t>
      </w:r>
      <w:r>
        <w:rPr>
          <w:snapToGrid w:val="0"/>
        </w:rPr>
        <w:t>.</w:t>
      </w:r>
      <w:r>
        <w:rPr>
          <w:snapToGrid w:val="0"/>
        </w:rPr>
        <w:tab/>
        <w:t>Payments to Registry</w:t>
      </w:r>
      <w:bookmarkEnd w:id="30"/>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31" w:name="_Toc51665527"/>
      <w:r>
        <w:rPr>
          <w:rStyle w:val="CharSectno"/>
        </w:rPr>
        <w:t>9</w:t>
      </w:r>
      <w:r>
        <w:rPr>
          <w:snapToGrid w:val="0"/>
        </w:rPr>
        <w:t>.</w:t>
      </w:r>
      <w:r>
        <w:rPr>
          <w:snapToGrid w:val="0"/>
        </w:rPr>
        <w:tab/>
        <w:t>Registrar exempt from fees</w:t>
      </w:r>
      <w:bookmarkEnd w:id="31"/>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Ednotesection"/>
        <w:tabs>
          <w:tab w:val="left" w:pos="1134"/>
        </w:tabs>
        <w:rPr>
          <w:rStyle w:val="CharSectno"/>
        </w:rPr>
      </w:pPr>
      <w:r>
        <w:rPr>
          <w:rStyle w:val="CharSectno"/>
        </w:rPr>
        <w:t>[</w:t>
      </w:r>
      <w:r>
        <w:rPr>
          <w:b/>
        </w:rPr>
        <w:t>10, 10A</w:t>
      </w:r>
      <w:r>
        <w:rPr>
          <w:rStyle w:val="CharSectno"/>
          <w:b/>
        </w:rPr>
        <w:t>.</w:t>
      </w:r>
      <w:r>
        <w:rPr>
          <w:rStyle w:val="CharSectno"/>
        </w:rPr>
        <w:tab/>
        <w:t>Deleted: No. 25 of 2020 s. 15.]</w:t>
      </w:r>
    </w:p>
    <w:p>
      <w:pPr>
        <w:pStyle w:val="Heading5"/>
      </w:pPr>
      <w:bookmarkStart w:id="32" w:name="_Toc51665528"/>
      <w:r>
        <w:rPr>
          <w:rStyle w:val="CharSectno"/>
        </w:rPr>
        <w:t>10B</w:t>
      </w:r>
      <w:r>
        <w:t>.</w:t>
      </w:r>
      <w:r>
        <w:tab/>
        <w:t>Registrar to keep record of outstanding fines and other amounts payable by young persons</w:t>
      </w:r>
      <w:bookmarkEnd w:id="32"/>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33" w:name="_Toc51245531"/>
      <w:bookmarkStart w:id="34" w:name="_Toc51317087"/>
      <w:bookmarkStart w:id="35" w:name="_Toc51319723"/>
      <w:bookmarkStart w:id="36" w:name="_Toc51320176"/>
      <w:bookmarkStart w:id="37" w:name="_Toc51581116"/>
      <w:bookmarkStart w:id="38" w:name="_Toc51581421"/>
      <w:bookmarkStart w:id="39" w:name="_Toc51665529"/>
      <w:r>
        <w:rPr>
          <w:rStyle w:val="CharPartNo"/>
        </w:rPr>
        <w:t>Part 3</w:t>
      </w:r>
      <w:r>
        <w:t> — </w:t>
      </w:r>
      <w:r>
        <w:rPr>
          <w:rStyle w:val="CharPartText"/>
        </w:rPr>
        <w:t>Infringement notices</w:t>
      </w:r>
      <w:bookmarkEnd w:id="33"/>
      <w:bookmarkEnd w:id="34"/>
      <w:bookmarkEnd w:id="35"/>
      <w:bookmarkEnd w:id="36"/>
      <w:bookmarkEnd w:id="37"/>
      <w:bookmarkEnd w:id="38"/>
      <w:bookmarkEnd w:id="39"/>
    </w:p>
    <w:p>
      <w:pPr>
        <w:pStyle w:val="Heading3"/>
        <w:rPr>
          <w:snapToGrid w:val="0"/>
        </w:rPr>
      </w:pPr>
      <w:bookmarkStart w:id="40" w:name="_Toc51245532"/>
      <w:bookmarkStart w:id="41" w:name="_Toc51317088"/>
      <w:bookmarkStart w:id="42" w:name="_Toc51319724"/>
      <w:bookmarkStart w:id="43" w:name="_Toc51320177"/>
      <w:bookmarkStart w:id="44" w:name="_Toc51581117"/>
      <w:bookmarkStart w:id="45" w:name="_Toc51581422"/>
      <w:bookmarkStart w:id="46" w:name="_Toc51665530"/>
      <w:r>
        <w:rPr>
          <w:rStyle w:val="CharDivNo"/>
        </w:rPr>
        <w:t>Division 1</w:t>
      </w:r>
      <w:r>
        <w:rPr>
          <w:snapToGrid w:val="0"/>
        </w:rPr>
        <w:t> — </w:t>
      </w:r>
      <w:r>
        <w:rPr>
          <w:rStyle w:val="CharDivText"/>
        </w:rPr>
        <w:t>Preliminary</w:t>
      </w:r>
      <w:bookmarkEnd w:id="40"/>
      <w:bookmarkEnd w:id="41"/>
      <w:bookmarkEnd w:id="42"/>
      <w:bookmarkEnd w:id="43"/>
      <w:bookmarkEnd w:id="44"/>
      <w:bookmarkEnd w:id="45"/>
      <w:bookmarkEnd w:id="46"/>
    </w:p>
    <w:p>
      <w:pPr>
        <w:pStyle w:val="Heading5"/>
        <w:rPr>
          <w:snapToGrid w:val="0"/>
        </w:rPr>
      </w:pPr>
      <w:bookmarkStart w:id="47" w:name="_Toc51665531"/>
      <w:r>
        <w:rPr>
          <w:rStyle w:val="CharSectno"/>
        </w:rPr>
        <w:t>11</w:t>
      </w:r>
      <w:r>
        <w:rPr>
          <w:snapToGrid w:val="0"/>
        </w:rPr>
        <w:t>.</w:t>
      </w:r>
      <w:r>
        <w:rPr>
          <w:snapToGrid w:val="0"/>
        </w:rPr>
        <w:tab/>
        <w:t>Terms used</w:t>
      </w:r>
      <w:bookmarkEnd w:id="4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Act in relation to an infringement notice and includes the registration fee referred to in section 16;</w:t>
      </w:r>
    </w:p>
    <w:p>
      <w:pPr>
        <w:pStyle w:val="Defstart"/>
      </w:pPr>
      <w:r>
        <w:tab/>
      </w:r>
      <w:r>
        <w:rPr>
          <w:rStyle w:val="CharDefText"/>
        </w:rPr>
        <w:t>enforcement warrant</w:t>
      </w:r>
      <w:r>
        <w:t xml:space="preserve"> means a warrant issued under section 21A;</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tab/>
      </w:r>
      <w:r>
        <w:rPr>
          <w:rStyle w:val="CharDefText"/>
        </w:rPr>
        <w:t>licence suspension order</w:t>
      </w:r>
      <w:r>
        <w:t xml:space="preserve"> means an order made under section 19;</w:t>
      </w:r>
    </w:p>
    <w:p>
      <w:pPr>
        <w:pStyle w:val="Defstart"/>
      </w:pPr>
      <w:r>
        <w:rPr>
          <w:b/>
        </w:rPr>
        <w:tab/>
      </w:r>
      <w:r>
        <w:rPr>
          <w:rStyle w:val="CharDefText"/>
        </w:rPr>
        <w:t>modified penalty</w:t>
      </w:r>
      <w:r>
        <w:t xml:space="preserve"> means the amount of money prescribed in a written law and specified in an infringement notice as the amount that the alleged offender is to pay if the alleged offender wants the matter dealt with out of court;</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pPr>
      <w:r>
        <w:tab/>
      </w:r>
      <w:r>
        <w:rPr>
          <w:rStyle w:val="CharDefText"/>
        </w:rPr>
        <w:t>time to pay order</w:t>
      </w:r>
      <w:r>
        <w:t xml:space="preserve"> means an order made under section 21C, as amended from time to time;</w:t>
      </w:r>
    </w:p>
    <w:p>
      <w:pPr>
        <w:pStyle w:val="Defstart"/>
        <w:spacing w:before="60"/>
      </w:pPr>
      <w:r>
        <w:tab/>
      </w:r>
      <w:r>
        <w:rPr>
          <w:rStyle w:val="CharDefText"/>
        </w:rPr>
        <w:t>unpaid infringement amount</w:t>
      </w:r>
      <w:r>
        <w:t>, in relation to a registered infringement notice, means that amount of the modified penalty, and enforcement fees, specified in the order to pay or elect for the infringement notice that has not been paid or recovered under an enforcement warrant.</w:t>
      </w:r>
    </w:p>
    <w:p>
      <w:pPr>
        <w:pStyle w:val="Footnotesection"/>
      </w:pPr>
      <w:r>
        <w:tab/>
        <w:t>[Section 11 amended: No. 84 of 2004 s. 80; No. 48 of 2012 s. 9; No. 25 of 2020 s. 16.]</w:t>
      </w:r>
    </w:p>
    <w:p>
      <w:pPr>
        <w:pStyle w:val="Heading5"/>
        <w:rPr>
          <w:snapToGrid w:val="0"/>
        </w:rPr>
      </w:pPr>
      <w:bookmarkStart w:id="48" w:name="_Toc51665532"/>
      <w:r>
        <w:rPr>
          <w:rStyle w:val="CharSectno"/>
        </w:rPr>
        <w:t>12</w:t>
      </w:r>
      <w:r>
        <w:rPr>
          <w:snapToGrid w:val="0"/>
        </w:rPr>
        <w:t>.</w:t>
      </w:r>
      <w:r>
        <w:rPr>
          <w:snapToGrid w:val="0"/>
        </w:rPr>
        <w:tab/>
        <w:t>Application</w:t>
      </w:r>
      <w:bookmarkEnd w:id="4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49" w:name="_Toc51665533"/>
      <w:r>
        <w:rPr>
          <w:rStyle w:val="CharSectno"/>
        </w:rPr>
        <w:t>13</w:t>
      </w:r>
      <w:r>
        <w:rPr>
          <w:snapToGrid w:val="0"/>
        </w:rPr>
        <w:t>.</w:t>
      </w:r>
      <w:r>
        <w:rPr>
          <w:snapToGrid w:val="0"/>
        </w:rPr>
        <w:tab/>
        <w:t>Approved prosecuting authorities and officers</w:t>
      </w:r>
      <w:bookmarkEnd w:id="4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50" w:name="_Toc51245536"/>
      <w:bookmarkStart w:id="51" w:name="_Toc51317092"/>
      <w:bookmarkStart w:id="52" w:name="_Toc51319728"/>
      <w:bookmarkStart w:id="53" w:name="_Toc51320181"/>
      <w:bookmarkStart w:id="54" w:name="_Toc51581121"/>
      <w:bookmarkStart w:id="55" w:name="_Toc51581426"/>
      <w:bookmarkStart w:id="56" w:name="_Toc51665534"/>
      <w:r>
        <w:rPr>
          <w:rStyle w:val="CharDivNo"/>
        </w:rPr>
        <w:t>Division 2</w:t>
      </w:r>
      <w:r>
        <w:rPr>
          <w:snapToGrid w:val="0"/>
        </w:rPr>
        <w:t> — </w:t>
      </w:r>
      <w:r>
        <w:rPr>
          <w:rStyle w:val="CharDivText"/>
        </w:rPr>
        <w:t>Enforcement of infringement notices</w:t>
      </w:r>
      <w:bookmarkEnd w:id="50"/>
      <w:bookmarkEnd w:id="51"/>
      <w:bookmarkEnd w:id="52"/>
      <w:bookmarkEnd w:id="53"/>
      <w:bookmarkEnd w:id="54"/>
      <w:bookmarkEnd w:id="55"/>
      <w:bookmarkEnd w:id="56"/>
    </w:p>
    <w:p>
      <w:pPr>
        <w:pStyle w:val="Heading5"/>
        <w:rPr>
          <w:snapToGrid w:val="0"/>
        </w:rPr>
      </w:pPr>
      <w:bookmarkStart w:id="57" w:name="_Toc51665535"/>
      <w:r>
        <w:rPr>
          <w:rStyle w:val="CharSectno"/>
        </w:rPr>
        <w:t>14</w:t>
      </w:r>
      <w:r>
        <w:rPr>
          <w:snapToGrid w:val="0"/>
        </w:rPr>
        <w:t>.</w:t>
      </w:r>
      <w:r>
        <w:rPr>
          <w:snapToGrid w:val="0"/>
        </w:rPr>
        <w:tab/>
        <w:t>Final demand may be issued to alleged offender</w:t>
      </w:r>
      <w:bookmarkEnd w:id="57"/>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58" w:name="_Toc51665536"/>
      <w:r>
        <w:rPr>
          <w:rStyle w:val="CharSectno"/>
        </w:rPr>
        <w:t>15</w:t>
      </w:r>
      <w:r>
        <w:rPr>
          <w:snapToGrid w:val="0"/>
        </w:rPr>
        <w:t>.</w:t>
      </w:r>
      <w:r>
        <w:rPr>
          <w:snapToGrid w:val="0"/>
        </w:rPr>
        <w:tab/>
        <w:t>Infringement notice may be registered</w:t>
      </w:r>
      <w:bookmarkEnd w:id="58"/>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59" w:name="_Toc51665537"/>
      <w:r>
        <w:rPr>
          <w:rStyle w:val="CharSectno"/>
        </w:rPr>
        <w:t>16</w:t>
      </w:r>
      <w:r>
        <w:rPr>
          <w:snapToGrid w:val="0"/>
        </w:rPr>
        <w:t>.</w:t>
      </w:r>
      <w:r>
        <w:rPr>
          <w:snapToGrid w:val="0"/>
        </w:rPr>
        <w:tab/>
        <w:t>Registration of infringement notice: enforcement certificate</w:t>
      </w:r>
      <w:bookmarkEnd w:id="59"/>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t>any information prescribed by the regulations,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 No. 25 of 2020 s. 17.]</w:t>
      </w:r>
    </w:p>
    <w:p>
      <w:pPr>
        <w:pStyle w:val="Heading5"/>
        <w:rPr>
          <w:snapToGrid w:val="0"/>
        </w:rPr>
      </w:pPr>
      <w:bookmarkStart w:id="60" w:name="_Toc51665538"/>
      <w:r>
        <w:rPr>
          <w:rStyle w:val="CharSectno"/>
        </w:rPr>
        <w:t>17</w:t>
      </w:r>
      <w:r>
        <w:rPr>
          <w:snapToGrid w:val="0"/>
        </w:rPr>
        <w:t>.</w:t>
      </w:r>
      <w:r>
        <w:rPr>
          <w:snapToGrid w:val="0"/>
        </w:rPr>
        <w:tab/>
        <w:t>Order to pay or elect</w:t>
      </w:r>
      <w:bookmarkEnd w:id="60"/>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 No. 25 of 2020 s. 18.]</w:t>
      </w:r>
    </w:p>
    <w:p>
      <w:pPr>
        <w:pStyle w:val="Heading5"/>
        <w:rPr>
          <w:snapToGrid w:val="0"/>
        </w:rPr>
      </w:pPr>
      <w:bookmarkStart w:id="61" w:name="_Toc51665539"/>
      <w:r>
        <w:rPr>
          <w:rStyle w:val="CharSectno"/>
        </w:rPr>
        <w:t>18</w:t>
      </w:r>
      <w:r>
        <w:rPr>
          <w:snapToGrid w:val="0"/>
        </w:rPr>
        <w:t>.</w:t>
      </w:r>
      <w:r>
        <w:rPr>
          <w:snapToGrid w:val="0"/>
        </w:rPr>
        <w:tab/>
        <w:t>Notice of intention to enforce</w:t>
      </w:r>
      <w:bookmarkEnd w:id="6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the unpaid infringement amount in respect of the infringement notice to which the order relates has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the unpaid infringement amount in respect of the infringement notice to which the order relates is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 xml:space="preserve">explain that if a licence suspension order is made it will </w:t>
      </w:r>
      <w:r>
        <w:t>generally</w:t>
      </w:r>
      <w:r>
        <w:rPr>
          <w:snapToGrid w:val="0"/>
        </w:rPr>
        <w:t xml:space="preserve">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(ca)</w:t>
      </w:r>
      <w:r>
        <w:tab/>
        <w:t>state that a licence suspension order cannot be made in respect of an alleged offender who is an individual if the alleged offender’s last known address is in a remote area; and</w:t>
      </w:r>
    </w:p>
    <w:p>
      <w:pPr>
        <w:pStyle w:val="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 No. 25 of 2020 s. 19.]</w:t>
      </w:r>
    </w:p>
    <w:p>
      <w:pPr>
        <w:pStyle w:val="Heading5"/>
        <w:rPr>
          <w:snapToGrid w:val="0"/>
        </w:rPr>
      </w:pPr>
      <w:bookmarkStart w:id="62" w:name="_Toc51665540"/>
      <w:r>
        <w:rPr>
          <w:rStyle w:val="CharSectno"/>
        </w:rPr>
        <w:t>19</w:t>
      </w:r>
      <w:r>
        <w:rPr>
          <w:snapToGrid w:val="0"/>
        </w:rPr>
        <w:t>.</w:t>
      </w:r>
      <w:r>
        <w:rPr>
          <w:snapToGrid w:val="0"/>
        </w:rPr>
        <w:tab/>
        <w:t>Licence suspension order</w:t>
      </w:r>
      <w:bookmarkEnd w:id="6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in relation to an infringement notice; and</w:t>
      </w:r>
    </w:p>
    <w:p>
      <w:pPr>
        <w:pStyle w:val="Indenta"/>
        <w:rPr>
          <w:snapToGrid w:val="0"/>
        </w:rPr>
      </w:pPr>
      <w:r>
        <w:rPr>
          <w:snapToGrid w:val="0"/>
        </w:rPr>
        <w:tab/>
        <w:t>(b)</w:t>
      </w:r>
      <w:r>
        <w:rPr>
          <w:snapToGrid w:val="0"/>
        </w:rPr>
        <w:tab/>
        <w:t xml:space="preserve">the </w:t>
      </w:r>
      <w:r>
        <w:t>unpaid infringement amount in respect of the infringement notice has</w:t>
      </w:r>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alleged offender who is an individual if — </w:t>
      </w:r>
    </w:p>
    <w:p>
      <w:pPr>
        <w:pStyle w:val="Indenta"/>
      </w:pPr>
      <w:r>
        <w:tab/>
        <w:t>(a)</w:t>
      </w:r>
      <w:r>
        <w:tab/>
        <w:t>the alleged offender’s last known address is in a remote area; or</w:t>
      </w:r>
    </w:p>
    <w:p>
      <w:pPr>
        <w:pStyle w:val="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 xml:space="preserve">the Registrar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alleged offender who is an individual can request that the order be cancelled under section 20A(1).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 No. 25 of 2020 s. 20.]</w:t>
      </w:r>
    </w:p>
    <w:p>
      <w:pPr>
        <w:pStyle w:val="Heading5"/>
        <w:rPr>
          <w:snapToGrid w:val="0"/>
        </w:rPr>
      </w:pPr>
      <w:bookmarkStart w:id="63" w:name="_Toc51665541"/>
      <w:r>
        <w:rPr>
          <w:rStyle w:val="CharSectno"/>
        </w:rPr>
        <w:t>20</w:t>
      </w:r>
      <w:r>
        <w:rPr>
          <w:snapToGrid w:val="0"/>
        </w:rPr>
        <w:t>.</w:t>
      </w:r>
      <w:r>
        <w:rPr>
          <w:snapToGrid w:val="0"/>
        </w:rPr>
        <w:tab/>
        <w:t>Cancelling licence suspension orders</w:t>
      </w:r>
      <w:bookmarkEnd w:id="63"/>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pPr>
      <w:r>
        <w:tab/>
        <w:t>(2A)</w:t>
      </w:r>
      <w:r>
        <w:tab/>
        <w:t>The Registrar must cancel a licence suspension order if the alleged offender gives the Registrar a notice stating that the alleged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t xml:space="preserve">If a licence suspension order is cancelled under </w:t>
      </w:r>
      <w:r>
        <w:t xml:space="preserve">subsection (2) or (2A) or section 20A(5)(b),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20A(5)(b), </w:t>
      </w:r>
      <w:r>
        <w:rPr>
          <w:snapToGrid w:val="0"/>
        </w:rPr>
        <w:t>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 No. 25 of 2020 s. 21.]</w:t>
      </w:r>
    </w:p>
    <w:p>
      <w:pPr>
        <w:pStyle w:val="Heading5"/>
      </w:pPr>
      <w:bookmarkStart w:id="64" w:name="_Toc51665542"/>
      <w:r>
        <w:rPr>
          <w:rStyle w:val="CharSectno"/>
        </w:rPr>
        <w:t>20A</w:t>
      </w:r>
      <w:r>
        <w:t>.</w:t>
      </w:r>
      <w:r>
        <w:tab/>
        <w:t>Alleged offender may request cancellation of licence suspension order</w:t>
      </w:r>
      <w:bookmarkEnd w:id="64"/>
    </w:p>
    <w:p>
      <w:pPr>
        <w:pStyle w:val="Subsection"/>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Subsection"/>
      </w:pPr>
      <w:r>
        <w:tab/>
        <w:t>(2)</w:t>
      </w:r>
      <w:r>
        <w:tab/>
        <w:t>A request under subsection (1) cannot be made if an election has been made under section 21.</w:t>
      </w:r>
    </w:p>
    <w:p>
      <w:pPr>
        <w:pStyle w:val="Subsection"/>
      </w:pPr>
      <w:r>
        <w:tab/>
        <w:t>(3)</w:t>
      </w:r>
      <w:r>
        <w:tab/>
        <w:t xml:space="preserve">A request under subsection (1) may be made by an alleged offender if — </w:t>
      </w:r>
    </w:p>
    <w:p>
      <w:pPr>
        <w:pStyle w:val="Indenta"/>
      </w:pPr>
      <w:r>
        <w:tab/>
        <w:t>(a)</w:t>
      </w:r>
      <w:r>
        <w:tab/>
        <w:t xml:space="preserve">the licence suspension order deprives the alleged offender of — </w:t>
      </w:r>
    </w:p>
    <w:p>
      <w:pPr>
        <w:pStyle w:val="Indenti"/>
      </w:pPr>
      <w:r>
        <w:tab/>
        <w:t>(i)</w:t>
      </w:r>
      <w:r>
        <w:tab/>
        <w:t>the means of obtaining urgent medical treatment for an illness, disease or disability known to be suffered by the alleged offender or a member of the alleged offender’s family; or</w:t>
      </w:r>
    </w:p>
    <w:p>
      <w:pPr>
        <w:pStyle w:val="Indenti"/>
      </w:pPr>
      <w:r>
        <w:tab/>
        <w:t>(ii)</w:t>
      </w:r>
      <w:r>
        <w:tab/>
        <w:t>the principal means of obtaining income with which to pay the unpaid infringement amount;</w:t>
      </w:r>
    </w:p>
    <w:p>
      <w:pPr>
        <w:pStyle w:val="Indenta"/>
      </w:pPr>
      <w:r>
        <w:tab/>
      </w:r>
      <w:r>
        <w:tab/>
        <w:t>or</w:t>
      </w:r>
    </w:p>
    <w:p>
      <w:pPr>
        <w:pStyle w:val="Indenta"/>
      </w:pPr>
      <w:r>
        <w:tab/>
        <w:t>(b)</w:t>
      </w:r>
      <w:r>
        <w:tab/>
        <w:t>the licence suspension order seriously hinders the alleged offender in performing family or personal responsibilities.</w:t>
      </w:r>
    </w:p>
    <w:p>
      <w:pPr>
        <w:pStyle w:val="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Subsection"/>
        <w:keepNext/>
      </w:pPr>
      <w:r>
        <w:tab/>
        <w:t>(5)</w:t>
      </w:r>
      <w:r>
        <w:tab/>
        <w:t xml:space="preserve">If the Registrar is satisfied that subsection (3) applies to the alleged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19 in respect of the alleged offender and the infringement notice unless — </w:t>
      </w:r>
    </w:p>
    <w:p>
      <w:pPr>
        <w:pStyle w:val="Indenti"/>
      </w:pPr>
      <w:r>
        <w:tab/>
        <w:t>(i)</w:t>
      </w:r>
      <w:r>
        <w:tab/>
        <w:t>the Registrar is satisfied that subsection (3) no longer applies to the alleged offender; or</w:t>
      </w:r>
    </w:p>
    <w:p>
      <w:pPr>
        <w:pStyle w:val="Indenti"/>
      </w:pPr>
      <w:r>
        <w:tab/>
        <w:t>(ii)</w:t>
      </w:r>
      <w:r>
        <w:tab/>
        <w:t>the Registrar makes a request under section 20B(2) and the alleged offender does not comply with the request.</w:t>
      </w:r>
    </w:p>
    <w:p>
      <w:pPr>
        <w:pStyle w:val="Footnotesection"/>
      </w:pPr>
      <w:r>
        <w:tab/>
        <w:t>[Section 20A inserted: No. 25 of 2020 s. 22.]</w:t>
      </w:r>
    </w:p>
    <w:p>
      <w:pPr>
        <w:pStyle w:val="Heading5"/>
      </w:pPr>
      <w:bookmarkStart w:id="65" w:name="_Toc51665543"/>
      <w:r>
        <w:rPr>
          <w:rStyle w:val="CharSectno"/>
        </w:rPr>
        <w:t>20B</w:t>
      </w:r>
      <w:r>
        <w:t>.</w:t>
      </w:r>
      <w:r>
        <w:tab/>
        <w:t>Registrar may request further information</w:t>
      </w:r>
      <w:bookmarkEnd w:id="65"/>
    </w:p>
    <w:p>
      <w:pPr>
        <w:pStyle w:val="Subsection"/>
      </w:pPr>
      <w:r>
        <w:tab/>
        <w:t>(1)</w:t>
      </w:r>
      <w:r>
        <w:tab/>
        <w:t xml:space="preserve">This section applies if the Registrar — </w:t>
      </w:r>
    </w:p>
    <w:p>
      <w:pPr>
        <w:pStyle w:val="Indenta"/>
      </w:pPr>
      <w:r>
        <w:tab/>
        <w:t>(a)</w:t>
      </w:r>
      <w:r>
        <w:tab/>
        <w:t>does not make a licence suspension order in respect of an alleged offender because of section 19(2A)(b); or</w:t>
      </w:r>
    </w:p>
    <w:p>
      <w:pPr>
        <w:pStyle w:val="Indenta"/>
      </w:pPr>
      <w:r>
        <w:tab/>
        <w:t>(b)</w:t>
      </w:r>
      <w:r>
        <w:tab/>
        <w:t>agrees to an alleged offender’s request under section 20A(1) to cancel a licence suspension order.</w:t>
      </w:r>
    </w:p>
    <w:p>
      <w:pPr>
        <w:pStyle w:val="Subsection"/>
      </w:pPr>
      <w:r>
        <w:tab/>
        <w:t>(2)</w:t>
      </w:r>
      <w:r>
        <w:tab/>
        <w:t>The Registrar may request the alleged offender to provide, by a specified date, information or evidence in relation to whether section 20A(3) would apply if a licence suspension order were made in relation to the alleged offender.</w:t>
      </w:r>
    </w:p>
    <w:p>
      <w:pPr>
        <w:pStyle w:val="Subsection"/>
      </w:pPr>
      <w:r>
        <w:tab/>
        <w:t>(3)</w:t>
      </w:r>
      <w:r>
        <w:tab/>
        <w:t>The request must be in writing and must be served on the alleged offender.</w:t>
      </w:r>
    </w:p>
    <w:p>
      <w:pPr>
        <w:pStyle w:val="Subsection"/>
      </w:pPr>
      <w:r>
        <w:tab/>
        <w:t>(4)</w:t>
      </w:r>
      <w:r>
        <w:tab/>
        <w:t>The Registrar must not make a request under subsection (2) more than once in every period of 12 months unless the Registrar is advised that the personal circumstances of the alleged offender have changed.</w:t>
      </w:r>
    </w:p>
    <w:p>
      <w:pPr>
        <w:pStyle w:val="Subsection"/>
      </w:pPr>
      <w:r>
        <w:tab/>
        <w:t>(5)</w:t>
      </w:r>
      <w:r>
        <w:tab/>
        <w:t>If the alleged offender does not comply with a request under subsection (2) the Registrar may, for the purposes of section 19(2A)(b), presume that section 20A(3) would not apply to the alleged offender if a licence suspension order were made.</w:t>
      </w:r>
    </w:p>
    <w:p>
      <w:pPr>
        <w:pStyle w:val="Footnotesection"/>
      </w:pPr>
      <w:r>
        <w:tab/>
        <w:t>[Section 20B inserted: No. 25 of 2020 s. 22.]</w:t>
      </w:r>
    </w:p>
    <w:p>
      <w:pPr>
        <w:pStyle w:val="Heading5"/>
      </w:pPr>
      <w:bookmarkStart w:id="66" w:name="_Toc51665544"/>
      <w:r>
        <w:rPr>
          <w:rStyle w:val="CharSectno"/>
        </w:rPr>
        <w:t>21A</w:t>
      </w:r>
      <w:r>
        <w:t>.</w:t>
      </w:r>
      <w:r>
        <w:tab/>
        <w:t>Enforcement warrant</w:t>
      </w:r>
      <w:bookmarkEnd w:id="66"/>
    </w:p>
    <w:p>
      <w:pPr>
        <w:pStyle w:val="Subsection"/>
      </w:pPr>
      <w:r>
        <w:tab/>
        <w:t>(1)</w:t>
      </w:r>
      <w:r>
        <w:tab/>
        <w:t xml:space="preserve">If — </w:t>
      </w:r>
    </w:p>
    <w:p>
      <w:pPr>
        <w:pStyle w:val="Indenta"/>
      </w:pPr>
      <w:r>
        <w:tab/>
        <w:t>(a)</w:t>
      </w:r>
      <w:r>
        <w:tab/>
        <w:t>28 days have elapsed since the day on which a notice of intention to enforce was issued in relation to an infringement notice; and</w:t>
      </w:r>
    </w:p>
    <w:p>
      <w:pPr>
        <w:pStyle w:val="Indenta"/>
      </w:pPr>
      <w:r>
        <w:tab/>
        <w:t>(b)</w:t>
      </w:r>
      <w:r>
        <w:tab/>
        <w:t>the unpaid infringement amount in respect of the infringement notice has not been paid to the Registry; and</w:t>
      </w:r>
    </w:p>
    <w:p>
      <w:pPr>
        <w:pStyle w:val="Indenta"/>
      </w:pPr>
      <w:r>
        <w:tab/>
        <w:t>(c)</w:t>
      </w:r>
      <w:r>
        <w:tab/>
        <w:t>the alleged offender has not made an election under section 21,</w:t>
      </w:r>
    </w:p>
    <w:p>
      <w:pPr>
        <w:pStyle w:val="Ednotepara"/>
      </w:pPr>
      <w:r>
        <w:tab/>
        <w:t>[(d)</w:t>
      </w:r>
      <w:r>
        <w:tab/>
        <w:t>deleted]</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unpaid infringement amount in respect of the infringement notice.</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 amended: No. 25 of 2020 s. 23.]</w:t>
      </w:r>
    </w:p>
    <w:p>
      <w:pPr>
        <w:pStyle w:val="Heading3"/>
      </w:pPr>
      <w:bookmarkStart w:id="67" w:name="_Toc51317103"/>
      <w:bookmarkStart w:id="68" w:name="_Toc51319739"/>
      <w:bookmarkStart w:id="69" w:name="_Toc51320192"/>
      <w:bookmarkStart w:id="70" w:name="_Toc51581132"/>
      <w:bookmarkStart w:id="71" w:name="_Toc51581437"/>
      <w:bookmarkStart w:id="72" w:name="_Toc51665545"/>
      <w:bookmarkStart w:id="73" w:name="_Toc51245545"/>
      <w:r>
        <w:rPr>
          <w:rStyle w:val="CharDivNo"/>
        </w:rPr>
        <w:t>Division 2A</w:t>
      </w:r>
      <w:r>
        <w:t> — </w:t>
      </w:r>
      <w:r>
        <w:rPr>
          <w:rStyle w:val="CharDivText"/>
        </w:rPr>
        <w:t>Time to pay orders</w:t>
      </w:r>
      <w:bookmarkEnd w:id="67"/>
      <w:bookmarkEnd w:id="68"/>
      <w:bookmarkEnd w:id="69"/>
      <w:bookmarkEnd w:id="70"/>
      <w:bookmarkEnd w:id="71"/>
      <w:bookmarkEnd w:id="72"/>
    </w:p>
    <w:p>
      <w:pPr>
        <w:pStyle w:val="Footnoteheading"/>
        <w:keepNext/>
      </w:pPr>
      <w:r>
        <w:tab/>
        <w:t>[Heading inserted: No. 25 of 2020 s. 24.]</w:t>
      </w:r>
    </w:p>
    <w:p>
      <w:pPr>
        <w:pStyle w:val="Heading5"/>
      </w:pPr>
      <w:bookmarkStart w:id="74" w:name="_Toc51665546"/>
      <w:r>
        <w:rPr>
          <w:rStyle w:val="CharSectno"/>
        </w:rPr>
        <w:t>21B</w:t>
      </w:r>
      <w:r>
        <w:t>.</w:t>
      </w:r>
      <w:r>
        <w:tab/>
        <w:t>Application for time to pay order</w:t>
      </w:r>
      <w:bookmarkEnd w:id="74"/>
    </w:p>
    <w:p>
      <w:pPr>
        <w:pStyle w:val="Subsection"/>
      </w:pPr>
      <w:r>
        <w:tab/>
        <w:t>(1)</w:t>
      </w:r>
      <w:r>
        <w:tab/>
        <w:t>An alleged offender may apply to the Registrar for a time to pay order in respect of an infringement notice that has been registered.</w:t>
      </w:r>
    </w:p>
    <w:p>
      <w:pPr>
        <w:pStyle w:val="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Subsection"/>
      </w:pPr>
      <w:r>
        <w:tab/>
        <w:t>(3)</w:t>
      </w:r>
      <w:r>
        <w:tab/>
        <w:t xml:space="preserve">An application under subsection (1) — </w:t>
      </w:r>
    </w:p>
    <w:p>
      <w:pPr>
        <w:pStyle w:val="Indenta"/>
      </w:pPr>
      <w:r>
        <w:tab/>
        <w:t>(a)</w:t>
      </w:r>
      <w:r>
        <w:tab/>
        <w:t>can be made at any time after the infringement notice is registered, whether or not a licence suspension order is in force in respect of the alleged offender and the infringement notice; but</w:t>
      </w:r>
    </w:p>
    <w:p>
      <w:pPr>
        <w:pStyle w:val="Indenta"/>
        <w:keepNext/>
      </w:pPr>
      <w:r>
        <w:tab/>
        <w:t>(b)</w:t>
      </w:r>
      <w:r>
        <w:tab/>
        <w:t xml:space="preserve">cannot be made if — </w:t>
      </w:r>
    </w:p>
    <w:p>
      <w:pPr>
        <w:pStyle w:val="Indenti"/>
      </w:pPr>
      <w:r>
        <w:tab/>
        <w:t>(i)</w:t>
      </w:r>
      <w:r>
        <w:tab/>
        <w:t>an enforcement warrant is in force in relation to the alleged offender and the infringement notice; or</w:t>
      </w:r>
    </w:p>
    <w:p>
      <w:pPr>
        <w:pStyle w:val="Indenti"/>
      </w:pPr>
      <w:r>
        <w:tab/>
        <w:t>(ii)</w:t>
      </w:r>
      <w:r>
        <w:tab/>
        <w:t>the alleged offender has made an election under section 21.</w:t>
      </w:r>
    </w:p>
    <w:p>
      <w:pPr>
        <w:pStyle w:val="Footnotesection"/>
      </w:pPr>
      <w:r>
        <w:tab/>
        <w:t>[Section 21B inserted: No. 25 of 2020 s. 24.]</w:t>
      </w:r>
    </w:p>
    <w:p>
      <w:pPr>
        <w:pStyle w:val="Heading5"/>
      </w:pPr>
      <w:bookmarkStart w:id="75" w:name="_Toc51665547"/>
      <w:r>
        <w:rPr>
          <w:rStyle w:val="CharSectno"/>
        </w:rPr>
        <w:t>21C</w:t>
      </w:r>
      <w:r>
        <w:t>.</w:t>
      </w:r>
      <w:r>
        <w:tab/>
        <w:t>Making time to pay order</w:t>
      </w:r>
      <w:bookmarkEnd w:id="75"/>
    </w:p>
    <w:p>
      <w:pPr>
        <w:pStyle w:val="Subsection"/>
      </w:pPr>
      <w:r>
        <w:tab/>
        <w:t>(1)</w:t>
      </w:r>
      <w:r>
        <w:tab/>
        <w:t>On an application under section 21B, the Registrar may require the alleged offender to undergo a means test.</w:t>
      </w:r>
    </w:p>
    <w:p>
      <w:pPr>
        <w:pStyle w:val="Subsection"/>
      </w:pPr>
      <w:r>
        <w:tab/>
        <w:t>(2)</w:t>
      </w:r>
      <w:r>
        <w:tab/>
        <w:t>On an application under section 21B, the Registrar, if the Registrar thinks fit, may make a time to pay order.</w:t>
      </w:r>
    </w:p>
    <w:p>
      <w:pPr>
        <w:pStyle w:val="Subsection"/>
        <w:keepNext/>
      </w:pPr>
      <w:r>
        <w:tab/>
        <w:t>(3)</w:t>
      </w:r>
      <w:r>
        <w:tab/>
        <w:t xml:space="preserve">The Registrar must make a time to pay order on an application under section 21B if the Registrar is satisfied that — </w:t>
      </w:r>
    </w:p>
    <w:p>
      <w:pPr>
        <w:pStyle w:val="Indenta"/>
      </w:pPr>
      <w:r>
        <w:tab/>
        <w:t>(a)</w:t>
      </w:r>
      <w:r>
        <w:tab/>
        <w:t>the alleged offender does not have the means to pay the unpaid infringement amount in respect of the infringement notice within 28 days after the application is made; and</w:t>
      </w:r>
    </w:p>
    <w:p>
      <w:pPr>
        <w:pStyle w:val="Indenta"/>
      </w:pPr>
      <w:r>
        <w:tab/>
        <w:t>(b)</w:t>
      </w:r>
      <w:r>
        <w:tab/>
        <w:t>the alleged offender’s offer to pay the unpaid infringement amount by a specified date or by regular instalments is reasonable; and</w:t>
      </w:r>
    </w:p>
    <w:p>
      <w:pPr>
        <w:pStyle w:val="Indenta"/>
      </w:pPr>
      <w:r>
        <w:tab/>
        <w:t>(c)</w:t>
      </w:r>
      <w:r>
        <w:tab/>
        <w:t xml:space="preserve">either — </w:t>
      </w:r>
    </w:p>
    <w:p>
      <w:pPr>
        <w:pStyle w:val="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Indenti"/>
      </w:pPr>
      <w:r>
        <w:tab/>
        <w:t>(ii)</w:t>
      </w:r>
      <w:r>
        <w:tab/>
        <w:t>there is a reasonable excuse for any previous contravention by the alleged offender of a time to pay order under this Act.</w:t>
      </w:r>
    </w:p>
    <w:p>
      <w:pPr>
        <w:pStyle w:val="Subsection"/>
        <w:keepNext/>
      </w:pPr>
      <w:r>
        <w:tab/>
        <w:t>(4)</w:t>
      </w:r>
      <w:r>
        <w:tab/>
        <w:t>A time to pay order may require the alleged offender —</w:t>
      </w:r>
    </w:p>
    <w:p>
      <w:pPr>
        <w:pStyle w:val="Indenta"/>
      </w:pPr>
      <w:r>
        <w:tab/>
        <w:t>(a)</w:t>
      </w:r>
      <w:r>
        <w:tab/>
        <w:t>to pay the unpaid infringement amount in respect of the infringement notice before a set date that is later than 28 days after the day on which the time to pay order is made; or</w:t>
      </w:r>
    </w:p>
    <w:p>
      <w:pPr>
        <w:pStyle w:val="Indenta"/>
      </w:pPr>
      <w:r>
        <w:tab/>
        <w:t>(b)</w:t>
      </w:r>
      <w:r>
        <w:tab/>
        <w:t>to pay the unpaid infringement amount in respect of the infringement notice by instalments on or before set dates.</w:t>
      </w:r>
    </w:p>
    <w:p>
      <w:pPr>
        <w:pStyle w:val="Subsection"/>
      </w:pPr>
      <w:r>
        <w:tab/>
        <w:t>(5)</w:t>
      </w:r>
      <w:r>
        <w:tab/>
        <w:t>A time to pay order must be served on the alleged offender.</w:t>
      </w:r>
    </w:p>
    <w:p>
      <w:pPr>
        <w:pStyle w:val="Subsection"/>
      </w:pPr>
      <w:r>
        <w:tab/>
        <w:t>(6)</w:t>
      </w:r>
      <w:r>
        <w:tab/>
        <w:t>If the Registrar refuses to make a time to pay order on an application under section 21B, notice of the refusal must be served on the alleged offender.</w:t>
      </w:r>
    </w:p>
    <w:p>
      <w:pPr>
        <w:pStyle w:val="Footnotesection"/>
      </w:pPr>
      <w:r>
        <w:tab/>
        <w:t>[Section 21C inserted: No. 25 of 2020 s. 24.]</w:t>
      </w:r>
    </w:p>
    <w:p>
      <w:pPr>
        <w:pStyle w:val="Heading5"/>
      </w:pPr>
      <w:bookmarkStart w:id="76" w:name="_Toc51665548"/>
      <w:r>
        <w:rPr>
          <w:rStyle w:val="CharSectno"/>
        </w:rPr>
        <w:t>21D</w:t>
      </w:r>
      <w:r>
        <w:t>.</w:t>
      </w:r>
      <w:r>
        <w:tab/>
        <w:t>Alleged offender may apply to have time to pay order amended</w:t>
      </w:r>
      <w:bookmarkEnd w:id="76"/>
    </w:p>
    <w:p>
      <w:pPr>
        <w:pStyle w:val="Subsection"/>
      </w:pPr>
      <w:r>
        <w:tab/>
        <w:t>(1)</w:t>
      </w:r>
      <w:r>
        <w:tab/>
        <w:t>An alleged offender who has obtained a time to pay order in respect of an infringement notice may apply to the Registrar, in accordance with the regulations, to have the time to pay order amended.</w:t>
      </w:r>
    </w:p>
    <w:p>
      <w:pPr>
        <w:pStyle w:val="Subsection"/>
      </w:pPr>
      <w:r>
        <w:tab/>
        <w:t>(2)</w:t>
      </w:r>
      <w:r>
        <w:tab/>
        <w:t>On an application the Registrar may require the alleged offender to undergo a means test.</w:t>
      </w:r>
    </w:p>
    <w:p>
      <w:pPr>
        <w:pStyle w:val="Subsection"/>
      </w:pPr>
      <w:r>
        <w:tab/>
        <w:t>(3)</w:t>
      </w:r>
      <w:r>
        <w:tab/>
        <w:t>On an application the Registrar, if the Registrar thinks fit, may amend a time to pay order.</w:t>
      </w:r>
    </w:p>
    <w:p>
      <w:pPr>
        <w:pStyle w:val="Subsection"/>
      </w:pPr>
      <w:r>
        <w:tab/>
        <w:t>(4)</w:t>
      </w:r>
      <w:r>
        <w:tab/>
        <w:t>An amended time to pay order must be served on the alleged offender.</w:t>
      </w:r>
    </w:p>
    <w:p>
      <w:pPr>
        <w:pStyle w:val="Subsection"/>
      </w:pPr>
      <w:r>
        <w:tab/>
        <w:t>(5)</w:t>
      </w:r>
      <w:r>
        <w:tab/>
        <w:t>If the Registrar refuses to amend a time to pay order, notice of the refusal must be served on the alleged offender.</w:t>
      </w:r>
    </w:p>
    <w:p>
      <w:pPr>
        <w:pStyle w:val="Footnotesection"/>
      </w:pPr>
      <w:r>
        <w:tab/>
        <w:t>[Section 21D inserted: No. 25 of 2020 s. 24.]</w:t>
      </w:r>
    </w:p>
    <w:p>
      <w:pPr>
        <w:pStyle w:val="Heading5"/>
      </w:pPr>
      <w:bookmarkStart w:id="77" w:name="_Toc51665549"/>
      <w:r>
        <w:rPr>
          <w:rStyle w:val="CharSectno"/>
        </w:rPr>
        <w:t>21E</w:t>
      </w:r>
      <w:r>
        <w:t>.</w:t>
      </w:r>
      <w:r>
        <w:tab/>
        <w:t>Registrar may amend time to pay order</w:t>
      </w:r>
      <w:bookmarkEnd w:id="77"/>
    </w:p>
    <w:p>
      <w:pPr>
        <w:pStyle w:val="Subsection"/>
      </w:pPr>
      <w:r>
        <w:tab/>
        <w:t>(1)</w:t>
      </w:r>
      <w:r>
        <w:tab/>
        <w:t>The Registrar may at any time request an alleged offender who has obtained a time to pay order in respect of an infringement notice to undergo a means test.</w:t>
      </w:r>
    </w:p>
    <w:p>
      <w:pPr>
        <w:pStyle w:val="Subsection"/>
      </w:pPr>
      <w:r>
        <w:tab/>
        <w:t>(2)</w:t>
      </w:r>
      <w:r>
        <w:tab/>
        <w:t>The request must be in writing and must be served on the alleged offender.</w:t>
      </w:r>
    </w:p>
    <w:p>
      <w:pPr>
        <w:pStyle w:val="Subsection"/>
      </w:pPr>
      <w:r>
        <w:tab/>
        <w:t>(3)</w:t>
      </w:r>
      <w:r>
        <w:tab/>
        <w:t>After means testing the alleged offender, the Registrar, if the Registrar thinks fit, may amend the time to pay order.</w:t>
      </w:r>
    </w:p>
    <w:p>
      <w:pPr>
        <w:pStyle w:val="Subsection"/>
      </w:pPr>
      <w:r>
        <w:tab/>
        <w:t>(4)</w:t>
      </w:r>
      <w:r>
        <w:tab/>
        <w:t>An amended time to pay order must be served on the alleged offender.</w:t>
      </w:r>
    </w:p>
    <w:p>
      <w:pPr>
        <w:pStyle w:val="Subsection"/>
      </w:pPr>
      <w:r>
        <w:tab/>
        <w:t>(5)</w:t>
      </w:r>
      <w:r>
        <w:tab/>
        <w:t>The Registrar must not require an alleged offender to undergo a means test more than once in every period of 12 months, unless the Registrar is advised that the financial circumstances of the alleged offender have changed.</w:t>
      </w:r>
    </w:p>
    <w:p>
      <w:pPr>
        <w:pStyle w:val="Footnotesection"/>
      </w:pPr>
      <w:r>
        <w:tab/>
        <w:t>[Section 21E inserted: No. 25 of 2020 s. 24.]</w:t>
      </w:r>
    </w:p>
    <w:p>
      <w:pPr>
        <w:pStyle w:val="Heading5"/>
      </w:pPr>
      <w:bookmarkStart w:id="78" w:name="_Toc51665550"/>
      <w:r>
        <w:rPr>
          <w:rStyle w:val="CharSectno"/>
        </w:rPr>
        <w:t>21F</w:t>
      </w:r>
      <w:r>
        <w:t>.</w:t>
      </w:r>
      <w:r>
        <w:tab/>
        <w:t>Payments ordered must be within means of alleged offender</w:t>
      </w:r>
      <w:bookmarkEnd w:id="78"/>
    </w:p>
    <w:p>
      <w:pPr>
        <w:pStyle w:val="Subsection"/>
      </w:pPr>
      <w:r>
        <w:tab/>
      </w:r>
      <w:r>
        <w:tab/>
        <w:t>In making or amending a time to pay order, the Registrar must ensure that any payment to be made under the order is within the alleged offender’s means to pay it.</w:t>
      </w:r>
    </w:p>
    <w:p>
      <w:pPr>
        <w:pStyle w:val="Footnotesection"/>
      </w:pPr>
      <w:r>
        <w:tab/>
        <w:t>[Section 21F inserted: No. 25 of 2020 s. 24.]</w:t>
      </w:r>
    </w:p>
    <w:p>
      <w:pPr>
        <w:pStyle w:val="Heading5"/>
      </w:pPr>
      <w:bookmarkStart w:id="79" w:name="_Toc51665551"/>
      <w:r>
        <w:rPr>
          <w:rStyle w:val="CharSectno"/>
        </w:rPr>
        <w:t>21G</w:t>
      </w:r>
      <w:r>
        <w:t>.</w:t>
      </w:r>
      <w:r>
        <w:tab/>
        <w:t>Registrar may cancel time to pay order</w:t>
      </w:r>
      <w:bookmarkEnd w:id="79"/>
    </w:p>
    <w:p>
      <w:pPr>
        <w:pStyle w:val="Subsection"/>
      </w:pPr>
      <w:r>
        <w:tab/>
        <w:t>(1)</w:t>
      </w:r>
      <w:r>
        <w:tab/>
        <w:t xml:space="preserve">The Registrar may cancel a time to pay order if the alleged offender — </w:t>
      </w:r>
    </w:p>
    <w:p>
      <w:pPr>
        <w:pStyle w:val="Indenta"/>
      </w:pPr>
      <w:r>
        <w:tab/>
        <w:t>(a)</w:t>
      </w:r>
      <w:r>
        <w:tab/>
        <w:t>contravenes the order; or</w:t>
      </w:r>
    </w:p>
    <w:p>
      <w:pPr>
        <w:pStyle w:val="Indenta"/>
      </w:pPr>
      <w:r>
        <w:tab/>
        <w:t>(b)</w:t>
      </w:r>
      <w:r>
        <w:tab/>
        <w:t>does not comply with a request made under section 21E(1).</w:t>
      </w:r>
    </w:p>
    <w:p>
      <w:pPr>
        <w:pStyle w:val="Subsection"/>
      </w:pPr>
      <w:r>
        <w:tab/>
        <w:t>(2)</w:t>
      </w:r>
      <w:r>
        <w:tab/>
        <w:t>Notice of the cancellation must be served on the alleged offender.</w:t>
      </w:r>
    </w:p>
    <w:p>
      <w:pPr>
        <w:pStyle w:val="Footnotesection"/>
      </w:pPr>
      <w:r>
        <w:tab/>
        <w:t>[Section 21G inserted: No. 25 of 2020 s. 24.]</w:t>
      </w:r>
    </w:p>
    <w:p>
      <w:pPr>
        <w:pStyle w:val="Heading5"/>
      </w:pPr>
      <w:bookmarkStart w:id="80" w:name="_Toc51665552"/>
      <w:r>
        <w:rPr>
          <w:rStyle w:val="CharSectno"/>
        </w:rPr>
        <w:t>21H</w:t>
      </w:r>
      <w:r>
        <w:t>.</w:t>
      </w:r>
      <w:r>
        <w:tab/>
        <w:t>Enforcement action suspended while time to pay order is in force</w:t>
      </w:r>
      <w:bookmarkEnd w:id="80"/>
    </w:p>
    <w:p>
      <w:pPr>
        <w:pStyle w:val="Subsection"/>
      </w:pPr>
      <w:r>
        <w:tab/>
        <w:t>(1)</w:t>
      </w:r>
      <w:r>
        <w:tab/>
        <w:t>If the Registrar makes a time to pay order in respect of an infringement notice, the Registrar must, as soon as practicable, cancel any licence suspension order in force in relation to the infringement notice.</w:t>
      </w:r>
    </w:p>
    <w:p>
      <w:pPr>
        <w:pStyle w:val="Subsection"/>
      </w:pPr>
      <w:r>
        <w:tab/>
        <w:t>(2)</w:t>
      </w:r>
      <w:r>
        <w:tab/>
        <w:t xml:space="preserve">If a time to pay order is in force in respect of an infringement notice, the Registrar must not, despite any other provision of this Part — </w:t>
      </w:r>
    </w:p>
    <w:p>
      <w:pPr>
        <w:pStyle w:val="Indenta"/>
      </w:pPr>
      <w:r>
        <w:tab/>
        <w:t>(a)</w:t>
      </w:r>
      <w:r>
        <w:tab/>
        <w:t>issue a notice of intention to enforce under section 18 in relation to the infringement notice; or</w:t>
      </w:r>
    </w:p>
    <w:p>
      <w:pPr>
        <w:pStyle w:val="Indenta"/>
      </w:pPr>
      <w:r>
        <w:tab/>
        <w:t>(b)</w:t>
      </w:r>
      <w:r>
        <w:tab/>
        <w:t>make a licence suspension order in relation to the infringement notice; or</w:t>
      </w:r>
    </w:p>
    <w:p>
      <w:pPr>
        <w:pStyle w:val="Indenta"/>
      </w:pPr>
      <w:r>
        <w:tab/>
        <w:t>(c)</w:t>
      </w:r>
      <w:r>
        <w:tab/>
        <w:t>issue an enforcement warrant in relation to the infringement notice.</w:t>
      </w:r>
    </w:p>
    <w:p>
      <w:pPr>
        <w:pStyle w:val="Footnotesection"/>
      </w:pPr>
      <w:r>
        <w:tab/>
        <w:t>[Section 21H inserted: No. 25 of 2020 s. 24.]</w:t>
      </w:r>
    </w:p>
    <w:p>
      <w:pPr>
        <w:pStyle w:val="Heading3"/>
        <w:rPr>
          <w:snapToGrid w:val="0"/>
        </w:rPr>
      </w:pPr>
      <w:bookmarkStart w:id="81" w:name="_Toc51317111"/>
      <w:bookmarkStart w:id="82" w:name="_Toc51319747"/>
      <w:bookmarkStart w:id="83" w:name="_Toc51320200"/>
      <w:bookmarkStart w:id="84" w:name="_Toc51581140"/>
      <w:bookmarkStart w:id="85" w:name="_Toc51581445"/>
      <w:bookmarkStart w:id="86" w:name="_Toc51665553"/>
      <w:r>
        <w:rPr>
          <w:rStyle w:val="CharDivNo"/>
        </w:rPr>
        <w:t>Division 3</w:t>
      </w:r>
      <w:r>
        <w:rPr>
          <w:snapToGrid w:val="0"/>
        </w:rPr>
        <w:t> — </w:t>
      </w:r>
      <w:r>
        <w:rPr>
          <w:rStyle w:val="CharDivText"/>
        </w:rPr>
        <w:t>Miscellaneous</w:t>
      </w:r>
      <w:bookmarkEnd w:id="73"/>
      <w:bookmarkEnd w:id="81"/>
      <w:bookmarkEnd w:id="82"/>
      <w:bookmarkEnd w:id="83"/>
      <w:bookmarkEnd w:id="84"/>
      <w:bookmarkEnd w:id="85"/>
      <w:bookmarkEnd w:id="86"/>
    </w:p>
    <w:p>
      <w:pPr>
        <w:pStyle w:val="Heading5"/>
        <w:rPr>
          <w:snapToGrid w:val="0"/>
        </w:rPr>
      </w:pPr>
      <w:bookmarkStart w:id="87" w:name="_Toc51665554"/>
      <w:r>
        <w:rPr>
          <w:rStyle w:val="CharSectno"/>
        </w:rPr>
        <w:t>21</w:t>
      </w:r>
      <w:r>
        <w:rPr>
          <w:snapToGrid w:val="0"/>
        </w:rPr>
        <w:t>.</w:t>
      </w:r>
      <w:r>
        <w:rPr>
          <w:snapToGrid w:val="0"/>
        </w:rPr>
        <w:tab/>
        <w:t>Election by alleged offender or prosecuting authority</w:t>
      </w:r>
      <w:bookmarkEnd w:id="87"/>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21C;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 No. 25 of 2020 s. 25.]</w:t>
      </w:r>
    </w:p>
    <w:p>
      <w:pPr>
        <w:pStyle w:val="Heading5"/>
        <w:rPr>
          <w:snapToGrid w:val="0"/>
        </w:rPr>
      </w:pPr>
      <w:bookmarkStart w:id="88" w:name="_Toc51665555"/>
      <w:r>
        <w:rPr>
          <w:rStyle w:val="CharSectno"/>
        </w:rPr>
        <w:t>22</w:t>
      </w:r>
      <w:r>
        <w:rPr>
          <w:snapToGrid w:val="0"/>
        </w:rPr>
        <w:t>.</w:t>
      </w:r>
      <w:r>
        <w:rPr>
          <w:snapToGrid w:val="0"/>
        </w:rPr>
        <w:tab/>
        <w:t>Prosecuting authority may withdraw proceedings</w:t>
      </w:r>
      <w:bookmarkEnd w:id="8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and disqualification order was made under section 95J in respect of a vehicle of the alleged offender,</w:t>
      </w:r>
    </w:p>
    <w:p>
      <w:pPr>
        <w:pStyle w:val="Indenta"/>
      </w:pPr>
      <w:r>
        <w:tab/>
      </w:r>
      <w:r>
        <w:tab/>
        <w:t>the alleged offender is to be paid an amount calculated in accordance with the regulations; and</w:t>
      </w:r>
    </w:p>
    <w:p>
      <w:pPr>
        <w:pStyle w:val="Indenta"/>
      </w:pPr>
      <w:r>
        <w:tab/>
        <w:t>(d)</w:t>
      </w:r>
      <w:r>
        <w:tab/>
        <w:t>if any amount has been paid to the Sheriff under a garnishee order issued under an enforcement warrant that was issued in respect of the infringement notice, the alleged offender is to be refunded that amount; and</w:t>
      </w:r>
    </w:p>
    <w:p>
      <w:pPr>
        <w:pStyle w:val="Indenta"/>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Footnotesection"/>
      </w:pPr>
      <w:r>
        <w:tab/>
        <w:t>[Section 22 amended: No. 76 of 1996 s. 30; No. 59 of 2004 s. 107</w:t>
      </w:r>
      <w:r>
        <w:rPr>
          <w:spacing w:val="-4"/>
        </w:rPr>
        <w:t>; No. 47 of 2011 s.</w:t>
      </w:r>
      <w:r>
        <w:t> 27; No. 48 of 2012 s. 16; No. 25 of 2020 s. 26.]</w:t>
      </w:r>
    </w:p>
    <w:p>
      <w:pPr>
        <w:pStyle w:val="Heading5"/>
        <w:rPr>
          <w:snapToGrid w:val="0"/>
        </w:rPr>
      </w:pPr>
      <w:bookmarkStart w:id="89" w:name="_Toc51665556"/>
      <w:r>
        <w:rPr>
          <w:rStyle w:val="CharSectno"/>
        </w:rPr>
        <w:t>23</w:t>
      </w:r>
      <w:r>
        <w:rPr>
          <w:snapToGrid w:val="0"/>
        </w:rPr>
        <w:t>.</w:t>
      </w:r>
      <w:r>
        <w:rPr>
          <w:snapToGrid w:val="0"/>
        </w:rPr>
        <w:tab/>
        <w:t>Effect of order to pay or elect</w:t>
      </w:r>
      <w:bookmarkEnd w:id="89"/>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90" w:name="_Toc51665557"/>
      <w:r>
        <w:rPr>
          <w:rStyle w:val="CharSectno"/>
        </w:rPr>
        <w:t>24</w:t>
      </w:r>
      <w:r>
        <w:rPr>
          <w:snapToGrid w:val="0"/>
        </w:rPr>
        <w:t>.</w:t>
      </w:r>
      <w:r>
        <w:rPr>
          <w:snapToGrid w:val="0"/>
        </w:rPr>
        <w:tab/>
        <w:t>Effect of payment of modified penalty etc.</w:t>
      </w:r>
      <w:bookmarkEnd w:id="90"/>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91" w:name="_Toc51665558"/>
      <w:r>
        <w:rPr>
          <w:rStyle w:val="CharSectno"/>
        </w:rPr>
        <w:t>25</w:t>
      </w:r>
      <w:r>
        <w:rPr>
          <w:snapToGrid w:val="0"/>
        </w:rPr>
        <w:t>.</w:t>
      </w:r>
      <w:r>
        <w:rPr>
          <w:snapToGrid w:val="0"/>
        </w:rPr>
        <w:tab/>
        <w:t>Continuing offences: effect of proceedings under this Part</w:t>
      </w:r>
      <w:bookmarkEnd w:id="91"/>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92" w:name="_Toc51665559"/>
      <w:r>
        <w:rPr>
          <w:rStyle w:val="CharSectno"/>
        </w:rPr>
        <w:t>26</w:t>
      </w:r>
      <w:r>
        <w:rPr>
          <w:snapToGrid w:val="0"/>
        </w:rPr>
        <w:t>.</w:t>
      </w:r>
      <w:r>
        <w:rPr>
          <w:snapToGrid w:val="0"/>
        </w:rPr>
        <w:tab/>
        <w:t>Road laws: effect of proceedings under this Part</w:t>
      </w:r>
      <w:bookmarkEnd w:id="92"/>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93" w:name="_Toc51665560"/>
      <w:r>
        <w:rPr>
          <w:rStyle w:val="CharSectno"/>
        </w:rPr>
        <w:t>27</w:t>
      </w:r>
      <w:r>
        <w:rPr>
          <w:snapToGrid w:val="0"/>
        </w:rPr>
        <w:t>.</w:t>
      </w:r>
      <w:r>
        <w:rPr>
          <w:snapToGrid w:val="0"/>
        </w:rPr>
        <w:tab/>
        <w:t>How recovered amounts to be applied</w:t>
      </w:r>
      <w:bookmarkEnd w:id="9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94" w:name="_Toc51665561"/>
      <w:r>
        <w:rPr>
          <w:rStyle w:val="CharSectno"/>
        </w:rPr>
        <w:t>27A</w:t>
      </w:r>
      <w:r>
        <w:t>.</w:t>
      </w:r>
      <w:r>
        <w:tab/>
        <w:t>Certain decisions of Registrar are final</w:t>
      </w:r>
      <w:bookmarkEnd w:id="94"/>
    </w:p>
    <w:p>
      <w:pPr>
        <w:pStyle w:val="Subsection"/>
        <w:keepNext/>
      </w:pPr>
      <w:r>
        <w:tab/>
      </w:r>
      <w:r>
        <w:tab/>
        <w:t>A decision of the Registrar under section 20A or Division 2A is final.</w:t>
      </w:r>
    </w:p>
    <w:p>
      <w:pPr>
        <w:pStyle w:val="Footnotesection"/>
      </w:pPr>
      <w:r>
        <w:tab/>
        <w:t>[Section 27A inserted: No. 25 of 2020 s. 27.]</w:t>
      </w:r>
    </w:p>
    <w:p>
      <w:pPr>
        <w:pStyle w:val="Ednotesection"/>
      </w:pPr>
      <w:r>
        <w:t>[</w:t>
      </w:r>
      <w:r>
        <w:rPr>
          <w:b/>
        </w:rPr>
        <w:t>27B</w:t>
      </w:r>
      <w:r>
        <w:t>-</w:t>
      </w:r>
      <w:r>
        <w:rPr>
          <w:b/>
        </w:rPr>
        <w:t>27D.</w:t>
      </w:r>
      <w:r>
        <w:tab/>
        <w:t>Deleted: No. 25 of 2020 s. 27.]</w:t>
      </w:r>
    </w:p>
    <w:p>
      <w:pPr>
        <w:pStyle w:val="Heading2"/>
      </w:pPr>
      <w:bookmarkStart w:id="95" w:name="_Toc51245557"/>
      <w:bookmarkStart w:id="96" w:name="_Toc51317120"/>
      <w:bookmarkStart w:id="97" w:name="_Toc51319756"/>
      <w:bookmarkStart w:id="98" w:name="_Toc51320209"/>
      <w:bookmarkStart w:id="99" w:name="_Toc51581149"/>
      <w:bookmarkStart w:id="100" w:name="_Toc51581454"/>
      <w:bookmarkStart w:id="101" w:name="_Toc51665562"/>
      <w:r>
        <w:rPr>
          <w:rStyle w:val="CharPartNo"/>
        </w:rPr>
        <w:t>Part 4</w:t>
      </w:r>
      <w:r>
        <w:t> — </w:t>
      </w:r>
      <w:r>
        <w:rPr>
          <w:rStyle w:val="CharPartText"/>
        </w:rPr>
        <w:t>Fines</w:t>
      </w:r>
      <w:bookmarkEnd w:id="95"/>
      <w:bookmarkEnd w:id="96"/>
      <w:bookmarkEnd w:id="97"/>
      <w:bookmarkEnd w:id="98"/>
      <w:bookmarkEnd w:id="99"/>
      <w:bookmarkEnd w:id="100"/>
      <w:bookmarkEnd w:id="101"/>
    </w:p>
    <w:p>
      <w:pPr>
        <w:pStyle w:val="Heading3"/>
        <w:rPr>
          <w:snapToGrid w:val="0"/>
        </w:rPr>
      </w:pPr>
      <w:bookmarkStart w:id="102" w:name="_Toc51245558"/>
      <w:bookmarkStart w:id="103" w:name="_Toc51317121"/>
      <w:bookmarkStart w:id="104" w:name="_Toc51319757"/>
      <w:bookmarkStart w:id="105" w:name="_Toc51320210"/>
      <w:bookmarkStart w:id="106" w:name="_Toc51581150"/>
      <w:bookmarkStart w:id="107" w:name="_Toc51581455"/>
      <w:bookmarkStart w:id="108" w:name="_Toc51665563"/>
      <w:r>
        <w:rPr>
          <w:rStyle w:val="CharDivNo"/>
        </w:rPr>
        <w:t>Division 1</w:t>
      </w:r>
      <w:r>
        <w:rPr>
          <w:snapToGrid w:val="0"/>
        </w:rPr>
        <w:t> — </w:t>
      </w:r>
      <w:r>
        <w:rPr>
          <w:rStyle w:val="CharDivText"/>
        </w:rPr>
        <w:t>Preliminary</w:t>
      </w:r>
      <w:bookmarkEnd w:id="102"/>
      <w:bookmarkEnd w:id="103"/>
      <w:bookmarkEnd w:id="104"/>
      <w:bookmarkEnd w:id="105"/>
      <w:bookmarkEnd w:id="106"/>
      <w:bookmarkEnd w:id="107"/>
      <w:bookmarkEnd w:id="108"/>
    </w:p>
    <w:p>
      <w:pPr>
        <w:pStyle w:val="Heading5"/>
        <w:rPr>
          <w:snapToGrid w:val="0"/>
        </w:rPr>
      </w:pPr>
      <w:bookmarkStart w:id="109" w:name="_Toc51665564"/>
      <w:r>
        <w:rPr>
          <w:rStyle w:val="CharSectno"/>
        </w:rPr>
        <w:t>28</w:t>
      </w:r>
      <w:r>
        <w:rPr>
          <w:snapToGrid w:val="0"/>
        </w:rPr>
        <w:t>.</w:t>
      </w:r>
      <w:r>
        <w:rPr>
          <w:snapToGrid w:val="0"/>
        </w:rPr>
        <w:tab/>
        <w:t>Terms used</w:t>
      </w:r>
      <w:bookmarkEnd w:id="109"/>
    </w:p>
    <w:p>
      <w:pPr>
        <w:pStyle w:val="Subsection"/>
        <w:rPr>
          <w:snapToGrid w:val="0"/>
        </w:rPr>
      </w:pPr>
      <w:r>
        <w:rPr>
          <w:snapToGrid w:val="0"/>
        </w:rPr>
        <w:tab/>
        <w:t>(1)</w:t>
      </w:r>
      <w:r>
        <w:rPr>
          <w:snapToGrid w:val="0"/>
        </w:rPr>
        <w:tab/>
        <w:t>In this Part —</w:t>
      </w:r>
    </w:p>
    <w:p>
      <w:pPr>
        <w:pStyle w:val="Defstart"/>
      </w:pPr>
      <w:r>
        <w:tab/>
      </w:r>
      <w:r>
        <w:rPr>
          <w:rStyle w:val="CharDefText"/>
        </w:rPr>
        <w:t>amount owed</w:t>
      </w:r>
      <w:r>
        <w:t xml:space="preserve">, in relation to a fine, means the amount of the fine and any enforcement fees relating to the fine — </w:t>
      </w:r>
    </w:p>
    <w:p>
      <w:pPr>
        <w:pStyle w:val="Defpara"/>
      </w:pPr>
      <w:r>
        <w:tab/>
        <w:t>(a)</w:t>
      </w:r>
      <w:r>
        <w:tab/>
        <w:t>that has not been paid or recovered under an enforcement warrant; and</w:t>
      </w:r>
    </w:p>
    <w:p>
      <w:pPr>
        <w:pStyle w:val="Defpara"/>
      </w:pPr>
      <w:r>
        <w:tab/>
        <w:t>(b)</w:t>
      </w:r>
      <w:r>
        <w:tab/>
        <w:t>the liability to pay which has not been discharged under section 51, 52H, 52I, 52T(3) or 53;</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tab/>
      </w:r>
      <w:r>
        <w:rPr>
          <w:rStyle w:val="CharDefText"/>
        </w:rPr>
        <w:t>authorised police officer</w:t>
      </w:r>
      <w:r>
        <w:t xml:space="preserve"> has the meaning given in the </w:t>
      </w:r>
      <w:r>
        <w:rPr>
          <w:i/>
        </w:rPr>
        <w:t>Bail Act 1982</w:t>
      </w:r>
      <w:r>
        <w:t xml:space="preserve"> section 3(1);</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tab/>
      </w:r>
      <w:r>
        <w:rPr>
          <w:rStyle w:val="CharDefText"/>
        </w:rPr>
        <w:t>court custody centre</w:t>
      </w:r>
      <w:r>
        <w:t xml:space="preserve"> has the meaning given in the </w:t>
      </w:r>
      <w:r>
        <w:rPr>
          <w:i/>
        </w:rPr>
        <w:t>Court Security and Custodial Services Act 1999</w:t>
      </w:r>
      <w:r>
        <w:t xml:space="preserve"> section 3;</w:t>
      </w:r>
    </w:p>
    <w:p>
      <w:pPr>
        <w:pStyle w:val="Defstart"/>
      </w:pPr>
      <w:r>
        <w:rPr>
          <w:b/>
        </w:rPr>
        <w:tab/>
      </w:r>
      <w:r>
        <w:rPr>
          <w:rStyle w:val="CharDefText"/>
        </w:rPr>
        <w:t>court officer</w:t>
      </w:r>
      <w:r>
        <w:t>, in relation to a fine, means an officer of the court that imposed the fine who is approved as a court officer for the purposes of this Part by the CEO (fines enforcement);</w:t>
      </w:r>
    </w:p>
    <w:p>
      <w:pPr>
        <w:pStyle w:val="Defstart"/>
      </w:pPr>
      <w:r>
        <w:tab/>
      </w:r>
      <w:r>
        <w:rPr>
          <w:rStyle w:val="CharDefText"/>
        </w:rPr>
        <w:t>detainee</w:t>
      </w:r>
      <w:r>
        <w:t xml:space="preserve"> means a person who is detained in a detention centre;</w:t>
      </w:r>
    </w:p>
    <w:p>
      <w:pPr>
        <w:pStyle w:val="Defstart"/>
      </w:pPr>
      <w:r>
        <w:tab/>
      </w:r>
      <w:r>
        <w:rPr>
          <w:rStyle w:val="CharDefText"/>
        </w:rPr>
        <w:t>detention centre</w:t>
      </w:r>
      <w:r>
        <w:t xml:space="preserve"> has the meaning given in the </w:t>
      </w:r>
      <w:r>
        <w:rPr>
          <w:i/>
        </w:rPr>
        <w:t>Inspector of Custodial Services Act 2003</w:t>
      </w:r>
      <w:r>
        <w:t xml:space="preserve"> section 3;</w:t>
      </w:r>
    </w:p>
    <w:p>
      <w:pPr>
        <w:pStyle w:val="Defstart"/>
        <w:keepNext/>
      </w:pPr>
      <w:r>
        <w:tab/>
      </w:r>
      <w:r>
        <w:rPr>
          <w:rStyle w:val="CharDefText"/>
        </w:rPr>
        <w:t>enforceable registered fine</w:t>
      </w:r>
      <w:r>
        <w:t xml:space="preserve">, in relation to an offender, means a fine imposed on the offender if — </w:t>
      </w:r>
    </w:p>
    <w:p>
      <w:pPr>
        <w:pStyle w:val="Defpara"/>
      </w:pPr>
      <w:r>
        <w:tab/>
        <w:t>(a)</w:t>
      </w:r>
      <w:r>
        <w:tab/>
        <w:t>the fine is registered; and</w:t>
      </w:r>
    </w:p>
    <w:p>
      <w:pPr>
        <w:pStyle w:val="Defpara"/>
      </w:pPr>
      <w:r>
        <w:tab/>
        <w:t>(b)</w:t>
      </w:r>
      <w:r>
        <w:tab/>
        <w:t>the amount owed in respect of the fine has not been paid in full or recovered in full under an enforcement warrant; and</w:t>
      </w:r>
    </w:p>
    <w:p>
      <w:pPr>
        <w:pStyle w:val="Defpara"/>
      </w:pPr>
      <w:r>
        <w:tab/>
        <w:t>(c)</w:t>
      </w:r>
      <w:r>
        <w:tab/>
        <w:t>the liability of the offender to pay the amount owed in respect of the fine has not been wholly discharged under section 51, 52H, 52I, 52T(3) or 53;</w:t>
      </w:r>
    </w:p>
    <w:p>
      <w:pPr>
        <w:pStyle w:val="Defstart"/>
      </w:pPr>
      <w:r>
        <w:rPr>
          <w:b/>
        </w:rPr>
        <w:tab/>
      </w:r>
      <w:r>
        <w:rPr>
          <w:rStyle w:val="CharDefText"/>
        </w:rPr>
        <w:t>enforcement fees</w:t>
      </w:r>
      <w:r>
        <w:t xml:space="preserve"> means prescribed fees imposed in connection with proceedings under this Act in relation to a fine;</w:t>
      </w:r>
    </w:p>
    <w:p>
      <w:pPr>
        <w:pStyle w:val="Defstart"/>
      </w:pPr>
      <w:r>
        <w:tab/>
      </w:r>
      <w:r>
        <w:rPr>
          <w:rStyle w:val="CharDefText"/>
        </w:rPr>
        <w:t>enforcement instrument</w:t>
      </w:r>
      <w:r>
        <w:t xml:space="preserve"> means — </w:t>
      </w:r>
    </w:p>
    <w:p>
      <w:pPr>
        <w:pStyle w:val="Defpara"/>
      </w:pPr>
      <w:r>
        <w:tab/>
        <w:t>(a)</w:t>
      </w:r>
      <w:r>
        <w:tab/>
        <w:t>a licence suspension order; or</w:t>
      </w:r>
    </w:p>
    <w:p>
      <w:pPr>
        <w:pStyle w:val="Defpara"/>
      </w:pPr>
      <w:r>
        <w:tab/>
        <w:t>(b)</w:t>
      </w:r>
      <w:r>
        <w:tab/>
        <w:t>an enforcement warrant; or</w:t>
      </w:r>
    </w:p>
    <w:p>
      <w:pPr>
        <w:pStyle w:val="Defpara"/>
      </w:pPr>
      <w:r>
        <w:tab/>
        <w:t>(c)</w:t>
      </w:r>
      <w:r>
        <w:tab/>
        <w:t>an order to attend for work and development; or</w:t>
      </w:r>
    </w:p>
    <w:p>
      <w:pPr>
        <w:pStyle w:val="Defpara"/>
      </w:pPr>
      <w:r>
        <w:tab/>
        <w:t>(d)</w:t>
      </w:r>
      <w:r>
        <w:tab/>
        <w:t>a fine expiation order;</w:t>
      </w:r>
    </w:p>
    <w:p>
      <w:pPr>
        <w:pStyle w:val="Defstart"/>
      </w:pPr>
      <w:r>
        <w:tab/>
      </w:r>
      <w:r>
        <w:rPr>
          <w:rStyle w:val="CharDefText"/>
        </w:rPr>
        <w:t>enforcement warrant</w:t>
      </w:r>
      <w:r>
        <w:t xml:space="preserve"> means a warrant issued under section 45;</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tab/>
      </w:r>
      <w:r>
        <w:rPr>
          <w:rStyle w:val="CharDefText"/>
        </w:rPr>
        <w:t>fine enforcement (WDO) order</w:t>
      </w:r>
      <w:r>
        <w:t xml:space="preserve"> means an order made under the </w:t>
      </w:r>
      <w:r>
        <w:rPr>
          <w:i/>
        </w:rPr>
        <w:t>Sentencing Act 1995</w:t>
      </w:r>
      <w:r>
        <w:t xml:space="preserve"> section 57A(3);</w:t>
      </w:r>
    </w:p>
    <w:p>
      <w:pPr>
        <w:pStyle w:val="Defstart"/>
      </w:pPr>
      <w:r>
        <w:tab/>
      </w:r>
      <w:r>
        <w:rPr>
          <w:rStyle w:val="CharDefText"/>
        </w:rPr>
        <w:t>fine expiation order</w:t>
      </w:r>
      <w:r>
        <w:t xml:space="preserve"> means an order issued under section 52F;</w:t>
      </w:r>
    </w:p>
    <w:p>
      <w:pPr>
        <w:pStyle w:val="Defstart"/>
      </w:pPr>
      <w:r>
        <w:tab/>
      </w:r>
      <w:r>
        <w:rPr>
          <w:rStyle w:val="CharDefText"/>
        </w:rPr>
        <w:t>licence suspension order</w:t>
      </w:r>
      <w:r>
        <w:t xml:space="preserve"> means an order made under section 43;</w:t>
      </w:r>
    </w:p>
    <w:p>
      <w:pPr>
        <w:pStyle w:val="Defstart"/>
      </w:pPr>
      <w:r>
        <w:rPr>
          <w:b/>
        </w:rPr>
        <w:tab/>
      </w:r>
      <w:r>
        <w:rPr>
          <w:rStyle w:val="CharDefText"/>
        </w:rPr>
        <w:t>offender</w:t>
      </w:r>
      <w:r>
        <w:t xml:space="preserve"> means a person found guilty of an offence, whether after a plea of guilty or otherwise;</w:t>
      </w:r>
    </w:p>
    <w:p>
      <w:pPr>
        <w:pStyle w:val="Defstart"/>
      </w:pPr>
      <w:r>
        <w:tab/>
      </w:r>
      <w:r>
        <w:rPr>
          <w:rStyle w:val="CharDefText"/>
        </w:rPr>
        <w:t>ongoing fine expiation order</w:t>
      </w:r>
      <w:r>
        <w:t xml:space="preserve"> has the meaning given in section 52I;</w:t>
      </w:r>
    </w:p>
    <w:p>
      <w:pPr>
        <w:pStyle w:val="Defstart"/>
      </w:pPr>
      <w:r>
        <w:tab/>
      </w:r>
      <w:r>
        <w:rPr>
          <w:rStyle w:val="CharDefText"/>
        </w:rPr>
        <w:t>order to attend for work and development</w:t>
      </w:r>
      <w:r>
        <w:t xml:space="preserve"> means an order issued under section 47(1);</w:t>
      </w:r>
    </w:p>
    <w:p>
      <w:pPr>
        <w:pStyle w:val="Defstart"/>
      </w:pPr>
      <w:r>
        <w:tab/>
      </w:r>
      <w:r>
        <w:rPr>
          <w:rStyle w:val="CharDefText"/>
        </w:rPr>
        <w:t>person in court custody</w:t>
      </w:r>
      <w:r>
        <w:t xml:space="preserve"> means a person in custody as defined in the </w:t>
      </w:r>
      <w:r>
        <w:rPr>
          <w:rStyle w:val="CharDefText"/>
          <w:b w:val="0"/>
        </w:rPr>
        <w:t>Court Security and Custodial Services Act 1999</w:t>
      </w:r>
      <w:r>
        <w:t xml:space="preserve"> section 3 for whom the CEO (as defined in that section) is responsible under that Act;</w:t>
      </w:r>
    </w:p>
    <w:p>
      <w:pPr>
        <w:pStyle w:val="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Defstart"/>
      </w:pPr>
      <w:r>
        <w:tab/>
      </w:r>
      <w:r>
        <w:rPr>
          <w:rStyle w:val="CharDefText"/>
        </w:rPr>
        <w:t>prison</w:t>
      </w:r>
      <w:r>
        <w:t xml:space="preserve"> has the meaning given in the </w:t>
      </w:r>
      <w:r>
        <w:rPr>
          <w:i/>
        </w:rPr>
        <w:t>Inspector of Custodial Services Act 2003</w:t>
      </w:r>
      <w:r>
        <w:t xml:space="preserve">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rPr>
          <w:b/>
        </w:rPr>
        <w:tab/>
      </w:r>
      <w:r>
        <w:rPr>
          <w:rStyle w:val="CharDefText"/>
        </w:rPr>
        <w:t>registered</w:t>
      </w:r>
      <w:r>
        <w:t xml:space="preserve"> means registered with the Registry for enforcement under section 32(2)(a) or 32B;</w:t>
      </w:r>
    </w:p>
    <w:p>
      <w:pPr>
        <w:pStyle w:val="Defstart"/>
      </w:pPr>
      <w:r>
        <w:tab/>
      </w:r>
      <w:r>
        <w:rPr>
          <w:rStyle w:val="CharDefText"/>
        </w:rPr>
        <w:t>responsible officer</w:t>
      </w:r>
      <w:r>
        <w:t>, in relation to an offender arrested under an arrest warrant issued under section 52Q(1)(b), has the meaning given in section 52ZC(2);</w:t>
      </w:r>
    </w:p>
    <w:p>
      <w:pPr>
        <w:pStyle w:val="Defstart"/>
      </w:pPr>
      <w:r>
        <w:tab/>
      </w:r>
      <w:r>
        <w:rPr>
          <w:rStyle w:val="CharDefText"/>
        </w:rPr>
        <w:t>time to pay order</w:t>
      </w:r>
      <w:r>
        <w:t xml:space="preserve"> means an order made under section 33, as amended from time to time;</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w:t>
      </w:r>
      <w:r>
        <w:t xml:space="preserve"> means a warrant of commitment issued under section 52S;</w:t>
      </w:r>
    </w:p>
    <w:p>
      <w:pPr>
        <w:pStyle w:val="Defstart"/>
      </w:pPr>
      <w:r>
        <w:tab/>
      </w:r>
      <w:r>
        <w:rPr>
          <w:rStyle w:val="CharDefText"/>
        </w:rPr>
        <w:t>warrant of commitment inquiry</w:t>
      </w:r>
      <w:r>
        <w:t xml:space="preserve"> has the meaning given in section 52M(1);</w:t>
      </w:r>
    </w:p>
    <w:p>
      <w:pPr>
        <w:pStyle w:val="Defstart"/>
      </w:pPr>
      <w:r>
        <w:tab/>
      </w:r>
      <w:r>
        <w:rPr>
          <w:rStyle w:val="CharDefText"/>
        </w:rPr>
        <w:t>warrant of commitment inquiry process</w:t>
      </w:r>
      <w:r>
        <w:t xml:space="preserve"> has the meaning given in section 52M(2).</w:t>
      </w:r>
    </w:p>
    <w:p>
      <w:pPr>
        <w:pStyle w:val="Ednotesubsection"/>
      </w:pPr>
      <w:r>
        <w:tab/>
        <w:t>[(2)</w:t>
      </w:r>
      <w:r>
        <w:tab/>
        <w:t>deleted]</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 No. 25 of 2020 s. 28.]</w:t>
      </w:r>
    </w:p>
    <w:p>
      <w:pPr>
        <w:pStyle w:val="Heading5"/>
        <w:rPr>
          <w:snapToGrid w:val="0"/>
        </w:rPr>
      </w:pPr>
      <w:bookmarkStart w:id="110" w:name="_Toc51665565"/>
      <w:r>
        <w:rPr>
          <w:rStyle w:val="CharSectno"/>
        </w:rPr>
        <w:t>29</w:t>
      </w:r>
      <w:r>
        <w:rPr>
          <w:snapToGrid w:val="0"/>
        </w:rPr>
        <w:t>.</w:t>
      </w:r>
      <w:r>
        <w:rPr>
          <w:snapToGrid w:val="0"/>
        </w:rPr>
        <w:tab/>
        <w:t>Application of Part</w:t>
      </w:r>
      <w:bookmarkEnd w:id="11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11" w:name="_Toc51665566"/>
      <w:r>
        <w:rPr>
          <w:rStyle w:val="CharSectno"/>
        </w:rPr>
        <w:t>30</w:t>
      </w:r>
      <w:r>
        <w:rPr>
          <w:snapToGrid w:val="0"/>
        </w:rPr>
        <w:t>.</w:t>
      </w:r>
      <w:r>
        <w:rPr>
          <w:snapToGrid w:val="0"/>
        </w:rPr>
        <w:tab/>
        <w:t>Court may request offender’s address</w:t>
      </w:r>
      <w:bookmarkEnd w:id="11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No. 8 of 1996 s. 9.]</w:t>
      </w:r>
    </w:p>
    <w:p>
      <w:pPr>
        <w:pStyle w:val="Heading3"/>
      </w:pPr>
      <w:bookmarkStart w:id="112" w:name="_Toc51245562"/>
      <w:bookmarkStart w:id="113" w:name="_Toc51317125"/>
      <w:bookmarkStart w:id="114" w:name="_Toc51319761"/>
      <w:bookmarkStart w:id="115" w:name="_Toc51320214"/>
      <w:bookmarkStart w:id="116" w:name="_Toc51581154"/>
      <w:bookmarkStart w:id="117" w:name="_Toc51581459"/>
      <w:bookmarkStart w:id="118" w:name="_Toc51665567"/>
      <w:r>
        <w:rPr>
          <w:rStyle w:val="CharDivNo"/>
        </w:rPr>
        <w:t>Division 2</w:t>
      </w:r>
      <w:r>
        <w:rPr>
          <w:snapToGrid w:val="0"/>
        </w:rPr>
        <w:t> — </w:t>
      </w:r>
      <w:r>
        <w:rPr>
          <w:rStyle w:val="CharDivText"/>
        </w:rPr>
        <w:t>Payment and registration of fines</w:t>
      </w:r>
      <w:bookmarkEnd w:id="112"/>
      <w:bookmarkEnd w:id="113"/>
      <w:bookmarkEnd w:id="114"/>
      <w:bookmarkEnd w:id="115"/>
      <w:bookmarkEnd w:id="116"/>
      <w:bookmarkEnd w:id="117"/>
      <w:bookmarkEnd w:id="118"/>
    </w:p>
    <w:p>
      <w:pPr>
        <w:pStyle w:val="Footnoteheading"/>
        <w:keepNext/>
      </w:pPr>
      <w:r>
        <w:tab/>
        <w:t>[Heading amended: No. 25 of 2020 s. 29.]</w:t>
      </w:r>
    </w:p>
    <w:p>
      <w:pPr>
        <w:pStyle w:val="Heading4"/>
      </w:pPr>
      <w:bookmarkStart w:id="119" w:name="_Toc51317126"/>
      <w:bookmarkStart w:id="120" w:name="_Toc51319762"/>
      <w:bookmarkStart w:id="121" w:name="_Toc51320215"/>
      <w:bookmarkStart w:id="122" w:name="_Toc51581155"/>
      <w:bookmarkStart w:id="123" w:name="_Toc51581460"/>
      <w:bookmarkStart w:id="124" w:name="_Toc51665568"/>
      <w:bookmarkStart w:id="125" w:name="_Toc51245563"/>
      <w:r>
        <w:t>Subdivision 1 — Fines taken to be registered when imposed</w:t>
      </w:r>
      <w:bookmarkEnd w:id="119"/>
      <w:bookmarkEnd w:id="120"/>
      <w:bookmarkEnd w:id="121"/>
      <w:bookmarkEnd w:id="122"/>
      <w:bookmarkEnd w:id="123"/>
      <w:bookmarkEnd w:id="124"/>
    </w:p>
    <w:p>
      <w:pPr>
        <w:pStyle w:val="Footnoteheading"/>
        <w:keepNext/>
      </w:pPr>
      <w:r>
        <w:tab/>
        <w:t>[Heading inserted: No. 25 of 2020 s. 30.]</w:t>
      </w:r>
    </w:p>
    <w:p>
      <w:pPr>
        <w:pStyle w:val="Heading5"/>
        <w:rPr>
          <w:snapToGrid w:val="0"/>
        </w:rPr>
      </w:pPr>
      <w:bookmarkStart w:id="126" w:name="_Toc51665569"/>
      <w:bookmarkEnd w:id="125"/>
      <w:r>
        <w:rPr>
          <w:rStyle w:val="CharSectno"/>
        </w:rPr>
        <w:t>31</w:t>
      </w:r>
      <w:r>
        <w:rPr>
          <w:snapToGrid w:val="0"/>
        </w:rPr>
        <w:t>.</w:t>
      </w:r>
      <w:r>
        <w:rPr>
          <w:snapToGrid w:val="0"/>
        </w:rPr>
        <w:tab/>
        <w:t>Application</w:t>
      </w:r>
      <w:bookmarkEnd w:id="126"/>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127" w:name="_Toc51665570"/>
      <w:r>
        <w:rPr>
          <w:rStyle w:val="CharSectno"/>
        </w:rPr>
        <w:t>32</w:t>
      </w:r>
      <w:r>
        <w:t>.</w:t>
      </w:r>
      <w:r>
        <w:tab/>
        <w:t>Offender must pay fine or get time to pay order</w:t>
      </w:r>
      <w:bookmarkEnd w:id="127"/>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this Part to enforce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this Part is already being applied in respect of another enforceable registered fine of the offender.</w:t>
      </w:r>
    </w:p>
    <w:p>
      <w:pPr>
        <w:pStyle w:val="Ednotepara"/>
      </w:pPr>
      <w:r>
        <w:tab/>
        <w:t>[(c)</w:t>
      </w:r>
      <w:r>
        <w:tab/>
        <w:t>deleted]</w:t>
      </w:r>
    </w:p>
    <w:p>
      <w:pPr>
        <w:pStyle w:val="Subsection"/>
      </w:pPr>
      <w:r>
        <w:tab/>
        <w:t>(4)</w:t>
      </w:r>
      <w:r>
        <w:tab/>
        <w:t xml:space="preserve">This section is subject to the </w:t>
      </w:r>
      <w:r>
        <w:rPr>
          <w:i/>
        </w:rPr>
        <w:t>Sentencing Act 1995</w:t>
      </w:r>
      <w:r>
        <w:t xml:space="preserve"> sections 57A, 58 and 59.</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 amended: No. 25 of 2020 s. 31.]</w:t>
      </w:r>
    </w:p>
    <w:p>
      <w:pPr>
        <w:pStyle w:val="Heading4"/>
      </w:pPr>
      <w:bookmarkStart w:id="128" w:name="_Toc51317129"/>
      <w:bookmarkStart w:id="129" w:name="_Toc51319765"/>
      <w:bookmarkStart w:id="130" w:name="_Toc51320218"/>
      <w:bookmarkStart w:id="131" w:name="_Toc51581158"/>
      <w:bookmarkStart w:id="132" w:name="_Toc51581463"/>
      <w:bookmarkStart w:id="133" w:name="_Toc51665571"/>
      <w:r>
        <w:t>Subdivision 2 — Fines registered at request of prosecuting authority</w:t>
      </w:r>
      <w:bookmarkEnd w:id="128"/>
      <w:bookmarkEnd w:id="129"/>
      <w:bookmarkEnd w:id="130"/>
      <w:bookmarkEnd w:id="131"/>
      <w:bookmarkEnd w:id="132"/>
      <w:bookmarkEnd w:id="133"/>
    </w:p>
    <w:p>
      <w:pPr>
        <w:pStyle w:val="Footnoteheading"/>
        <w:keepNext/>
      </w:pPr>
      <w:r>
        <w:tab/>
        <w:t>[Heading inserted: No. 25 of 2020 s. 32.]</w:t>
      </w:r>
    </w:p>
    <w:p>
      <w:pPr>
        <w:pStyle w:val="Heading5"/>
      </w:pPr>
      <w:bookmarkStart w:id="134" w:name="_Toc51665572"/>
      <w:r>
        <w:rPr>
          <w:rStyle w:val="CharSectno"/>
        </w:rPr>
        <w:t>32A</w:t>
      </w:r>
      <w:r>
        <w:t>.</w:t>
      </w:r>
      <w:r>
        <w:tab/>
        <w:t>Application</w:t>
      </w:r>
      <w:bookmarkEnd w:id="134"/>
    </w:p>
    <w:p>
      <w:pPr>
        <w:pStyle w:val="Subsection"/>
      </w:pPr>
      <w:r>
        <w:tab/>
      </w:r>
      <w:r>
        <w:tab/>
        <w:t>This Subdivision applies to a fine to which Subdivision 1 does not apply.</w:t>
      </w:r>
    </w:p>
    <w:p>
      <w:pPr>
        <w:pStyle w:val="Footnotesection"/>
      </w:pPr>
      <w:r>
        <w:tab/>
        <w:t>[Section 32A inserted: No. 25 of 2020 s. 32.]</w:t>
      </w:r>
    </w:p>
    <w:p>
      <w:pPr>
        <w:pStyle w:val="Heading5"/>
      </w:pPr>
      <w:bookmarkStart w:id="135" w:name="_Toc51665573"/>
      <w:r>
        <w:rPr>
          <w:rStyle w:val="CharSectno"/>
        </w:rPr>
        <w:t>32B</w:t>
      </w:r>
      <w:r>
        <w:t>.</w:t>
      </w:r>
      <w:r>
        <w:tab/>
        <w:t>Fine may be registered at request of prosecuting authority</w:t>
      </w:r>
      <w:bookmarkEnd w:id="135"/>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pPr>
      <w:r>
        <w:tab/>
        <w:t>(2)</w:t>
      </w:r>
      <w:r>
        <w:tab/>
        <w:t xml:space="preserve">In subsection (1) — </w:t>
      </w:r>
    </w:p>
    <w:p>
      <w:pPr>
        <w:pStyle w:val="Defstart"/>
      </w:pPr>
      <w:r>
        <w:tab/>
      </w:r>
      <w:r>
        <w:rPr>
          <w:rStyle w:val="CharDefText"/>
        </w:rPr>
        <w:t>prosecuting authority</w:t>
      </w:r>
      <w:r>
        <w:t xml:space="preserve"> means —</w:t>
      </w:r>
    </w:p>
    <w:p>
      <w:pPr>
        <w:pStyle w:val="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Defpara"/>
      </w:pPr>
      <w:r>
        <w:tab/>
        <w:t>(b)</w:t>
      </w:r>
      <w:r>
        <w:tab/>
        <w:t>if the fine was imposed under a law of the Commonwealth — a person who administers proceedings in relation to offences under that law.</w:t>
      </w:r>
    </w:p>
    <w:p>
      <w:pPr>
        <w:pStyle w:val="Footnotesection"/>
      </w:pPr>
      <w:r>
        <w:tab/>
        <w:t>[Section 32B inserted: No. 25 of 2020 s. 32.]</w:t>
      </w:r>
    </w:p>
    <w:p>
      <w:pPr>
        <w:pStyle w:val="Heading4"/>
      </w:pPr>
      <w:bookmarkStart w:id="136" w:name="_Toc51317132"/>
      <w:bookmarkStart w:id="137" w:name="_Toc51319768"/>
      <w:bookmarkStart w:id="138" w:name="_Toc51320221"/>
      <w:bookmarkStart w:id="139" w:name="_Toc51581161"/>
      <w:bookmarkStart w:id="140" w:name="_Toc51581466"/>
      <w:bookmarkStart w:id="141" w:name="_Toc51665574"/>
      <w:r>
        <w:t>Subdivision 3 — Time to pay orders</w:t>
      </w:r>
      <w:bookmarkEnd w:id="136"/>
      <w:bookmarkEnd w:id="137"/>
      <w:bookmarkEnd w:id="138"/>
      <w:bookmarkEnd w:id="139"/>
      <w:bookmarkEnd w:id="140"/>
      <w:bookmarkEnd w:id="141"/>
    </w:p>
    <w:p>
      <w:pPr>
        <w:pStyle w:val="Footnoteheading"/>
      </w:pPr>
      <w:r>
        <w:tab/>
        <w:t>[Heading inserted: No. 25 of 2020 s. 32.]</w:t>
      </w:r>
    </w:p>
    <w:p>
      <w:pPr>
        <w:pStyle w:val="Heading5"/>
      </w:pPr>
      <w:bookmarkStart w:id="142" w:name="_Toc51665575"/>
      <w:r>
        <w:rPr>
          <w:rStyle w:val="CharSectno"/>
        </w:rPr>
        <w:t>32C</w:t>
      </w:r>
      <w:r>
        <w:t>.</w:t>
      </w:r>
      <w:r>
        <w:tab/>
        <w:t>Application for time to pay order</w:t>
      </w:r>
      <w:bookmarkEnd w:id="142"/>
    </w:p>
    <w:p>
      <w:pPr>
        <w:pStyle w:val="Subsection"/>
      </w:pPr>
      <w:r>
        <w:tab/>
        <w:t>(1)</w:t>
      </w:r>
      <w:r>
        <w:tab/>
        <w:t>An offender may apply to the Registrar for a time to pay order in respect of a fine imposed on the offender that has been registered.</w:t>
      </w:r>
    </w:p>
    <w:p>
      <w:pPr>
        <w:pStyle w:val="Subsection"/>
      </w:pPr>
      <w:r>
        <w:tab/>
        <w:t>(2)</w:t>
      </w:r>
      <w:r>
        <w:tab/>
        <w:t>An application under subsection (1) must be made in accordance with the regulations and must include an offer to pay the amount owed in respect of the fine before a specified date or by regular instalments.</w:t>
      </w:r>
    </w:p>
    <w:p>
      <w:pPr>
        <w:pStyle w:val="Subsection"/>
      </w:pPr>
      <w:r>
        <w:tab/>
        <w:t>(3)</w:t>
      </w:r>
      <w:r>
        <w:tab/>
        <w:t xml:space="preserve">An application under subsection (1) — </w:t>
      </w:r>
    </w:p>
    <w:p>
      <w:pPr>
        <w:pStyle w:val="Indenta"/>
      </w:pPr>
      <w:r>
        <w:tab/>
        <w:t>(a)</w:t>
      </w:r>
      <w:r>
        <w:tab/>
        <w:t xml:space="preserve">can be made at any time after the fine is registered, whether or not — </w:t>
      </w:r>
    </w:p>
    <w:p>
      <w:pPr>
        <w:pStyle w:val="Indenti"/>
      </w:pPr>
      <w:r>
        <w:tab/>
        <w:t>(i)</w:t>
      </w:r>
      <w:r>
        <w:tab/>
        <w:t>a licence suspension order, order to attend for work and development or WDO is in force in relation to the offender and the fine; or</w:t>
      </w:r>
    </w:p>
    <w:p>
      <w:pPr>
        <w:pStyle w:val="Indenti"/>
      </w:pPr>
      <w:r>
        <w:tab/>
        <w:t>(ii)</w:t>
      </w:r>
      <w:r>
        <w:tab/>
        <w:t>a warrant of commitment inquiry process is occurring in relation to the offender and the fine;</w:t>
      </w:r>
    </w:p>
    <w:p>
      <w:pPr>
        <w:pStyle w:val="Indenta"/>
      </w:pPr>
      <w:r>
        <w:tab/>
      </w:r>
      <w:r>
        <w:tab/>
        <w:t>but</w:t>
      </w:r>
    </w:p>
    <w:p>
      <w:pPr>
        <w:pStyle w:val="Indenta"/>
      </w:pPr>
      <w:r>
        <w:tab/>
        <w:t>(b)</w:t>
      </w:r>
      <w:r>
        <w:tab/>
        <w:t>cannot be made if an enforcement warrant, ongoing fine expiation order or warrant of commitment is in force in relation to the offender and the fine.</w:t>
      </w:r>
    </w:p>
    <w:p>
      <w:pPr>
        <w:pStyle w:val="Footnotesection"/>
      </w:pPr>
      <w:r>
        <w:tab/>
        <w:t>[Section 32C inserted: No. 25 of 2020 s. 32.]</w:t>
      </w:r>
    </w:p>
    <w:p>
      <w:pPr>
        <w:pStyle w:val="Heading5"/>
      </w:pPr>
      <w:bookmarkStart w:id="143" w:name="_Toc51665576"/>
      <w:r>
        <w:rPr>
          <w:rStyle w:val="CharSectno"/>
        </w:rPr>
        <w:t>33</w:t>
      </w:r>
      <w:r>
        <w:t>.</w:t>
      </w:r>
      <w:r>
        <w:tab/>
        <w:t>Making time to pay order</w:t>
      </w:r>
      <w:bookmarkEnd w:id="143"/>
    </w:p>
    <w:p>
      <w:pPr>
        <w:pStyle w:val="Subsection"/>
      </w:pPr>
      <w:r>
        <w:tab/>
        <w:t>(1)</w:t>
      </w:r>
      <w:r>
        <w:tab/>
        <w:t>On an application under section 32C, the Registrar may require the offender to undergo a means test.</w:t>
      </w:r>
    </w:p>
    <w:p>
      <w:pPr>
        <w:pStyle w:val="Subsection"/>
      </w:pPr>
      <w:r>
        <w:tab/>
        <w:t>(2)</w:t>
      </w:r>
      <w:r>
        <w:tab/>
        <w:t>On an application under section 32C, the Registrar, if the Registrar thinks fit, may make a time to pay order.</w:t>
      </w:r>
    </w:p>
    <w:p>
      <w:pPr>
        <w:pStyle w:val="Subsection"/>
      </w:pPr>
      <w:r>
        <w:tab/>
        <w:t>(3)</w:t>
      </w:r>
      <w:r>
        <w:tab/>
        <w:t xml:space="preserve">The Registrar must make a time to pay order on an application under section 32C if — </w:t>
      </w:r>
    </w:p>
    <w:p>
      <w:pPr>
        <w:pStyle w:val="Indenta"/>
      </w:pPr>
      <w:r>
        <w:tab/>
        <w:t>(a)</w:t>
      </w:r>
      <w:r>
        <w:tab/>
        <w:t>the Registrar is satisfied that the offender does not have the means to pay the amount owed in respect of the fine within 28 days after the application is made; and</w:t>
      </w:r>
    </w:p>
    <w:p>
      <w:pPr>
        <w:pStyle w:val="Indenta"/>
      </w:pPr>
      <w:r>
        <w:tab/>
        <w:t>(b)</w:t>
      </w:r>
      <w:r>
        <w:tab/>
        <w:t>the Registrar is satisfied that the offender’s offer to pay the amount owed by a specified date or by regular instalments is reasonable; and</w:t>
      </w:r>
    </w:p>
    <w:p>
      <w:pPr>
        <w:pStyle w:val="Indenta"/>
        <w:keepNext/>
      </w:pPr>
      <w:r>
        <w:tab/>
        <w:t>(c)</w:t>
      </w:r>
      <w:r>
        <w:tab/>
        <w:t xml:space="preserve">the Registrar is satisfied that either — </w:t>
      </w:r>
    </w:p>
    <w:p>
      <w:pPr>
        <w:pStyle w:val="Indenti"/>
      </w:pPr>
      <w:r>
        <w:tab/>
        <w:t>(i)</w:t>
      </w:r>
      <w:r>
        <w:tab/>
        <w:t>the offender has not previously contravened a time to pay order under this Act (including a time to pay order in relation to a different fine or a time to pay order made under section 21C); or</w:t>
      </w:r>
    </w:p>
    <w:p>
      <w:pPr>
        <w:pStyle w:val="Indenti"/>
      </w:pPr>
      <w:r>
        <w:tab/>
        <w:t>(ii)</w:t>
      </w:r>
      <w:r>
        <w:tab/>
        <w:t>there is a reasonable excuse for any previous contravention by the offender of a time to pay order under this Act;</w:t>
      </w:r>
    </w:p>
    <w:p>
      <w:pPr>
        <w:pStyle w:val="Indenta"/>
      </w:pPr>
      <w:r>
        <w:tab/>
      </w:r>
      <w:r>
        <w:tab/>
        <w:t>and</w:t>
      </w:r>
    </w:p>
    <w:p>
      <w:pPr>
        <w:pStyle w:val="Indenta"/>
      </w:pPr>
      <w:r>
        <w:tab/>
        <w:t>(d)</w:t>
      </w:r>
      <w:r>
        <w:tab/>
        <w:t>a warrant of commitment inquiry process is not occurring in relation to the offender and the fine.</w:t>
      </w:r>
    </w:p>
    <w:p>
      <w:pPr>
        <w:pStyle w:val="Subsection"/>
      </w:pPr>
      <w:r>
        <w:tab/>
        <w:t>(4)</w:t>
      </w:r>
      <w:r>
        <w:tab/>
        <w:t>A time to pay order may require the offender —</w:t>
      </w:r>
    </w:p>
    <w:p>
      <w:pPr>
        <w:pStyle w:val="Indenta"/>
      </w:pPr>
      <w:r>
        <w:tab/>
        <w:t>(a)</w:t>
      </w:r>
      <w:r>
        <w:tab/>
        <w:t>to pay the amount owed in respect of the fine before a set date that is later than 28 days after the day on which the time to pay order is made; or</w:t>
      </w:r>
    </w:p>
    <w:p>
      <w:pPr>
        <w:pStyle w:val="Indenta"/>
      </w:pPr>
      <w:r>
        <w:tab/>
        <w:t>(b)</w:t>
      </w:r>
      <w:r>
        <w:tab/>
        <w:t>to pay the amount owed in respect of the fine by instalments on or before set dates.</w:t>
      </w:r>
    </w:p>
    <w:p>
      <w:pPr>
        <w:pStyle w:val="Subsection"/>
      </w:pPr>
      <w:r>
        <w:tab/>
        <w:t>(5)</w:t>
      </w:r>
      <w:r>
        <w:tab/>
        <w:t>A time to pay order must be served on the offender.</w:t>
      </w:r>
    </w:p>
    <w:p>
      <w:pPr>
        <w:pStyle w:val="Subsection"/>
      </w:pPr>
      <w:r>
        <w:tab/>
        <w:t>(6)</w:t>
      </w:r>
      <w:r>
        <w:tab/>
        <w:t>If the Registrar refuses to make a time to pay order on an application under section 32C, notice of the refusal must be served on the offender.</w:t>
      </w:r>
    </w:p>
    <w:p>
      <w:pPr>
        <w:pStyle w:val="Footnotesection"/>
      </w:pPr>
      <w:r>
        <w:tab/>
        <w:t>[Section 33 inserted: No. 25 of 2020 s. 32.]</w:t>
      </w:r>
    </w:p>
    <w:p>
      <w:pPr>
        <w:pStyle w:val="Heading5"/>
        <w:keepLines w:val="0"/>
        <w:rPr>
          <w:snapToGrid w:val="0"/>
        </w:rPr>
      </w:pPr>
      <w:bookmarkStart w:id="144" w:name="_Toc51665577"/>
      <w:r>
        <w:rPr>
          <w:rStyle w:val="CharSectno"/>
        </w:rPr>
        <w:t>34</w:t>
      </w:r>
      <w:r>
        <w:rPr>
          <w:snapToGrid w:val="0"/>
        </w:rPr>
        <w:t>.</w:t>
      </w:r>
      <w:r>
        <w:rPr>
          <w:snapToGrid w:val="0"/>
        </w:rPr>
        <w:tab/>
        <w:t>Offender may apply to have time to pay order amended</w:t>
      </w:r>
      <w:bookmarkEnd w:id="144"/>
    </w:p>
    <w:p>
      <w:pPr>
        <w:pStyle w:val="Subsection"/>
        <w:rPr>
          <w:snapToGrid w:val="0"/>
        </w:rPr>
      </w:pPr>
      <w:r>
        <w:rPr>
          <w:snapToGrid w:val="0"/>
        </w:rPr>
        <w:tab/>
        <w:t>(1)</w:t>
      </w:r>
      <w:r>
        <w:rPr>
          <w:snapToGrid w:val="0"/>
        </w:rPr>
        <w:tab/>
        <w:t xml:space="preserve">An offender who has obtained a time to pay order in respect of a fine may apply to the </w:t>
      </w:r>
      <w:r>
        <w:t xml:space="preserve">Registrar, in accordance with the regulations,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r>
        <w:t>the Registrar</w:t>
      </w:r>
      <w:r>
        <w:rPr>
          <w:snapToGrid w:val="0"/>
        </w:rPr>
        <w:t xml:space="preserv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 No. 25 of 2020 s. 33.]</w:t>
      </w:r>
    </w:p>
    <w:p>
      <w:pPr>
        <w:pStyle w:val="Heading5"/>
        <w:rPr>
          <w:snapToGrid w:val="0"/>
        </w:rPr>
      </w:pPr>
      <w:bookmarkStart w:id="145" w:name="_Toc51665578"/>
      <w:r>
        <w:rPr>
          <w:rStyle w:val="CharSectno"/>
        </w:rPr>
        <w:t>35</w:t>
      </w:r>
      <w:r>
        <w:rPr>
          <w:snapToGrid w:val="0"/>
        </w:rPr>
        <w:t>.</w:t>
      </w:r>
      <w:r>
        <w:rPr>
          <w:snapToGrid w:val="0"/>
        </w:rPr>
        <w:tab/>
        <w:t>Registrar may amend time to pay order</w:t>
      </w:r>
      <w:bookmarkEnd w:id="145"/>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r>
        <w:t>amount owed in respect of the</w:t>
      </w:r>
      <w:r>
        <w:rPr>
          <w:snapToGrid w:val="0"/>
        </w:rPr>
        <w:t xml:space="preserv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r>
        <w:t>the Registrar</w:t>
      </w:r>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 No. 25 of 2020 s. 34.]</w:t>
      </w:r>
    </w:p>
    <w:p>
      <w:pPr>
        <w:pStyle w:val="Heading5"/>
        <w:rPr>
          <w:snapToGrid w:val="0"/>
        </w:rPr>
      </w:pPr>
      <w:bookmarkStart w:id="146" w:name="_Toc51665579"/>
      <w:r>
        <w:rPr>
          <w:rStyle w:val="CharSectno"/>
        </w:rPr>
        <w:t>35A</w:t>
      </w:r>
      <w:r>
        <w:rPr>
          <w:snapToGrid w:val="0"/>
        </w:rPr>
        <w:t>.</w:t>
      </w:r>
      <w:r>
        <w:rPr>
          <w:snapToGrid w:val="0"/>
        </w:rPr>
        <w:tab/>
        <w:t>Payments ordered must be within means of offender</w:t>
      </w:r>
      <w:bookmarkEnd w:id="146"/>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147" w:name="_Toc51665580"/>
      <w:r>
        <w:rPr>
          <w:rStyle w:val="CharSectno"/>
        </w:rPr>
        <w:t>36</w:t>
      </w:r>
      <w:r>
        <w:t>.</w:t>
      </w:r>
      <w:r>
        <w:tab/>
        <w:t>Registrar may cancel time to pay order</w:t>
      </w:r>
      <w:bookmarkEnd w:id="147"/>
    </w:p>
    <w:p>
      <w:pPr>
        <w:pStyle w:val="Subsection"/>
      </w:pPr>
      <w:r>
        <w:tab/>
        <w:t>(1)</w:t>
      </w:r>
      <w:r>
        <w:tab/>
        <w:t xml:space="preserve">The Registrar may cancel a time to pay order if the offender — </w:t>
      </w:r>
    </w:p>
    <w:p>
      <w:pPr>
        <w:pStyle w:val="Indenta"/>
      </w:pPr>
      <w:r>
        <w:tab/>
        <w:t>(a)</w:t>
      </w:r>
      <w:r>
        <w:tab/>
        <w:t>contravenes the order; or</w:t>
      </w:r>
    </w:p>
    <w:p>
      <w:pPr>
        <w:pStyle w:val="Indenta"/>
      </w:pPr>
      <w:r>
        <w:tab/>
        <w:t>(b)</w:t>
      </w:r>
      <w:r>
        <w:tab/>
        <w:t>does not comply with a request made under section 35(1).</w:t>
      </w:r>
    </w:p>
    <w:p>
      <w:pPr>
        <w:pStyle w:val="Subsection"/>
        <w:keepNext/>
      </w:pPr>
      <w:r>
        <w:tab/>
        <w:t>(2)</w:t>
      </w:r>
      <w:r>
        <w:tab/>
        <w:t>Notice of the cancellation must be served on the offender.</w:t>
      </w:r>
    </w:p>
    <w:p>
      <w:pPr>
        <w:pStyle w:val="Footnotesection"/>
      </w:pPr>
      <w:r>
        <w:tab/>
        <w:t>[Section 36 inserted: No. 25 of 2020 s. 35.]</w:t>
      </w:r>
    </w:p>
    <w:p>
      <w:pPr>
        <w:pStyle w:val="Heading5"/>
      </w:pPr>
      <w:bookmarkStart w:id="148" w:name="_Toc51665581"/>
      <w:r>
        <w:rPr>
          <w:rStyle w:val="CharSectno"/>
        </w:rPr>
        <w:t>37</w:t>
      </w:r>
      <w:r>
        <w:t>.</w:t>
      </w:r>
      <w:r>
        <w:tab/>
        <w:t>Enforcement action suspended while time to pay order is in force</w:t>
      </w:r>
      <w:bookmarkEnd w:id="148"/>
    </w:p>
    <w:p>
      <w:pPr>
        <w:pStyle w:val="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Subsection"/>
      </w:pPr>
      <w:r>
        <w:tab/>
        <w:t>(2)</w:t>
      </w:r>
      <w:r>
        <w:tab/>
        <w:t>If the Registrar makes a time to pay order in respect of a fine, the CEO (corrections) must, as soon as practicable, cancel any WDO that is in force in relation to the fine.</w:t>
      </w:r>
    </w:p>
    <w:p>
      <w:pPr>
        <w:pStyle w:val="Subsection"/>
      </w:pPr>
      <w:r>
        <w:tab/>
        <w:t>(3)</w:t>
      </w:r>
      <w:r>
        <w:tab/>
        <w:t>If a time to pay order is in force in respect of a fine, the Registrar must not, despite any other provision of this Part —</w:t>
      </w:r>
    </w:p>
    <w:p>
      <w:pPr>
        <w:pStyle w:val="Indenta"/>
      </w:pPr>
      <w:r>
        <w:tab/>
        <w:t>(a)</w:t>
      </w:r>
      <w:r>
        <w:tab/>
        <w:t>issue a notice of intention to enforce under section 42 in relation to the fine; or</w:t>
      </w:r>
    </w:p>
    <w:p>
      <w:pPr>
        <w:pStyle w:val="Indenta"/>
      </w:pPr>
      <w:r>
        <w:tab/>
        <w:t>(b)</w:t>
      </w:r>
      <w:r>
        <w:tab/>
        <w:t>make or issue an enforcement instrument in relation to the fine; or</w:t>
      </w:r>
    </w:p>
    <w:p>
      <w:pPr>
        <w:pStyle w:val="Indenta"/>
      </w:pPr>
      <w:r>
        <w:tab/>
        <w:t>(c)</w:t>
      </w:r>
      <w:r>
        <w:tab/>
        <w:t>make an application under section 52N in relation to the fine.</w:t>
      </w:r>
    </w:p>
    <w:p>
      <w:pPr>
        <w:pStyle w:val="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Footnotesection"/>
      </w:pPr>
      <w:r>
        <w:tab/>
        <w:t>[Section 37 inserted: No. 25 of 2020 s. 35.]</w:t>
      </w:r>
    </w:p>
    <w:p>
      <w:pPr>
        <w:pStyle w:val="Ednotesection"/>
      </w:pPr>
      <w:r>
        <w:t>[</w:t>
      </w:r>
      <w:r>
        <w:rPr>
          <w:b/>
        </w:rPr>
        <w:t>38A, 38, 39.</w:t>
      </w:r>
      <w:r>
        <w:tab/>
        <w:t>Deleted: No. 25 of 2020 s. 35.]</w:t>
      </w:r>
    </w:p>
    <w:p>
      <w:pPr>
        <w:pStyle w:val="Ednotesection"/>
      </w:pPr>
      <w:r>
        <w:t>[</w:t>
      </w:r>
      <w:r>
        <w:rPr>
          <w:b/>
        </w:rPr>
        <w:t>40.</w:t>
      </w:r>
      <w:r>
        <w:tab/>
        <w:t>Deleted: No. 25 of 2020 s. 37.]</w:t>
      </w:r>
    </w:p>
    <w:p>
      <w:pPr>
        <w:pStyle w:val="Heading4"/>
      </w:pPr>
      <w:bookmarkStart w:id="149" w:name="_Toc51317140"/>
      <w:bookmarkStart w:id="150" w:name="_Toc51319776"/>
      <w:bookmarkStart w:id="151" w:name="_Toc51320229"/>
      <w:bookmarkStart w:id="152" w:name="_Toc51581169"/>
      <w:bookmarkStart w:id="153" w:name="_Toc51581474"/>
      <w:bookmarkStart w:id="154" w:name="_Toc51665582"/>
      <w:r>
        <w:t>Subdivision 4 — Cancellation of registration</w:t>
      </w:r>
      <w:bookmarkEnd w:id="149"/>
      <w:bookmarkEnd w:id="150"/>
      <w:bookmarkEnd w:id="151"/>
      <w:bookmarkEnd w:id="152"/>
      <w:bookmarkEnd w:id="153"/>
      <w:bookmarkEnd w:id="154"/>
    </w:p>
    <w:p>
      <w:pPr>
        <w:pStyle w:val="Footnoteheading"/>
      </w:pPr>
      <w:r>
        <w:tab/>
        <w:t>[Heading inserted: No. 25 of 2020 s. 38.]</w:t>
      </w:r>
    </w:p>
    <w:p>
      <w:pPr>
        <w:pStyle w:val="Heading5"/>
        <w:rPr>
          <w:snapToGrid w:val="0"/>
        </w:rPr>
      </w:pPr>
      <w:bookmarkStart w:id="155" w:name="_Toc51665583"/>
      <w:r>
        <w:rPr>
          <w:rStyle w:val="CharSectno"/>
        </w:rPr>
        <w:t>41</w:t>
      </w:r>
      <w:r>
        <w:rPr>
          <w:snapToGrid w:val="0"/>
        </w:rPr>
        <w:t>.</w:t>
      </w:r>
      <w:r>
        <w:rPr>
          <w:snapToGrid w:val="0"/>
        </w:rPr>
        <w:tab/>
        <w:t>Cancellation of registration</w:t>
      </w:r>
      <w:bookmarkEnd w:id="155"/>
    </w:p>
    <w:p>
      <w:pPr>
        <w:pStyle w:val="Ednotesubsection"/>
      </w:pPr>
      <w:r>
        <w:tab/>
        <w:t>[(1), (2)</w:t>
      </w:r>
      <w:r>
        <w:tab/>
        <w:t>deleted]</w:t>
      </w:r>
    </w:p>
    <w:p>
      <w:pPr>
        <w:pStyle w:val="Subsection"/>
      </w:pPr>
      <w:r>
        <w:tab/>
        <w:t>(3)</w:t>
      </w:r>
      <w:r>
        <w:tab/>
        <w:t xml:space="preserve">At any time after a fine is registered a court officer may, if there is good reason to do so, order the Registrar in writing to cancel the registration, unless — </w:t>
      </w:r>
    </w:p>
    <w:p>
      <w:pPr>
        <w:pStyle w:val="Indenta"/>
      </w:pPr>
      <w:r>
        <w:tab/>
        <w:t>(a)</w:t>
      </w:r>
      <w:r>
        <w:tab/>
        <w:t>an enforcement warrant or warrant of commitment is in force in relation to the fine; or</w:t>
      </w:r>
    </w:p>
    <w:p>
      <w:pPr>
        <w:pStyle w:val="Indenta"/>
      </w:pPr>
      <w:r>
        <w:tab/>
        <w:t>(b)</w:t>
      </w:r>
      <w:r>
        <w:tab/>
        <w:t>a warrant of commitment inquiry process is occurring in relation to the fine.</w:t>
      </w:r>
    </w:p>
    <w:p>
      <w:pPr>
        <w:pStyle w:val="Subsection"/>
      </w:pPr>
      <w:r>
        <w:tab/>
        <w:t>(4)</w:t>
      </w:r>
      <w:r>
        <w:tab/>
        <w:t>A court officer may only make an order under subsection (3) in respect of a fine to which Subdivision 2 applies with the consent of the prosecuting authority (as defined in section 32B(2)).</w:t>
      </w:r>
    </w:p>
    <w:p>
      <w:pPr>
        <w:pStyle w:val="Subsection"/>
        <w:keepNext/>
      </w:pPr>
      <w:r>
        <w:tab/>
        <w:t>(5)</w:t>
      </w:r>
      <w:r>
        <w:tab/>
        <w:t>When the registration of a fine is cancelled —</w:t>
      </w:r>
    </w:p>
    <w:p>
      <w:pPr>
        <w:pStyle w:val="Indenta"/>
      </w:pPr>
      <w:r>
        <w:tab/>
        <w:t>(a)</w:t>
      </w:r>
      <w:r>
        <w:tab/>
        <w:t>any time to pay order made under section 33 in respect of the fine is cancelled; and</w:t>
      </w:r>
    </w:p>
    <w:p>
      <w:pPr>
        <w:pStyle w:val="Indenta"/>
      </w:pPr>
      <w:r>
        <w:tab/>
        <w:t>(b)</w:t>
      </w:r>
      <w:r>
        <w:tab/>
        <w:t>any enforcement instrument or WDO in force in respect of the fine is cancelled; and</w:t>
      </w:r>
    </w:p>
    <w:p>
      <w:pPr>
        <w:pStyle w:val="Ednotepara"/>
      </w:pPr>
      <w:r>
        <w:tab/>
        <w:t>[(c)</w:t>
      </w:r>
      <w:r>
        <w:tab/>
        <w:t>deleted]</w:t>
      </w:r>
    </w:p>
    <w:p>
      <w:pPr>
        <w:pStyle w:val="Indenta"/>
      </w:pPr>
      <w:r>
        <w:tab/>
        <w:t>(d)</w:t>
      </w:r>
      <w:r>
        <w:tab/>
        <w:t>the Registrar must forthwith notify the offender of the cancellation of any time to pay order or licence suspension order that occurs under this subsection.</w:t>
      </w:r>
    </w:p>
    <w:p>
      <w:pPr>
        <w:pStyle w:val="Footnotesection"/>
      </w:pPr>
      <w:r>
        <w:tab/>
        <w:t>[Section 41 amended: No. 3 of 2008 s. 11; No. 48 of 2012 s. 43; No. 20 of 2013 s. 88; No. 25 of 2020 s. 39.]</w:t>
      </w:r>
    </w:p>
    <w:p>
      <w:pPr>
        <w:pStyle w:val="Heading3"/>
      </w:pPr>
      <w:bookmarkStart w:id="156" w:name="_Toc51317142"/>
      <w:bookmarkStart w:id="157" w:name="_Toc51319778"/>
      <w:bookmarkStart w:id="158" w:name="_Toc51320231"/>
      <w:bookmarkStart w:id="159" w:name="_Toc51581171"/>
      <w:bookmarkStart w:id="160" w:name="_Toc51581476"/>
      <w:bookmarkStart w:id="161" w:name="_Toc51665584"/>
      <w:r>
        <w:rPr>
          <w:rStyle w:val="CharDivNo"/>
        </w:rPr>
        <w:t>Division 3</w:t>
      </w:r>
      <w:r>
        <w:t> — </w:t>
      </w:r>
      <w:r>
        <w:rPr>
          <w:rStyle w:val="CharDivText"/>
        </w:rPr>
        <w:t>Notice of intention to enforce</w:t>
      </w:r>
      <w:bookmarkEnd w:id="156"/>
      <w:bookmarkEnd w:id="157"/>
      <w:bookmarkEnd w:id="158"/>
      <w:bookmarkEnd w:id="159"/>
      <w:bookmarkEnd w:id="160"/>
      <w:bookmarkEnd w:id="161"/>
    </w:p>
    <w:p>
      <w:pPr>
        <w:pStyle w:val="Footnoteheading"/>
      </w:pPr>
      <w:r>
        <w:tab/>
        <w:t>[Heading inserted: No. 25 of 2020 s. 40.]</w:t>
      </w:r>
    </w:p>
    <w:p>
      <w:pPr>
        <w:pStyle w:val="Heading5"/>
      </w:pPr>
      <w:bookmarkStart w:id="162" w:name="_Toc51665585"/>
      <w:r>
        <w:rPr>
          <w:rStyle w:val="CharSectno"/>
        </w:rPr>
        <w:t>42</w:t>
      </w:r>
      <w:r>
        <w:t>.</w:t>
      </w:r>
      <w:r>
        <w:tab/>
        <w:t>Notice of intention to enforce</w:t>
      </w:r>
      <w:bookmarkEnd w:id="162"/>
    </w:p>
    <w:p>
      <w:pPr>
        <w:pStyle w:val="Subsection"/>
      </w:pPr>
      <w:r>
        <w:tab/>
        <w:t>(1)</w:t>
      </w:r>
      <w:r>
        <w:tab/>
        <w:t>The Registrar may issue a notice of intention to enforce in relation to a registered fine.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p>
    <w:p>
      <w:pPr>
        <w:pStyle w:val="Ednotepara"/>
      </w:pPr>
      <w:r>
        <w:tab/>
        <w:t>[(d)</w:t>
      </w:r>
      <w:r>
        <w:tab/>
        <w:t>deleted]</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generally not be cancelled until the amount owed is paid; and</w:t>
      </w:r>
    </w:p>
    <w:p>
      <w:pPr>
        <w:pStyle w:val="Indenta"/>
      </w:pPr>
      <w:r>
        <w:tab/>
        <w:t>(c)</w:t>
      </w:r>
      <w:r>
        <w:tab/>
        <w:t>explain the effect of the licence suspension order that may be made; and</w:t>
      </w:r>
    </w:p>
    <w:p>
      <w:pPr>
        <w:pStyle w:val="Indenta"/>
      </w:pPr>
      <w:r>
        <w:tab/>
        <w:t>(ca)</w:t>
      </w:r>
      <w:r>
        <w:tab/>
        <w:t>state that a licence suspension order cannot be made in respect of an offender who is an individual if the offender’s last known address is in a remote area; and</w:t>
      </w:r>
    </w:p>
    <w:p>
      <w:pPr>
        <w:pStyle w:val="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Indenta"/>
      </w:pPr>
      <w:r>
        <w:tab/>
        <w:t>(d)</w:t>
      </w:r>
      <w:r>
        <w:tab/>
        <w:t>state the effect that an enforcement warrant will have if it is issued; and</w:t>
      </w:r>
    </w:p>
    <w:p>
      <w:pPr>
        <w:pStyle w:val="Indenta"/>
      </w:pPr>
      <w:r>
        <w:tab/>
        <w:t>(da)</w:t>
      </w:r>
      <w:r>
        <w:tab/>
        <w:t>explain the circumstances in which a fine expiation order can be issued and how an application for a fine expiation order can be made; and</w:t>
      </w:r>
    </w:p>
    <w:p>
      <w:pPr>
        <w:pStyle w:val="Indenta"/>
      </w:pPr>
      <w:r>
        <w:tab/>
        <w:t>(db)</w:t>
      </w:r>
      <w:r>
        <w:tab/>
        <w:t>explain that, if other enforcement action is unsuccessful, the Registrar can apply to the Magistrates Court for a warrant of commitment inquiry to be held; and</w:t>
      </w:r>
    </w:p>
    <w:p>
      <w:pPr>
        <w:pStyle w:val="Indenta"/>
      </w:pPr>
      <w:r>
        <w:tab/>
        <w:t>(dc)</w:t>
      </w:r>
      <w:r>
        <w:tab/>
        <w:t>explain the principles in section 4; and</w:t>
      </w:r>
    </w:p>
    <w:p>
      <w:pPr>
        <w:pStyle w:val="Indenta"/>
      </w:pPr>
      <w:r>
        <w:tab/>
        <w:t>(e)</w:t>
      </w:r>
      <w:r>
        <w:tab/>
        <w:t>contain such other information as is prescribed.</w:t>
      </w:r>
    </w:p>
    <w:p>
      <w:pPr>
        <w:pStyle w:val="Footnotesection"/>
      </w:pPr>
      <w:r>
        <w:tab/>
        <w:t>[Section 42 inserted: No. 48 of 2012 s. 20; amended: No. 25 of 2020 s. 41.]</w:t>
      </w:r>
    </w:p>
    <w:p>
      <w:pPr>
        <w:pStyle w:val="Heading3"/>
      </w:pPr>
      <w:bookmarkStart w:id="163" w:name="_Toc51317144"/>
      <w:bookmarkStart w:id="164" w:name="_Toc51319780"/>
      <w:bookmarkStart w:id="165" w:name="_Toc51320233"/>
      <w:bookmarkStart w:id="166" w:name="_Toc51581173"/>
      <w:bookmarkStart w:id="167" w:name="_Toc51581478"/>
      <w:bookmarkStart w:id="168" w:name="_Toc51665586"/>
      <w:r>
        <w:rPr>
          <w:rStyle w:val="CharDivNo"/>
        </w:rPr>
        <w:t>Division 3A</w:t>
      </w:r>
      <w:r>
        <w:t> — </w:t>
      </w:r>
      <w:r>
        <w:rPr>
          <w:rStyle w:val="CharDivText"/>
        </w:rPr>
        <w:t>Licence suspension orders</w:t>
      </w:r>
      <w:bookmarkEnd w:id="163"/>
      <w:bookmarkEnd w:id="164"/>
      <w:bookmarkEnd w:id="165"/>
      <w:bookmarkEnd w:id="166"/>
      <w:bookmarkEnd w:id="167"/>
      <w:bookmarkEnd w:id="168"/>
    </w:p>
    <w:p>
      <w:pPr>
        <w:pStyle w:val="Footnoteheading"/>
      </w:pPr>
      <w:r>
        <w:tab/>
        <w:t>[Heading inserted: No. 25 of 2020 s. 42.]</w:t>
      </w:r>
    </w:p>
    <w:p>
      <w:pPr>
        <w:pStyle w:val="Heading5"/>
        <w:rPr>
          <w:snapToGrid w:val="0"/>
        </w:rPr>
      </w:pPr>
      <w:bookmarkStart w:id="169" w:name="_Toc51665587"/>
      <w:r>
        <w:rPr>
          <w:rStyle w:val="CharSectno"/>
        </w:rPr>
        <w:t>43</w:t>
      </w:r>
      <w:r>
        <w:rPr>
          <w:snapToGrid w:val="0"/>
        </w:rPr>
        <w:t>.</w:t>
      </w:r>
      <w:r>
        <w:rPr>
          <w:snapToGrid w:val="0"/>
        </w:rPr>
        <w:tab/>
        <w:t>Licence suspension order</w:t>
      </w:r>
      <w:bookmarkEnd w:id="169"/>
    </w:p>
    <w:p>
      <w:pPr>
        <w:pStyle w:val="Subsection"/>
      </w:pPr>
      <w:r>
        <w:tab/>
        <w:t>(1)</w:t>
      </w:r>
      <w:r>
        <w:tab/>
        <w:t xml:space="preserve">The Registrar may make a licence suspension order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rPr>
          <w:snapToGrid w:val="0"/>
        </w:rPr>
      </w:pP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offender who is an individual if — </w:t>
      </w:r>
    </w:p>
    <w:p>
      <w:pPr>
        <w:pStyle w:val="Indenta"/>
      </w:pPr>
      <w:r>
        <w:tab/>
        <w:t>(a)</w:t>
      </w:r>
      <w:r>
        <w:tab/>
        <w:t>the offender’s last known address is in a remote area; or</w:t>
      </w:r>
    </w:p>
    <w:p>
      <w:pPr>
        <w:pStyle w:val="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the Registrar</w:t>
      </w:r>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offender who is an individual can request that the order be cancelled under section 44A(1).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 No. 25 of 2020 s. 43.]</w:t>
      </w:r>
    </w:p>
    <w:p>
      <w:pPr>
        <w:pStyle w:val="Heading5"/>
        <w:rPr>
          <w:snapToGrid w:val="0"/>
        </w:rPr>
      </w:pPr>
      <w:bookmarkStart w:id="170" w:name="_Toc51665588"/>
      <w:r>
        <w:rPr>
          <w:rStyle w:val="CharSectno"/>
        </w:rPr>
        <w:t>44</w:t>
      </w:r>
      <w:r>
        <w:rPr>
          <w:snapToGrid w:val="0"/>
        </w:rPr>
        <w:t>.</w:t>
      </w:r>
      <w:r>
        <w:rPr>
          <w:snapToGrid w:val="0"/>
        </w:rPr>
        <w:tab/>
        <w:t>Cancelling licence suspension order</w:t>
      </w:r>
      <w:bookmarkEnd w:id="170"/>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pPr>
      <w:r>
        <w:tab/>
        <w:t>(2A)</w:t>
      </w:r>
      <w:r>
        <w:tab/>
        <w:t>The Registrar must cancel a licence suspension order if the offender gives the Registrar a notice stating that the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(2A) or section 37(1), 44A(4)(b) or 53A(2)(b),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37(1), 44A(4)(b) or 53A(2)(b),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 No. 25 of 2020 s. 44.]</w:t>
      </w:r>
    </w:p>
    <w:p>
      <w:pPr>
        <w:pStyle w:val="Heading5"/>
      </w:pPr>
      <w:bookmarkStart w:id="171" w:name="_Toc51665589"/>
      <w:r>
        <w:rPr>
          <w:rStyle w:val="CharSectno"/>
        </w:rPr>
        <w:t>44A</w:t>
      </w:r>
      <w:r>
        <w:t>.</w:t>
      </w:r>
      <w:r>
        <w:tab/>
        <w:t>Offender may request cancellation of licence suspension order</w:t>
      </w:r>
      <w:bookmarkEnd w:id="171"/>
    </w:p>
    <w:p>
      <w:pPr>
        <w:pStyle w:val="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Subsection"/>
      </w:pPr>
      <w:r>
        <w:tab/>
        <w:t>(2)</w:t>
      </w:r>
      <w:r>
        <w:tab/>
        <w:t xml:space="preserve">A request under subsection (1) may be made by an offender if — </w:t>
      </w:r>
    </w:p>
    <w:p>
      <w:pPr>
        <w:pStyle w:val="Indenta"/>
      </w:pPr>
      <w:r>
        <w:tab/>
        <w:t>(a)</w:t>
      </w:r>
      <w:r>
        <w:tab/>
        <w:t xml:space="preserve">the licence suspension order deprives the offender of — </w:t>
      </w:r>
    </w:p>
    <w:p>
      <w:pPr>
        <w:pStyle w:val="Indenti"/>
      </w:pPr>
      <w:r>
        <w:tab/>
        <w:t>(i)</w:t>
      </w:r>
      <w:r>
        <w:tab/>
        <w:t>the means of obtaining urgent medical treatment for an illness, disease or disability known to be suffered by the offender or a member of the offender’s family; or</w:t>
      </w:r>
    </w:p>
    <w:p>
      <w:pPr>
        <w:pStyle w:val="Indenti"/>
      </w:pPr>
      <w:r>
        <w:tab/>
        <w:t>(ii)</w:t>
      </w:r>
      <w:r>
        <w:tab/>
        <w:t>the principal means of obtaining income with which to pay the amount owed in respect of the fine;</w:t>
      </w:r>
    </w:p>
    <w:p>
      <w:pPr>
        <w:pStyle w:val="Indenta"/>
      </w:pPr>
      <w:r>
        <w:tab/>
      </w:r>
      <w:r>
        <w:tab/>
        <w:t>or</w:t>
      </w:r>
    </w:p>
    <w:p>
      <w:pPr>
        <w:pStyle w:val="Indenta"/>
      </w:pPr>
      <w:r>
        <w:tab/>
        <w:t>(b)</w:t>
      </w:r>
      <w:r>
        <w:tab/>
        <w:t>the licence suspension order seriously hinders the offender in performing family or personal responsibilities.</w:t>
      </w:r>
    </w:p>
    <w:p>
      <w:pPr>
        <w:pStyle w:val="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Subsection"/>
      </w:pPr>
      <w:r>
        <w:tab/>
        <w:t>(4)</w:t>
      </w:r>
      <w:r>
        <w:tab/>
        <w:t xml:space="preserve">If the Registrar is satisfied that subsection (2) applies to the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43 in respect of the offender and the fine unless — </w:t>
      </w:r>
    </w:p>
    <w:p>
      <w:pPr>
        <w:pStyle w:val="Indenti"/>
      </w:pPr>
      <w:r>
        <w:tab/>
        <w:t>(i)</w:t>
      </w:r>
      <w:r>
        <w:tab/>
        <w:t>the Registrar is satisfied that subsection (2) no longer applies to the offender; or</w:t>
      </w:r>
    </w:p>
    <w:p>
      <w:pPr>
        <w:pStyle w:val="Indenti"/>
      </w:pPr>
      <w:r>
        <w:tab/>
        <w:t>(ii)</w:t>
      </w:r>
      <w:r>
        <w:tab/>
        <w:t>the Registrar makes a request under section 44B(2) and the offender does not comply with the request.</w:t>
      </w:r>
    </w:p>
    <w:p>
      <w:pPr>
        <w:pStyle w:val="Footnotesection"/>
      </w:pPr>
      <w:r>
        <w:tab/>
        <w:t>[Section 44A inserted: No. 25 of 2020 s. 45.]</w:t>
      </w:r>
    </w:p>
    <w:p>
      <w:pPr>
        <w:pStyle w:val="Heading5"/>
      </w:pPr>
      <w:bookmarkStart w:id="172" w:name="_Toc51665590"/>
      <w:r>
        <w:rPr>
          <w:rStyle w:val="CharSectno"/>
        </w:rPr>
        <w:t>44B</w:t>
      </w:r>
      <w:r>
        <w:t>.</w:t>
      </w:r>
      <w:r>
        <w:tab/>
        <w:t>Registrar may request further information</w:t>
      </w:r>
      <w:bookmarkEnd w:id="172"/>
    </w:p>
    <w:p>
      <w:pPr>
        <w:pStyle w:val="Subsection"/>
      </w:pPr>
      <w:r>
        <w:tab/>
        <w:t>(1)</w:t>
      </w:r>
      <w:r>
        <w:tab/>
        <w:t xml:space="preserve">This section applies if the Registrar — </w:t>
      </w:r>
    </w:p>
    <w:p>
      <w:pPr>
        <w:pStyle w:val="Indenta"/>
      </w:pPr>
      <w:r>
        <w:tab/>
        <w:t>(a)</w:t>
      </w:r>
      <w:r>
        <w:tab/>
        <w:t>does not make a licence suspension order in relation to an offender because of section 43(2A)(b); or</w:t>
      </w:r>
    </w:p>
    <w:p>
      <w:pPr>
        <w:pStyle w:val="Indenta"/>
      </w:pPr>
      <w:r>
        <w:tab/>
        <w:t>(b)</w:t>
      </w:r>
      <w:r>
        <w:tab/>
        <w:t>agrees to an offender’s request under section 44A(1) to cancel a licence suspension order.</w:t>
      </w:r>
    </w:p>
    <w:p>
      <w:pPr>
        <w:pStyle w:val="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Subsection"/>
      </w:pPr>
      <w:r>
        <w:tab/>
        <w:t>(3)</w:t>
      </w:r>
      <w:r>
        <w:tab/>
        <w:t>The request must be in writing and must be served on the offender.</w:t>
      </w:r>
    </w:p>
    <w:p>
      <w:pPr>
        <w:pStyle w:val="Subsection"/>
      </w:pPr>
      <w:r>
        <w:tab/>
        <w:t>(4)</w:t>
      </w:r>
      <w:r>
        <w:tab/>
        <w:t>The Registrar must not make a request under subsection (2) more than once in every period of 12 months unless the Registrar is advised that the personal circumstances of the offender have changed.</w:t>
      </w:r>
    </w:p>
    <w:p>
      <w:pPr>
        <w:pStyle w:val="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Footnotesection"/>
      </w:pPr>
      <w:r>
        <w:tab/>
        <w:t>[Section 44B inserted: No. 25 of 2020 s. 45.]</w:t>
      </w:r>
    </w:p>
    <w:p>
      <w:pPr>
        <w:pStyle w:val="Heading3"/>
      </w:pPr>
      <w:bookmarkStart w:id="173" w:name="_Toc51317149"/>
      <w:bookmarkStart w:id="174" w:name="_Toc51319785"/>
      <w:bookmarkStart w:id="175" w:name="_Toc51320238"/>
      <w:bookmarkStart w:id="176" w:name="_Toc51581178"/>
      <w:bookmarkStart w:id="177" w:name="_Toc51581483"/>
      <w:bookmarkStart w:id="178" w:name="_Toc51665591"/>
      <w:r>
        <w:rPr>
          <w:rStyle w:val="CharDivNo"/>
        </w:rPr>
        <w:t>Division 3B</w:t>
      </w:r>
      <w:r>
        <w:t> — </w:t>
      </w:r>
      <w:r>
        <w:rPr>
          <w:rStyle w:val="CharDivText"/>
        </w:rPr>
        <w:t>Enforcement warrants</w:t>
      </w:r>
      <w:bookmarkEnd w:id="173"/>
      <w:bookmarkEnd w:id="174"/>
      <w:bookmarkEnd w:id="175"/>
      <w:bookmarkEnd w:id="176"/>
      <w:bookmarkEnd w:id="177"/>
      <w:bookmarkEnd w:id="178"/>
    </w:p>
    <w:p>
      <w:pPr>
        <w:pStyle w:val="Footnoteheading"/>
      </w:pPr>
      <w:r>
        <w:tab/>
        <w:t>[Heading inserted: No. 25 of 2020 s. 46.]</w:t>
      </w:r>
    </w:p>
    <w:p>
      <w:pPr>
        <w:pStyle w:val="Heading5"/>
        <w:keepNext w:val="0"/>
        <w:keepLines w:val="0"/>
        <w:rPr>
          <w:snapToGrid w:val="0"/>
        </w:rPr>
      </w:pPr>
      <w:bookmarkStart w:id="179" w:name="_Toc51665592"/>
      <w:r>
        <w:rPr>
          <w:rStyle w:val="CharSectno"/>
        </w:rPr>
        <w:t>45</w:t>
      </w:r>
      <w:r>
        <w:rPr>
          <w:snapToGrid w:val="0"/>
        </w:rPr>
        <w:t>.</w:t>
      </w:r>
      <w:r>
        <w:rPr>
          <w:snapToGrid w:val="0"/>
        </w:rPr>
        <w:tab/>
        <w:t>Enforcement warrant</w:t>
      </w:r>
      <w:bookmarkEnd w:id="179"/>
    </w:p>
    <w:p>
      <w:pPr>
        <w:pStyle w:val="Subsection"/>
      </w:pPr>
      <w:r>
        <w:tab/>
        <w:t>(1)</w:t>
      </w:r>
      <w:r>
        <w:tab/>
        <w:t xml:space="preserve">The Registrar may issue an enforcement warrant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 No. 25 of 2020 s. 47.]</w:t>
      </w:r>
    </w:p>
    <w:p>
      <w:pPr>
        <w:pStyle w:val="Heading3"/>
      </w:pPr>
      <w:bookmarkStart w:id="180" w:name="_Toc51317151"/>
      <w:bookmarkStart w:id="181" w:name="_Toc51319787"/>
      <w:bookmarkStart w:id="182" w:name="_Toc51320240"/>
      <w:bookmarkStart w:id="183" w:name="_Toc51581180"/>
      <w:bookmarkStart w:id="184" w:name="_Toc51581485"/>
      <w:bookmarkStart w:id="185" w:name="_Toc51665593"/>
      <w:r>
        <w:rPr>
          <w:rStyle w:val="CharDivNo"/>
        </w:rPr>
        <w:t>Division 3C</w:t>
      </w:r>
      <w:r>
        <w:t> — </w:t>
      </w:r>
      <w:r>
        <w:rPr>
          <w:rStyle w:val="CharDivText"/>
        </w:rPr>
        <w:t>Work and development</w:t>
      </w:r>
      <w:bookmarkEnd w:id="180"/>
      <w:bookmarkEnd w:id="181"/>
      <w:bookmarkEnd w:id="182"/>
      <w:bookmarkEnd w:id="183"/>
      <w:bookmarkEnd w:id="184"/>
      <w:bookmarkEnd w:id="185"/>
    </w:p>
    <w:p>
      <w:pPr>
        <w:pStyle w:val="Footnoteheading"/>
        <w:keepNext/>
      </w:pPr>
      <w:r>
        <w:tab/>
        <w:t>[Heading inserted: No. 25 of 2020 s. 48.]</w:t>
      </w:r>
    </w:p>
    <w:p>
      <w:pPr>
        <w:pStyle w:val="Heading5"/>
      </w:pPr>
      <w:bookmarkStart w:id="186" w:name="_Toc51665594"/>
      <w:r>
        <w:rPr>
          <w:rStyle w:val="CharSectno"/>
        </w:rPr>
        <w:t>46</w:t>
      </w:r>
      <w:r>
        <w:t>.</w:t>
      </w:r>
      <w:r>
        <w:tab/>
        <w:t>Division does not apply to body corporate</w:t>
      </w:r>
      <w:bookmarkEnd w:id="186"/>
    </w:p>
    <w:p>
      <w:pPr>
        <w:pStyle w:val="Subsection"/>
      </w:pPr>
      <w:r>
        <w:tab/>
      </w:r>
      <w:r>
        <w:tab/>
        <w:t>This Division does not apply in relation to an offender that is a body corporate.</w:t>
      </w:r>
    </w:p>
    <w:p>
      <w:pPr>
        <w:pStyle w:val="Footnotesection"/>
      </w:pPr>
      <w:r>
        <w:tab/>
        <w:t>[Section 46 inserted: No. 25 of 2020 s. 49.]</w:t>
      </w:r>
    </w:p>
    <w:p>
      <w:pPr>
        <w:pStyle w:val="Heading5"/>
      </w:pPr>
      <w:bookmarkStart w:id="187" w:name="_Toc51665595"/>
      <w:r>
        <w:rPr>
          <w:rStyle w:val="CharSectno"/>
        </w:rPr>
        <w:t>47</w:t>
      </w:r>
      <w:r>
        <w:t>.</w:t>
      </w:r>
      <w:r>
        <w:tab/>
        <w:t>Order to attend for work and development</w:t>
      </w:r>
      <w:bookmarkEnd w:id="187"/>
    </w:p>
    <w:p>
      <w:pPr>
        <w:pStyle w:val="Subsection"/>
      </w:pPr>
      <w:r>
        <w:tab/>
        <w:t>(1)</w:t>
      </w:r>
      <w:r>
        <w:tab/>
        <w:t xml:space="preserve">The Registrar may issue an order to attend for work and development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 xml:space="preserve">An order to attend for work and development issued under subsection (1) must not be served on an offender unless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will be unlikely to have the means to pay, or personal property that could be so seized, within a reasonable time after the order is issued.</w:t>
      </w:r>
    </w:p>
    <w:p>
      <w:pPr>
        <w:pStyle w:val="Subsection"/>
      </w:pPr>
      <w:r>
        <w:tab/>
        <w:t>(3)</w:t>
      </w:r>
      <w:r>
        <w:tab/>
        <w:t>The Registrar may require the offender to undertake a means test for the purpose of determining whether subsection (2) is satisfied.</w:t>
      </w:r>
    </w:p>
    <w:p>
      <w:pPr>
        <w:pStyle w:val="Subsection"/>
      </w:pPr>
      <w:r>
        <w:tab/>
        <w:t>(4)</w:t>
      </w:r>
      <w:r>
        <w:tab/>
        <w:t>An order to attend for work and development must be served personally.</w:t>
      </w:r>
    </w:p>
    <w:p>
      <w:pPr>
        <w:pStyle w:val="Footnotesection"/>
      </w:pPr>
      <w:r>
        <w:tab/>
        <w:t>[Section 47 inserted: No. 25 of 2020 s. 49.]</w:t>
      </w:r>
    </w:p>
    <w:p>
      <w:pPr>
        <w:pStyle w:val="Ednotesection"/>
      </w:pPr>
      <w:r>
        <w:t>[</w:t>
      </w:r>
      <w:r>
        <w:rPr>
          <w:b/>
        </w:rPr>
        <w:t>47A.</w:t>
      </w:r>
      <w:r>
        <w:tab/>
        <w:t>Deleted: No. 25 of 2020 s. 49.]</w:t>
      </w:r>
    </w:p>
    <w:p>
      <w:pPr>
        <w:pStyle w:val="Heading5"/>
      </w:pPr>
      <w:bookmarkStart w:id="188" w:name="_Toc51665596"/>
      <w:r>
        <w:rPr>
          <w:rStyle w:val="CharSectno"/>
        </w:rPr>
        <w:t>47B</w:t>
      </w:r>
      <w:r>
        <w:t>.</w:t>
      </w:r>
      <w:r>
        <w:tab/>
        <w:t>Effect of order to attend for work and development</w:t>
      </w:r>
      <w:bookmarkEnd w:id="188"/>
    </w:p>
    <w:p>
      <w:pPr>
        <w:pStyle w:val="Subsection"/>
      </w:pPr>
      <w:r>
        <w:tab/>
      </w:r>
      <w:r>
        <w:tab/>
        <w:t xml:space="preserve">An order to attend for work and development issued under section 47 is an order requiring the offender, within 7 days after the service of the order or a longer period specified in the order —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 amended: No. 25 of 2020 s. 50.]</w:t>
      </w:r>
    </w:p>
    <w:p>
      <w:pPr>
        <w:pStyle w:val="Heading5"/>
      </w:pPr>
      <w:bookmarkStart w:id="189" w:name="_Toc51665597"/>
      <w:r>
        <w:rPr>
          <w:rStyle w:val="CharSectno"/>
        </w:rPr>
        <w:t>47C</w:t>
      </w:r>
      <w:r>
        <w:t>.</w:t>
      </w:r>
      <w:r>
        <w:tab/>
        <w:t>Cancellation and duration of order to attend for work and development</w:t>
      </w:r>
      <w:bookmarkEnd w:id="189"/>
    </w:p>
    <w:p>
      <w:pPr>
        <w:pStyle w:val="Subsection"/>
      </w:pPr>
      <w:r>
        <w:tab/>
        <w:t>(1)</w:t>
      </w:r>
      <w:r>
        <w:tab/>
        <w:t xml:space="preserve">The Registrar may cancel an order to attend for work and development issued under section 47 if it is not reasonably practicable to serve the order on the offender — </w:t>
      </w:r>
    </w:p>
    <w:p>
      <w:pPr>
        <w:pStyle w:val="Indenta"/>
      </w:pPr>
      <w:r>
        <w:tab/>
        <w:t>(a)</w:t>
      </w:r>
      <w:r>
        <w:tab/>
        <w:t>personally; or</w:t>
      </w:r>
    </w:p>
    <w:p>
      <w:pPr>
        <w:pStyle w:val="Indenta"/>
      </w:pPr>
      <w:r>
        <w:tab/>
        <w:t>(b)</w:t>
      </w:r>
      <w:r>
        <w:tab/>
        <w:t>by electronic means under section 5A(1).</w:t>
      </w:r>
    </w:p>
    <w:p>
      <w:pPr>
        <w:pStyle w:val="Subsection"/>
      </w:pPr>
      <w:r>
        <w:tab/>
        <w:t>(2)</w:t>
      </w:r>
      <w:r>
        <w:tab/>
        <w:t xml:space="preserve">An order to attend for work and development — </w:t>
      </w:r>
    </w:p>
    <w:p>
      <w:pPr>
        <w:pStyle w:val="Indenta"/>
      </w:pPr>
      <w:r>
        <w:tab/>
        <w:t>(a)</w:t>
      </w:r>
      <w:r>
        <w:tab/>
        <w:t>comes into force when it is served on the offender; and</w:t>
      </w:r>
    </w:p>
    <w:p>
      <w:pPr>
        <w:pStyle w:val="Indenta"/>
      </w:pPr>
      <w:r>
        <w:tab/>
        <w:t>(b)</w:t>
      </w:r>
      <w:r>
        <w:tab/>
        <w:t xml:space="preserve">is in force until whichever of the following occurs first — </w:t>
      </w:r>
    </w:p>
    <w:p>
      <w:pPr>
        <w:pStyle w:val="Indenti"/>
      </w:pPr>
      <w:r>
        <w:tab/>
        <w:t>(i)</w:t>
      </w:r>
      <w:r>
        <w:tab/>
        <w:t>the order is cancelled;</w:t>
      </w:r>
    </w:p>
    <w:p>
      <w:pPr>
        <w:pStyle w:val="Indenti"/>
      </w:pPr>
      <w:r>
        <w:tab/>
        <w:t>(ii)</w:t>
      </w:r>
      <w:r>
        <w:tab/>
        <w:t>the amount owed in respect of the fine is paid;</w:t>
      </w:r>
    </w:p>
    <w:p>
      <w:pPr>
        <w:pStyle w:val="Indenti"/>
      </w:pPr>
      <w:r>
        <w:tab/>
        <w:t>(iii)</w:t>
      </w:r>
      <w:r>
        <w:tab/>
        <w:t>a WDO is made in respect of the offender and the fine;</w:t>
      </w:r>
    </w:p>
    <w:p>
      <w:pPr>
        <w:pStyle w:val="Indenti"/>
        <w:keepNext/>
      </w:pPr>
      <w:r>
        <w:tab/>
        <w:t>(iv)</w:t>
      </w:r>
      <w:r>
        <w:tab/>
        <w:t>the time within which the offender must pay the amount owed or report to a community corrections centre expires.</w:t>
      </w:r>
    </w:p>
    <w:p>
      <w:pPr>
        <w:pStyle w:val="Footnotesection"/>
      </w:pPr>
      <w:r>
        <w:tab/>
        <w:t>[Section 47C inserted: No. 25 of 2020 s. 51.]</w:t>
      </w:r>
    </w:p>
    <w:p>
      <w:pPr>
        <w:pStyle w:val="Ednotesection"/>
      </w:pPr>
      <w:r>
        <w:t>[</w:t>
      </w:r>
      <w:r>
        <w:rPr>
          <w:b/>
        </w:rPr>
        <w:t>48A.</w:t>
      </w:r>
      <w:r>
        <w:tab/>
        <w:t>Deleted: No. 25 of 2020 s. 51.]</w:t>
      </w:r>
    </w:p>
    <w:p>
      <w:pPr>
        <w:pStyle w:val="Heading5"/>
        <w:spacing w:before="240"/>
        <w:rPr>
          <w:snapToGrid w:val="0"/>
        </w:rPr>
      </w:pPr>
      <w:bookmarkStart w:id="190" w:name="_Toc51665598"/>
      <w:r>
        <w:rPr>
          <w:rStyle w:val="CharSectno"/>
        </w:rPr>
        <w:t>48</w:t>
      </w:r>
      <w:r>
        <w:rPr>
          <w:snapToGrid w:val="0"/>
        </w:rPr>
        <w:t>.</w:t>
      </w:r>
      <w:r>
        <w:rPr>
          <w:snapToGrid w:val="0"/>
        </w:rPr>
        <w:tab/>
        <w:t>Making work and development order</w:t>
      </w:r>
      <w:bookmarkEnd w:id="19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pPr>
      <w:r>
        <w:tab/>
        <w:t>(4)</w:t>
      </w:r>
      <w:r>
        <w:tab/>
        <w:t xml:space="preserve">If the CEO (corrections) decides not to make a WDO in respect of an offender under subsection (2), the CEO (corrections) must give the Registrar written notice stating — </w:t>
      </w:r>
    </w:p>
    <w:p>
      <w:pPr>
        <w:pStyle w:val="Indenta"/>
      </w:pPr>
      <w:r>
        <w:tab/>
        <w:t>(a)</w:t>
      </w:r>
      <w:r>
        <w:tab/>
        <w:t>the decision; and</w:t>
      </w:r>
    </w:p>
    <w:p>
      <w:pPr>
        <w:pStyle w:val="Indenta"/>
      </w:pPr>
      <w:r>
        <w:tab/>
        <w:t>(b)</w:t>
      </w:r>
      <w:r>
        <w:tab/>
        <w:t>the reasons for the decision; and</w:t>
      </w:r>
    </w:p>
    <w:p>
      <w:pPr>
        <w:pStyle w:val="Indenta"/>
      </w:pPr>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Ednotesubsection"/>
      </w:pPr>
      <w:r>
        <w:tab/>
        <w:t>[(5)</w:t>
      </w:r>
      <w:r>
        <w:tab/>
        <w:t>deleted]</w:t>
      </w:r>
    </w:p>
    <w:p>
      <w:pPr>
        <w:pStyle w:val="Footnotesection"/>
        <w:ind w:left="890" w:hanging="890"/>
      </w:pPr>
      <w:r>
        <w:tab/>
        <w:t>[Section 48 amended: No. 9 of 2000 s. 6; No. 51 of 2000 s. 7; No. 65 of 2006 s. 64; No. 25 of 2020 s. 52.]</w:t>
      </w:r>
    </w:p>
    <w:p>
      <w:pPr>
        <w:pStyle w:val="Heading5"/>
        <w:rPr>
          <w:snapToGrid w:val="0"/>
        </w:rPr>
      </w:pPr>
      <w:bookmarkStart w:id="191" w:name="_Toc51665599"/>
      <w:r>
        <w:rPr>
          <w:rStyle w:val="CharSectno"/>
        </w:rPr>
        <w:t>49</w:t>
      </w:r>
      <w:r>
        <w:rPr>
          <w:snapToGrid w:val="0"/>
        </w:rPr>
        <w:t>.</w:t>
      </w:r>
      <w:r>
        <w:rPr>
          <w:snapToGrid w:val="0"/>
        </w:rPr>
        <w:tab/>
        <w:t>Effect of work and development order</w:t>
      </w:r>
      <w:bookmarkEnd w:id="191"/>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192" w:name="_Toc51665600"/>
      <w:r>
        <w:rPr>
          <w:rStyle w:val="CharSectno"/>
        </w:rPr>
        <w:t>50</w:t>
      </w:r>
      <w:r>
        <w:rPr>
          <w:snapToGrid w:val="0"/>
        </w:rPr>
        <w:t>.</w:t>
      </w:r>
      <w:r>
        <w:rPr>
          <w:snapToGrid w:val="0"/>
        </w:rPr>
        <w:tab/>
        <w:t>Primary requirements of work and development order</w:t>
      </w:r>
      <w:bookmarkEnd w:id="192"/>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do community corrections activities for the number of hours specified in the WDO;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pPr>
      <w:r>
        <w:tab/>
        <w:t>(2A)</w:t>
      </w:r>
      <w:r>
        <w:tab/>
        <w:t>A CCO may, by written notice served on the offender, amend the WDO to specify a lower number of hours than the number specified under subsection (1)(b).</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 No. 25 of 2020 s. 53.]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193" w:name="_Toc51665601"/>
      <w:r>
        <w:rPr>
          <w:rStyle w:val="CharSectno"/>
        </w:rPr>
        <w:t>51</w:t>
      </w:r>
      <w:r>
        <w:rPr>
          <w:snapToGrid w:val="0"/>
        </w:rPr>
        <w:t>.</w:t>
      </w:r>
      <w:r>
        <w:rPr>
          <w:snapToGrid w:val="0"/>
        </w:rPr>
        <w:tab/>
        <w:t>Discharge of liability under work and development order</w:t>
      </w:r>
      <w:bookmarkEnd w:id="193"/>
    </w:p>
    <w:p>
      <w:pPr>
        <w:pStyle w:val="Subsection"/>
        <w:keepNext/>
        <w:rPr>
          <w:snapToGrid w:val="0"/>
        </w:rPr>
      </w:pPr>
      <w:r>
        <w:rPr>
          <w:snapToGrid w:val="0"/>
        </w:rPr>
        <w:tab/>
        <w:t>(1)</w:t>
      </w:r>
      <w:r>
        <w:rPr>
          <w:snapToGrid w:val="0"/>
        </w:rPr>
        <w:tab/>
      </w:r>
      <w:r>
        <w:t xml:space="preserve">If a WDO has been issued in relation to an offender and a fine, the offender’s liability to pay the amount owed in respect of the fine may be discharged —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Subsection"/>
      </w:pPr>
      <w:r>
        <w:tab/>
        <w:t>(4)</w:t>
      </w:r>
      <w:r>
        <w:tab/>
        <w:t>A WDO is completed when the offender’s liability to pay the amount owed is wholly discharged under this section.</w:t>
      </w:r>
    </w:p>
    <w:p>
      <w:pPr>
        <w:pStyle w:val="Footnotesection"/>
      </w:pPr>
      <w:r>
        <w:tab/>
        <w:t>[Section 51 amended: No. 25 of 2020 s. 54.]</w:t>
      </w:r>
    </w:p>
    <w:p>
      <w:pPr>
        <w:pStyle w:val="Heading5"/>
        <w:spacing w:before="240"/>
        <w:rPr>
          <w:snapToGrid w:val="0"/>
        </w:rPr>
      </w:pPr>
      <w:bookmarkStart w:id="194" w:name="_Toc51665602"/>
      <w:r>
        <w:rPr>
          <w:rStyle w:val="CharSectno"/>
        </w:rPr>
        <w:t>52</w:t>
      </w:r>
      <w:r>
        <w:rPr>
          <w:snapToGrid w:val="0"/>
        </w:rPr>
        <w:t>.</w:t>
      </w:r>
      <w:r>
        <w:rPr>
          <w:snapToGrid w:val="0"/>
        </w:rPr>
        <w:tab/>
        <w:t>Cancellation and duration of work and development order</w:t>
      </w:r>
      <w:bookmarkEnd w:id="194"/>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pPr>
      <w:r>
        <w:tab/>
        <w:t>(3)</w:t>
      </w:r>
      <w:r>
        <w:tab/>
        <w:t xml:space="preserve">A WDO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WDO is completed under section 51(4);</w:t>
      </w:r>
    </w:p>
    <w:p>
      <w:pPr>
        <w:pStyle w:val="Indenti"/>
      </w:pPr>
      <w:r>
        <w:tab/>
        <w:t>(ii)</w:t>
      </w:r>
      <w:r>
        <w:tab/>
        <w:t>the WDO is cancelled.</w:t>
      </w:r>
    </w:p>
    <w:p>
      <w:pPr>
        <w:pStyle w:val="Footnotesection"/>
      </w:pPr>
      <w:r>
        <w:tab/>
        <w:t>[Section 52 amended: No. 65 of 2006 s. 64; No. 25 of 2020 s. 55.]</w:t>
      </w:r>
    </w:p>
    <w:p>
      <w:pPr>
        <w:pStyle w:val="Heading3"/>
      </w:pPr>
      <w:bookmarkStart w:id="195" w:name="_Toc51317161"/>
      <w:bookmarkStart w:id="196" w:name="_Toc51319797"/>
      <w:bookmarkStart w:id="197" w:name="_Toc51320250"/>
      <w:bookmarkStart w:id="198" w:name="_Toc51581190"/>
      <w:bookmarkStart w:id="199" w:name="_Toc51581495"/>
      <w:bookmarkStart w:id="200" w:name="_Toc51665603"/>
      <w:r>
        <w:rPr>
          <w:rStyle w:val="CharDivNo"/>
        </w:rPr>
        <w:t>Division 3D</w:t>
      </w:r>
      <w:r>
        <w:t> — </w:t>
      </w:r>
      <w:r>
        <w:rPr>
          <w:rStyle w:val="CharDivText"/>
        </w:rPr>
        <w:t>Fine expiation orders</w:t>
      </w:r>
      <w:bookmarkEnd w:id="195"/>
      <w:bookmarkEnd w:id="196"/>
      <w:bookmarkEnd w:id="197"/>
      <w:bookmarkEnd w:id="198"/>
      <w:bookmarkEnd w:id="199"/>
      <w:bookmarkEnd w:id="200"/>
    </w:p>
    <w:p>
      <w:pPr>
        <w:pStyle w:val="Footnoteheading"/>
      </w:pPr>
      <w:r>
        <w:tab/>
        <w:t>[Heading inserted: No. 25 of 2020 s. 56.]</w:t>
      </w:r>
    </w:p>
    <w:p>
      <w:pPr>
        <w:pStyle w:val="Heading5"/>
      </w:pPr>
      <w:bookmarkStart w:id="201" w:name="_Toc51665604"/>
      <w:r>
        <w:rPr>
          <w:rStyle w:val="CharSectno"/>
        </w:rPr>
        <w:t>52A</w:t>
      </w:r>
      <w:r>
        <w:t>.</w:t>
      </w:r>
      <w:r>
        <w:tab/>
        <w:t>Division does not apply to body corporate</w:t>
      </w:r>
      <w:bookmarkEnd w:id="201"/>
    </w:p>
    <w:p>
      <w:pPr>
        <w:pStyle w:val="Subsection"/>
      </w:pPr>
      <w:r>
        <w:tab/>
      </w:r>
      <w:r>
        <w:tab/>
        <w:t>This Division does not apply in relation to an offender that is a body corporate.</w:t>
      </w:r>
    </w:p>
    <w:p>
      <w:pPr>
        <w:pStyle w:val="Footnotesection"/>
      </w:pPr>
      <w:r>
        <w:tab/>
        <w:t>[Section 52A inserted: No. 25 of 2020 s. 56.]</w:t>
      </w:r>
    </w:p>
    <w:p>
      <w:pPr>
        <w:pStyle w:val="Heading5"/>
      </w:pPr>
      <w:bookmarkStart w:id="202" w:name="_Toc51665605"/>
      <w:r>
        <w:rPr>
          <w:rStyle w:val="CharSectno"/>
        </w:rPr>
        <w:t>52B</w:t>
      </w:r>
      <w:r>
        <w:t>.</w:t>
      </w:r>
      <w:r>
        <w:tab/>
        <w:t>Term used: daily expiation amount</w:t>
      </w:r>
      <w:bookmarkEnd w:id="202"/>
    </w:p>
    <w:p>
      <w:pPr>
        <w:pStyle w:val="Subsection"/>
        <w:keepNext/>
      </w:pPr>
      <w:r>
        <w:tab/>
      </w:r>
      <w:r>
        <w:tab/>
        <w:t xml:space="preserve">In this Division — </w:t>
      </w:r>
    </w:p>
    <w:p>
      <w:pPr>
        <w:pStyle w:val="Defstart"/>
      </w:pPr>
      <w:r>
        <w:tab/>
      </w:r>
      <w:r>
        <w:rPr>
          <w:rStyle w:val="CharDefText"/>
        </w:rPr>
        <w:t>daily expiation amount</w:t>
      </w:r>
      <w:r>
        <w:t xml:space="preserve"> means the amount prescribed by the regulations for the purposes of this definition.</w:t>
      </w:r>
    </w:p>
    <w:p>
      <w:pPr>
        <w:pStyle w:val="Footnotesection"/>
      </w:pPr>
      <w:r>
        <w:tab/>
        <w:t>[Section 52A inserted: No. 25 of 2020 s. 56.]</w:t>
      </w:r>
    </w:p>
    <w:p>
      <w:pPr>
        <w:pStyle w:val="Heading5"/>
      </w:pPr>
      <w:bookmarkStart w:id="203" w:name="_Toc51665606"/>
      <w:r>
        <w:rPr>
          <w:rStyle w:val="CharSectno"/>
        </w:rPr>
        <w:t>52C</w:t>
      </w:r>
      <w:r>
        <w:t>.</w:t>
      </w:r>
      <w:r>
        <w:tab/>
        <w:t>When a person is in custody for the purposes of fine expiation order</w:t>
      </w:r>
      <w:bookmarkEnd w:id="203"/>
    </w:p>
    <w:p>
      <w:pPr>
        <w:pStyle w:val="Subsection"/>
      </w:pPr>
      <w:r>
        <w:tab/>
        <w:t>(1)</w:t>
      </w:r>
      <w:r>
        <w:tab/>
        <w:t xml:space="preserve">For the purposes of this Division, a person is in custody during any period when the person is — </w:t>
      </w:r>
    </w:p>
    <w:p>
      <w:pPr>
        <w:pStyle w:val="Indenta"/>
      </w:pPr>
      <w:r>
        <w:tab/>
        <w:t>(a)</w:t>
      </w:r>
      <w:r>
        <w:tab/>
        <w:t>under arrest; or</w:t>
      </w:r>
    </w:p>
    <w:p>
      <w:pPr>
        <w:pStyle w:val="Indenta"/>
      </w:pPr>
      <w:r>
        <w:tab/>
        <w:t>(b)</w:t>
      </w:r>
      <w:r>
        <w:tab/>
        <w:t>a prisoner in a prison; or</w:t>
      </w:r>
    </w:p>
    <w:p>
      <w:pPr>
        <w:pStyle w:val="Indenta"/>
      </w:pPr>
      <w:r>
        <w:tab/>
        <w:t>(c)</w:t>
      </w:r>
      <w:r>
        <w:tab/>
        <w:t>a detainee in a detention centre; or</w:t>
      </w:r>
    </w:p>
    <w:p>
      <w:pPr>
        <w:pStyle w:val="Indenta"/>
      </w:pPr>
      <w:r>
        <w:tab/>
        <w:t>(d)</w:t>
      </w:r>
      <w:r>
        <w:tab/>
        <w:t>a person in court custody in a court custody centre; or</w:t>
      </w:r>
    </w:p>
    <w:p>
      <w:pPr>
        <w:pStyle w:val="Indenta"/>
      </w:pPr>
      <w:r>
        <w:tab/>
        <w:t>(e)</w:t>
      </w:r>
      <w:r>
        <w:tab/>
        <w:t>detained at a police facility; or</w:t>
      </w:r>
    </w:p>
    <w:p>
      <w:pPr>
        <w:pStyle w:val="Indenta"/>
      </w:pPr>
      <w:r>
        <w:tab/>
        <w:t>(f)</w:t>
      </w:r>
      <w:r>
        <w:tab/>
        <w:t xml:space="preserve">detained under a custody order (as defined in the </w:t>
      </w:r>
      <w:r>
        <w:rPr>
          <w:i/>
        </w:rPr>
        <w:t>Criminal Law (Mentally Impaired Accused) Act 1996</w:t>
      </w:r>
      <w:r>
        <w:t xml:space="preserve"> section 3).</w:t>
      </w:r>
    </w:p>
    <w:p>
      <w:pPr>
        <w:pStyle w:val="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Subsection"/>
      </w:pPr>
      <w:r>
        <w:tab/>
        <w:t>(3)</w:t>
      </w:r>
      <w:r>
        <w:tab/>
        <w:t xml:space="preserve">For the purposes of this Division, a period of custody — </w:t>
      </w:r>
    </w:p>
    <w:p>
      <w:pPr>
        <w:pStyle w:val="Indenta"/>
      </w:pPr>
      <w:r>
        <w:tab/>
        <w:t>(a)</w:t>
      </w:r>
      <w:r>
        <w:tab/>
        <w:t>is a period during which a person is continuously in custody (whether the same or different kinds of custody and whether the custody relates to 1 or more offences or charges); and</w:t>
      </w:r>
    </w:p>
    <w:p>
      <w:pPr>
        <w:pStyle w:val="Indenta"/>
      </w:pPr>
      <w:r>
        <w:tab/>
        <w:t>(b)</w:t>
      </w:r>
      <w:r>
        <w:tab/>
        <w:t>begins on the day on which the person is taken into custody and ends on the day on which the person ceases to be in custody.</w:t>
      </w:r>
    </w:p>
    <w:p>
      <w:pPr>
        <w:pStyle w:val="Subsection"/>
      </w:pPr>
      <w:r>
        <w:tab/>
        <w:t>(4)</w:t>
      </w:r>
      <w:r>
        <w:tab/>
        <w:t>For the purposes of this Division, a part</w:t>
      </w:r>
      <w:r>
        <w:noBreakHyphen/>
        <w:t>day during which a person is in custody is to be counted as a day.</w:t>
      </w:r>
    </w:p>
    <w:p>
      <w:pPr>
        <w:pStyle w:val="Footnotesection"/>
      </w:pPr>
      <w:r>
        <w:tab/>
        <w:t>[Section 52C inserted: No. 25 of 2020 s. 56.]</w:t>
      </w:r>
    </w:p>
    <w:p>
      <w:pPr>
        <w:pStyle w:val="Heading5"/>
      </w:pPr>
      <w:bookmarkStart w:id="204" w:name="_Toc51665607"/>
      <w:r>
        <w:rPr>
          <w:rStyle w:val="CharSectno"/>
        </w:rPr>
        <w:t>52D</w:t>
      </w:r>
      <w:r>
        <w:t>.</w:t>
      </w:r>
      <w:r>
        <w:tab/>
        <w:t>Fine expiation order</w:t>
      </w:r>
      <w:bookmarkEnd w:id="204"/>
    </w:p>
    <w:p>
      <w:pPr>
        <w:pStyle w:val="Subsection"/>
      </w:pPr>
      <w:r>
        <w:tab/>
        <w:t>(1)</w:t>
      </w:r>
      <w:r>
        <w:tab/>
        <w:t>A fine expiation order is an order enabling an offender who is in custody, or has been in custody, to discharge the offender’s liability to pay the amount owed in respect of a fine.</w:t>
      </w:r>
    </w:p>
    <w:p>
      <w:pPr>
        <w:pStyle w:val="Subsection"/>
      </w:pPr>
      <w:r>
        <w:tab/>
        <w:t>(2)</w:t>
      </w:r>
      <w:r>
        <w:tab/>
        <w:t>A fine expiation order does not authorise the offender to be held in custody.</w:t>
      </w:r>
    </w:p>
    <w:p>
      <w:pPr>
        <w:pStyle w:val="Footnotesection"/>
      </w:pPr>
      <w:r>
        <w:tab/>
        <w:t>[Section 52D inserted: No. 25 of 2020 s. 56.]</w:t>
      </w:r>
    </w:p>
    <w:p>
      <w:pPr>
        <w:pStyle w:val="Heading5"/>
      </w:pPr>
      <w:bookmarkStart w:id="205" w:name="_Toc51665608"/>
      <w:r>
        <w:rPr>
          <w:rStyle w:val="CharSectno"/>
        </w:rPr>
        <w:t>52E</w:t>
      </w:r>
      <w:r>
        <w:t>.</w:t>
      </w:r>
      <w:r>
        <w:tab/>
        <w:t>Application for fine expiation order</w:t>
      </w:r>
      <w:bookmarkEnd w:id="205"/>
    </w:p>
    <w:p>
      <w:pPr>
        <w:pStyle w:val="Subsection"/>
      </w:pPr>
      <w:r>
        <w:tab/>
        <w:t>(1)</w:t>
      </w:r>
      <w:r>
        <w:tab/>
        <w:t>An offender may apply to the Registrar, in accordance with the regulations, for a fine expiation order in relation to an enforceable registered fine.</w:t>
      </w:r>
    </w:p>
    <w:p>
      <w:pPr>
        <w:pStyle w:val="Subsection"/>
      </w:pPr>
      <w:r>
        <w:tab/>
        <w:t>(2)</w:t>
      </w:r>
      <w:r>
        <w:tab/>
        <w:t xml:space="preserve">An application under subsection (1) may be made — </w:t>
      </w:r>
    </w:p>
    <w:p>
      <w:pPr>
        <w:pStyle w:val="Indenta"/>
      </w:pPr>
      <w:r>
        <w:tab/>
        <w:t>(a)</w:t>
      </w:r>
      <w:r>
        <w:tab/>
        <w:t>by an offender who is in custody, in relation to that period of custody; or</w:t>
      </w:r>
    </w:p>
    <w:p>
      <w:pPr>
        <w:pStyle w:val="Indenta"/>
      </w:pPr>
      <w:r>
        <w:tab/>
        <w:t>(b)</w:t>
      </w:r>
      <w:r>
        <w:tab/>
        <w:t>by an offender who has been in custody, in relation to a period of custody that has ended.</w:t>
      </w:r>
    </w:p>
    <w:p>
      <w:pPr>
        <w:pStyle w:val="Subsection"/>
      </w:pPr>
      <w:r>
        <w:tab/>
        <w:t>(3)</w:t>
      </w:r>
      <w:r>
        <w:tab/>
        <w:t xml:space="preserve">An application referred to in subsection (2)(a) may be made on behalf of the offender — </w:t>
      </w:r>
    </w:p>
    <w:p>
      <w:pPr>
        <w:pStyle w:val="Indenta"/>
      </w:pPr>
      <w:r>
        <w:tab/>
        <w:t>(a)</w:t>
      </w:r>
      <w:r>
        <w:tab/>
        <w:t>by a person authorised in writing by the offender to make the application; or</w:t>
      </w:r>
    </w:p>
    <w:p>
      <w:pPr>
        <w:pStyle w:val="Indenta"/>
      </w:pPr>
      <w:r>
        <w:tab/>
        <w:t>(b)</w:t>
      </w:r>
      <w:r>
        <w:tab/>
        <w:t>by a person or body authorised to make the application under subsection (4), with the consent of the offender.</w:t>
      </w:r>
    </w:p>
    <w:p>
      <w:pPr>
        <w:pStyle w:val="Subsection"/>
      </w:pPr>
      <w:r>
        <w:tab/>
        <w:t>(4)</w:t>
      </w:r>
      <w:r>
        <w:tab/>
        <w:t>The Registrar may, in writing, authorise a person or body to make applications under subsection (1) on behalf of offenders.</w:t>
      </w:r>
    </w:p>
    <w:p>
      <w:pPr>
        <w:pStyle w:val="Subsection"/>
        <w:keepNext/>
      </w:pPr>
      <w:r>
        <w:tab/>
        <w:t>(5)</w:t>
      </w:r>
      <w:r>
        <w:tab/>
        <w:t>An authorisation under subsection (4) may relate to all offenders or offenders of a specified class.</w:t>
      </w:r>
    </w:p>
    <w:p>
      <w:pPr>
        <w:pStyle w:val="Footnotesection"/>
      </w:pPr>
      <w:r>
        <w:tab/>
        <w:t>[Section 52E inserted: No. 25 of 2020 s. 56.]</w:t>
      </w:r>
    </w:p>
    <w:p>
      <w:pPr>
        <w:pStyle w:val="Heading5"/>
      </w:pPr>
      <w:bookmarkStart w:id="206" w:name="_Toc51665609"/>
      <w:r>
        <w:rPr>
          <w:rStyle w:val="CharSectno"/>
        </w:rPr>
        <w:t>52F</w:t>
      </w:r>
      <w:r>
        <w:t>.</w:t>
      </w:r>
      <w:r>
        <w:tab/>
        <w:t>Issue of fine expiation order</w:t>
      </w:r>
      <w:bookmarkEnd w:id="206"/>
    </w:p>
    <w:p>
      <w:pPr>
        <w:pStyle w:val="Subsection"/>
      </w:pPr>
      <w:r>
        <w:tab/>
        <w:t>(1)</w:t>
      </w:r>
      <w:r>
        <w:tab/>
        <w:t xml:space="preserve">On an application under section 52E, the Registrar may issue a fine expiation order in relation to the offender and the fine if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 xml:space="preserve">will be unlikely to have the means to pay, or personal property that could be so seized — </w:t>
      </w:r>
    </w:p>
    <w:p>
      <w:pPr>
        <w:pStyle w:val="Indenti"/>
      </w:pPr>
      <w:r>
        <w:tab/>
        <w:t>(i)</w:t>
      </w:r>
      <w:r>
        <w:tab/>
        <w:t>for an application referred to in section 52E(2)(a) — within a reasonable time after the period of custody referred to in that section will end; or</w:t>
      </w:r>
    </w:p>
    <w:p>
      <w:pPr>
        <w:pStyle w:val="Indenti"/>
      </w:pPr>
      <w:r>
        <w:tab/>
        <w:t>(ii)</w:t>
      </w:r>
      <w:r>
        <w:tab/>
        <w:t>for an application referred to in section 52E(2)(b) — within a reasonable time after the application is made.</w:t>
      </w:r>
    </w:p>
    <w:p>
      <w:pPr>
        <w:pStyle w:val="Subsection"/>
      </w:pPr>
      <w:r>
        <w:tab/>
        <w:t>(2)</w:t>
      </w:r>
      <w:r>
        <w:tab/>
        <w:t>The Registrar may require the offender to undertake a means test for the purpose of determining whether subsection (1) is satisfied.</w:t>
      </w:r>
    </w:p>
    <w:p>
      <w:pPr>
        <w:pStyle w:val="Subsection"/>
      </w:pPr>
      <w:r>
        <w:tab/>
        <w:t>(3)</w:t>
      </w:r>
      <w:r>
        <w:tab/>
        <w:t>A fine expiation order must be served on the offender.</w:t>
      </w:r>
    </w:p>
    <w:p>
      <w:pPr>
        <w:pStyle w:val="Subsection"/>
      </w:pPr>
      <w:r>
        <w:tab/>
        <w:t>(4)</w:t>
      </w:r>
      <w:r>
        <w:tab/>
        <w:t>If the Registrar refuses to issue a fine expiation order, the Registrar must serve notice of the refusal on the offender.</w:t>
      </w:r>
    </w:p>
    <w:p>
      <w:pPr>
        <w:pStyle w:val="Subsection"/>
      </w:pPr>
      <w:r>
        <w:tab/>
        <w:t>(5)</w:t>
      </w:r>
      <w:r>
        <w:tab/>
        <w:t>Two or more fine expiation orders in relation to different fines can be issued in relation to the same period of custody.</w:t>
      </w:r>
    </w:p>
    <w:p>
      <w:pPr>
        <w:pStyle w:val="Footnotesection"/>
      </w:pPr>
      <w:r>
        <w:tab/>
        <w:t>[Section 52F inserted: No. 25 of 2020 s. 56.]</w:t>
      </w:r>
    </w:p>
    <w:p>
      <w:pPr>
        <w:pStyle w:val="Heading5"/>
      </w:pPr>
      <w:bookmarkStart w:id="207" w:name="_Toc51665610"/>
      <w:r>
        <w:rPr>
          <w:rStyle w:val="CharSectno"/>
        </w:rPr>
        <w:t>52G</w:t>
      </w:r>
      <w:r>
        <w:t>.</w:t>
      </w:r>
      <w:r>
        <w:tab/>
        <w:t>Form of fine expiation order</w:t>
      </w:r>
      <w:bookmarkEnd w:id="207"/>
    </w:p>
    <w:p>
      <w:pPr>
        <w:pStyle w:val="Subsection"/>
      </w:pPr>
      <w:r>
        <w:tab/>
        <w:t>(1)</w:t>
      </w:r>
      <w:r>
        <w:tab/>
        <w:t xml:space="preserve">A fine expiation order must — </w:t>
      </w:r>
    </w:p>
    <w:p>
      <w:pPr>
        <w:pStyle w:val="Indenta"/>
      </w:pPr>
      <w:r>
        <w:tab/>
        <w:t>(a)</w:t>
      </w:r>
      <w:r>
        <w:tab/>
        <w:t>be in the approved form; and</w:t>
      </w:r>
    </w:p>
    <w:p>
      <w:pPr>
        <w:pStyle w:val="Indenta"/>
      </w:pPr>
      <w:r>
        <w:tab/>
        <w:t>(b)</w:t>
      </w:r>
      <w:r>
        <w:tab/>
        <w:t>state the amount owed in respect of the fine; and</w:t>
      </w:r>
    </w:p>
    <w:p>
      <w:pPr>
        <w:pStyle w:val="Indenta"/>
      </w:pPr>
      <w:r>
        <w:tab/>
        <w:t>(c)</w:t>
      </w:r>
      <w:r>
        <w:tab/>
        <w:t xml:space="preserve">state an expiation commencement day, which may be earlier than the day on which the order is issued but must not be earlier than any of the following — </w:t>
      </w:r>
    </w:p>
    <w:p>
      <w:pPr>
        <w:pStyle w:val="Indenti"/>
      </w:pPr>
      <w:r>
        <w:tab/>
        <w:t>(i)</w:t>
      </w:r>
      <w:r>
        <w:tab/>
        <w:t>the first day of the period of custody to which the order relates;</w:t>
      </w:r>
    </w:p>
    <w:p>
      <w:pPr>
        <w:pStyle w:val="Indenti"/>
      </w:pPr>
      <w:r>
        <w:tab/>
        <w:t>(ii)</w:t>
      </w:r>
      <w:r>
        <w:tab/>
        <w:t>the day on which the fine was registered;</w:t>
      </w:r>
    </w:p>
    <w:p>
      <w:pPr>
        <w:pStyle w:val="Indenti"/>
      </w:pPr>
      <w:r>
        <w:tab/>
        <w:t>(iii)</w:t>
      </w:r>
      <w:r>
        <w:tab/>
        <w:t xml:space="preserve">the day on which the </w:t>
      </w:r>
      <w:r>
        <w:rPr>
          <w:i/>
        </w:rPr>
        <w:t>Fines, Penalties and Infringement Notices Enforcement Amendment Act 2020</w:t>
      </w:r>
      <w:r>
        <w:t xml:space="preserve"> section 56 came into operation.</w:t>
      </w:r>
    </w:p>
    <w:p>
      <w:pPr>
        <w:pStyle w:val="Subsection"/>
      </w:pPr>
      <w:r>
        <w:tab/>
        <w:t>(2)</w:t>
      </w:r>
      <w:r>
        <w:tab/>
        <w:t>A fine expiation order issued on an application referred to in section 52E(2)(b) must also state the last day of the period of custody to which it relates.</w:t>
      </w:r>
    </w:p>
    <w:p>
      <w:pPr>
        <w:pStyle w:val="Footnotesection"/>
      </w:pPr>
      <w:r>
        <w:tab/>
        <w:t>[Section 52G inserted: No. 25 of 2020 s. 56.]</w:t>
      </w:r>
    </w:p>
    <w:p>
      <w:pPr>
        <w:pStyle w:val="Heading5"/>
      </w:pPr>
      <w:bookmarkStart w:id="208" w:name="_Toc51665611"/>
      <w:r>
        <w:rPr>
          <w:rStyle w:val="CharSectno"/>
        </w:rPr>
        <w:t>52H</w:t>
      </w:r>
      <w:r>
        <w:t>.</w:t>
      </w:r>
      <w:r>
        <w:tab/>
        <w:t>Discharge of liability when fine expiation order is issued</w:t>
      </w:r>
      <w:bookmarkEnd w:id="208"/>
    </w:p>
    <w:p>
      <w:pPr>
        <w:pStyle w:val="Subsection"/>
      </w:pPr>
      <w:r>
        <w:tab/>
        <w:t>(1)</w:t>
      </w:r>
      <w:r>
        <w:tab/>
        <w:t xml:space="preserve">This section applies if — </w:t>
      </w:r>
    </w:p>
    <w:p>
      <w:pPr>
        <w:pStyle w:val="Indenta"/>
      </w:pPr>
      <w:r>
        <w:tab/>
        <w:t>(a)</w:t>
      </w:r>
      <w:r>
        <w:tab/>
        <w:t>a fine expiation order is issued in relation to an offender and a fine; and</w:t>
      </w:r>
    </w:p>
    <w:p>
      <w:pPr>
        <w:pStyle w:val="Indenta"/>
      </w:pPr>
      <w:r>
        <w:tab/>
        <w:t>(b)</w:t>
      </w:r>
      <w:r>
        <w:tab/>
        <w:t xml:space="preserve">the expiation commencement day stated in the order under section 52G(1)(c) is earlier than the day on which the order is issued (the </w:t>
      </w:r>
      <w:r>
        <w:rPr>
          <w:rStyle w:val="CharDefText"/>
        </w:rPr>
        <w:t>issue day</w:t>
      </w:r>
      <w:r>
        <w:t>).</w:t>
      </w:r>
    </w:p>
    <w:p>
      <w:pPr>
        <w:pStyle w:val="Subsection"/>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Indenta"/>
      </w:pPr>
      <w:r>
        <w:tab/>
        <w:t>(a)</w:t>
      </w:r>
      <w:r>
        <w:tab/>
        <w:t>beginning on the expiation commencement day; and</w:t>
      </w:r>
    </w:p>
    <w:p>
      <w:pPr>
        <w:pStyle w:val="Indenta"/>
        <w:keepNext/>
      </w:pPr>
      <w:r>
        <w:tab/>
        <w:t>(b)</w:t>
      </w:r>
      <w:r>
        <w:tab/>
        <w:t xml:space="preserve">ending — </w:t>
      </w:r>
    </w:p>
    <w:p>
      <w:pPr>
        <w:pStyle w:val="Indenti"/>
      </w:pPr>
      <w:r>
        <w:tab/>
        <w:t>(i)</w:t>
      </w:r>
      <w:r>
        <w:tab/>
        <w:t>if the period of custody to which the order relates has ended on the issue day — on the last day of the period of custody; or</w:t>
      </w:r>
    </w:p>
    <w:p>
      <w:pPr>
        <w:pStyle w:val="Indenti"/>
      </w:pPr>
      <w:r>
        <w:tab/>
        <w:t>(ii)</w:t>
      </w:r>
      <w:r>
        <w:tab/>
        <w:t>otherwise — on the day before the issue day.</w:t>
      </w:r>
    </w:p>
    <w:p>
      <w:pPr>
        <w:pStyle w:val="Subsection"/>
      </w:pPr>
      <w:r>
        <w:tab/>
        <w:t>(3)</w:t>
      </w:r>
      <w:r>
        <w:tab/>
        <w:t>If the amount owed in respect of the fine is equal to or less than the amount determined under subsection (2), the offender’s liability to pay the amount owed is wholly discharged when the fine expiation order is issued.</w:t>
      </w:r>
    </w:p>
    <w:p>
      <w:pPr>
        <w:pStyle w:val="Footnotesection"/>
      </w:pPr>
      <w:r>
        <w:tab/>
        <w:t>[Section 52H inserted: No. 25 of 2020 s. 56.]</w:t>
      </w:r>
    </w:p>
    <w:p>
      <w:pPr>
        <w:pStyle w:val="Heading5"/>
      </w:pPr>
      <w:bookmarkStart w:id="209" w:name="_Toc51665612"/>
      <w:r>
        <w:rPr>
          <w:rStyle w:val="CharSectno"/>
        </w:rPr>
        <w:t>52I</w:t>
      </w:r>
      <w:r>
        <w:t>.</w:t>
      </w:r>
      <w:r>
        <w:tab/>
        <w:t>Discharge of liability under ongoing fine expiation order</w:t>
      </w:r>
      <w:bookmarkEnd w:id="209"/>
    </w:p>
    <w:p>
      <w:pPr>
        <w:pStyle w:val="Subsection"/>
        <w:keepNext/>
      </w:pPr>
      <w:r>
        <w:tab/>
        <w:t>(1)</w:t>
      </w:r>
      <w:r>
        <w:tab/>
        <w:t xml:space="preserve">This section applies to a fine expiation order (an </w:t>
      </w:r>
      <w:r>
        <w:rPr>
          <w:rStyle w:val="CharDefText"/>
        </w:rPr>
        <w:t>ongoing fine expiation order</w:t>
      </w:r>
      <w:r>
        <w:t xml:space="preserve">) if — </w:t>
      </w:r>
    </w:p>
    <w:p>
      <w:pPr>
        <w:pStyle w:val="Indenta"/>
      </w:pPr>
      <w:r>
        <w:tab/>
        <w:t>(a)</w:t>
      </w:r>
      <w:r>
        <w:tab/>
        <w:t>when the order is issued, the period of custody to which the order relates has not ended; and</w:t>
      </w:r>
    </w:p>
    <w:p>
      <w:pPr>
        <w:pStyle w:val="Indenta"/>
      </w:pPr>
      <w:r>
        <w:tab/>
        <w:t>(b)</w:t>
      </w:r>
      <w:r>
        <w:tab/>
        <w:t xml:space="preserve">either — </w:t>
      </w:r>
    </w:p>
    <w:p>
      <w:pPr>
        <w:pStyle w:val="Indenti"/>
      </w:pPr>
      <w:r>
        <w:tab/>
        <w:t>(i)</w:t>
      </w:r>
      <w:r>
        <w:tab/>
        <w:t>section 52H does not apply to the order; or</w:t>
      </w:r>
    </w:p>
    <w:p>
      <w:pPr>
        <w:pStyle w:val="Indenti"/>
      </w:pPr>
      <w:r>
        <w:tab/>
        <w:t>(ii)</w:t>
      </w:r>
      <w:r>
        <w:tab/>
        <w:t>section 52H applies to the order but the liability to pay the amount owed is not wholly discharged under that section.</w:t>
      </w:r>
    </w:p>
    <w:p>
      <w:pPr>
        <w:pStyle w:val="Subsection"/>
      </w:pPr>
      <w:r>
        <w:tab/>
        <w:t>(2)</w:t>
      </w:r>
      <w:r>
        <w:tab/>
        <w:t>At the end of each day during which the ongoing fine expiation order is in force, the offender’s liability to pay the amount owed in respect of the fine is reduced by the daily expiation amount.</w:t>
      </w:r>
    </w:p>
    <w:p>
      <w:pPr>
        <w:pStyle w:val="Subsection"/>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Footnotesection"/>
      </w:pPr>
      <w:r>
        <w:tab/>
        <w:t>[Section 52I inserted: No. 25 of 2020 s. 56.]</w:t>
      </w:r>
    </w:p>
    <w:p>
      <w:pPr>
        <w:pStyle w:val="Heading5"/>
      </w:pPr>
      <w:bookmarkStart w:id="210" w:name="_Toc51665613"/>
      <w:r>
        <w:rPr>
          <w:rStyle w:val="CharSectno"/>
        </w:rPr>
        <w:t>52J</w:t>
      </w:r>
      <w:r>
        <w:t>.</w:t>
      </w:r>
      <w:r>
        <w:tab/>
        <w:t>Cancellation and duration of fine expiation order</w:t>
      </w:r>
      <w:bookmarkEnd w:id="210"/>
    </w:p>
    <w:p>
      <w:pPr>
        <w:pStyle w:val="Subsection"/>
      </w:pPr>
      <w:r>
        <w:tab/>
        <w:t>(1)</w:t>
      </w:r>
      <w:r>
        <w:tab/>
        <w:t>A fine expiation order, other than an ongoing fine expiation order, has effect when it is issued.</w:t>
      </w:r>
    </w:p>
    <w:p>
      <w:pPr>
        <w:pStyle w:val="Subsection"/>
      </w:pPr>
      <w:r>
        <w:tab/>
        <w:t>(2)</w:t>
      </w:r>
      <w:r>
        <w:tab/>
        <w:t xml:space="preserve">An ongoing fine expiation order — </w:t>
      </w:r>
    </w:p>
    <w:p>
      <w:pPr>
        <w:pStyle w:val="Indenta"/>
      </w:pPr>
      <w:r>
        <w:tab/>
        <w:t>(a)</w:t>
      </w:r>
      <w:r>
        <w:tab/>
        <w:t>comes into force on the day on which it is issued; and</w:t>
      </w:r>
    </w:p>
    <w:p>
      <w:pPr>
        <w:pStyle w:val="Indenta"/>
      </w:pPr>
      <w:r>
        <w:tab/>
        <w:t>(b)</w:t>
      </w:r>
      <w:r>
        <w:tab/>
        <w:t xml:space="preserve">is in force until whichever of the following occurs first — </w:t>
      </w:r>
    </w:p>
    <w:p>
      <w:pPr>
        <w:pStyle w:val="Indenti"/>
      </w:pPr>
      <w:r>
        <w:tab/>
        <w:t>(i)</w:t>
      </w:r>
      <w:r>
        <w:tab/>
        <w:t>the offender’s liability to pay the amount owed in respect of the fine is wholly discharged under section 52I(3);</w:t>
      </w:r>
    </w:p>
    <w:p>
      <w:pPr>
        <w:pStyle w:val="Indenti"/>
      </w:pPr>
      <w:r>
        <w:tab/>
        <w:t>(ii)</w:t>
      </w:r>
      <w:r>
        <w:tab/>
        <w:t>the period of custody to which the order relates ends;</w:t>
      </w:r>
    </w:p>
    <w:p>
      <w:pPr>
        <w:pStyle w:val="Indenti"/>
      </w:pPr>
      <w:r>
        <w:tab/>
        <w:t>(iii)</w:t>
      </w:r>
      <w:r>
        <w:tab/>
        <w:t>the order is cancelled;</w:t>
      </w:r>
    </w:p>
    <w:p>
      <w:pPr>
        <w:pStyle w:val="Indenta"/>
      </w:pPr>
      <w:r>
        <w:tab/>
      </w:r>
      <w:r>
        <w:tab/>
        <w:t>and</w:t>
      </w:r>
    </w:p>
    <w:p>
      <w:pPr>
        <w:pStyle w:val="Indenta"/>
      </w:pPr>
      <w:r>
        <w:tab/>
        <w:t>(c)</w:t>
      </w:r>
      <w:r>
        <w:tab/>
        <w:t>may be in force concurrently with 1 or more other ongoing fine expiation orders issued in relation to other fines.</w:t>
      </w:r>
    </w:p>
    <w:p>
      <w:pPr>
        <w:pStyle w:val="Subsection"/>
      </w:pPr>
      <w:r>
        <w:tab/>
        <w:t>(3)</w:t>
      </w:r>
      <w:r>
        <w:tab/>
        <w:t>The Registrar may at any time cancel an ongoing fine expiation order for good reason.</w:t>
      </w:r>
    </w:p>
    <w:p>
      <w:pPr>
        <w:pStyle w:val="Subsection"/>
      </w:pPr>
      <w:r>
        <w:tab/>
        <w:t>(4)</w:t>
      </w:r>
      <w:r>
        <w:tab/>
        <w:t>The Registrar must serve notice on the offender of a cancellation of an ongoing fine expiation order under subsection (3).</w:t>
      </w:r>
    </w:p>
    <w:p>
      <w:pPr>
        <w:pStyle w:val="Footnotesection"/>
      </w:pPr>
      <w:r>
        <w:tab/>
        <w:t>[Section 52J inserted: No. 25 of 2020 s. 56.]</w:t>
      </w:r>
    </w:p>
    <w:p>
      <w:pPr>
        <w:pStyle w:val="Heading3"/>
      </w:pPr>
      <w:bookmarkStart w:id="211" w:name="_Toc51317172"/>
      <w:bookmarkStart w:id="212" w:name="_Toc51319808"/>
      <w:bookmarkStart w:id="213" w:name="_Toc51320261"/>
      <w:bookmarkStart w:id="214" w:name="_Toc51581201"/>
      <w:bookmarkStart w:id="215" w:name="_Toc51581506"/>
      <w:bookmarkStart w:id="216" w:name="_Toc51665614"/>
      <w:r>
        <w:rPr>
          <w:rStyle w:val="CharDivNo"/>
        </w:rPr>
        <w:t>Division 3E</w:t>
      </w:r>
      <w:r>
        <w:t> — </w:t>
      </w:r>
      <w:r>
        <w:rPr>
          <w:rStyle w:val="CharDivText"/>
        </w:rPr>
        <w:t>Warrants of commitment and other court</w:t>
      </w:r>
      <w:r>
        <w:rPr>
          <w:rStyle w:val="CharDivText"/>
        </w:rPr>
        <w:noBreakHyphen/>
        <w:t>ordered enforcement action</w:t>
      </w:r>
      <w:bookmarkEnd w:id="211"/>
      <w:bookmarkEnd w:id="212"/>
      <w:bookmarkEnd w:id="213"/>
      <w:bookmarkEnd w:id="214"/>
      <w:bookmarkEnd w:id="215"/>
      <w:bookmarkEnd w:id="216"/>
    </w:p>
    <w:p>
      <w:pPr>
        <w:pStyle w:val="Footnoteheading"/>
        <w:keepNext/>
      </w:pPr>
      <w:r>
        <w:tab/>
        <w:t>[Heading inserted: No. 25 of 2020 s. 56.]</w:t>
      </w:r>
    </w:p>
    <w:p>
      <w:pPr>
        <w:pStyle w:val="Heading4"/>
      </w:pPr>
      <w:bookmarkStart w:id="217" w:name="_Toc51317173"/>
      <w:bookmarkStart w:id="218" w:name="_Toc51319809"/>
      <w:bookmarkStart w:id="219" w:name="_Toc51320262"/>
      <w:bookmarkStart w:id="220" w:name="_Toc51581202"/>
      <w:bookmarkStart w:id="221" w:name="_Toc51581507"/>
      <w:bookmarkStart w:id="222" w:name="_Toc51665615"/>
      <w:r>
        <w:t>Subdivision 1 — Preliminary</w:t>
      </w:r>
      <w:bookmarkEnd w:id="217"/>
      <w:bookmarkEnd w:id="218"/>
      <w:bookmarkEnd w:id="219"/>
      <w:bookmarkEnd w:id="220"/>
      <w:bookmarkEnd w:id="221"/>
      <w:bookmarkEnd w:id="222"/>
    </w:p>
    <w:p>
      <w:pPr>
        <w:pStyle w:val="Footnoteheading"/>
        <w:keepNext/>
      </w:pPr>
      <w:r>
        <w:tab/>
        <w:t>[Heading inserted: No. 25 of 2020 s. 56.]</w:t>
      </w:r>
    </w:p>
    <w:p>
      <w:pPr>
        <w:pStyle w:val="Heading5"/>
      </w:pPr>
      <w:bookmarkStart w:id="223" w:name="_Toc51665616"/>
      <w:r>
        <w:rPr>
          <w:rStyle w:val="CharSectno"/>
        </w:rPr>
        <w:t>52K</w:t>
      </w:r>
      <w:r>
        <w:t>.</w:t>
      </w:r>
      <w:r>
        <w:tab/>
        <w:t>Division does not apply to body corporate</w:t>
      </w:r>
      <w:bookmarkEnd w:id="223"/>
    </w:p>
    <w:p>
      <w:pPr>
        <w:pStyle w:val="Subsection"/>
      </w:pPr>
      <w:r>
        <w:tab/>
      </w:r>
      <w:r>
        <w:tab/>
        <w:t>This Division does not apply in relation to an offender that is a body corporate.</w:t>
      </w:r>
    </w:p>
    <w:p>
      <w:pPr>
        <w:pStyle w:val="Footnotesection"/>
      </w:pPr>
      <w:r>
        <w:tab/>
        <w:t>[Section 52K inserted: No. 25 of 2020 s. 56.]</w:t>
      </w:r>
    </w:p>
    <w:p>
      <w:pPr>
        <w:pStyle w:val="Heading5"/>
      </w:pPr>
      <w:bookmarkStart w:id="224" w:name="_Toc51665617"/>
      <w:r>
        <w:rPr>
          <w:rStyle w:val="CharSectno"/>
        </w:rPr>
        <w:t>52L</w:t>
      </w:r>
      <w:r>
        <w:t>.</w:t>
      </w:r>
      <w:r>
        <w:tab/>
        <w:t>Magistrates Court to be constituted by Magistrate</w:t>
      </w:r>
      <w:bookmarkEnd w:id="224"/>
    </w:p>
    <w:p>
      <w:pPr>
        <w:pStyle w:val="Subsection"/>
      </w:pPr>
      <w:r>
        <w:tab/>
        <w:t>(1)</w:t>
      </w:r>
      <w:r>
        <w:tab/>
        <w:t>For the purposes of proceedings under this Division, the Magistrates Court is to be constituted by 1 magistrate.</w:t>
      </w:r>
    </w:p>
    <w:p>
      <w:pPr>
        <w:pStyle w:val="Subsection"/>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Subsection"/>
      </w:pPr>
      <w:r>
        <w:tab/>
        <w:t>(3)</w:t>
      </w:r>
      <w:r>
        <w:tab/>
        <w:t>A reference in this Division to the Magistrates Court does not include the Registry.</w:t>
      </w:r>
    </w:p>
    <w:p>
      <w:pPr>
        <w:pStyle w:val="Footnotesection"/>
      </w:pPr>
      <w:r>
        <w:tab/>
        <w:t>[Section 52L inserted: No. 25 of 2020 s. 56.]</w:t>
      </w:r>
    </w:p>
    <w:p>
      <w:pPr>
        <w:pStyle w:val="Heading4"/>
      </w:pPr>
      <w:bookmarkStart w:id="225" w:name="_Toc51317176"/>
      <w:bookmarkStart w:id="226" w:name="_Toc51319812"/>
      <w:bookmarkStart w:id="227" w:name="_Toc51320265"/>
      <w:bookmarkStart w:id="228" w:name="_Toc51581205"/>
      <w:bookmarkStart w:id="229" w:name="_Toc51581510"/>
      <w:bookmarkStart w:id="230" w:name="_Toc51665618"/>
      <w:r>
        <w:t>Subdivision 2 — Application for and conduct of warrant of commitment inquiry</w:t>
      </w:r>
      <w:bookmarkEnd w:id="225"/>
      <w:bookmarkEnd w:id="226"/>
      <w:bookmarkEnd w:id="227"/>
      <w:bookmarkEnd w:id="228"/>
      <w:bookmarkEnd w:id="229"/>
      <w:bookmarkEnd w:id="230"/>
    </w:p>
    <w:p>
      <w:pPr>
        <w:pStyle w:val="Footnoteheading"/>
        <w:keepNext/>
      </w:pPr>
      <w:r>
        <w:tab/>
        <w:t>[Heading inserted: No. 25 of 2020 s. 56.]</w:t>
      </w:r>
    </w:p>
    <w:p>
      <w:pPr>
        <w:pStyle w:val="Heading5"/>
      </w:pPr>
      <w:bookmarkStart w:id="231" w:name="_Toc51665619"/>
      <w:r>
        <w:rPr>
          <w:rStyle w:val="CharSectno"/>
        </w:rPr>
        <w:t>52M</w:t>
      </w:r>
      <w:r>
        <w:t>.</w:t>
      </w:r>
      <w:r>
        <w:tab/>
        <w:t>Warrant of commitment inquiry</w:t>
      </w:r>
      <w:bookmarkEnd w:id="231"/>
    </w:p>
    <w:p>
      <w:pPr>
        <w:pStyle w:val="Subsection"/>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Indenta"/>
      </w:pPr>
      <w:r>
        <w:tab/>
        <w:t>(a)</w:t>
      </w:r>
      <w:r>
        <w:tab/>
        <w:t>whether the offender has the means to pay, or to pay by instalments, the amount owed in respect of the fines, having regard to the offender’s income, assets, liabilities and personal circumstances;</w:t>
      </w:r>
    </w:p>
    <w:p>
      <w:pPr>
        <w:pStyle w:val="Indenta"/>
      </w:pPr>
      <w:r>
        <w:tab/>
        <w:t>(b)</w:t>
      </w:r>
      <w:r>
        <w:tab/>
        <w:t>the offender’s suitability for a WDO and the likelihood of the offender complying with a WDO;</w:t>
      </w:r>
    </w:p>
    <w:p>
      <w:pPr>
        <w:pStyle w:val="Indenta"/>
      </w:pPr>
      <w:r>
        <w:tab/>
        <w:t>(c)</w:t>
      </w:r>
      <w:r>
        <w:tab/>
        <w:t>whether the offender has contravened an order made under section 52S(1) in a previous warrant of commitment inquiry;</w:t>
      </w:r>
    </w:p>
    <w:p>
      <w:pPr>
        <w:pStyle w:val="Indenta"/>
      </w:pPr>
      <w:r>
        <w:tab/>
        <w:t>(d)</w:t>
      </w:r>
      <w:r>
        <w:tab/>
        <w:t>the appropriate action to be taken under this Act to enforce the fines.</w:t>
      </w:r>
    </w:p>
    <w:p>
      <w:pPr>
        <w:pStyle w:val="Subsection"/>
      </w:pPr>
      <w:r>
        <w:tab/>
        <w:t>(2)</w:t>
      </w:r>
      <w:r>
        <w:tab/>
        <w:t xml:space="preserve">A </w:t>
      </w:r>
      <w:r>
        <w:rPr>
          <w:rStyle w:val="CharDefText"/>
        </w:rPr>
        <w:t>warrant of commitment inquiry process</w:t>
      </w:r>
      <w:r>
        <w:t xml:space="preserve"> is occurring in relation to a fine if — </w:t>
      </w:r>
    </w:p>
    <w:p>
      <w:pPr>
        <w:pStyle w:val="Indenta"/>
      </w:pPr>
      <w:r>
        <w:tab/>
        <w:t>(a)</w:t>
      </w:r>
      <w:r>
        <w:tab/>
        <w:t>the Registrar has applied under section 52N for a warrant of commitment inquiry to be held in relation to the offender and the fine; and</w:t>
      </w:r>
    </w:p>
    <w:p>
      <w:pPr>
        <w:pStyle w:val="Indenta"/>
      </w:pPr>
      <w:r>
        <w:tab/>
        <w:t>(b)</w:t>
      </w:r>
      <w:r>
        <w:tab/>
        <w:t>the application has not been withdrawn under section 52ZI; and</w:t>
      </w:r>
    </w:p>
    <w:p>
      <w:pPr>
        <w:pStyle w:val="Indenta"/>
        <w:keepNext/>
      </w:pPr>
      <w:r>
        <w:tab/>
        <w:t>(c)</w:t>
      </w:r>
      <w:r>
        <w:tab/>
        <w:t xml:space="preserve">either — </w:t>
      </w:r>
    </w:p>
    <w:p>
      <w:pPr>
        <w:pStyle w:val="Indenti"/>
      </w:pPr>
      <w:r>
        <w:tab/>
        <w:t>(i)</w:t>
      </w:r>
      <w:r>
        <w:tab/>
        <w:t>the Magistrates Court has not made a decision under section 52P on the application; or</w:t>
      </w:r>
    </w:p>
    <w:p>
      <w:pPr>
        <w:pStyle w:val="Indenti"/>
      </w:pPr>
      <w:r>
        <w:tab/>
        <w:t>(ii)</w:t>
      </w:r>
      <w:r>
        <w:tab/>
        <w:t>the Magistrates Court has decided under section 52P to hold the warrant of commitment inquiry but the inquiry has not been held.</w:t>
      </w:r>
    </w:p>
    <w:p>
      <w:pPr>
        <w:pStyle w:val="Footnotesection"/>
      </w:pPr>
      <w:r>
        <w:tab/>
        <w:t>[Section 52M inserted: No. 25 of 2020 s. 56.]</w:t>
      </w:r>
    </w:p>
    <w:p>
      <w:pPr>
        <w:pStyle w:val="Heading5"/>
      </w:pPr>
      <w:bookmarkStart w:id="232" w:name="_Toc51665620"/>
      <w:r>
        <w:rPr>
          <w:rStyle w:val="CharSectno"/>
        </w:rPr>
        <w:t>52N</w:t>
      </w:r>
      <w:r>
        <w:t>.</w:t>
      </w:r>
      <w:r>
        <w:tab/>
        <w:t>Application for warrant of commitment inquiry</w:t>
      </w:r>
      <w:bookmarkEnd w:id="232"/>
    </w:p>
    <w:p>
      <w:pPr>
        <w:pStyle w:val="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Subsection"/>
        <w:keepNext/>
      </w:pPr>
      <w:r>
        <w:tab/>
        <w:t>(2)</w:t>
      </w:r>
      <w:r>
        <w:tab/>
        <w:t xml:space="preserve">The Registrar may make an application under subsection (1) if — </w:t>
      </w:r>
    </w:p>
    <w:p>
      <w:pPr>
        <w:pStyle w:val="Indenta"/>
      </w:pPr>
      <w:r>
        <w:tab/>
        <w:t>(a)</w:t>
      </w:r>
      <w:r>
        <w:tab/>
        <w:t>the offender has been served with an order to attend for work and development, or a fine enforcement (WDO) order, in relation to 1 or more of the relevant fines; and</w:t>
      </w:r>
    </w:p>
    <w:p>
      <w:pPr>
        <w:pStyle w:val="Indenta"/>
      </w:pPr>
      <w:r>
        <w:tab/>
        <w:t>(b)</w:t>
      </w:r>
      <w:r>
        <w:tab/>
        <w:t xml:space="preserve">any of the following occurred in relation to any order to attend for work and development or fine enforcement (WDO) order referred to in paragraph (a) — </w:t>
      </w:r>
    </w:p>
    <w:p>
      <w:pPr>
        <w:pStyle w:val="Indenti"/>
      </w:pPr>
      <w:r>
        <w:tab/>
        <w:t>(i)</w:t>
      </w:r>
      <w:r>
        <w:tab/>
        <w:t>the offender did not report as required by the order;</w:t>
      </w:r>
    </w:p>
    <w:p>
      <w:pPr>
        <w:pStyle w:val="Indenti"/>
      </w:pPr>
      <w:r>
        <w:tab/>
        <w:t>(ii)</w:t>
      </w:r>
      <w:r>
        <w:tab/>
        <w:t>a WDO was not made under section 48 or could not be served on the offender;</w:t>
      </w:r>
    </w:p>
    <w:p>
      <w:pPr>
        <w:pStyle w:val="Indenti"/>
      </w:pPr>
      <w:r>
        <w:tab/>
        <w:t>(iii)</w:t>
      </w:r>
      <w:r>
        <w:tab/>
        <w:t>a WDO was made under section 48 but was cancelled under section 52(1) because of non</w:t>
      </w:r>
      <w:r>
        <w:noBreakHyphen/>
        <w:t>compliance with the WDO;</w:t>
      </w:r>
    </w:p>
    <w:p>
      <w:pPr>
        <w:pStyle w:val="Indenta"/>
      </w:pPr>
      <w:r>
        <w:tab/>
      </w:r>
      <w:r>
        <w:tab/>
        <w:t>and</w:t>
      </w:r>
    </w:p>
    <w:p>
      <w:pPr>
        <w:pStyle w:val="Indenta"/>
        <w:keepNext/>
      </w:pPr>
      <w:r>
        <w:tab/>
        <w:t>(c)</w:t>
      </w:r>
      <w:r>
        <w:tab/>
        <w:t xml:space="preserve">the Registrar is satisfied that — </w:t>
      </w:r>
    </w:p>
    <w:p>
      <w:pPr>
        <w:pStyle w:val="Indenti"/>
      </w:pPr>
      <w:r>
        <w:tab/>
        <w:t>(i)</w:t>
      </w:r>
      <w:r>
        <w:tab/>
        <w:t>all applicable enforcement action that could be taken under this Act has been taken in relation to 1 or more of the relevant fines; and</w:t>
      </w:r>
    </w:p>
    <w:p>
      <w:pPr>
        <w:pStyle w:val="Indenti"/>
      </w:pPr>
      <w:r>
        <w:tab/>
        <w:t>(ii)</w:t>
      </w:r>
      <w:r>
        <w:tab/>
        <w:t>any further enforcement action that could be taken under this Act is not applicable or is unlikely to result in the recovery of the amount owed in respect of the relevant fines.</w:t>
      </w:r>
    </w:p>
    <w:p>
      <w:pPr>
        <w:pStyle w:val="Subsection"/>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Subsection"/>
        <w:keepNext/>
      </w:pPr>
      <w:r>
        <w:tab/>
        <w:t>(4)</w:t>
      </w:r>
      <w:r>
        <w:tab/>
        <w:t>An application under subsection (1) can be made whether or not a warrant of commitment inquiry has previously been held in relation to the offender and any or all of the relevant fines or any other fine.</w:t>
      </w:r>
    </w:p>
    <w:p>
      <w:pPr>
        <w:pStyle w:val="Footnotesection"/>
      </w:pPr>
      <w:r>
        <w:tab/>
        <w:t>[Section 52N inserted: No. 25 of 2020 s. 56.]</w:t>
      </w:r>
    </w:p>
    <w:p>
      <w:pPr>
        <w:pStyle w:val="Heading5"/>
      </w:pPr>
      <w:bookmarkStart w:id="233" w:name="_Toc51665621"/>
      <w:r>
        <w:rPr>
          <w:rStyle w:val="CharSectno"/>
        </w:rPr>
        <w:t>52O</w:t>
      </w:r>
      <w:r>
        <w:t>.</w:t>
      </w:r>
      <w:r>
        <w:tab/>
        <w:t>Information and evidence to be included in application</w:t>
      </w:r>
      <w:bookmarkEnd w:id="233"/>
    </w:p>
    <w:p>
      <w:pPr>
        <w:pStyle w:val="Subsection"/>
      </w:pPr>
      <w:r>
        <w:tab/>
        <w:t>(1)</w:t>
      </w:r>
      <w:r>
        <w:tab/>
        <w:t xml:space="preserve">An application under section 52N must include the following information — </w:t>
      </w:r>
    </w:p>
    <w:p>
      <w:pPr>
        <w:pStyle w:val="Indenta"/>
      </w:pPr>
      <w:r>
        <w:tab/>
        <w:t>(a)</w:t>
      </w:r>
      <w:r>
        <w:tab/>
        <w:t>the offender’s name and last known address;</w:t>
      </w:r>
    </w:p>
    <w:p>
      <w:pPr>
        <w:pStyle w:val="Indenta"/>
      </w:pPr>
      <w:r>
        <w:tab/>
        <w:t>(b)</w:t>
      </w:r>
      <w:r>
        <w:tab/>
        <w:t xml:space="preserve">for each of the relevant fines referred to in section 52N(1) — </w:t>
      </w:r>
    </w:p>
    <w:p>
      <w:pPr>
        <w:pStyle w:val="Indenti"/>
      </w:pPr>
      <w:r>
        <w:tab/>
        <w:t>(i)</w:t>
      </w:r>
      <w:r>
        <w:tab/>
        <w:t>the amount owed; and</w:t>
      </w:r>
    </w:p>
    <w:p>
      <w:pPr>
        <w:pStyle w:val="Indenti"/>
      </w:pPr>
      <w:r>
        <w:tab/>
        <w:t>(ii)</w:t>
      </w:r>
      <w:r>
        <w:tab/>
        <w:t>a summary of the enforcement action taken under this Act before the application is made;</w:t>
      </w:r>
    </w:p>
    <w:p>
      <w:pPr>
        <w:pStyle w:val="Indenta"/>
      </w:pPr>
      <w:r>
        <w:tab/>
        <w:t>(c)</w:t>
      </w:r>
      <w:r>
        <w:tab/>
        <w:t>the name and address of any other person the Registrar thinks should be summoned to the inquiry to give evidence;</w:t>
      </w:r>
    </w:p>
    <w:p>
      <w:pPr>
        <w:pStyle w:val="Indenta"/>
      </w:pPr>
      <w:r>
        <w:tab/>
        <w:t>(d)</w:t>
      </w:r>
      <w:r>
        <w:tab/>
        <w:t>whether the Registrar requests that a summons under section 52Q(1)(a) or an arrest warrant under section 52Q(1)(b) be issued for the offender;</w:t>
      </w:r>
    </w:p>
    <w:p>
      <w:pPr>
        <w:pStyle w:val="Indenta"/>
      </w:pPr>
      <w:r>
        <w:tab/>
        <w:t>(e)</w:t>
      </w:r>
      <w:r>
        <w:tab/>
        <w:t>the orders that the Registrar requests be made under section 52S at the inquiry and the reasons, expressed in general terms, for that request.</w:t>
      </w:r>
    </w:p>
    <w:p>
      <w:pPr>
        <w:pStyle w:val="Subsection"/>
      </w:pPr>
      <w:r>
        <w:tab/>
        <w:t>(2)</w:t>
      </w:r>
      <w:r>
        <w:tab/>
        <w:t xml:space="preserve">The application must be supported by — </w:t>
      </w:r>
    </w:p>
    <w:p>
      <w:pPr>
        <w:pStyle w:val="Indenta"/>
      </w:pPr>
      <w:r>
        <w:tab/>
        <w:t>(a)</w:t>
      </w:r>
      <w:r>
        <w:tab/>
        <w:t>documentation as to the matters in subsection (1)(b); and</w:t>
      </w:r>
    </w:p>
    <w:p>
      <w:pPr>
        <w:pStyle w:val="Indenta"/>
      </w:pPr>
      <w:r>
        <w:tab/>
        <w:t>(b)</w:t>
      </w:r>
      <w:r>
        <w:tab/>
        <w:t>if the Registrar requests that an arrest warrant under section 52Q(1)(b) be issued for the offender — evidence on oath that there are grounds for the issue of the warrant under section 52Q(3).</w:t>
      </w:r>
    </w:p>
    <w:p>
      <w:pPr>
        <w:pStyle w:val="Footnotesection"/>
      </w:pPr>
      <w:r>
        <w:tab/>
        <w:t>[Section 52O inserted: No. 25 of 2020 s. 56.]</w:t>
      </w:r>
    </w:p>
    <w:p>
      <w:pPr>
        <w:pStyle w:val="Heading5"/>
      </w:pPr>
      <w:bookmarkStart w:id="234" w:name="_Toc51665622"/>
      <w:r>
        <w:rPr>
          <w:rStyle w:val="CharSectno"/>
        </w:rPr>
        <w:t>52P</w:t>
      </w:r>
      <w:r>
        <w:t>.</w:t>
      </w:r>
      <w:r>
        <w:tab/>
        <w:t>Decision on application for warrant of commitment inquiry</w:t>
      </w:r>
      <w:bookmarkEnd w:id="234"/>
    </w:p>
    <w:p>
      <w:pPr>
        <w:pStyle w:val="Subsection"/>
      </w:pPr>
      <w:r>
        <w:tab/>
        <w:t>(1)</w:t>
      </w:r>
      <w:r>
        <w:tab/>
        <w:t>The Magistrates Court may make a decision on an application under section 52N from a consideration of the documents lodged with the Court by the Registrar.</w:t>
      </w:r>
    </w:p>
    <w:p>
      <w:pPr>
        <w:pStyle w:val="Subsection"/>
      </w:pPr>
      <w:r>
        <w:tab/>
        <w:t>(2)</w:t>
      </w:r>
      <w:r>
        <w:tab/>
        <w:t xml:space="preserve">If the Court decides to hold a warrant of commitment inquiry, the Court must issue in relation to the offender either — </w:t>
      </w:r>
    </w:p>
    <w:p>
      <w:pPr>
        <w:pStyle w:val="Indenta"/>
      </w:pPr>
      <w:r>
        <w:tab/>
        <w:t>(a)</w:t>
      </w:r>
      <w:r>
        <w:tab/>
        <w:t>a summons under section 52Q(1)(a); or</w:t>
      </w:r>
    </w:p>
    <w:p>
      <w:pPr>
        <w:pStyle w:val="Indenta"/>
      </w:pPr>
      <w:r>
        <w:tab/>
        <w:t>(b)</w:t>
      </w:r>
      <w:r>
        <w:tab/>
        <w:t>an arrest warrant under section 52Q(1)(b).</w:t>
      </w:r>
    </w:p>
    <w:p>
      <w:pPr>
        <w:pStyle w:val="Footnotesection"/>
      </w:pPr>
      <w:r>
        <w:tab/>
        <w:t>[Section 52P inserted: No. 25 of 2020 s. 56.]</w:t>
      </w:r>
    </w:p>
    <w:p>
      <w:pPr>
        <w:pStyle w:val="Heading5"/>
      </w:pPr>
      <w:bookmarkStart w:id="235" w:name="_Toc51665623"/>
      <w:r>
        <w:rPr>
          <w:rStyle w:val="CharSectno"/>
        </w:rPr>
        <w:t>52Q</w:t>
      </w:r>
      <w:r>
        <w:t>.</w:t>
      </w:r>
      <w:r>
        <w:tab/>
        <w:t>Issue of summons or arrest warrant</w:t>
      </w:r>
      <w:bookmarkEnd w:id="235"/>
    </w:p>
    <w:p>
      <w:pPr>
        <w:pStyle w:val="Subsection"/>
      </w:pPr>
      <w:r>
        <w:tab/>
        <w:t>(1)</w:t>
      </w:r>
      <w:r>
        <w:tab/>
        <w:t xml:space="preserve">For the purposes of a warrant of commitment inquiry to be held in relation to an offender, the Magistrates Court may — </w:t>
      </w:r>
    </w:p>
    <w:p>
      <w:pPr>
        <w:pStyle w:val="Indenta"/>
      </w:pPr>
      <w:r>
        <w:tab/>
        <w:t>(a)</w:t>
      </w:r>
      <w:r>
        <w:tab/>
        <w:t xml:space="preserve">issue a summons in accordance with Subdivision 3 for the offender to appear at the warrant of commitment inquiry and do either or both of the following — </w:t>
      </w:r>
    </w:p>
    <w:p>
      <w:pPr>
        <w:pStyle w:val="Indenti"/>
      </w:pPr>
      <w:r>
        <w:tab/>
        <w:t>(i)</w:t>
      </w:r>
      <w:r>
        <w:tab/>
        <w:t>give oral evidence for the purpose of the inquiry;</w:t>
      </w:r>
    </w:p>
    <w:p>
      <w:pPr>
        <w:pStyle w:val="Indenti"/>
      </w:pPr>
      <w:r>
        <w:tab/>
        <w:t>(ii)</w:t>
      </w:r>
      <w:r>
        <w:tab/>
        <w:t>produce for the Court, for use in the inquiry, any record or thing that may be relevant to the inquiry;</w:t>
      </w:r>
    </w:p>
    <w:p>
      <w:pPr>
        <w:pStyle w:val="Indenta"/>
      </w:pPr>
      <w:r>
        <w:tab/>
      </w:r>
      <w:r>
        <w:tab/>
        <w:t>or</w:t>
      </w:r>
    </w:p>
    <w:p>
      <w:pPr>
        <w:pStyle w:val="Indenta"/>
      </w:pPr>
      <w:r>
        <w:tab/>
        <w:t>(b)</w:t>
      </w:r>
      <w:r>
        <w:tab/>
        <w:t>subject to subsection (3), issue an arrest warrant in accordance with Subdivision 4 to have an offender arrested and brought before the Court for the warrant of commitment inquiry.</w:t>
      </w:r>
    </w:p>
    <w:p>
      <w:pPr>
        <w:pStyle w:val="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Subsection"/>
      </w:pPr>
      <w:r>
        <w:tab/>
        <w:t>(3)</w:t>
      </w:r>
      <w:r>
        <w:tab/>
        <w:t xml:space="preserve">The Court must not issue an arrest warrant under subsection (1)(b) unless — </w:t>
      </w:r>
    </w:p>
    <w:p>
      <w:pPr>
        <w:pStyle w:val="Indenta"/>
      </w:pPr>
      <w:r>
        <w:tab/>
        <w:t>(a)</w:t>
      </w:r>
      <w:r>
        <w:tab/>
        <w:t>a summons under subsection (1)(a) in respect of the inquiry has been served on the offender in accordance with section 52V and the offender did not attend Court as required by the summons; or</w:t>
      </w:r>
    </w:p>
    <w:p>
      <w:pPr>
        <w:pStyle w:val="Indenta"/>
      </w:pPr>
      <w:r>
        <w:tab/>
        <w:t>(b)</w:t>
      </w:r>
      <w:r>
        <w:tab/>
        <w:t>a summons under subsection (1)(a) in respect of a previous warrant of commitment inquiry was served on the offender in accordance with section 52V and the offender did not attend Court as required by the summons; or</w:t>
      </w:r>
    </w:p>
    <w:p>
      <w:pPr>
        <w:pStyle w:val="Indenta"/>
      </w:pPr>
      <w:r>
        <w:tab/>
        <w:t>(c)</w:t>
      </w:r>
      <w:r>
        <w:tab/>
        <w:t>the offender has, on at least 2 occasions, contravened an order made under section 52S(1); or</w:t>
      </w:r>
    </w:p>
    <w:p>
      <w:pPr>
        <w:pStyle w:val="Indenta"/>
      </w:pPr>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Subsection"/>
      </w:pPr>
      <w:r>
        <w:tab/>
        <w:t>(4)</w:t>
      </w:r>
      <w:r>
        <w:tab/>
        <w:t>If the Court issues a summons under subsection (1)(a) in relation to the offender, the Court must set a date for the inquiry and notify the Registrar of that date.</w:t>
      </w:r>
    </w:p>
    <w:p>
      <w:pPr>
        <w:pStyle w:val="Footnotesection"/>
      </w:pPr>
      <w:r>
        <w:tab/>
        <w:t>[Section 52Q inserted: No. 25 of 2020 s. 56.]</w:t>
      </w:r>
    </w:p>
    <w:p>
      <w:pPr>
        <w:pStyle w:val="Heading5"/>
      </w:pPr>
      <w:bookmarkStart w:id="236" w:name="_Toc51665624"/>
      <w:r>
        <w:rPr>
          <w:rStyle w:val="CharSectno"/>
        </w:rPr>
        <w:t>52R</w:t>
      </w:r>
      <w:r>
        <w:t>.</w:t>
      </w:r>
      <w:r>
        <w:tab/>
        <w:t>Conduct of warrant of commitment inquiry</w:t>
      </w:r>
      <w:bookmarkEnd w:id="236"/>
    </w:p>
    <w:p>
      <w:pPr>
        <w:pStyle w:val="Subsection"/>
      </w:pPr>
      <w:r>
        <w:tab/>
        <w:t>(1)</w:t>
      </w:r>
      <w:r>
        <w:tab/>
        <w:t>At a warrant of commitment inquiry the Magistrates Court is to determine the matters listed in section 52M(1).</w:t>
      </w:r>
    </w:p>
    <w:p>
      <w:pPr>
        <w:pStyle w:val="Subsection"/>
      </w:pPr>
      <w:r>
        <w:tab/>
        <w:t>(2)</w:t>
      </w:r>
      <w:r>
        <w:tab/>
        <w:t>At a warrant of commitment inquiry the offender must produce to the Court all records that relate to the matters listed in section 52M(1)(a) that are in the possession or under the control of the offender.</w:t>
      </w:r>
    </w:p>
    <w:p>
      <w:pPr>
        <w:pStyle w:val="Subsection"/>
      </w:pPr>
      <w:r>
        <w:tab/>
        <w:t>(3)</w:t>
      </w:r>
      <w:r>
        <w:tab/>
        <w:t>At a warrant of commitment inquiry the Court may itself examine the offender for the purposes of determining the matters listed in section 52M(1).</w:t>
      </w:r>
    </w:p>
    <w:p>
      <w:pPr>
        <w:pStyle w:val="Subsection"/>
      </w:pPr>
      <w:r>
        <w:tab/>
        <w:t>(4)</w:t>
      </w:r>
      <w:r>
        <w:tab/>
        <w:t xml:space="preserve">Subject to this Division — </w:t>
      </w:r>
    </w:p>
    <w:p>
      <w:pPr>
        <w:pStyle w:val="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Indenta"/>
      </w:pPr>
      <w:r>
        <w:tab/>
        <w:t>(b)</w:t>
      </w:r>
      <w:r>
        <w:tab/>
        <w:t>rules of court made under that Act may deal with that practice and procedure.</w:t>
      </w:r>
    </w:p>
    <w:p>
      <w:pPr>
        <w:pStyle w:val="Footnotesection"/>
      </w:pPr>
      <w:r>
        <w:tab/>
        <w:t>[Section 52R inserted: No. 25 of 2020 s. 56.]</w:t>
      </w:r>
    </w:p>
    <w:p>
      <w:pPr>
        <w:pStyle w:val="Heading5"/>
      </w:pPr>
      <w:bookmarkStart w:id="237" w:name="_Toc51665625"/>
      <w:r>
        <w:rPr>
          <w:rStyle w:val="CharSectno"/>
        </w:rPr>
        <w:t>52S</w:t>
      </w:r>
      <w:r>
        <w:t>.</w:t>
      </w:r>
      <w:r>
        <w:tab/>
        <w:t>Court may make orders or issue warrant of commitment</w:t>
      </w:r>
      <w:bookmarkEnd w:id="237"/>
    </w:p>
    <w:p>
      <w:pPr>
        <w:pStyle w:val="Subsection"/>
      </w:pPr>
      <w:r>
        <w:tab/>
        <w:t>(1)</w:t>
      </w:r>
      <w:r>
        <w:tab/>
        <w:t xml:space="preserve">At a warrant of commitment inquiry the Magistrates Court may make any of the following orders in relation to the offender and any of the fines to which the inquiry relates — </w:t>
      </w:r>
    </w:p>
    <w:p>
      <w:pPr>
        <w:pStyle w:val="Indenta"/>
      </w:pPr>
      <w:r>
        <w:tab/>
        <w:t>(a)</w:t>
      </w:r>
      <w:r>
        <w:tab/>
        <w:t>an order that the Registrar make a time to pay order under section 33;</w:t>
      </w:r>
    </w:p>
    <w:p>
      <w:pPr>
        <w:pStyle w:val="Indenta"/>
      </w:pPr>
      <w:r>
        <w:tab/>
        <w:t>(b)</w:t>
      </w:r>
      <w:r>
        <w:tab/>
        <w:t>an order that an order to attend for work and development should be issued;</w:t>
      </w:r>
    </w:p>
    <w:p>
      <w:pPr>
        <w:pStyle w:val="Indenta"/>
      </w:pPr>
      <w:r>
        <w:tab/>
        <w:t>(c)</w:t>
      </w:r>
      <w:r>
        <w:tab/>
        <w:t>an order writing off all or part of the amount owed in respect of the fine;</w:t>
      </w:r>
    </w:p>
    <w:p>
      <w:pPr>
        <w:pStyle w:val="Indenta"/>
      </w:pPr>
      <w:r>
        <w:tab/>
        <w:t>(d)</w:t>
      </w:r>
      <w:r>
        <w:tab/>
        <w:t>an order amending an order made at a previous warrant of commitment inquiry in relation to the fine, including by extending any time period in that order;</w:t>
      </w:r>
    </w:p>
    <w:p>
      <w:pPr>
        <w:pStyle w:val="Indenta"/>
      </w:pPr>
      <w:r>
        <w:tab/>
        <w:t>(e)</w:t>
      </w:r>
      <w:r>
        <w:tab/>
        <w:t>an order that a warrant of commitment should be issued;</w:t>
      </w:r>
    </w:p>
    <w:p>
      <w:pPr>
        <w:pStyle w:val="Indenta"/>
      </w:pPr>
      <w:r>
        <w:tab/>
        <w:t>(f)</w:t>
      </w:r>
      <w:r>
        <w:tab/>
        <w:t>any other order the Court considers appropriate in the circumstances.</w:t>
      </w:r>
    </w:p>
    <w:p>
      <w:pPr>
        <w:pStyle w:val="Subsection"/>
      </w:pPr>
      <w:r>
        <w:tab/>
        <w:t>(2)</w:t>
      </w:r>
      <w:r>
        <w:tab/>
        <w:t xml:space="preserve">In making an order under subsection (1), the Court must have regard to — </w:t>
      </w:r>
    </w:p>
    <w:p>
      <w:pPr>
        <w:pStyle w:val="Indenta"/>
      </w:pPr>
      <w:r>
        <w:tab/>
        <w:t>(a)</w:t>
      </w:r>
      <w:r>
        <w:tab/>
        <w:t>the matters set out in section 52M(1) that it has determined; and</w:t>
      </w:r>
    </w:p>
    <w:p>
      <w:pPr>
        <w:pStyle w:val="Indenta"/>
      </w:pPr>
      <w:r>
        <w:tab/>
        <w:t>(b)</w:t>
      </w:r>
      <w:r>
        <w:tab/>
        <w:t>the principles set out in section 4(2); and</w:t>
      </w:r>
    </w:p>
    <w:p>
      <w:pPr>
        <w:pStyle w:val="Indenta"/>
      </w:pPr>
      <w:r>
        <w:tab/>
        <w:t>(c)</w:t>
      </w:r>
      <w:r>
        <w:tab/>
        <w:t>any other matters the Court considers relevant.</w:t>
      </w:r>
    </w:p>
    <w:p>
      <w:pPr>
        <w:pStyle w:val="Subsection"/>
      </w:pPr>
      <w:r>
        <w:tab/>
        <w:t>(3)</w:t>
      </w:r>
      <w:r>
        <w:tab/>
        <w:t>If the warrant of commitment inquiry relates to more than 1 fine, separate orders are to be made under subsection (1) in relation to each of the fines to which the inquiry relates.</w:t>
      </w:r>
    </w:p>
    <w:p>
      <w:pPr>
        <w:pStyle w:val="Subsection"/>
      </w:pPr>
      <w:r>
        <w:tab/>
        <w:t>(4)</w:t>
      </w:r>
      <w:r>
        <w:tab/>
        <w:t>If the Court makes an order under subsection (1)(e) in relation to an offender and a fine, it must issue a warrant of commitment in the prescribed form in relation to the fine.</w:t>
      </w:r>
    </w:p>
    <w:p>
      <w:pPr>
        <w:pStyle w:val="Footnotesection"/>
      </w:pPr>
      <w:r>
        <w:tab/>
        <w:t>[Section 52S inserted: No. 25 of 2020 s. 56.]</w:t>
      </w:r>
    </w:p>
    <w:p>
      <w:pPr>
        <w:pStyle w:val="Heading5"/>
      </w:pPr>
      <w:bookmarkStart w:id="238" w:name="_Toc51665626"/>
      <w:r>
        <w:rPr>
          <w:rStyle w:val="CharSectno"/>
        </w:rPr>
        <w:t>52T</w:t>
      </w:r>
      <w:r>
        <w:t>.</w:t>
      </w:r>
      <w:r>
        <w:tab/>
        <w:t>Effect of orders under s. 52S(1)(a) to (c)</w:t>
      </w:r>
      <w:bookmarkEnd w:id="238"/>
    </w:p>
    <w:p>
      <w:pPr>
        <w:pStyle w:val="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Subsection"/>
      </w:pPr>
      <w:r>
        <w:tab/>
        <w:t>(2)</w:t>
      </w:r>
      <w:r>
        <w:tab/>
        <w:t xml:space="preserve">If the Court makes an order under section 52S(1)(b) — </w:t>
      </w:r>
    </w:p>
    <w:p>
      <w:pPr>
        <w:pStyle w:val="Indenta"/>
      </w:pPr>
      <w:r>
        <w:tab/>
        <w:t>(a)</w:t>
      </w:r>
      <w:r>
        <w:tab/>
        <w:t>an order to attend for work and development is taken to have been issued and served under section 47 when the order under section 52S(1)(b) is made; and</w:t>
      </w:r>
    </w:p>
    <w:p>
      <w:pPr>
        <w:pStyle w:val="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Subsection"/>
      </w:pPr>
      <w:r>
        <w:tab/>
        <w:t>(3)</w:t>
      </w:r>
      <w:r>
        <w:tab/>
        <w:t>If the Court makes an order under section 52S(1)(c), the offender’s liability to pay the amount owed in respect of the fine is taken to be discharged to the extent specified in the order.</w:t>
      </w:r>
    </w:p>
    <w:p>
      <w:pPr>
        <w:pStyle w:val="Footnotesection"/>
      </w:pPr>
      <w:r>
        <w:tab/>
        <w:t>[Section 52T inserted: No. 25 of 2020 s. 56.]</w:t>
      </w:r>
    </w:p>
    <w:p>
      <w:pPr>
        <w:pStyle w:val="Heading4"/>
      </w:pPr>
      <w:bookmarkStart w:id="239" w:name="_Toc51317185"/>
      <w:bookmarkStart w:id="240" w:name="_Toc51319821"/>
      <w:bookmarkStart w:id="241" w:name="_Toc51320274"/>
      <w:bookmarkStart w:id="242" w:name="_Toc51581214"/>
      <w:bookmarkStart w:id="243" w:name="_Toc51581519"/>
      <w:bookmarkStart w:id="244" w:name="_Toc51665627"/>
      <w:r>
        <w:t>Subdivision 3 — Summons to appear at warrant of commitment inquiry</w:t>
      </w:r>
      <w:bookmarkEnd w:id="239"/>
      <w:bookmarkEnd w:id="240"/>
      <w:bookmarkEnd w:id="241"/>
      <w:bookmarkEnd w:id="242"/>
      <w:bookmarkEnd w:id="243"/>
      <w:bookmarkEnd w:id="244"/>
    </w:p>
    <w:p>
      <w:pPr>
        <w:pStyle w:val="Footnoteheading"/>
        <w:keepNext/>
      </w:pPr>
      <w:r>
        <w:tab/>
        <w:t>[Heading inserted: No. 25 of 2020 s. 56.]</w:t>
      </w:r>
    </w:p>
    <w:p>
      <w:pPr>
        <w:pStyle w:val="Heading5"/>
      </w:pPr>
      <w:bookmarkStart w:id="245" w:name="_Toc51665628"/>
      <w:r>
        <w:rPr>
          <w:rStyle w:val="CharSectno"/>
        </w:rPr>
        <w:t>52U</w:t>
      </w:r>
      <w:r>
        <w:t>.</w:t>
      </w:r>
      <w:r>
        <w:tab/>
        <w:t>Form of summons</w:t>
      </w:r>
      <w:bookmarkEnd w:id="245"/>
    </w:p>
    <w:p>
      <w:pPr>
        <w:pStyle w:val="Subsection"/>
      </w:pPr>
      <w:r>
        <w:tab/>
      </w:r>
      <w:r>
        <w:tab/>
        <w:t xml:space="preserve">A summons to appear at a warrant of commitment inquiry issued in relation to a person under section 52Q(1)(a) or (2) must — </w:t>
      </w:r>
    </w:p>
    <w:p>
      <w:pPr>
        <w:pStyle w:val="Indenta"/>
      </w:pPr>
      <w:r>
        <w:tab/>
        <w:t>(a)</w:t>
      </w:r>
      <w:r>
        <w:tab/>
        <w:t>be in the prescribed form; and</w:t>
      </w:r>
    </w:p>
    <w:p>
      <w:pPr>
        <w:pStyle w:val="Indenta"/>
      </w:pPr>
      <w:r>
        <w:tab/>
        <w:t>(b)</w:t>
      </w:r>
      <w:r>
        <w:tab/>
        <w:t>state when and where the warrant of commitment inquiry will be held; and</w:t>
      </w:r>
    </w:p>
    <w:p>
      <w:pPr>
        <w:pStyle w:val="Indenta"/>
      </w:pPr>
      <w:r>
        <w:tab/>
        <w:t>(c)</w:t>
      </w:r>
      <w:r>
        <w:tab/>
        <w:t>require the person to appear at that time and place;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52U inserted: No. 25 of 2020 s. 56.]</w:t>
      </w:r>
    </w:p>
    <w:p>
      <w:pPr>
        <w:pStyle w:val="Heading5"/>
      </w:pPr>
      <w:bookmarkStart w:id="246" w:name="_Toc51665629"/>
      <w:r>
        <w:rPr>
          <w:rStyle w:val="CharSectno"/>
        </w:rPr>
        <w:t>52V</w:t>
      </w:r>
      <w:r>
        <w:t>.</w:t>
      </w:r>
      <w:r>
        <w:tab/>
        <w:t>Service of summons</w:t>
      </w:r>
      <w:bookmarkEnd w:id="246"/>
    </w:p>
    <w:p>
      <w:pPr>
        <w:pStyle w:val="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Subsection"/>
      </w:pPr>
      <w:r>
        <w:tab/>
        <w:t>(2)</w:t>
      </w:r>
      <w:r>
        <w:tab/>
        <w:t>The Court may authorise oral service of a summons if the Court is satisfied that reasonable efforts to serve the order personally are unlikely to be successful.</w:t>
      </w:r>
    </w:p>
    <w:p>
      <w:pPr>
        <w:pStyle w:val="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Indenta"/>
      </w:pPr>
      <w:r>
        <w:tab/>
        <w:t>(a)</w:t>
      </w:r>
      <w:r>
        <w:tab/>
        <w:t>the person to be served does not have a fixed place of residence or business;</w:t>
      </w:r>
    </w:p>
    <w:p>
      <w:pPr>
        <w:pStyle w:val="Indenta"/>
      </w:pPr>
      <w:r>
        <w:tab/>
        <w:t>(b)</w:t>
      </w:r>
      <w:r>
        <w:tab/>
        <w:t>the person to be served has a place of residence or business that is in a remote area;</w:t>
      </w:r>
    </w:p>
    <w:p>
      <w:pPr>
        <w:pStyle w:val="Indenta"/>
      </w:pPr>
      <w:r>
        <w:tab/>
        <w:t>(c)</w:t>
      </w:r>
      <w:r>
        <w:tab/>
        <w:t>the person to be served is likely to avoid personal or oral service.</w:t>
      </w:r>
    </w:p>
    <w:p>
      <w:pPr>
        <w:pStyle w:val="Subsection"/>
      </w:pPr>
      <w:r>
        <w:tab/>
        <w:t>(4)</w:t>
      </w:r>
      <w:r>
        <w:tab/>
        <w:t>The Court is to consider making an order for oral service or substituted service of a summons to appear at a warrant of commitment inquiry in every case.</w:t>
      </w:r>
    </w:p>
    <w:p>
      <w:pPr>
        <w:pStyle w:val="Footnotesection"/>
      </w:pPr>
      <w:r>
        <w:tab/>
        <w:t>[Section 52V inserted: No. 25 of 2020 s. 56.]</w:t>
      </w:r>
    </w:p>
    <w:p>
      <w:pPr>
        <w:pStyle w:val="Heading5"/>
      </w:pPr>
      <w:bookmarkStart w:id="247" w:name="_Toc51665630"/>
      <w:r>
        <w:rPr>
          <w:rStyle w:val="CharSectno"/>
        </w:rPr>
        <w:t>52W</w:t>
      </w:r>
      <w:r>
        <w:t>.</w:t>
      </w:r>
      <w:r>
        <w:tab/>
        <w:t>Oral service or substituted service of summons</w:t>
      </w:r>
      <w:bookmarkEnd w:id="247"/>
    </w:p>
    <w:p>
      <w:pPr>
        <w:pStyle w:val="Subsection"/>
      </w:pPr>
      <w:r>
        <w:tab/>
        <w:t>(1)</w:t>
      </w:r>
      <w:r>
        <w:tab/>
        <w:t xml:space="preserve">A summons to appear at a warrant of commitment inquiry is served by oral service if the person being served is informed of the following — </w:t>
      </w:r>
    </w:p>
    <w:p>
      <w:pPr>
        <w:pStyle w:val="Indenta"/>
      </w:pPr>
      <w:r>
        <w:tab/>
        <w:t>(a)</w:t>
      </w:r>
      <w:r>
        <w:tab/>
        <w:t>that the summons has been issued;</w:t>
      </w:r>
    </w:p>
    <w:p>
      <w:pPr>
        <w:pStyle w:val="Indenta"/>
      </w:pPr>
      <w:r>
        <w:tab/>
        <w:t>(b)</w:t>
      </w:r>
      <w:r>
        <w:tab/>
        <w:t>that the person is required to appear at a warrant of commitment inquiry and the date and place where the person is required to appear;</w:t>
      </w:r>
    </w:p>
    <w:p>
      <w:pPr>
        <w:pStyle w:val="Indenta"/>
      </w:pPr>
      <w:r>
        <w:tab/>
        <w:t>(c)</w:t>
      </w:r>
      <w:r>
        <w:tab/>
        <w:t>a place where a written copy of the summons can be obtained.</w:t>
      </w:r>
    </w:p>
    <w:p>
      <w:pPr>
        <w:pStyle w:val="Subsection"/>
      </w:pPr>
      <w:r>
        <w:tab/>
        <w:t>(2)</w:t>
      </w:r>
      <w:r>
        <w:tab/>
        <w:t xml:space="preserve">Oral service — </w:t>
      </w:r>
    </w:p>
    <w:p>
      <w:pPr>
        <w:pStyle w:val="Indenta"/>
      </w:pPr>
      <w:r>
        <w:tab/>
        <w:t>(a)</w:t>
      </w:r>
      <w:r>
        <w:tab/>
        <w:t>may be effected in person or by telephone, video conference or another similar method; and</w:t>
      </w:r>
    </w:p>
    <w:p>
      <w:pPr>
        <w:pStyle w:val="Indenta"/>
      </w:pPr>
      <w:r>
        <w:tab/>
        <w:t>(b)</w:t>
      </w:r>
      <w:r>
        <w:tab/>
        <w:t>does not require the person serving the summons to be in possession of a copy of it at the time of service.</w:t>
      </w:r>
    </w:p>
    <w:p>
      <w:pPr>
        <w:pStyle w:val="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Subsection"/>
      </w:pPr>
      <w:r>
        <w:tab/>
        <w:t>(4)</w:t>
      </w:r>
      <w:r>
        <w:tab/>
        <w:t xml:space="preserve">A summons to appear at a warrant of commitment inquiry is served by substituted service if the person serving the summons — </w:t>
      </w:r>
    </w:p>
    <w:p>
      <w:pPr>
        <w:pStyle w:val="Indenta"/>
      </w:pPr>
      <w:r>
        <w:tab/>
        <w:t>(a)</w:t>
      </w:r>
      <w:r>
        <w:tab/>
        <w:t>takes the steps that the Magistrates Court has directed to bring it to the attention of the person being served; or</w:t>
      </w:r>
    </w:p>
    <w:p>
      <w:pPr>
        <w:pStyle w:val="Indenta"/>
      </w:pPr>
      <w:r>
        <w:tab/>
        <w:t>(b)</w:t>
      </w:r>
      <w:r>
        <w:tab/>
        <w:t>takes the steps (if any) prescribed by the regulations.</w:t>
      </w:r>
    </w:p>
    <w:p>
      <w:pPr>
        <w:pStyle w:val="Footnotesection"/>
      </w:pPr>
      <w:r>
        <w:tab/>
        <w:t>[Section 52W inserted: No. 25 of 2020 s. 56.]</w:t>
      </w:r>
    </w:p>
    <w:p>
      <w:pPr>
        <w:pStyle w:val="Heading5"/>
      </w:pPr>
      <w:bookmarkStart w:id="248" w:name="_Toc51665631"/>
      <w:r>
        <w:rPr>
          <w:rStyle w:val="CharSectno"/>
        </w:rPr>
        <w:t>52X</w:t>
      </w:r>
      <w:r>
        <w:t>.</w:t>
      </w:r>
      <w:r>
        <w:tab/>
        <w:t>Summons ceases to have effect if application withdrawn</w:t>
      </w:r>
      <w:bookmarkEnd w:id="248"/>
    </w:p>
    <w:p>
      <w:pPr>
        <w:pStyle w:val="Subsection"/>
      </w:pPr>
      <w:r>
        <w:tab/>
      </w:r>
      <w:r>
        <w:tab/>
        <w:t>A summons to appear at a warrant of commitment inquiry ceases to have effect if the application for the warrant of commitment inquiry is withdrawn under section 52ZI.</w:t>
      </w:r>
    </w:p>
    <w:p>
      <w:pPr>
        <w:pStyle w:val="Footnotesection"/>
      </w:pPr>
      <w:r>
        <w:tab/>
        <w:t>[Section 52X inserted: No. 25 of 2020 s. 56.]</w:t>
      </w:r>
    </w:p>
    <w:p>
      <w:pPr>
        <w:pStyle w:val="Heading4"/>
      </w:pPr>
      <w:bookmarkStart w:id="249" w:name="_Toc51317190"/>
      <w:bookmarkStart w:id="250" w:name="_Toc51319826"/>
      <w:bookmarkStart w:id="251" w:name="_Toc51320279"/>
      <w:bookmarkStart w:id="252" w:name="_Toc51581219"/>
      <w:bookmarkStart w:id="253" w:name="_Toc51581524"/>
      <w:bookmarkStart w:id="254" w:name="_Toc51665632"/>
      <w:r>
        <w:t>Subdivision 4 — Arrest warrant for appearance at warrant of commitment inquiry</w:t>
      </w:r>
      <w:bookmarkEnd w:id="249"/>
      <w:bookmarkEnd w:id="250"/>
      <w:bookmarkEnd w:id="251"/>
      <w:bookmarkEnd w:id="252"/>
      <w:bookmarkEnd w:id="253"/>
      <w:bookmarkEnd w:id="254"/>
    </w:p>
    <w:p>
      <w:pPr>
        <w:pStyle w:val="Footnoteheading"/>
        <w:keepNext/>
      </w:pPr>
      <w:r>
        <w:tab/>
        <w:t>[Heading inserted: No. 25 of 2020 s. 56.]</w:t>
      </w:r>
    </w:p>
    <w:p>
      <w:pPr>
        <w:pStyle w:val="Heading5"/>
      </w:pPr>
      <w:bookmarkStart w:id="255" w:name="_Toc51665633"/>
      <w:r>
        <w:rPr>
          <w:rStyle w:val="CharSectno"/>
        </w:rPr>
        <w:t>52Y</w:t>
      </w:r>
      <w:r>
        <w:t>.</w:t>
      </w:r>
      <w:r>
        <w:tab/>
        <w:t>Form of arrest warrant</w:t>
      </w:r>
      <w:bookmarkEnd w:id="255"/>
    </w:p>
    <w:p>
      <w:pPr>
        <w:pStyle w:val="Subsection"/>
      </w:pPr>
      <w:r>
        <w:tab/>
      </w:r>
      <w:r>
        <w:tab/>
        <w:t xml:space="preserve">An arrest warrant for an offender issued under section 52Q(1)(b) must — </w:t>
      </w:r>
    </w:p>
    <w:p>
      <w:pPr>
        <w:pStyle w:val="Indenta"/>
      </w:pPr>
      <w:r>
        <w:tab/>
        <w:t>(a)</w:t>
      </w:r>
      <w:r>
        <w:tab/>
        <w:t>be directed to all members of the Police Force; and</w:t>
      </w:r>
    </w:p>
    <w:p>
      <w:pPr>
        <w:pStyle w:val="Indenta"/>
      </w:pPr>
      <w:r>
        <w:tab/>
        <w:t>(b)</w:t>
      </w:r>
      <w:r>
        <w:tab/>
        <w:t>be in the prescribed form; and</w:t>
      </w:r>
    </w:p>
    <w:p>
      <w:pPr>
        <w:pStyle w:val="Indenta"/>
      </w:pPr>
      <w:r>
        <w:tab/>
        <w:t>(c)</w:t>
      </w:r>
      <w:r>
        <w:tab/>
        <w:t>require the person who arrests the offender to bring the offender before the Magistrates Court in accordance with section 52Z(2)(a);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52Y inserted: No. 25 of 2020 s. 56.]</w:t>
      </w:r>
    </w:p>
    <w:p>
      <w:pPr>
        <w:pStyle w:val="Heading5"/>
      </w:pPr>
      <w:bookmarkStart w:id="256" w:name="_Toc51665634"/>
      <w:r>
        <w:rPr>
          <w:rStyle w:val="CharSectno"/>
        </w:rPr>
        <w:t>52Z</w:t>
      </w:r>
      <w:r>
        <w:t>.</w:t>
      </w:r>
      <w:r>
        <w:tab/>
        <w:t>Effect of arrest warrant</w:t>
      </w:r>
      <w:bookmarkEnd w:id="256"/>
    </w:p>
    <w:p>
      <w:pPr>
        <w:pStyle w:val="Subsection"/>
      </w:pPr>
      <w:r>
        <w:tab/>
        <w:t>(1)</w:t>
      </w:r>
      <w:r>
        <w:tab/>
        <w:t>An arrest warrant issued under section 52Q(1)(b) is itself sufficient authority to any person to whom it is directed to act according to it.</w:t>
      </w:r>
    </w:p>
    <w:p>
      <w:pPr>
        <w:pStyle w:val="Subsection"/>
      </w:pPr>
      <w:r>
        <w:tab/>
        <w:t>(2)</w:t>
      </w:r>
      <w:r>
        <w:tab/>
        <w:t xml:space="preserve">An offender arrested under an arrest warrant issued under section 52Q(1)(b) — </w:t>
      </w:r>
    </w:p>
    <w:p>
      <w:pPr>
        <w:pStyle w:val="Indenta"/>
      </w:pPr>
      <w:r>
        <w:tab/>
        <w:t>(a)</w:t>
      </w:r>
      <w:r>
        <w:tab/>
        <w:t xml:space="preserve">must be brought before the Magistrates Court for the warrant of commitment inquiry — </w:t>
      </w:r>
    </w:p>
    <w:p>
      <w:pPr>
        <w:pStyle w:val="Indenti"/>
      </w:pPr>
      <w:r>
        <w:tab/>
        <w:t>(i)</w:t>
      </w:r>
      <w:r>
        <w:tab/>
        <w:t>immediately after the arrest if it is practicable to do so; and</w:t>
      </w:r>
    </w:p>
    <w:p>
      <w:pPr>
        <w:pStyle w:val="Indenti"/>
      </w:pPr>
      <w:r>
        <w:tab/>
        <w:t>(ii)</w:t>
      </w:r>
      <w:r>
        <w:tab/>
        <w:t>in any case, subject to section 52ZB, as soon as practicable after the arrest;</w:t>
      </w:r>
    </w:p>
    <w:p>
      <w:pPr>
        <w:pStyle w:val="Indenta"/>
      </w:pPr>
      <w:r>
        <w:tab/>
      </w:r>
      <w:r>
        <w:tab/>
        <w:t>and</w:t>
      </w:r>
    </w:p>
    <w:p>
      <w:pPr>
        <w:pStyle w:val="Indenta"/>
      </w:pPr>
      <w:r>
        <w:tab/>
        <w:t>(b)</w:t>
      </w:r>
      <w:r>
        <w:tab/>
        <w:t>may be brought before the Court at any place where it is sitting.</w:t>
      </w:r>
    </w:p>
    <w:p>
      <w:pPr>
        <w:pStyle w:val="Subsection"/>
      </w:pPr>
      <w:r>
        <w:tab/>
        <w:t>(3)</w:t>
      </w:r>
      <w:r>
        <w:tab/>
        <w:t>A police officer must obey any warrant issued under section 52Q(1)(b) or other order or direction of the Magistrates Court.</w:t>
      </w:r>
    </w:p>
    <w:p>
      <w:pPr>
        <w:pStyle w:val="Subsection"/>
      </w:pPr>
      <w:r>
        <w:tab/>
        <w:t>(4)</w:t>
      </w:r>
      <w:r>
        <w:tab/>
        <w:t xml:space="preserve">A police officer who contravenes subsection (3) is to be dealt with under the </w:t>
      </w:r>
      <w:r>
        <w:rPr>
          <w:i/>
        </w:rPr>
        <w:t>Police Act 1892</w:t>
      </w:r>
      <w:r>
        <w:t xml:space="preserve"> section 23.</w:t>
      </w:r>
    </w:p>
    <w:p>
      <w:pPr>
        <w:pStyle w:val="Subsection"/>
        <w:keepNext/>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Footnotesection"/>
      </w:pPr>
      <w:r>
        <w:tab/>
        <w:t>[Section 52Z inserted: No. 25 of 2020 s. 56.]</w:t>
      </w:r>
    </w:p>
    <w:p>
      <w:pPr>
        <w:pStyle w:val="Heading5"/>
      </w:pPr>
      <w:bookmarkStart w:id="257" w:name="_Toc51665635"/>
      <w:r>
        <w:rPr>
          <w:rStyle w:val="CharSectno"/>
        </w:rPr>
        <w:t>52ZA</w:t>
      </w:r>
      <w:r>
        <w:t>.</w:t>
      </w:r>
      <w:r>
        <w:tab/>
        <w:t>Duration of arrest warrant</w:t>
      </w:r>
      <w:bookmarkEnd w:id="257"/>
    </w:p>
    <w:p>
      <w:pPr>
        <w:pStyle w:val="Subsection"/>
      </w:pPr>
      <w:r>
        <w:tab/>
      </w:r>
      <w:r>
        <w:tab/>
        <w:t xml:space="preserve">An arrest warrant for an offender issued under section 52Q(1)(b) — </w:t>
      </w:r>
    </w:p>
    <w:p>
      <w:pPr>
        <w:pStyle w:val="Indenta"/>
      </w:pPr>
      <w:r>
        <w:tab/>
        <w:t>(a)</w:t>
      </w:r>
      <w:r>
        <w:tab/>
        <w:t>comes into force when it is issued; and</w:t>
      </w:r>
    </w:p>
    <w:p>
      <w:pPr>
        <w:pStyle w:val="Indenta"/>
      </w:pPr>
      <w:r>
        <w:tab/>
        <w:t>(b)</w:t>
      </w:r>
      <w:r>
        <w:tab/>
        <w:t xml:space="preserve">remains in force until whichever of the following occurs first — </w:t>
      </w:r>
    </w:p>
    <w:p>
      <w:pPr>
        <w:pStyle w:val="Indenti"/>
      </w:pPr>
      <w:r>
        <w:tab/>
        <w:t>(i)</w:t>
      </w:r>
      <w:r>
        <w:tab/>
        <w:t>the offender is brought before the Magistrates Court for the warrant of commitment inquiry under the arrest warrant;</w:t>
      </w:r>
    </w:p>
    <w:p>
      <w:pPr>
        <w:pStyle w:val="Indenti"/>
      </w:pPr>
      <w:r>
        <w:tab/>
        <w:t>(ii)</w:t>
      </w:r>
      <w:r>
        <w:tab/>
        <w:t>the offender appears voluntarily in Court for the warrant of commitment inquiry;</w:t>
      </w:r>
    </w:p>
    <w:p>
      <w:pPr>
        <w:pStyle w:val="Indenti"/>
      </w:pPr>
      <w:r>
        <w:tab/>
        <w:t>(iii)</w:t>
      </w:r>
      <w:r>
        <w:tab/>
        <w:t>the offender is released under section 52ZB(1)(b) or (3);</w:t>
      </w:r>
    </w:p>
    <w:p>
      <w:pPr>
        <w:pStyle w:val="Indenti"/>
      </w:pPr>
      <w:r>
        <w:tab/>
        <w:t>(iv)</w:t>
      </w:r>
      <w:r>
        <w:tab/>
        <w:t>the application for the warrant of commitment inquiry is withdrawn under section 52ZI.</w:t>
      </w:r>
    </w:p>
    <w:p>
      <w:pPr>
        <w:pStyle w:val="Footnotesection"/>
      </w:pPr>
      <w:r>
        <w:tab/>
        <w:t>[Section 52ZA inserted: No. 25 of 2020 s. 56.]</w:t>
      </w:r>
    </w:p>
    <w:p>
      <w:pPr>
        <w:pStyle w:val="Heading5"/>
      </w:pPr>
      <w:bookmarkStart w:id="258" w:name="_Toc51665636"/>
      <w:r>
        <w:rPr>
          <w:rStyle w:val="CharSectno"/>
        </w:rPr>
        <w:t>52ZB</w:t>
      </w:r>
      <w:r>
        <w:t>.</w:t>
      </w:r>
      <w:r>
        <w:tab/>
        <w:t>Conditional release of arrested offender</w:t>
      </w:r>
      <w:bookmarkEnd w:id="258"/>
    </w:p>
    <w:p>
      <w:pPr>
        <w:pStyle w:val="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Indenta"/>
      </w:pPr>
      <w:r>
        <w:tab/>
        <w:t>(a)</w:t>
      </w:r>
      <w:r>
        <w:tab/>
        <w:t>must, as soon as practicable, consider whether the offender should be released under paragraph (b); and</w:t>
      </w:r>
    </w:p>
    <w:p>
      <w:pPr>
        <w:pStyle w:val="Indenta"/>
      </w:pPr>
      <w:r>
        <w:tab/>
        <w:t>(b)</w:t>
      </w:r>
      <w:r>
        <w:tab/>
        <w:t>may, subject to section 52ZD(1), release the offender.</w:t>
      </w:r>
    </w:p>
    <w:p>
      <w:pPr>
        <w:pStyle w:val="Subsection"/>
      </w:pPr>
      <w:r>
        <w:tab/>
        <w:t>(2)</w:t>
      </w:r>
      <w:r>
        <w:tab/>
        <w:t xml:space="preserve">The decision whether or not to release an offender under subsection (1)(b) is at the discretion of the responsible officer, having regard to the following — </w:t>
      </w:r>
    </w:p>
    <w:p>
      <w:pPr>
        <w:pStyle w:val="Indenta"/>
      </w:pPr>
      <w:r>
        <w:tab/>
        <w:t>(a)</w:t>
      </w:r>
      <w:r>
        <w:tab/>
        <w:t>whether, if the offender is not kept in custody, the offender may fail to appear in Court in accordance with the offender’s undertaking under section 52ZD;</w:t>
      </w:r>
    </w:p>
    <w:p>
      <w:pPr>
        <w:pStyle w:val="Indenta"/>
      </w:pPr>
      <w:r>
        <w:tab/>
        <w:t>(b)</w:t>
      </w:r>
      <w:r>
        <w:tab/>
        <w:t>any other matter the responsible officer considers relevant.</w:t>
      </w:r>
    </w:p>
    <w:p>
      <w:pPr>
        <w:pStyle w:val="Subsection"/>
        <w:keepNext/>
      </w:pPr>
      <w:r>
        <w:tab/>
        <w:t>(3)</w:t>
      </w:r>
      <w:r>
        <w:tab/>
        <w:t xml:space="preserve">The responsible officer must, subject to section 52ZD(1), release an offender arrested under an arrest warrant issued under section 52Q(1)(b) if — </w:t>
      </w:r>
    </w:p>
    <w:p>
      <w:pPr>
        <w:pStyle w:val="Indenta"/>
      </w:pPr>
      <w:r>
        <w:tab/>
        <w:t>(a)</w:t>
      </w:r>
      <w:r>
        <w:tab/>
        <w:t>the offender has been in custody under the warrant for 24 hours; or</w:t>
      </w:r>
    </w:p>
    <w:p>
      <w:pPr>
        <w:pStyle w:val="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Subsection"/>
      </w:pPr>
      <w:r>
        <w:tab/>
        <w:t>(4)</w:t>
      </w:r>
      <w:r>
        <w:tab/>
        <w:t>Subsection (3) applies whether or not a decision has previously been made not to release the offender under subsection (1)(b).</w:t>
      </w:r>
    </w:p>
    <w:p>
      <w:pPr>
        <w:pStyle w:val="Subsection"/>
      </w:pPr>
      <w:r>
        <w:tab/>
        <w:t>(5)</w:t>
      </w:r>
      <w:r>
        <w:tab/>
        <w:t>The duties of a responsible officer under this section must be performed whether or not an application for conditional release is made by or on behalf of the offender.</w:t>
      </w:r>
    </w:p>
    <w:p>
      <w:pPr>
        <w:pStyle w:val="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Footnotesection"/>
      </w:pPr>
      <w:r>
        <w:tab/>
        <w:t>[Section 52ZB inserted: No. 25 of 2020 s. 56.]</w:t>
      </w:r>
    </w:p>
    <w:p>
      <w:pPr>
        <w:pStyle w:val="Heading5"/>
      </w:pPr>
      <w:bookmarkStart w:id="259" w:name="_Toc51665637"/>
      <w:r>
        <w:rPr>
          <w:rStyle w:val="CharSectno"/>
        </w:rPr>
        <w:t>52ZC</w:t>
      </w:r>
      <w:r>
        <w:t>.</w:t>
      </w:r>
      <w:r>
        <w:tab/>
        <w:t>Responsible officer for conditional release of offender</w:t>
      </w:r>
      <w:bookmarkEnd w:id="259"/>
    </w:p>
    <w:p>
      <w:pPr>
        <w:pStyle w:val="Subsection"/>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Indenta"/>
      </w:pPr>
      <w:r>
        <w:tab/>
        <w:t>(a)</w:t>
      </w:r>
      <w:r>
        <w:tab/>
        <w:t>may, if the arresting officer is not an authorised police officer, request an authorised police officer to perform any or all of the duties in section 52ZB in relation to the offender; and</w:t>
      </w:r>
    </w:p>
    <w:p>
      <w:pPr>
        <w:pStyle w:val="Indenta"/>
      </w:pPr>
      <w:r>
        <w:tab/>
        <w:t>(b)</w:t>
      </w:r>
      <w:r>
        <w:tab/>
        <w:t>must, if it is not practicable for the arresting officer to perform any or all of the duties in section 52ZB in relation to the offender, request an authorised police officer to perform those duties.</w:t>
      </w:r>
    </w:p>
    <w:p>
      <w:pPr>
        <w:pStyle w:val="Subsection"/>
        <w:keepNext/>
      </w:pPr>
      <w:r>
        <w:tab/>
        <w:t>(2)</w:t>
      </w:r>
      <w:r>
        <w:tab/>
        <w:t xml:space="preserve">The </w:t>
      </w:r>
      <w:r>
        <w:rPr>
          <w:rStyle w:val="CharDefText"/>
        </w:rPr>
        <w:t>responsible officer</w:t>
      </w:r>
      <w:r>
        <w:t xml:space="preserve"> in relation to an offender arrested under an arrest warrant issued under section 52Q(1)(b) is — </w:t>
      </w:r>
    </w:p>
    <w:p>
      <w:pPr>
        <w:pStyle w:val="Indenta"/>
      </w:pPr>
      <w:r>
        <w:tab/>
        <w:t>(a)</w:t>
      </w:r>
      <w:r>
        <w:tab/>
        <w:t>if a request under subsection (1) has not been made when the duty is required to be performed — the arresting officer; or</w:t>
      </w:r>
    </w:p>
    <w:p>
      <w:pPr>
        <w:pStyle w:val="Indenta"/>
      </w:pPr>
      <w:r>
        <w:tab/>
        <w:t>(b)</w:t>
      </w:r>
      <w:r>
        <w:tab/>
        <w:t>if a request under subsection (1) has been made when the duty is required to be performed — the authorised police officer to whom the request was made.</w:t>
      </w:r>
    </w:p>
    <w:p>
      <w:pPr>
        <w:pStyle w:val="Subsection"/>
      </w:pPr>
      <w:r>
        <w:tab/>
        <w:t>(3)</w:t>
      </w:r>
      <w:r>
        <w:tab/>
        <w:t>A responsible officer commits an offence if the officer, wilfully and without reasonable excuse, fails to perform any duty of the officer under section 52ZB.</w:t>
      </w:r>
    </w:p>
    <w:p>
      <w:pPr>
        <w:pStyle w:val="Penstart"/>
      </w:pPr>
      <w:r>
        <w:tab/>
        <w:t>Penalty for this subsection: imprisonment for 12 months, or a fine of $1 000, or both.</w:t>
      </w:r>
    </w:p>
    <w:p>
      <w:pPr>
        <w:pStyle w:val="Footnotesection"/>
      </w:pPr>
      <w:r>
        <w:tab/>
        <w:t>[Section 52ZC inserted: No. 25 of 2020 s. 56.]</w:t>
      </w:r>
    </w:p>
    <w:p>
      <w:pPr>
        <w:pStyle w:val="Heading5"/>
      </w:pPr>
      <w:bookmarkStart w:id="260" w:name="_Toc51665638"/>
      <w:r>
        <w:rPr>
          <w:rStyle w:val="CharSectno"/>
        </w:rPr>
        <w:t>52ZD</w:t>
      </w:r>
      <w:r>
        <w:t>.</w:t>
      </w:r>
      <w:r>
        <w:tab/>
        <w:t>Conditional release undertaking</w:t>
      </w:r>
      <w:bookmarkEnd w:id="260"/>
    </w:p>
    <w:p>
      <w:pPr>
        <w:pStyle w:val="Subsection"/>
      </w:pPr>
      <w:r>
        <w:tab/>
        <w:t>(1)</w:t>
      </w:r>
      <w:r>
        <w:tab/>
        <w:t>An offender must not be released under section 52ZB(1)(b) or (3) unless the offender has entered into a conditional release undertaking for the offender’s appearance at the warrant of commitment inquiry.</w:t>
      </w:r>
    </w:p>
    <w:p>
      <w:pPr>
        <w:pStyle w:val="Subsection"/>
      </w:pPr>
      <w:r>
        <w:tab/>
        <w:t>(2)</w:t>
      </w:r>
      <w:r>
        <w:tab/>
        <w:t xml:space="preserve">A conditional release undertaking is an undertaking in writing by an offender in the prescribed form — </w:t>
      </w:r>
    </w:p>
    <w:p>
      <w:pPr>
        <w:pStyle w:val="Indenta"/>
      </w:pPr>
      <w:r>
        <w:tab/>
        <w:t>(a)</w:t>
      </w:r>
      <w:r>
        <w:tab/>
        <w:t xml:space="preserve">that the offender will appear in the Magistrates Court for the warrant of commitment inquiry at — </w:t>
      </w:r>
    </w:p>
    <w:p>
      <w:pPr>
        <w:pStyle w:val="Indenti"/>
      </w:pPr>
      <w:r>
        <w:tab/>
        <w:t>(i)</w:t>
      </w:r>
      <w:r>
        <w:tab/>
        <w:t xml:space="preserve">the time and place specified in the undertaking; or </w:t>
      </w:r>
    </w:p>
    <w:p>
      <w:pPr>
        <w:pStyle w:val="Indenti"/>
      </w:pPr>
      <w:r>
        <w:tab/>
        <w:t>(ii)</w:t>
      </w:r>
      <w:r>
        <w:tab/>
        <w:t>if a different time and place has been substituted by notice served personally on the offender — at that substituted time and place;</w:t>
      </w:r>
    </w:p>
    <w:p>
      <w:pPr>
        <w:pStyle w:val="Indenta"/>
      </w:pPr>
      <w:r>
        <w:tab/>
      </w:r>
      <w:r>
        <w:tab/>
        <w:t>and</w:t>
      </w:r>
    </w:p>
    <w:p>
      <w:pPr>
        <w:pStyle w:val="Indenta"/>
      </w:pPr>
      <w:r>
        <w:tab/>
        <w:t>(b)</w:t>
      </w:r>
      <w:r>
        <w:tab/>
        <w:t>that if the offender fails to appear in the Court at that time and place the offender will, as soon as practicable, appear in the Court at that place when the Court is sitting.</w:t>
      </w:r>
    </w:p>
    <w:p>
      <w:pPr>
        <w:pStyle w:val="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Subsection"/>
      </w:pPr>
      <w:r>
        <w:tab/>
        <w:t>(4)</w:t>
      </w:r>
      <w:r>
        <w:tab/>
        <w:t>The prescribed form for a conditional release undertaking must include an explanation of the obligations of the offender under the undertaking and the consequences of failure to comply with the undertaking.</w:t>
      </w:r>
    </w:p>
    <w:p>
      <w:pPr>
        <w:pStyle w:val="Footnotesection"/>
      </w:pPr>
      <w:r>
        <w:tab/>
        <w:t>[Section 52ZD inserted: No. 25 of 2020 s. 56.]</w:t>
      </w:r>
    </w:p>
    <w:p>
      <w:pPr>
        <w:pStyle w:val="Heading5"/>
      </w:pPr>
      <w:bookmarkStart w:id="261" w:name="_Toc51665639"/>
      <w:r>
        <w:rPr>
          <w:rStyle w:val="CharSectno"/>
        </w:rPr>
        <w:t>52ZE</w:t>
      </w:r>
      <w:r>
        <w:t>.</w:t>
      </w:r>
      <w:r>
        <w:tab/>
        <w:t>Duties of person before whom conditional release undertaking entered into</w:t>
      </w:r>
      <w:bookmarkEnd w:id="261"/>
    </w:p>
    <w:p>
      <w:pPr>
        <w:pStyle w:val="Subsection"/>
      </w:pPr>
      <w:r>
        <w:tab/>
        <w:t>(1)</w:t>
      </w:r>
      <w:r>
        <w:tab/>
        <w:t xml:space="preserve">The person before whom a conditional release undertaking is to be entered into by an offender must, before the undertaking is entered into, either — </w:t>
      </w:r>
    </w:p>
    <w:p>
      <w:pPr>
        <w:pStyle w:val="Indenta"/>
      </w:pPr>
      <w:r>
        <w:tab/>
        <w:t>(a)</w:t>
      </w:r>
      <w:r>
        <w:tab/>
        <w:t>read it to the offender; or</w:t>
      </w:r>
    </w:p>
    <w:p>
      <w:pPr>
        <w:pStyle w:val="Indenta"/>
      </w:pPr>
      <w:r>
        <w:tab/>
        <w:t>(b)</w:t>
      </w:r>
      <w:r>
        <w:tab/>
        <w:t>be informed by the offender that the offender has read it; or</w:t>
      </w:r>
    </w:p>
    <w:p>
      <w:pPr>
        <w:pStyle w:val="Indenta"/>
      </w:pPr>
      <w:r>
        <w:tab/>
        <w:t>(c)</w:t>
      </w:r>
      <w:r>
        <w:tab/>
        <w:t>if necessary, have the undertaking translated to the offender or provide the offender with a written translation of the undertaking.</w:t>
      </w:r>
    </w:p>
    <w:p>
      <w:pPr>
        <w:pStyle w:val="Subsection"/>
      </w:pPr>
      <w:r>
        <w:tab/>
        <w:t>(2)</w:t>
      </w:r>
      <w:r>
        <w:tab/>
        <w:t>The person before whom a conditional release undertaking is entered into by an offender must give the offender, or cause the offender to be given, a copy of the completed undertaking.</w:t>
      </w:r>
    </w:p>
    <w:p>
      <w:pPr>
        <w:pStyle w:val="Footnotesection"/>
      </w:pPr>
      <w:r>
        <w:tab/>
        <w:t>[Section 52ZE inserted: No. 25 of 2020 s. 56.]</w:t>
      </w:r>
    </w:p>
    <w:p>
      <w:pPr>
        <w:pStyle w:val="Heading5"/>
      </w:pPr>
      <w:bookmarkStart w:id="262" w:name="_Toc51665640"/>
      <w:r>
        <w:rPr>
          <w:rStyle w:val="CharSectno"/>
        </w:rPr>
        <w:t>52ZF</w:t>
      </w:r>
      <w:r>
        <w:t>.</w:t>
      </w:r>
      <w:r>
        <w:tab/>
        <w:t>Limitations on right to conditional release</w:t>
      </w:r>
      <w:bookmarkEnd w:id="262"/>
    </w:p>
    <w:p>
      <w:pPr>
        <w:pStyle w:val="Subsection"/>
        <w:keepNext/>
      </w:pPr>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p>
    <w:p>
      <w:pPr>
        <w:pStyle w:val="Indenta"/>
      </w:pPr>
      <w:r>
        <w:tab/>
        <w:t>(a)</w:t>
      </w:r>
      <w:r>
        <w:tab/>
        <w:t>any requirement that the offender be in custody for some other reason;</w:t>
      </w:r>
    </w:p>
    <w:p>
      <w:pPr>
        <w:pStyle w:val="Indenta"/>
      </w:pPr>
      <w:r>
        <w:tab/>
        <w:t>(b)</w:t>
      </w:r>
      <w:r>
        <w:tab/>
        <w:t xml:space="preserve">the same limitations as apply under the </w:t>
      </w:r>
      <w:r>
        <w:rPr>
          <w:i/>
        </w:rPr>
        <w:t>Bail Act 1982</w:t>
      </w:r>
      <w:r>
        <w:t xml:space="preserve"> section 12 to the right of a person granted bail under that Act to be at liberty;</w:t>
      </w:r>
    </w:p>
    <w:p>
      <w:pPr>
        <w:pStyle w:val="Indenta"/>
      </w:pPr>
      <w:r>
        <w:tab/>
        <w:t>(c)</w:t>
      </w:r>
      <w:r>
        <w:tab/>
        <w:t>the person before whom the conditional release undertaking is entered into signing a certificate in the prescribed form that the offender has a right to be released.</w:t>
      </w:r>
    </w:p>
    <w:p>
      <w:pPr>
        <w:pStyle w:val="Footnotesection"/>
      </w:pPr>
      <w:r>
        <w:tab/>
        <w:t>[Section 52ZF inserted: No. 25 of 2020 s. 56.]</w:t>
      </w:r>
    </w:p>
    <w:p>
      <w:pPr>
        <w:pStyle w:val="Heading5"/>
      </w:pPr>
      <w:bookmarkStart w:id="263" w:name="_Toc51665641"/>
      <w:r>
        <w:rPr>
          <w:rStyle w:val="CharSectno"/>
        </w:rPr>
        <w:t>52ZG</w:t>
      </w:r>
      <w:r>
        <w:t>.</w:t>
      </w:r>
      <w:r>
        <w:tab/>
        <w:t>Offence of failure to comply with conditional release undertaking</w:t>
      </w:r>
      <w:bookmarkEnd w:id="263"/>
    </w:p>
    <w:p>
      <w:pPr>
        <w:pStyle w:val="Subsection"/>
      </w:pPr>
      <w:r>
        <w:tab/>
        <w:t>(1)</w:t>
      </w:r>
      <w:r>
        <w:tab/>
        <w:t>A person who, without reasonable excuse, fails to comply with a requirement of a conditional release undertaking mentioned in section 52ZD(2)(a) commits an offence.</w:t>
      </w:r>
    </w:p>
    <w:p>
      <w:pPr>
        <w:pStyle w:val="Penstart"/>
      </w:pPr>
      <w:r>
        <w:tab/>
        <w:t>Penalty for this subsection: a fine of $2 000.</w:t>
      </w:r>
    </w:p>
    <w:p>
      <w:pPr>
        <w:pStyle w:val="Subsection"/>
      </w:pPr>
      <w:r>
        <w:tab/>
        <w:t>(2)</w:t>
      </w:r>
      <w:r>
        <w:tab/>
        <w:t>A person who fails to comply with a requirement of a conditional release undertaking mentioned in section 52ZD(2)(b) commits an offence.</w:t>
      </w:r>
    </w:p>
    <w:p>
      <w:pPr>
        <w:pStyle w:val="Penstart"/>
      </w:pPr>
      <w:r>
        <w:tab/>
        <w:t>Penalty for this subsection: a fine of $2 000.</w:t>
      </w:r>
    </w:p>
    <w:p>
      <w:pPr>
        <w:pStyle w:val="Subsection"/>
      </w:pPr>
      <w:r>
        <w:tab/>
        <w:t>(3)</w:t>
      </w:r>
      <w:r>
        <w:tab/>
        <w:t>A person must not be convicted of an offence under this section in the person’s absence.</w:t>
      </w:r>
    </w:p>
    <w:p>
      <w:pPr>
        <w:pStyle w:val="Footnotesection"/>
      </w:pPr>
      <w:r>
        <w:tab/>
        <w:t>[Section 52ZG inserted: No. 25 of 2020 s. 56.]</w:t>
      </w:r>
    </w:p>
    <w:p>
      <w:pPr>
        <w:pStyle w:val="Heading5"/>
      </w:pPr>
      <w:bookmarkStart w:id="264" w:name="_Toc51665642"/>
      <w:r>
        <w:rPr>
          <w:rStyle w:val="CharSectno"/>
        </w:rPr>
        <w:t>52ZH</w:t>
      </w:r>
      <w:r>
        <w:t>.</w:t>
      </w:r>
      <w:r>
        <w:tab/>
        <w:t>General provisions about conditional release</w:t>
      </w:r>
      <w:bookmarkEnd w:id="264"/>
    </w:p>
    <w:p>
      <w:pPr>
        <w:pStyle w:val="Subsection"/>
      </w:pPr>
      <w:r>
        <w:tab/>
        <w:t>(1)</w:t>
      </w:r>
      <w:r>
        <w:tab/>
        <w:t xml:space="preserve">A conditional release undertaking for the appearance of an offender at a warrant of commitment inquiry remains in force until whichever of the following occurs first — </w:t>
      </w:r>
    </w:p>
    <w:p>
      <w:pPr>
        <w:pStyle w:val="Indenta"/>
      </w:pPr>
      <w:r>
        <w:tab/>
        <w:t>(a)</w:t>
      </w:r>
      <w:r>
        <w:tab/>
        <w:t>the offender appears in the Magistrates Court in accordance with the undertaking;</w:t>
      </w:r>
    </w:p>
    <w:p>
      <w:pPr>
        <w:pStyle w:val="Indenta"/>
      </w:pPr>
      <w:r>
        <w:tab/>
        <w:t>(b)</w:t>
      </w:r>
      <w:r>
        <w:tab/>
        <w:t>the application for the warrant of commitment inquiry is withdrawn under section 52ZI.</w:t>
      </w:r>
    </w:p>
    <w:p>
      <w:pPr>
        <w:pStyle w:val="Subsection"/>
      </w:pPr>
      <w:r>
        <w:tab/>
        <w:t>(2)</w:t>
      </w:r>
      <w:r>
        <w:tab/>
        <w:t xml:space="preserve">The </w:t>
      </w:r>
      <w:r>
        <w:rPr>
          <w:i/>
        </w:rPr>
        <w:t>Bail Act 1982</w:t>
      </w:r>
      <w:r>
        <w:t xml:space="preserve"> sections 59B, 60 and 62 apply for the purposes of this Subdivision as if — </w:t>
      </w:r>
    </w:p>
    <w:p>
      <w:pPr>
        <w:pStyle w:val="Indenta"/>
      </w:pPr>
      <w:r>
        <w:tab/>
        <w:t>(a)</w:t>
      </w:r>
      <w:r>
        <w:tab/>
        <w:t>a reference to an accused were a reference to an offender; and</w:t>
      </w:r>
    </w:p>
    <w:p>
      <w:pPr>
        <w:pStyle w:val="Indenta"/>
      </w:pPr>
      <w:r>
        <w:tab/>
        <w:t>(b)</w:t>
      </w:r>
      <w:r>
        <w:tab/>
        <w:t>a reference to a bail undertaking were a reference to a conditional release undertaking; and</w:t>
      </w:r>
    </w:p>
    <w:p>
      <w:pPr>
        <w:pStyle w:val="Indenta"/>
      </w:pPr>
      <w:r>
        <w:tab/>
        <w:t>(c)</w:t>
      </w:r>
      <w:r>
        <w:tab/>
        <w:t>a reference to section 28(2)(a) or (b) of that Act were a reference to section 52ZD(2)(a) or (b) of this Act; and</w:t>
      </w:r>
    </w:p>
    <w:p>
      <w:pPr>
        <w:pStyle w:val="Indenta"/>
      </w:pPr>
      <w:r>
        <w:tab/>
        <w:t>(d)</w:t>
      </w:r>
      <w:r>
        <w:tab/>
        <w:t>a reference to release on bail or a grant of bail were a reference to conditional release under section 52ZB(1)(b) or (3); and</w:t>
      </w:r>
    </w:p>
    <w:p>
      <w:pPr>
        <w:pStyle w:val="Indenta"/>
      </w:pPr>
      <w:r>
        <w:tab/>
        <w:t>(e)</w:t>
      </w:r>
      <w:r>
        <w:tab/>
        <w:t>the penalty specified for an offence under section 62 of that Act were a fine of $1 000.</w:t>
      </w:r>
    </w:p>
    <w:p>
      <w:pPr>
        <w:pStyle w:val="Footnotesection"/>
      </w:pPr>
      <w:r>
        <w:tab/>
        <w:t>[Section 52ZH inserted: No. 25 of 2020 s. 56.]</w:t>
      </w:r>
    </w:p>
    <w:p>
      <w:pPr>
        <w:pStyle w:val="Heading4"/>
      </w:pPr>
      <w:bookmarkStart w:id="265" w:name="_Toc51317201"/>
      <w:bookmarkStart w:id="266" w:name="_Toc51319837"/>
      <w:bookmarkStart w:id="267" w:name="_Toc51320290"/>
      <w:bookmarkStart w:id="268" w:name="_Toc51581230"/>
      <w:bookmarkStart w:id="269" w:name="_Toc51581535"/>
      <w:bookmarkStart w:id="270" w:name="_Toc51665643"/>
      <w:r>
        <w:t>Subdivision 5 — Miscellaneous provisions about warrant of commitment inquiry</w:t>
      </w:r>
      <w:bookmarkEnd w:id="265"/>
      <w:bookmarkEnd w:id="266"/>
      <w:bookmarkEnd w:id="267"/>
      <w:bookmarkEnd w:id="268"/>
      <w:bookmarkEnd w:id="269"/>
      <w:bookmarkEnd w:id="270"/>
    </w:p>
    <w:p>
      <w:pPr>
        <w:pStyle w:val="Footnoteheading"/>
        <w:keepNext/>
      </w:pPr>
      <w:r>
        <w:tab/>
        <w:t>[Heading inserted: No. 25 of 2020 s. 56.]</w:t>
      </w:r>
    </w:p>
    <w:p>
      <w:pPr>
        <w:pStyle w:val="Heading5"/>
      </w:pPr>
      <w:bookmarkStart w:id="271" w:name="_Toc51665644"/>
      <w:r>
        <w:rPr>
          <w:rStyle w:val="CharSectno"/>
        </w:rPr>
        <w:t>52ZI</w:t>
      </w:r>
      <w:r>
        <w:t>.</w:t>
      </w:r>
      <w:r>
        <w:tab/>
        <w:t>Withdrawal of application for warrant of commitment inquiry</w:t>
      </w:r>
      <w:bookmarkEnd w:id="271"/>
    </w:p>
    <w:p>
      <w:pPr>
        <w:pStyle w:val="Subsection"/>
      </w:pPr>
      <w:r>
        <w:tab/>
        <w:t>(1)</w:t>
      </w:r>
      <w:r>
        <w:tab/>
        <w:t>The Registrar may withdraw an application under section 52N for a warrant of commitment inquiry at any time before the inquiry is held.</w:t>
      </w:r>
    </w:p>
    <w:p>
      <w:pPr>
        <w:pStyle w:val="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Subsection"/>
      </w:pPr>
      <w:r>
        <w:tab/>
        <w:t>(3)</w:t>
      </w:r>
      <w:r>
        <w:tab/>
        <w:t xml:space="preserve">Notice of a withdrawal under this section must be served on — </w:t>
      </w:r>
    </w:p>
    <w:p>
      <w:pPr>
        <w:pStyle w:val="Indenta"/>
      </w:pPr>
      <w:r>
        <w:tab/>
        <w:t>(a)</w:t>
      </w:r>
      <w:r>
        <w:tab/>
        <w:t>the Magistrates Court; and</w:t>
      </w:r>
    </w:p>
    <w:p>
      <w:pPr>
        <w:pStyle w:val="Indenta"/>
      </w:pPr>
      <w:r>
        <w:tab/>
        <w:t>(b)</w:t>
      </w:r>
      <w:r>
        <w:tab/>
        <w:t>the offender; and</w:t>
      </w:r>
    </w:p>
    <w:p>
      <w:pPr>
        <w:pStyle w:val="Indenta"/>
      </w:pPr>
      <w:r>
        <w:tab/>
        <w:t>(c)</w:t>
      </w:r>
      <w:r>
        <w:tab/>
        <w:t>any person named under section 52O(1)(c) in the application for the warrant of commitment inquiry; and</w:t>
      </w:r>
    </w:p>
    <w:p>
      <w:pPr>
        <w:pStyle w:val="Indenta"/>
      </w:pPr>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p>
    <w:p>
      <w:pPr>
        <w:pStyle w:val="Footnotesection"/>
      </w:pPr>
      <w:r>
        <w:tab/>
        <w:t>[Section 52ZI inserted: No. 25 of 2020 s. 56.]</w:t>
      </w:r>
    </w:p>
    <w:p>
      <w:pPr>
        <w:pStyle w:val="Heading5"/>
      </w:pPr>
      <w:bookmarkStart w:id="272" w:name="_Toc51665645"/>
      <w:r>
        <w:rPr>
          <w:rStyle w:val="CharSectno"/>
        </w:rPr>
        <w:t>52ZJ</w:t>
      </w:r>
      <w:r>
        <w:t>.</w:t>
      </w:r>
      <w:r>
        <w:tab/>
        <w:t>Appearance of offender at warrant of commitment inquiry by video link or audio link</w:t>
      </w:r>
      <w:bookmarkEnd w:id="272"/>
    </w:p>
    <w:p>
      <w:pPr>
        <w:pStyle w:val="Subsection"/>
      </w:pPr>
      <w:r>
        <w:tab/>
        <w:t>(1)</w:t>
      </w:r>
      <w:r>
        <w:tab/>
        <w:t xml:space="preserve">This section applies if — </w:t>
      </w:r>
    </w:p>
    <w:p>
      <w:pPr>
        <w:pStyle w:val="Indenta"/>
      </w:pPr>
      <w:r>
        <w:tab/>
        <w:t>(a)</w:t>
      </w:r>
      <w:r>
        <w:tab/>
        <w:t>an offender who has been arrested under an arrest warrant issued under section 52Q(1)(b) is required to be brought before the Magistrates Court under section 52Z(2); or</w:t>
      </w:r>
    </w:p>
    <w:p>
      <w:pPr>
        <w:pStyle w:val="Indenta"/>
      </w:pPr>
      <w:r>
        <w:tab/>
        <w:t>(b)</w:t>
      </w:r>
      <w:r>
        <w:tab/>
        <w:t>an offender who is in custody for any other reason is required to appear in the Magistrates Court under a summons issued under section 52Q(1)(a).</w:t>
      </w:r>
    </w:p>
    <w:p>
      <w:pPr>
        <w:pStyle w:val="Subsection"/>
      </w:pPr>
      <w:r>
        <w:tab/>
        <w:t>(2)</w:t>
      </w:r>
      <w:r>
        <w:tab/>
        <w:t xml:space="preserve">The person in charge of the offender must ensure that the offender is brought before the Court — </w:t>
      </w:r>
    </w:p>
    <w:p>
      <w:pPr>
        <w:pStyle w:val="Indenta"/>
      </w:pPr>
      <w:r>
        <w:tab/>
        <w:t>(a)</w:t>
      </w:r>
      <w:r>
        <w:tab/>
        <w:t>in person; or</w:t>
      </w:r>
    </w:p>
    <w:p>
      <w:pPr>
        <w:pStyle w:val="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Subsection"/>
      </w:pPr>
      <w:r>
        <w:tab/>
        <w:t>(3)</w:t>
      </w:r>
      <w:r>
        <w:tab/>
        <w:t>The Court may make an order under subsection (2)(b) at any time on its own initiative or on an application by the Registrar or the offender if it is satisfied it is in the interests of justice to do so.</w:t>
      </w:r>
    </w:p>
    <w:p>
      <w:pPr>
        <w:pStyle w:val="Subsection"/>
      </w:pPr>
      <w:r>
        <w:tab/>
        <w:t>(4)</w:t>
      </w:r>
      <w:r>
        <w:tab/>
        <w:t>An audio link cannot be used under this section unless a video link is not available and cannot reasonably be made available.</w:t>
      </w:r>
    </w:p>
    <w:p>
      <w:pPr>
        <w:pStyle w:val="Subsection"/>
      </w:pPr>
      <w:r>
        <w:tab/>
        <w:t>(5)</w:t>
      </w:r>
      <w:r>
        <w:tab/>
        <w:t>When the offender appears before the Court by means of a video link or audio link, the Court may exercise any power in this Division as if the offender were personally present before it.</w:t>
      </w:r>
    </w:p>
    <w:p>
      <w:pPr>
        <w:pStyle w:val="Footnotesection"/>
      </w:pPr>
      <w:r>
        <w:tab/>
        <w:t>[Section 52ZJ inserted: No. 25 of 2020 s. 56.]</w:t>
      </w:r>
    </w:p>
    <w:p>
      <w:pPr>
        <w:pStyle w:val="Heading5"/>
      </w:pPr>
      <w:bookmarkStart w:id="273" w:name="_Toc51665646"/>
      <w:r>
        <w:rPr>
          <w:rStyle w:val="CharSectno"/>
        </w:rPr>
        <w:t>52ZK</w:t>
      </w:r>
      <w:r>
        <w:t>.</w:t>
      </w:r>
      <w:r>
        <w:tab/>
        <w:t>Appeal</w:t>
      </w:r>
      <w:bookmarkEnd w:id="273"/>
    </w:p>
    <w:p>
      <w:pPr>
        <w:pStyle w:val="Subsection"/>
      </w:pPr>
      <w:r>
        <w:tab/>
        <w:t>(1)</w:t>
      </w:r>
      <w:r>
        <w:tab/>
        <w:t>Except as provided in subsection (2), no appeal lies against an order of the Court under section 52S.</w:t>
      </w:r>
    </w:p>
    <w:p>
      <w:pPr>
        <w:pStyle w:val="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Footnotesection"/>
      </w:pPr>
      <w:r>
        <w:tab/>
        <w:t>[Section 52ZK inserted: No. 25 of 2020 s. 56.]</w:t>
      </w:r>
    </w:p>
    <w:p>
      <w:pPr>
        <w:pStyle w:val="Heading5"/>
      </w:pPr>
      <w:bookmarkStart w:id="274" w:name="_Toc51665647"/>
      <w:r>
        <w:rPr>
          <w:rStyle w:val="CharSectno"/>
        </w:rPr>
        <w:t>52ZL</w:t>
      </w:r>
      <w:r>
        <w:t>.</w:t>
      </w:r>
      <w:r>
        <w:tab/>
        <w:t>Evidence of appearance or non</w:t>
      </w:r>
      <w:r>
        <w:noBreakHyphen/>
        <w:t>appearance of offender</w:t>
      </w:r>
      <w:bookmarkEnd w:id="274"/>
    </w:p>
    <w:p>
      <w:pPr>
        <w:pStyle w:val="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Footnotesection"/>
      </w:pPr>
      <w:r>
        <w:tab/>
        <w:t>[Section 52ZL inserted: No. 25 of 2020 s. 56.]</w:t>
      </w:r>
    </w:p>
    <w:p>
      <w:pPr>
        <w:pStyle w:val="Heading4"/>
      </w:pPr>
      <w:bookmarkStart w:id="275" w:name="_Toc51317206"/>
      <w:bookmarkStart w:id="276" w:name="_Toc51319842"/>
      <w:bookmarkStart w:id="277" w:name="_Toc51320295"/>
      <w:bookmarkStart w:id="278" w:name="_Toc51581235"/>
      <w:bookmarkStart w:id="279" w:name="_Toc51581540"/>
      <w:bookmarkStart w:id="280" w:name="_Toc51665648"/>
      <w:r>
        <w:t>Subdivision 6 — Imprisonment under warrant of commitment</w:t>
      </w:r>
      <w:bookmarkEnd w:id="275"/>
      <w:bookmarkEnd w:id="276"/>
      <w:bookmarkEnd w:id="277"/>
      <w:bookmarkEnd w:id="278"/>
      <w:bookmarkEnd w:id="279"/>
      <w:bookmarkEnd w:id="280"/>
    </w:p>
    <w:p>
      <w:pPr>
        <w:pStyle w:val="Footnoteheading"/>
        <w:keepNext/>
      </w:pPr>
      <w:r>
        <w:tab/>
        <w:t>[Heading inserted: No. 25 of 2020 s. 57.]</w:t>
      </w:r>
    </w:p>
    <w:p>
      <w:pPr>
        <w:pStyle w:val="Heading5"/>
        <w:rPr>
          <w:snapToGrid w:val="0"/>
        </w:rPr>
      </w:pPr>
      <w:bookmarkStart w:id="281" w:name="_Toc51665649"/>
      <w:r>
        <w:rPr>
          <w:rStyle w:val="CharSectno"/>
        </w:rPr>
        <w:t>53</w:t>
      </w:r>
      <w:r>
        <w:rPr>
          <w:snapToGrid w:val="0"/>
        </w:rPr>
        <w:t>.</w:t>
      </w:r>
      <w:r>
        <w:rPr>
          <w:snapToGrid w:val="0"/>
        </w:rPr>
        <w:tab/>
        <w:t>Effect of warrant of commitment</w:t>
      </w:r>
      <w:bookmarkEnd w:id="281"/>
    </w:p>
    <w:p>
      <w:pPr>
        <w:pStyle w:val="Ednotesubsection"/>
      </w:pPr>
      <w:r>
        <w:tab/>
        <w:t>[(1), (2)</w:t>
      </w:r>
      <w:r>
        <w:tab/>
        <w:t>deleted]</w:t>
      </w:r>
    </w:p>
    <w:p>
      <w:pPr>
        <w:pStyle w:val="Subsection"/>
        <w:spacing w:before="120"/>
      </w:pPr>
      <w:r>
        <w:tab/>
        <w:t>(3)</w:t>
      </w:r>
      <w:r>
        <w:tab/>
        <w:t xml:space="preserve">A warrant of </w:t>
      </w:r>
      <w:r>
        <w:rPr>
          <w:szCs w:val="22"/>
        </w:rPr>
        <w:t>commitment</w:t>
      </w:r>
      <w:r>
        <w:t xml:space="preserve"> issued under section 52S(4) in relation to a fine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Ednotesubsection"/>
      </w:pPr>
      <w:r>
        <w:tab/>
        <w:t>[(4)</w:t>
      </w:r>
      <w:r>
        <w:tab/>
        <w:t>deleted]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Ednotesubsection"/>
        <w:tabs>
          <w:tab w:val="left" w:pos="1134"/>
        </w:tabs>
      </w:pPr>
      <w:r>
        <w:tab/>
        <w:t>[(8a)</w:t>
      </w:r>
      <w:r>
        <w:noBreakHyphen/>
        <w:t>(8c)</w:t>
      </w:r>
      <w:r>
        <w:tab/>
        <w:t>deleted]</w:t>
      </w:r>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4; No. 25 of 2020 s. 58.]</w:t>
      </w:r>
    </w:p>
    <w:p>
      <w:pPr>
        <w:pStyle w:val="Footnotesection"/>
        <w:ind w:left="890" w:hanging="890"/>
      </w:pPr>
      <w:r>
        <w:tab/>
        <w:t>[Section 53. Modifications to be applied in order to give effect to Cross-border Justice Act 2008: section altered 1 Nov 2009. See endnote 1M.]</w:t>
      </w:r>
    </w:p>
    <w:p>
      <w:pPr>
        <w:pStyle w:val="Heading3"/>
      </w:pPr>
      <w:bookmarkStart w:id="282" w:name="_Toc51317208"/>
      <w:bookmarkStart w:id="283" w:name="_Toc51319844"/>
      <w:bookmarkStart w:id="284" w:name="_Toc51320297"/>
      <w:bookmarkStart w:id="285" w:name="_Toc51581237"/>
      <w:bookmarkStart w:id="286" w:name="_Toc51581542"/>
      <w:bookmarkStart w:id="287" w:name="_Toc51665650"/>
      <w:bookmarkStart w:id="288" w:name="_Toc51245595"/>
      <w:r>
        <w:rPr>
          <w:rStyle w:val="CharDivNo"/>
        </w:rPr>
        <w:t>Division 3F</w:t>
      </w:r>
      <w:r>
        <w:t> — </w:t>
      </w:r>
      <w:r>
        <w:rPr>
          <w:rStyle w:val="CharDivText"/>
        </w:rPr>
        <w:t>Interaction of enforcement action under this Part</w:t>
      </w:r>
      <w:bookmarkEnd w:id="282"/>
      <w:bookmarkEnd w:id="283"/>
      <w:bookmarkEnd w:id="284"/>
      <w:bookmarkEnd w:id="285"/>
      <w:bookmarkEnd w:id="286"/>
      <w:bookmarkEnd w:id="287"/>
    </w:p>
    <w:p>
      <w:pPr>
        <w:pStyle w:val="Footnoteheading"/>
        <w:keepNext/>
      </w:pPr>
      <w:r>
        <w:tab/>
        <w:t>[Heading inserted: No. 25 of 2020 s. 59.]</w:t>
      </w:r>
    </w:p>
    <w:p>
      <w:pPr>
        <w:pStyle w:val="Heading5"/>
      </w:pPr>
      <w:bookmarkStart w:id="289" w:name="_Toc51665651"/>
      <w:r>
        <w:rPr>
          <w:rStyle w:val="CharSectno"/>
        </w:rPr>
        <w:t>53A</w:t>
      </w:r>
      <w:r>
        <w:t>.</w:t>
      </w:r>
      <w:r>
        <w:tab/>
        <w:t>Effect of enforcement instrument or WDO on other enforcement powers</w:t>
      </w:r>
      <w:bookmarkEnd w:id="289"/>
    </w:p>
    <w:p>
      <w:pPr>
        <w:pStyle w:val="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Indenta"/>
      </w:pPr>
      <w:r>
        <w:tab/>
        <w:t>(a)</w:t>
      </w:r>
      <w:r>
        <w:tab/>
        <w:t>make or issue another enforcement instrument in relation to the fine; or</w:t>
      </w:r>
    </w:p>
    <w:p>
      <w:pPr>
        <w:pStyle w:val="Indenta"/>
      </w:pPr>
      <w:r>
        <w:tab/>
        <w:t>(b)</w:t>
      </w:r>
      <w:r>
        <w:tab/>
        <w:t>make an application under section 52N in relation to the fine.</w:t>
      </w:r>
    </w:p>
    <w:p>
      <w:pPr>
        <w:pStyle w:val="Subsection"/>
      </w:pPr>
      <w:r>
        <w:tab/>
        <w:t>(2)</w:t>
      </w:r>
      <w:r>
        <w:tab/>
        <w:t xml:space="preserve">If a licence suspension order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licence suspension order as soon as practicable if — </w:t>
      </w:r>
    </w:p>
    <w:p>
      <w:pPr>
        <w:pStyle w:val="Indenti"/>
      </w:pPr>
      <w:r>
        <w:tab/>
        <w:t>(i)</w:t>
      </w:r>
      <w:r>
        <w:tab/>
        <w:t>the Registrar issues an enforcement instrument (other than an enforcement warrant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(3)</w:t>
      </w:r>
      <w:r>
        <w:tab/>
        <w:t xml:space="preserve">If an enforcement warrant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enforcement warrant as soon as practicable if — </w:t>
      </w:r>
    </w:p>
    <w:p>
      <w:pPr>
        <w:pStyle w:val="Indenti"/>
      </w:pPr>
      <w:r>
        <w:tab/>
        <w:t>(i)</w:t>
      </w:r>
      <w:r>
        <w:tab/>
        <w:t>the Registrar issues an enforcement instrument (other than a licence suspension order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Footnotesection"/>
      </w:pPr>
      <w:r>
        <w:tab/>
        <w:t>[Section 53A inserted: No. 25 of 2020 s. 59.]</w:t>
      </w:r>
    </w:p>
    <w:p>
      <w:pPr>
        <w:pStyle w:val="Heading5"/>
      </w:pPr>
      <w:bookmarkStart w:id="290" w:name="_Toc51665652"/>
      <w:r>
        <w:rPr>
          <w:rStyle w:val="CharSectno"/>
        </w:rPr>
        <w:t>53B</w:t>
      </w:r>
      <w:r>
        <w:t>.</w:t>
      </w:r>
      <w:r>
        <w:tab/>
        <w:t>Effect of warrant of commitment inquiry process or warrant of commitment on other enforcement powers</w:t>
      </w:r>
      <w:bookmarkEnd w:id="290"/>
    </w:p>
    <w:p>
      <w:pPr>
        <w:pStyle w:val="Subsection"/>
      </w:pPr>
      <w:r>
        <w:tab/>
        <w:t>(1)</w:t>
      </w:r>
      <w:r>
        <w:tab/>
        <w:t>The Registrar must not make or issue an enforcement instrument (other than a fine expiation order) in relation to a fine if a warrant of commitment inquiry process is occurring in relation to the fine.</w:t>
      </w:r>
    </w:p>
    <w:p>
      <w:pPr>
        <w:pStyle w:val="Subsection"/>
      </w:pPr>
      <w:r>
        <w:tab/>
        <w:t>(2)</w:t>
      </w:r>
      <w:r>
        <w:tab/>
        <w:t>The Registrar must not make or issue an enforcement instrument in relation to a fine if a warrant of commitment is in force in relation to the fine.</w:t>
      </w:r>
    </w:p>
    <w:p>
      <w:pPr>
        <w:pStyle w:val="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Footnotesection"/>
      </w:pPr>
      <w:r>
        <w:tab/>
        <w:t>[Section 53B inserted: No. 25 of 2020 s. 59.]</w:t>
      </w:r>
    </w:p>
    <w:p>
      <w:pPr>
        <w:pStyle w:val="Heading3"/>
        <w:keepLines/>
        <w:rPr>
          <w:snapToGrid w:val="0"/>
        </w:rPr>
      </w:pPr>
      <w:bookmarkStart w:id="291" w:name="_Toc51317211"/>
      <w:bookmarkStart w:id="292" w:name="_Toc51319847"/>
      <w:bookmarkStart w:id="293" w:name="_Toc51320300"/>
      <w:bookmarkStart w:id="294" w:name="_Toc51581240"/>
      <w:bookmarkStart w:id="295" w:name="_Toc51581545"/>
      <w:bookmarkStart w:id="296" w:name="_Toc51665653"/>
      <w:r>
        <w:rPr>
          <w:rStyle w:val="CharDivNo"/>
        </w:rPr>
        <w:t>Division 4</w:t>
      </w:r>
      <w:r>
        <w:rPr>
          <w:snapToGrid w:val="0"/>
        </w:rPr>
        <w:t> — </w:t>
      </w:r>
      <w:r>
        <w:rPr>
          <w:rStyle w:val="CharDivText"/>
        </w:rPr>
        <w:t>Miscellaneous</w:t>
      </w:r>
      <w:bookmarkEnd w:id="288"/>
      <w:bookmarkEnd w:id="291"/>
      <w:bookmarkEnd w:id="292"/>
      <w:bookmarkEnd w:id="293"/>
      <w:bookmarkEnd w:id="294"/>
      <w:bookmarkEnd w:id="295"/>
      <w:bookmarkEnd w:id="296"/>
    </w:p>
    <w:p>
      <w:pPr>
        <w:pStyle w:val="Heading5"/>
      </w:pPr>
      <w:bookmarkStart w:id="297" w:name="_Toc51665654"/>
      <w:r>
        <w:rPr>
          <w:rStyle w:val="CharSectno"/>
        </w:rPr>
        <w:t>54</w:t>
      </w:r>
      <w:r>
        <w:t>.</w:t>
      </w:r>
      <w:r>
        <w:tab/>
        <w:t xml:space="preserve">Functions of Registrar in relation to </w:t>
      </w:r>
      <w:r>
        <w:rPr>
          <w:i/>
        </w:rPr>
        <w:t>Service and Execution of Process Act 1992</w:t>
      </w:r>
      <w:r>
        <w:t xml:space="preserve"> (Commonwealth) Part 7</w:t>
      </w:r>
      <w:bookmarkEnd w:id="297"/>
    </w:p>
    <w:p>
      <w:pPr>
        <w:pStyle w:val="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Subsection"/>
      </w:pPr>
      <w:r>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p>
    <w:p>
      <w:pPr>
        <w:pStyle w:val="Footnotesection"/>
      </w:pPr>
      <w:r>
        <w:tab/>
        <w:t>[Section 54 inserted: No. 25 of 2020 s. 60.]</w:t>
      </w:r>
    </w:p>
    <w:p>
      <w:pPr>
        <w:pStyle w:val="Heading5"/>
        <w:rPr>
          <w:snapToGrid w:val="0"/>
        </w:rPr>
      </w:pPr>
      <w:bookmarkStart w:id="298" w:name="_Toc51665655"/>
      <w:r>
        <w:rPr>
          <w:rStyle w:val="CharSectno"/>
        </w:rPr>
        <w:t>55</w:t>
      </w:r>
      <w:r>
        <w:rPr>
          <w:snapToGrid w:val="0"/>
        </w:rPr>
        <w:t>.</w:t>
      </w:r>
      <w:r>
        <w:rPr>
          <w:snapToGrid w:val="0"/>
        </w:rPr>
        <w:tab/>
        <w:t>How recovered amounts to be dealt with</w:t>
      </w:r>
      <w:bookmarkEnd w:id="298"/>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299" w:name="_Toc51665656"/>
      <w:r>
        <w:rPr>
          <w:rStyle w:val="CharSectno"/>
        </w:rPr>
        <w:t>55A</w:t>
      </w:r>
      <w:r>
        <w:t>.</w:t>
      </w:r>
      <w:r>
        <w:tab/>
        <w:t>Certain decisions of Registrar are final</w:t>
      </w:r>
      <w:bookmarkEnd w:id="299"/>
    </w:p>
    <w:p>
      <w:pPr>
        <w:pStyle w:val="Subsection"/>
      </w:pPr>
      <w:r>
        <w:tab/>
      </w:r>
      <w:r>
        <w:tab/>
        <w:t>A decision of the Registrar under Division 2 Subdivision 3, section 44A or Division 3D is final.</w:t>
      </w:r>
    </w:p>
    <w:p>
      <w:pPr>
        <w:pStyle w:val="Footnotesection"/>
      </w:pPr>
      <w:r>
        <w:tab/>
        <w:t>[Section 55A inserted: No. 25 of 2020 s. 61.]</w:t>
      </w:r>
    </w:p>
    <w:p>
      <w:pPr>
        <w:pStyle w:val="Ednotesection"/>
        <w:tabs>
          <w:tab w:val="left" w:pos="1276"/>
        </w:tabs>
      </w:pPr>
      <w:r>
        <w:t>[</w:t>
      </w:r>
      <w:r>
        <w:rPr>
          <w:b/>
        </w:rPr>
        <w:t>55B</w:t>
      </w:r>
      <w:r>
        <w:rPr>
          <w:b/>
        </w:rPr>
        <w:noBreakHyphen/>
        <w:t>55E.</w:t>
      </w:r>
      <w:r>
        <w:tab/>
        <w:t>Deleted: No. 25 of 2020 s. 61]</w:t>
      </w:r>
    </w:p>
    <w:p>
      <w:pPr>
        <w:pStyle w:val="Heading2"/>
      </w:pPr>
      <w:bookmarkStart w:id="300" w:name="_Toc51245603"/>
      <w:bookmarkStart w:id="301" w:name="_Toc51317215"/>
      <w:bookmarkStart w:id="302" w:name="_Toc51319851"/>
      <w:bookmarkStart w:id="303" w:name="_Toc51320304"/>
      <w:bookmarkStart w:id="304" w:name="_Toc51581244"/>
      <w:bookmarkStart w:id="305" w:name="_Toc51581549"/>
      <w:bookmarkStart w:id="306" w:name="_Toc51665657"/>
      <w:r>
        <w:rPr>
          <w:rStyle w:val="CharPartNo"/>
        </w:rPr>
        <w:t>Part 5A</w:t>
      </w:r>
      <w:r>
        <w:rPr>
          <w:b w:val="0"/>
        </w:rPr>
        <w:t> </w:t>
      </w:r>
      <w:r>
        <w:t>—</w:t>
      </w:r>
      <w:r>
        <w:rPr>
          <w:b w:val="0"/>
        </w:rPr>
        <w:t> </w:t>
      </w:r>
      <w:r>
        <w:rPr>
          <w:rStyle w:val="CharPartText"/>
        </w:rPr>
        <w:t>Publication of details of persons on Registrar’s website</w:t>
      </w:r>
      <w:bookmarkEnd w:id="300"/>
      <w:bookmarkEnd w:id="301"/>
      <w:bookmarkEnd w:id="302"/>
      <w:bookmarkEnd w:id="303"/>
      <w:bookmarkEnd w:id="304"/>
      <w:bookmarkEnd w:id="305"/>
      <w:bookmarkEnd w:id="306"/>
    </w:p>
    <w:p>
      <w:pPr>
        <w:pStyle w:val="Footnoteheading"/>
      </w:pPr>
      <w:r>
        <w:tab/>
        <w:t>[Heading inserted: No. 48 of 2012 s. 27.]</w:t>
      </w:r>
    </w:p>
    <w:p>
      <w:pPr>
        <w:pStyle w:val="Heading3"/>
      </w:pPr>
      <w:bookmarkStart w:id="307" w:name="_Toc51245604"/>
      <w:bookmarkStart w:id="308" w:name="_Toc51317216"/>
      <w:bookmarkStart w:id="309" w:name="_Toc51319852"/>
      <w:bookmarkStart w:id="310" w:name="_Toc51320305"/>
      <w:bookmarkStart w:id="311" w:name="_Toc51581245"/>
      <w:bookmarkStart w:id="312" w:name="_Toc51581550"/>
      <w:bookmarkStart w:id="313" w:name="_Toc51665658"/>
      <w:r>
        <w:rPr>
          <w:rStyle w:val="CharDivNo"/>
        </w:rPr>
        <w:t>Division 1</w:t>
      </w:r>
      <w:r>
        <w:t> — </w:t>
      </w:r>
      <w:r>
        <w:rPr>
          <w:rStyle w:val="CharDivText"/>
        </w:rPr>
        <w:t>Preliminary</w:t>
      </w:r>
      <w:bookmarkEnd w:id="307"/>
      <w:bookmarkEnd w:id="308"/>
      <w:bookmarkEnd w:id="309"/>
      <w:bookmarkEnd w:id="310"/>
      <w:bookmarkEnd w:id="311"/>
      <w:bookmarkEnd w:id="312"/>
      <w:bookmarkEnd w:id="313"/>
    </w:p>
    <w:p>
      <w:pPr>
        <w:pStyle w:val="Footnoteheading"/>
      </w:pPr>
      <w:r>
        <w:tab/>
        <w:t>[Heading inserted: No. 48 of 2012 s. 27.]</w:t>
      </w:r>
    </w:p>
    <w:p>
      <w:pPr>
        <w:pStyle w:val="Heading5"/>
      </w:pPr>
      <w:bookmarkStart w:id="314" w:name="_Toc51665659"/>
      <w:r>
        <w:rPr>
          <w:rStyle w:val="CharSectno"/>
        </w:rPr>
        <w:t>56A</w:t>
      </w:r>
      <w:r>
        <w:t>.</w:t>
      </w:r>
      <w:r>
        <w:tab/>
        <w:t>Terms used</w:t>
      </w:r>
      <w:bookmarkEnd w:id="314"/>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r>
        <w:t xml:space="preserve"> — </w:t>
      </w:r>
    </w:p>
    <w:p>
      <w:pPr>
        <w:pStyle w:val="Defpara"/>
      </w:pPr>
      <w:r>
        <w:tab/>
        <w:t>(a)</w:t>
      </w:r>
      <w:r>
        <w:tab/>
        <w:t>for an order to pay or elect issued under section 17 — means that amount of the modified penalty, and enforcement fees, specified in the order that has not been paid or recovered under an enforcement warrant; or</w:t>
      </w:r>
    </w:p>
    <w:p>
      <w:pPr>
        <w:pStyle w:val="Defpara"/>
      </w:pPr>
      <w:r>
        <w:tab/>
        <w:t>(b)</w:t>
      </w:r>
      <w:r>
        <w:tab/>
        <w:t>for a fine — has the meaning given in section 28(1);</w:t>
      </w:r>
    </w:p>
    <w:p>
      <w:pPr>
        <w:pStyle w:val="Defstart"/>
      </w:pPr>
      <w:r>
        <w:rPr>
          <w:b/>
          <w:i/>
        </w:rPr>
        <w:tab/>
      </w:r>
      <w:r>
        <w:rPr>
          <w:rStyle w:val="CharDefText"/>
        </w:rPr>
        <w:t>enforcement fees</w:t>
      </w:r>
      <w:r>
        <w:t xml:space="preserve"> means prescribed fees imposed in connection with proceedings under this Act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56AA;</w:t>
      </w:r>
    </w:p>
    <w:p>
      <w:pPr>
        <w:pStyle w:val="Defstart"/>
      </w:pPr>
      <w:r>
        <w:tab/>
      </w:r>
      <w:r>
        <w:rPr>
          <w:rStyle w:val="CharDefText"/>
        </w:rPr>
        <w:t>outstanding registered fine</w:t>
      </w:r>
      <w:r>
        <w:t xml:space="preserve"> has the meaning given in section 56B;</w:t>
      </w:r>
    </w:p>
    <w:p>
      <w:pPr>
        <w:pStyle w:val="Defstart"/>
        <w:keepNext/>
      </w:pPr>
      <w:r>
        <w:tab/>
      </w:r>
      <w:r>
        <w:rPr>
          <w:rStyle w:val="CharDefText"/>
        </w:rPr>
        <w:t>relevant details</w:t>
      </w:r>
      <w:r>
        <w:t xml:space="preserve"> has the meaning given in section 56C.</w:t>
      </w:r>
    </w:p>
    <w:p>
      <w:pPr>
        <w:pStyle w:val="Footnotesection"/>
      </w:pPr>
      <w:r>
        <w:tab/>
        <w:t>[Section 56A inserted: No. 48 of 2012 s. 27; amended: No. 25 of 2020 s. 62.]</w:t>
      </w:r>
    </w:p>
    <w:p>
      <w:pPr>
        <w:pStyle w:val="Heading5"/>
      </w:pPr>
      <w:bookmarkStart w:id="315" w:name="_Toc51665660"/>
      <w:r>
        <w:rPr>
          <w:rStyle w:val="CharSectno"/>
        </w:rPr>
        <w:t>56AA</w:t>
      </w:r>
      <w:r>
        <w:t>.</w:t>
      </w:r>
      <w:r>
        <w:tab/>
        <w:t>Outstanding orders to pay or elect</w:t>
      </w:r>
      <w:bookmarkEnd w:id="315"/>
    </w:p>
    <w:p>
      <w:pPr>
        <w:pStyle w:val="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Indenta"/>
      </w:pPr>
      <w:r>
        <w:tab/>
        <w:t>(a)</w:t>
      </w:r>
      <w:r>
        <w:tab/>
        <w:t>the modified penalty, and enforcement fees, specified in that order have not been paid in full, or recovered in full under an enforcement warrant; and</w:t>
      </w:r>
    </w:p>
    <w:p>
      <w:pPr>
        <w:pStyle w:val="Indenta"/>
      </w:pPr>
      <w:r>
        <w:tab/>
        <w:t>(b)</w:t>
      </w:r>
      <w:r>
        <w:tab/>
        <w:t>an election has not been made under section 21 in relation to the infringement notice to which the order relates; and</w:t>
      </w:r>
    </w:p>
    <w:p>
      <w:pPr>
        <w:pStyle w:val="Indenta"/>
      </w:pPr>
      <w:r>
        <w:tab/>
        <w:t>(c)</w:t>
      </w:r>
      <w:r>
        <w:tab/>
        <w:t>no time to pay order is in force under section 21C in respect of the person and the infringement notice to which the order relates; and</w:t>
      </w:r>
    </w:p>
    <w:p>
      <w:pPr>
        <w:pStyle w:val="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Indenta"/>
      </w:pPr>
      <w:r>
        <w:tab/>
        <w:t>(e)</w:t>
      </w:r>
      <w:r>
        <w:tab/>
        <w:t>the prosecuting authority has not, under section 22, withdrawn proceedings in respect of the infringement notice to which the order relates.</w:t>
      </w:r>
    </w:p>
    <w:p>
      <w:pPr>
        <w:pStyle w:val="Footnotesection"/>
      </w:pPr>
      <w:r>
        <w:tab/>
        <w:t>[Section 56AA inserted: No. 25 of 2020 s. 63.]</w:t>
      </w:r>
    </w:p>
    <w:p>
      <w:pPr>
        <w:pStyle w:val="Heading5"/>
      </w:pPr>
      <w:bookmarkStart w:id="316" w:name="_Toc51665661"/>
      <w:r>
        <w:rPr>
          <w:rStyle w:val="CharSectno"/>
        </w:rPr>
        <w:t>56B</w:t>
      </w:r>
      <w:r>
        <w:t>.</w:t>
      </w:r>
      <w:r>
        <w:tab/>
        <w:t>Outstanding registered fines</w:t>
      </w:r>
      <w:bookmarkEnd w:id="316"/>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an enforceable registered fine (as defined in section 28(1)); and</w:t>
      </w:r>
    </w:p>
    <w:p>
      <w:pPr>
        <w:pStyle w:val="Indenta"/>
      </w:pPr>
      <w:r>
        <w:tab/>
        <w:t>(b)</w:t>
      </w:r>
      <w:r>
        <w:tab/>
        <w:t>at least 28 days have elapsed since the day on which the fine was imposed; and</w:t>
      </w:r>
    </w:p>
    <w:p>
      <w:pPr>
        <w:pStyle w:val="Ednotepara"/>
        <w:rPr>
          <w:snapToGrid w:val="0"/>
        </w:rPr>
      </w:pPr>
      <w:r>
        <w:tab/>
        <w:t>[(c)</w:t>
      </w:r>
      <w:r>
        <w:tab/>
        <w:t>deleted]</w:t>
      </w:r>
    </w:p>
    <w:p>
      <w:pPr>
        <w:pStyle w:val="Indenta"/>
      </w:pPr>
      <w:r>
        <w:tab/>
        <w:t>(d)</w:t>
      </w:r>
      <w:r>
        <w:tab/>
        <w:t>no time to pay order under section 33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Ednotepara"/>
        <w:rPr>
          <w:snapToGrid w:val="0"/>
        </w:rPr>
      </w:pPr>
      <w:r>
        <w:tab/>
        <w:t>[(f), (g)</w:t>
      </w:r>
      <w:r>
        <w:tab/>
        <w:t>deleted]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 No. 25 of 2020 s. 64.]</w:t>
      </w:r>
    </w:p>
    <w:p>
      <w:pPr>
        <w:pStyle w:val="Heading5"/>
      </w:pPr>
      <w:bookmarkStart w:id="317" w:name="_Toc51665662"/>
      <w:r>
        <w:rPr>
          <w:rStyle w:val="CharSectno"/>
        </w:rPr>
        <w:t>56C</w:t>
      </w:r>
      <w:r>
        <w:t>.</w:t>
      </w:r>
      <w:r>
        <w:tab/>
        <w:t>Relevant details of persons</w:t>
      </w:r>
      <w:bookmarkEnd w:id="317"/>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keepNext/>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318" w:name="_Toc51245608"/>
      <w:bookmarkStart w:id="319" w:name="_Toc51317221"/>
      <w:bookmarkStart w:id="320" w:name="_Toc51319857"/>
      <w:bookmarkStart w:id="321" w:name="_Toc51320310"/>
      <w:bookmarkStart w:id="322" w:name="_Toc51581250"/>
      <w:bookmarkStart w:id="323" w:name="_Toc51581555"/>
      <w:bookmarkStart w:id="324" w:name="_Toc51665663"/>
      <w:r>
        <w:rPr>
          <w:rStyle w:val="CharDivNo"/>
        </w:rPr>
        <w:t>Division 2</w:t>
      </w:r>
      <w:r>
        <w:t> — </w:t>
      </w:r>
      <w:r>
        <w:rPr>
          <w:rStyle w:val="CharDivText"/>
        </w:rPr>
        <w:t>Publication of relevant details of persons on Registrar’s website</w:t>
      </w:r>
      <w:bookmarkEnd w:id="318"/>
      <w:bookmarkEnd w:id="319"/>
      <w:bookmarkEnd w:id="320"/>
      <w:bookmarkEnd w:id="321"/>
      <w:bookmarkEnd w:id="322"/>
      <w:bookmarkEnd w:id="323"/>
      <w:bookmarkEnd w:id="324"/>
    </w:p>
    <w:p>
      <w:pPr>
        <w:pStyle w:val="Footnoteheading"/>
      </w:pPr>
      <w:r>
        <w:tab/>
        <w:t>[Heading inserted: No. 48 of 2012 s. 27.]</w:t>
      </w:r>
    </w:p>
    <w:p>
      <w:pPr>
        <w:pStyle w:val="Heading5"/>
        <w:spacing w:before="180"/>
      </w:pPr>
      <w:bookmarkStart w:id="325" w:name="_Toc51665664"/>
      <w:r>
        <w:rPr>
          <w:rStyle w:val="CharSectno"/>
        </w:rPr>
        <w:t>56D</w:t>
      </w:r>
      <w:r>
        <w:t>.</w:t>
      </w:r>
      <w:r>
        <w:tab/>
        <w:t>Publication of relevant details of persons on Registrar’s website</w:t>
      </w:r>
      <w:bookmarkEnd w:id="325"/>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326" w:name="_Toc51665665"/>
      <w:r>
        <w:rPr>
          <w:rStyle w:val="CharSectno"/>
        </w:rPr>
        <w:t>56E</w:t>
      </w:r>
      <w:r>
        <w:t>.</w:t>
      </w:r>
      <w:r>
        <w:tab/>
        <w:t>Removal of relevant details from website</w:t>
      </w:r>
      <w:bookmarkEnd w:id="326"/>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327" w:name="_Toc51245611"/>
      <w:bookmarkStart w:id="328" w:name="_Toc51317224"/>
      <w:bookmarkStart w:id="329" w:name="_Toc51319860"/>
      <w:bookmarkStart w:id="330" w:name="_Toc51320313"/>
      <w:bookmarkStart w:id="331" w:name="_Toc51581253"/>
      <w:bookmarkStart w:id="332" w:name="_Toc51581558"/>
      <w:bookmarkStart w:id="333" w:name="_Toc51665666"/>
      <w:r>
        <w:rPr>
          <w:rStyle w:val="CharPartNo"/>
        </w:rPr>
        <w:t>Part 5</w:t>
      </w:r>
      <w:r>
        <w:rPr>
          <w:rStyle w:val="CharDivNo"/>
        </w:rPr>
        <w:t> </w:t>
      </w:r>
      <w:r>
        <w:t>—</w:t>
      </w:r>
      <w:r>
        <w:rPr>
          <w:rStyle w:val="CharDivText"/>
        </w:rPr>
        <w:t> </w:t>
      </w:r>
      <w:r>
        <w:rPr>
          <w:rStyle w:val="CharPartText"/>
        </w:rPr>
        <w:t>Amounts forfeited under undertakings</w:t>
      </w:r>
      <w:bookmarkEnd w:id="327"/>
      <w:bookmarkEnd w:id="328"/>
      <w:bookmarkEnd w:id="329"/>
      <w:bookmarkEnd w:id="330"/>
      <w:bookmarkEnd w:id="331"/>
      <w:bookmarkEnd w:id="332"/>
      <w:bookmarkEnd w:id="333"/>
    </w:p>
    <w:p>
      <w:pPr>
        <w:pStyle w:val="Footnoteheading"/>
        <w:tabs>
          <w:tab w:val="left" w:pos="851"/>
        </w:tabs>
      </w:pPr>
      <w:r>
        <w:tab/>
        <w:t>[Heading amended: No. 84 of 2004 s. 46.]</w:t>
      </w:r>
    </w:p>
    <w:p>
      <w:pPr>
        <w:pStyle w:val="Heading5"/>
        <w:rPr>
          <w:snapToGrid w:val="0"/>
        </w:rPr>
      </w:pPr>
      <w:bookmarkStart w:id="334" w:name="_Toc51665667"/>
      <w:r>
        <w:rPr>
          <w:rStyle w:val="CharSectno"/>
        </w:rPr>
        <w:t>56</w:t>
      </w:r>
      <w:r>
        <w:rPr>
          <w:snapToGrid w:val="0"/>
        </w:rPr>
        <w:t>.</w:t>
      </w:r>
      <w:r>
        <w:rPr>
          <w:snapToGrid w:val="0"/>
        </w:rPr>
        <w:tab/>
        <w:t>Amounts payable by defendants and offenders</w:t>
      </w:r>
      <w:bookmarkEnd w:id="334"/>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335" w:name="_Toc51665668"/>
      <w:r>
        <w:rPr>
          <w:rStyle w:val="CharSectno"/>
        </w:rPr>
        <w:t>57</w:t>
      </w:r>
      <w:r>
        <w:rPr>
          <w:snapToGrid w:val="0"/>
        </w:rPr>
        <w:t>.</w:t>
      </w:r>
      <w:r>
        <w:rPr>
          <w:snapToGrid w:val="0"/>
        </w:rPr>
        <w:tab/>
        <w:t>Amounts payable by sureties</w:t>
      </w:r>
      <w:bookmarkEnd w:id="335"/>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336" w:name="_Toc51665669"/>
      <w:r>
        <w:rPr>
          <w:rStyle w:val="CharSectno"/>
        </w:rPr>
        <w:t>58</w:t>
      </w:r>
      <w:r>
        <w:t>.</w:t>
      </w:r>
      <w:r>
        <w:tab/>
        <w:t>Amounts payable by witnesses and sureties for witnesses</w:t>
      </w:r>
      <w:bookmarkEnd w:id="33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337" w:name="_Toc51665670"/>
      <w:r>
        <w:rPr>
          <w:rStyle w:val="CharSectno"/>
        </w:rPr>
        <w:t>59A</w:t>
      </w:r>
      <w:r>
        <w:t>.</w:t>
      </w:r>
      <w:r>
        <w:tab/>
        <w:t>Automatic registration of amounts payable</w:t>
      </w:r>
      <w:bookmarkEnd w:id="337"/>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338" w:name="_Toc51245616"/>
      <w:bookmarkStart w:id="339" w:name="_Toc51317229"/>
      <w:bookmarkStart w:id="340" w:name="_Toc51319865"/>
      <w:bookmarkStart w:id="341" w:name="_Toc51320318"/>
      <w:bookmarkStart w:id="342" w:name="_Toc51581258"/>
      <w:bookmarkStart w:id="343" w:name="_Toc51581563"/>
      <w:bookmarkStart w:id="344" w:name="_Toc51665671"/>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338"/>
      <w:bookmarkEnd w:id="339"/>
      <w:bookmarkEnd w:id="340"/>
      <w:bookmarkEnd w:id="341"/>
      <w:bookmarkEnd w:id="342"/>
      <w:bookmarkEnd w:id="343"/>
      <w:bookmarkEnd w:id="344"/>
    </w:p>
    <w:p>
      <w:pPr>
        <w:pStyle w:val="Heading5"/>
        <w:rPr>
          <w:snapToGrid w:val="0"/>
        </w:rPr>
      </w:pPr>
      <w:bookmarkStart w:id="345" w:name="_Toc51665672"/>
      <w:r>
        <w:rPr>
          <w:rStyle w:val="CharSectno"/>
        </w:rPr>
        <w:t>59</w:t>
      </w:r>
      <w:r>
        <w:rPr>
          <w:snapToGrid w:val="0"/>
        </w:rPr>
        <w:t>.</w:t>
      </w:r>
      <w:r>
        <w:rPr>
          <w:snapToGrid w:val="0"/>
        </w:rPr>
        <w:tab/>
        <w:t>Terms used</w:t>
      </w:r>
      <w:bookmarkEnd w:id="345"/>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346" w:name="_Toc51665673"/>
      <w:r>
        <w:rPr>
          <w:rStyle w:val="CharSectno"/>
        </w:rPr>
        <w:t>60</w:t>
      </w:r>
      <w:r>
        <w:rPr>
          <w:snapToGrid w:val="0"/>
        </w:rPr>
        <w:t>.</w:t>
      </w:r>
      <w:r>
        <w:rPr>
          <w:snapToGrid w:val="0"/>
        </w:rPr>
        <w:tab/>
        <w:t>Prescription of reciprocating States and courts</w:t>
      </w:r>
      <w:bookmarkEnd w:id="346"/>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347" w:name="_Toc51665674"/>
      <w:r>
        <w:rPr>
          <w:rStyle w:val="CharSectno"/>
        </w:rPr>
        <w:t>61</w:t>
      </w:r>
      <w:r>
        <w:rPr>
          <w:snapToGrid w:val="0"/>
        </w:rPr>
        <w:t>.</w:t>
      </w:r>
      <w:r>
        <w:rPr>
          <w:snapToGrid w:val="0"/>
        </w:rPr>
        <w:tab/>
        <w:t>Enforcement of interstate fine against body corporate</w:t>
      </w:r>
      <w:bookmarkEnd w:id="347"/>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348" w:name="_Toc51665675"/>
      <w:r>
        <w:rPr>
          <w:rStyle w:val="CharSectno"/>
        </w:rPr>
        <w:t>62</w:t>
      </w:r>
      <w:r>
        <w:rPr>
          <w:snapToGrid w:val="0"/>
        </w:rPr>
        <w:t>.</w:t>
      </w:r>
      <w:r>
        <w:rPr>
          <w:snapToGrid w:val="0"/>
        </w:rPr>
        <w:tab/>
        <w:t>Effect of enforcement by reciprocating court</w:t>
      </w:r>
      <w:bookmarkEnd w:id="34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349" w:name="_Toc51245621"/>
      <w:bookmarkStart w:id="350" w:name="_Toc51317234"/>
      <w:bookmarkStart w:id="351" w:name="_Toc51319870"/>
      <w:bookmarkStart w:id="352" w:name="_Toc51320323"/>
      <w:bookmarkStart w:id="353" w:name="_Toc51581263"/>
      <w:bookmarkStart w:id="354" w:name="_Toc51581568"/>
      <w:bookmarkStart w:id="355" w:name="_Toc51665676"/>
      <w:r>
        <w:rPr>
          <w:rStyle w:val="CharPartNo"/>
        </w:rPr>
        <w:t>Part 7</w:t>
      </w:r>
      <w:r>
        <w:t> — </w:t>
      </w:r>
      <w:r>
        <w:rPr>
          <w:rStyle w:val="CharPartText"/>
        </w:rPr>
        <w:t>Enforcement warrants</w:t>
      </w:r>
      <w:bookmarkEnd w:id="349"/>
      <w:bookmarkEnd w:id="350"/>
      <w:bookmarkEnd w:id="351"/>
      <w:bookmarkEnd w:id="352"/>
      <w:bookmarkEnd w:id="353"/>
      <w:bookmarkEnd w:id="354"/>
      <w:bookmarkEnd w:id="355"/>
    </w:p>
    <w:p>
      <w:pPr>
        <w:pStyle w:val="Footnoteheading"/>
        <w:tabs>
          <w:tab w:val="left" w:pos="851"/>
        </w:tabs>
      </w:pPr>
      <w:r>
        <w:tab/>
        <w:t>[Heading amended: No. 48 of 2012 s. 43.]</w:t>
      </w:r>
    </w:p>
    <w:p>
      <w:pPr>
        <w:pStyle w:val="Heading3"/>
        <w:spacing w:before="260"/>
        <w:rPr>
          <w:snapToGrid w:val="0"/>
        </w:rPr>
      </w:pPr>
      <w:bookmarkStart w:id="356" w:name="_Toc51245622"/>
      <w:bookmarkStart w:id="357" w:name="_Toc51317235"/>
      <w:bookmarkStart w:id="358" w:name="_Toc51319871"/>
      <w:bookmarkStart w:id="359" w:name="_Toc51320324"/>
      <w:bookmarkStart w:id="360" w:name="_Toc51581264"/>
      <w:bookmarkStart w:id="361" w:name="_Toc51581569"/>
      <w:bookmarkStart w:id="362" w:name="_Toc51665677"/>
      <w:r>
        <w:rPr>
          <w:rStyle w:val="CharDivNo"/>
        </w:rPr>
        <w:t>Division 1</w:t>
      </w:r>
      <w:r>
        <w:rPr>
          <w:snapToGrid w:val="0"/>
        </w:rPr>
        <w:t> — </w:t>
      </w:r>
      <w:r>
        <w:rPr>
          <w:rStyle w:val="CharDivText"/>
        </w:rPr>
        <w:t>Preliminary</w:t>
      </w:r>
      <w:bookmarkEnd w:id="356"/>
      <w:bookmarkEnd w:id="357"/>
      <w:bookmarkEnd w:id="358"/>
      <w:bookmarkEnd w:id="359"/>
      <w:bookmarkEnd w:id="360"/>
      <w:bookmarkEnd w:id="361"/>
      <w:bookmarkEnd w:id="362"/>
    </w:p>
    <w:p>
      <w:pPr>
        <w:pStyle w:val="Heading5"/>
        <w:spacing w:before="240"/>
        <w:rPr>
          <w:snapToGrid w:val="0"/>
        </w:rPr>
      </w:pPr>
      <w:bookmarkStart w:id="363" w:name="_Toc51665678"/>
      <w:r>
        <w:rPr>
          <w:rStyle w:val="CharSectno"/>
        </w:rPr>
        <w:t>63</w:t>
      </w:r>
      <w:r>
        <w:rPr>
          <w:snapToGrid w:val="0"/>
        </w:rPr>
        <w:t>.</w:t>
      </w:r>
      <w:r>
        <w:rPr>
          <w:snapToGrid w:val="0"/>
        </w:rPr>
        <w:tab/>
        <w:t>Terms used</w:t>
      </w:r>
      <w:bookmarkEnd w:id="363"/>
    </w:p>
    <w:p>
      <w:pPr>
        <w:pStyle w:val="Subsection"/>
        <w:spacing w:before="180"/>
        <w:rPr>
          <w:snapToGrid w:val="0"/>
        </w:rPr>
      </w:pPr>
      <w:r>
        <w:tab/>
        <w:t>(1)</w:t>
      </w:r>
      <w:r>
        <w:tab/>
        <w:t>In this</w:t>
      </w:r>
      <w:r>
        <w:rPr>
          <w:snapToGrid w:val="0"/>
        </w:rPr>
        <w:t xml:space="preserve"> Part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bank account garnishee order</w:t>
      </w:r>
      <w:r>
        <w:t xml:space="preserve"> has the meaning given in section 95M(2)(b);</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earnings</w:t>
      </w:r>
      <w:r>
        <w:t xml:space="preserve"> — </w:t>
      </w:r>
    </w:p>
    <w:p>
      <w:pPr>
        <w:pStyle w:val="Defpara"/>
      </w:pPr>
      <w:r>
        <w:tab/>
        <w:t>(a)</w:t>
      </w:r>
      <w:r>
        <w:tab/>
        <w:t xml:space="preserve">has the meaning given in the </w:t>
      </w:r>
      <w:r>
        <w:rPr>
          <w:i/>
        </w:rPr>
        <w:t>Civil Judgments Enforcement Act 2004</w:t>
      </w:r>
      <w:r>
        <w:t xml:space="preserve"> section 3; but</w:t>
      </w:r>
    </w:p>
    <w:p>
      <w:pPr>
        <w:pStyle w:val="Defpara"/>
      </w:pPr>
      <w:r>
        <w:tab/>
        <w:t>(b)</w:t>
      </w:r>
      <w:r>
        <w:tab/>
        <w:t>does not include amounts of a kind prescribed by the regulations for the purposes of this paragraph;</w:t>
      </w:r>
    </w:p>
    <w:p>
      <w:pPr>
        <w:pStyle w:val="Defstart"/>
      </w:pPr>
      <w:r>
        <w:rPr>
          <w:b/>
        </w:rPr>
        <w:tab/>
      </w:r>
      <w:r>
        <w:rPr>
          <w:rStyle w:val="CharDefText"/>
        </w:rPr>
        <w:t>enforcement fees</w:t>
      </w:r>
      <w:r>
        <w:t xml:space="preserve"> means prescribed fees imposed in connection with proceedings under this Part;</w:t>
      </w:r>
    </w:p>
    <w:p>
      <w:pPr>
        <w:pStyle w:val="Defstart"/>
      </w:pPr>
      <w:r>
        <w:tab/>
      </w:r>
      <w:r>
        <w:rPr>
          <w:rStyle w:val="CharDefText"/>
        </w:rPr>
        <w:t>garnishee order</w:t>
      </w:r>
      <w:r>
        <w:t xml:space="preserve"> has the meaning given in section 95M(2);</w:t>
      </w:r>
    </w:p>
    <w:p>
      <w:pPr>
        <w:pStyle w:val="Defstart"/>
      </w:pPr>
      <w:r>
        <w:tab/>
      </w:r>
      <w:r>
        <w:rPr>
          <w:rStyle w:val="CharDefText"/>
        </w:rPr>
        <w:t>garnishee order on earnings</w:t>
      </w:r>
      <w:r>
        <w:t xml:space="preserve"> has the meaning given in section 95M(2)(a);</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multiple payments garnishee order</w:t>
      </w:r>
      <w:r>
        <w:t xml:space="preserve"> has the meaning given in section 95V(2)(b);</w:t>
      </w:r>
    </w:p>
    <w:p>
      <w:pPr>
        <w:pStyle w:val="Defstart"/>
      </w:pPr>
      <w:r>
        <w:tab/>
      </w:r>
      <w:r>
        <w:rPr>
          <w:rStyle w:val="CharDefText"/>
        </w:rPr>
        <w:t>owner</w:t>
      </w:r>
      <w:r>
        <w:t>, in relation to a vehicle, means a person entitled to immediate possession of the vehicle;</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tab/>
      </w:r>
      <w:r>
        <w:rPr>
          <w:rStyle w:val="CharDefText"/>
        </w:rPr>
        <w:t>protected bank account amount</w:t>
      </w:r>
      <w:r>
        <w:t xml:space="preserve"> means the amount prescribed by or determined under regulations made for the purposes of section 95ZB;</w:t>
      </w:r>
    </w:p>
    <w:p>
      <w:pPr>
        <w:pStyle w:val="Defstart"/>
      </w:pPr>
      <w:r>
        <w:tab/>
      </w:r>
      <w:r>
        <w:rPr>
          <w:rStyle w:val="CharDefText"/>
        </w:rPr>
        <w:t>protected earnings amount</w:t>
      </w:r>
      <w:r>
        <w:t>, for a pay period, means the amount determined under regulations made for the purposes of section 95U(1);</w:t>
      </w:r>
    </w:p>
    <w:p>
      <w:pPr>
        <w:pStyle w:val="Defstart"/>
      </w:pPr>
      <w:r>
        <w:tab/>
      </w:r>
      <w:r>
        <w:rPr>
          <w:rStyle w:val="CharDefText"/>
        </w:rPr>
        <w:t>relevant payer</w:t>
      </w:r>
      <w:r>
        <w:t>, in relation to a garnishee order on earnings, has the meaning given in section 95O(1);</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tab/>
      </w:r>
      <w:r>
        <w:rPr>
          <w:rStyle w:val="CharDefText"/>
        </w:rPr>
        <w:t>single payment garnishee order</w:t>
      </w:r>
      <w:r>
        <w:t xml:space="preserve"> has the meaning given in section 95V(2)(a);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pPr>
      <w:r>
        <w:tab/>
        <w:t>(3)</w:t>
      </w:r>
      <w:r>
        <w:tab/>
        <w:t xml:space="preserve">A reference in this Part to a vehicle of a debtor is a reference to — </w:t>
      </w:r>
    </w:p>
    <w:p>
      <w:pPr>
        <w:pStyle w:val="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Indenta"/>
      </w:pPr>
      <w:r>
        <w:tab/>
        <w:t>(b)</w:t>
      </w:r>
      <w:r>
        <w:tab/>
        <w:t xml:space="preserve">a vehicle that is not licensed under the </w:t>
      </w:r>
      <w:r>
        <w:rPr>
          <w:i/>
        </w:rPr>
        <w:t>Road Traffic (Vehicles) Act 2012</w:t>
      </w:r>
      <w:r>
        <w:t xml:space="preserve"> of which the debtor is an owner.</w:t>
      </w:r>
    </w:p>
    <w:p>
      <w:pPr>
        <w:pStyle w:val="Footnotesection"/>
      </w:pPr>
      <w:r>
        <w:tab/>
        <w:t>[Section 63 amended: No. 14 of 2003 s. 8; No. 59 of 2004 s. 98; No. 48 of 2012 s. 28; No. 25 of 2020 s. 65.]</w:t>
      </w:r>
    </w:p>
    <w:p>
      <w:pPr>
        <w:pStyle w:val="Ednotesection"/>
      </w:pPr>
      <w:r>
        <w:t>[</w:t>
      </w:r>
      <w:r>
        <w:rPr>
          <w:b/>
        </w:rPr>
        <w:t>64.</w:t>
      </w:r>
      <w:r>
        <w:tab/>
        <w:t>Deleted: No. 49 of 1997 s. 5.]</w:t>
      </w:r>
    </w:p>
    <w:p>
      <w:pPr>
        <w:pStyle w:val="Heading5"/>
      </w:pPr>
      <w:bookmarkStart w:id="364" w:name="_Toc51665679"/>
      <w:r>
        <w:rPr>
          <w:rStyle w:val="CharSectno"/>
        </w:rPr>
        <w:t>65</w:t>
      </w:r>
      <w:r>
        <w:t>.</w:t>
      </w:r>
      <w:r>
        <w:tab/>
        <w:t>Warrant has indefinite life</w:t>
      </w:r>
      <w:bookmarkEnd w:id="364"/>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p>
    <w:p>
      <w:pPr>
        <w:pStyle w:val="Ednotepara"/>
        <w:rPr>
          <w:snapToGrid w:val="0"/>
        </w:rPr>
      </w:pPr>
      <w:r>
        <w:tab/>
        <w:t>[(c)</w:t>
      </w:r>
      <w:r>
        <w:tab/>
        <w:t>deleted]</w:t>
      </w:r>
    </w:p>
    <w:p>
      <w:pPr>
        <w:pStyle w:val="Subsection"/>
        <w:spacing w:before="180"/>
      </w:pPr>
      <w:r>
        <w:tab/>
      </w:r>
      <w:r>
        <w:tab/>
        <w:t>whichever happens first.</w:t>
      </w:r>
    </w:p>
    <w:p>
      <w:pPr>
        <w:pStyle w:val="Footnotesection"/>
      </w:pPr>
      <w:r>
        <w:tab/>
        <w:t>[Section 65 inserted: No. 48 of 2012 s. 29; amended: No. 25 of 2020 s. 66.]</w:t>
      </w:r>
    </w:p>
    <w:p>
      <w:pPr>
        <w:pStyle w:val="Heading3"/>
        <w:rPr>
          <w:snapToGrid w:val="0"/>
        </w:rPr>
      </w:pPr>
      <w:bookmarkStart w:id="365" w:name="_Toc51245625"/>
      <w:bookmarkStart w:id="366" w:name="_Toc51317238"/>
      <w:bookmarkStart w:id="367" w:name="_Toc51319874"/>
      <w:bookmarkStart w:id="368" w:name="_Toc51320327"/>
      <w:bookmarkStart w:id="369" w:name="_Toc51581267"/>
      <w:bookmarkStart w:id="370" w:name="_Toc51581572"/>
      <w:bookmarkStart w:id="371" w:name="_Toc51665680"/>
      <w:r>
        <w:rPr>
          <w:rStyle w:val="CharDivNo"/>
        </w:rPr>
        <w:t>Division 2</w:t>
      </w:r>
      <w:r>
        <w:rPr>
          <w:snapToGrid w:val="0"/>
        </w:rPr>
        <w:t> — </w:t>
      </w:r>
      <w:r>
        <w:rPr>
          <w:rStyle w:val="CharDivText"/>
        </w:rPr>
        <w:t>General functions of the Sheriff</w:t>
      </w:r>
      <w:bookmarkEnd w:id="365"/>
      <w:bookmarkEnd w:id="366"/>
      <w:bookmarkEnd w:id="367"/>
      <w:bookmarkEnd w:id="368"/>
      <w:bookmarkEnd w:id="369"/>
      <w:bookmarkEnd w:id="370"/>
      <w:bookmarkEnd w:id="371"/>
    </w:p>
    <w:p>
      <w:pPr>
        <w:pStyle w:val="Heading5"/>
        <w:spacing w:before="240"/>
      </w:pPr>
      <w:bookmarkStart w:id="372" w:name="_Toc51665681"/>
      <w:r>
        <w:rPr>
          <w:rStyle w:val="CharSectno"/>
        </w:rPr>
        <w:t>66</w:t>
      </w:r>
      <w:r>
        <w:t>.</w:t>
      </w:r>
      <w:r>
        <w:tab/>
        <w:t>Sheriff may delegate</w:t>
      </w:r>
      <w:bookmarkEnd w:id="372"/>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373" w:name="_Toc51665682"/>
      <w:r>
        <w:rPr>
          <w:rStyle w:val="CharSectno"/>
        </w:rPr>
        <w:t>67</w:t>
      </w:r>
      <w:r>
        <w:rPr>
          <w:snapToGrid w:val="0"/>
        </w:rPr>
        <w:t>.</w:t>
      </w:r>
      <w:r>
        <w:rPr>
          <w:snapToGrid w:val="0"/>
        </w:rPr>
        <w:tab/>
        <w:t>Police assistance may be requested</w:t>
      </w:r>
      <w:bookmarkEnd w:id="373"/>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374" w:name="_Toc51665683"/>
      <w:r>
        <w:rPr>
          <w:rStyle w:val="CharSectno"/>
        </w:rPr>
        <w:t>68</w:t>
      </w:r>
      <w:r>
        <w:rPr>
          <w:snapToGrid w:val="0"/>
        </w:rPr>
        <w:t>.</w:t>
      </w:r>
      <w:r>
        <w:rPr>
          <w:snapToGrid w:val="0"/>
        </w:rPr>
        <w:tab/>
        <w:t>Sheriff to note time of receipt of warrant</w:t>
      </w:r>
      <w:bookmarkEnd w:id="374"/>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375" w:name="_Toc51665684"/>
      <w:r>
        <w:rPr>
          <w:rStyle w:val="CharSectno"/>
        </w:rPr>
        <w:t>68A</w:t>
      </w:r>
      <w:r>
        <w:t>.</w:t>
      </w:r>
      <w:r>
        <w:tab/>
        <w:t>Execution may be stayed</w:t>
      </w:r>
      <w:bookmarkEnd w:id="375"/>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(3A)</w:t>
      </w:r>
      <w:r>
        <w:tab/>
        <w:t xml:space="preserve">If, when an arrangement under subsection (1) is entered into, a garnishee order has been issued to a relevant payer or bank under the warrant and has not been cancelled — </w:t>
      </w:r>
    </w:p>
    <w:p>
      <w:pPr>
        <w:pStyle w:val="Indenta"/>
      </w:pPr>
      <w:r>
        <w:tab/>
        <w:t>(a)</w:t>
      </w:r>
      <w:r>
        <w:tab/>
        <w:t>the Sheriff must serve a notice on the relevant payer or bank stating that no action is to be taken under the garnishee order until further notice; and</w:t>
      </w:r>
    </w:p>
    <w:p>
      <w:pPr>
        <w:pStyle w:val="Indenta"/>
      </w:pPr>
      <w:r>
        <w:tab/>
        <w:t>(b)</w:t>
      </w:r>
      <w:r>
        <w:tab/>
        <w:t>for the purposes of Division 6B, the garnishee order is taken not to be in force during the period beginning when the notice is served and ending when the Sheriff serves a notice on the relevant payer or bank under subsection (4A).</w:t>
      </w:r>
    </w:p>
    <w:p>
      <w:pPr>
        <w:pStyle w:val="Subsection"/>
      </w:pPr>
      <w:r>
        <w:tab/>
        <w:t>(4)</w:t>
      </w:r>
      <w:r>
        <w:tab/>
        <w:t>The Sheriff may at any time cancel an arrangement entered into under subsection (1) and proceed with executing the warrant.</w:t>
      </w:r>
    </w:p>
    <w:p>
      <w:pPr>
        <w:pStyle w:val="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Ednotesubsection"/>
        <w:tabs>
          <w:tab w:val="left" w:pos="1276"/>
        </w:tabs>
      </w:pPr>
      <w:r>
        <w:tab/>
        <w:t>[(5A), (5B)</w:t>
      </w:r>
      <w:r>
        <w:tab/>
        <w:t>deleted]</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 No. 25 of 2020 s. 67.]</w:t>
      </w:r>
    </w:p>
    <w:p>
      <w:pPr>
        <w:pStyle w:val="Heading5"/>
      </w:pPr>
      <w:bookmarkStart w:id="376" w:name="_Toc51665685"/>
      <w:r>
        <w:rPr>
          <w:rStyle w:val="CharSectno"/>
        </w:rPr>
        <w:t>68B</w:t>
      </w:r>
      <w:r>
        <w:t>.</w:t>
      </w:r>
      <w:r>
        <w:tab/>
        <w:t>Notice of right to apply under s. 101AA to be given for warrants issued under Part 3</w:t>
      </w:r>
      <w:bookmarkEnd w:id="376"/>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(aa)</w:t>
      </w:r>
      <w:r>
        <w:tab/>
        <w:t>serving a notice in accordance with section 78;</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Defpara"/>
      </w:pPr>
      <w:r>
        <w:tab/>
        <w:t>(e)</w:t>
      </w:r>
      <w:r>
        <w:tab/>
        <w:t>issuing a garnishee order in accordance with section 95O or 95V.</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 or</w:t>
      </w:r>
    </w:p>
    <w:p>
      <w:pPr>
        <w:pStyle w:val="Indenta"/>
      </w:pPr>
      <w:r>
        <w:tab/>
        <w:t>(e)</w:t>
      </w:r>
      <w:r>
        <w:tab/>
        <w:t>if the first enforcement action is the issue of a garnishee order — by serving it on the debtor with the copy of the garnishee order required to be served under section 95O(4) or 95V(5).</w:t>
      </w:r>
    </w:p>
    <w:p>
      <w:pPr>
        <w:pStyle w:val="Footnotesection"/>
      </w:pPr>
      <w:r>
        <w:tab/>
        <w:t>[Section 68B inserted: No. 48 of 2012 s. 31; amended: No. 25 of 2020 s. 68.]</w:t>
      </w:r>
    </w:p>
    <w:p>
      <w:pPr>
        <w:pStyle w:val="Heading5"/>
        <w:rPr>
          <w:snapToGrid w:val="0"/>
        </w:rPr>
      </w:pPr>
      <w:bookmarkStart w:id="377" w:name="_Toc51665686"/>
      <w:r>
        <w:rPr>
          <w:rStyle w:val="CharSectno"/>
        </w:rPr>
        <w:t>69</w:t>
      </w:r>
      <w:r>
        <w:rPr>
          <w:snapToGrid w:val="0"/>
        </w:rPr>
        <w:t>.</w:t>
      </w:r>
      <w:r>
        <w:rPr>
          <w:snapToGrid w:val="0"/>
        </w:rPr>
        <w:tab/>
        <w:t>Examination in aid of seizure or exercise of additional powers relating to vehicles</w:t>
      </w:r>
      <w:bookmarkEnd w:id="377"/>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 No. 25 of 2020 s. 89.]</w:t>
      </w:r>
    </w:p>
    <w:p>
      <w:pPr>
        <w:pStyle w:val="Heading5"/>
      </w:pPr>
      <w:bookmarkStart w:id="378" w:name="_Toc51665687"/>
      <w:r>
        <w:rPr>
          <w:rStyle w:val="CharSectno"/>
        </w:rPr>
        <w:t>70</w:t>
      </w:r>
      <w:r>
        <w:t>.</w:t>
      </w:r>
      <w:r>
        <w:tab/>
        <w:t>Determining debtor’s interest in property</w:t>
      </w:r>
      <w:bookmarkEnd w:id="378"/>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379" w:name="_Toc51665688"/>
      <w:r>
        <w:rPr>
          <w:rStyle w:val="CharSectno"/>
        </w:rPr>
        <w:t>70A</w:t>
      </w:r>
      <w:r>
        <w:t>.</w:t>
      </w:r>
      <w:r>
        <w:tab/>
        <w:t>Personal property to be sold in preference to real property</w:t>
      </w:r>
      <w:bookmarkEnd w:id="379"/>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380" w:name="_Toc51665689"/>
      <w:r>
        <w:rPr>
          <w:rStyle w:val="CharSectno"/>
        </w:rPr>
        <w:t>70B</w:t>
      </w:r>
      <w:r>
        <w:t>.</w:t>
      </w:r>
      <w:r>
        <w:tab/>
        <w:t>Only sufficient property to be sold</w:t>
      </w:r>
      <w:bookmarkEnd w:id="380"/>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381" w:name="_Toc51665690"/>
      <w:r>
        <w:rPr>
          <w:rStyle w:val="CharSectno"/>
        </w:rPr>
        <w:t>70C</w:t>
      </w:r>
      <w:r>
        <w:t>.</w:t>
      </w:r>
      <w:r>
        <w:tab/>
        <w:t>Seized property, Sheriff to determine fair value of</w:t>
      </w:r>
      <w:bookmarkEnd w:id="381"/>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382" w:name="_Toc51665691"/>
      <w:r>
        <w:rPr>
          <w:rStyle w:val="CharSectno"/>
        </w:rPr>
        <w:t>70D</w:t>
      </w:r>
      <w:r>
        <w:t>.</w:t>
      </w:r>
      <w:r>
        <w:tab/>
        <w:t>Interests of others</w:t>
      </w:r>
      <w:bookmarkEnd w:id="382"/>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383" w:name="_Toc51665692"/>
      <w:r>
        <w:rPr>
          <w:rStyle w:val="CharSectno"/>
        </w:rPr>
        <w:t>70E</w:t>
      </w:r>
      <w:r>
        <w:t>.</w:t>
      </w:r>
      <w:r>
        <w:tab/>
        <w:t>Sale to be advertised</w:t>
      </w:r>
      <w:bookmarkEnd w:id="383"/>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384" w:name="_Toc51245638"/>
      <w:bookmarkStart w:id="385" w:name="_Toc51317251"/>
      <w:bookmarkStart w:id="386" w:name="_Toc51319887"/>
      <w:bookmarkStart w:id="387" w:name="_Toc51320340"/>
      <w:bookmarkStart w:id="388" w:name="_Toc51581280"/>
      <w:bookmarkStart w:id="389" w:name="_Toc51581585"/>
      <w:bookmarkStart w:id="390" w:name="_Toc51665693"/>
      <w:r>
        <w:rPr>
          <w:rStyle w:val="CharDivNo"/>
        </w:rPr>
        <w:t>Division 3</w:t>
      </w:r>
      <w:r>
        <w:rPr>
          <w:snapToGrid w:val="0"/>
        </w:rPr>
        <w:t> — </w:t>
      </w:r>
      <w:r>
        <w:rPr>
          <w:rStyle w:val="CharDivText"/>
        </w:rPr>
        <w:t>Seizure and sale of personal property</w:t>
      </w:r>
      <w:bookmarkEnd w:id="384"/>
      <w:bookmarkEnd w:id="385"/>
      <w:bookmarkEnd w:id="386"/>
      <w:bookmarkEnd w:id="387"/>
      <w:bookmarkEnd w:id="388"/>
      <w:bookmarkEnd w:id="389"/>
      <w:bookmarkEnd w:id="390"/>
    </w:p>
    <w:p>
      <w:pPr>
        <w:pStyle w:val="Heading5"/>
      </w:pPr>
      <w:bookmarkStart w:id="391" w:name="_Toc51665694"/>
      <w:r>
        <w:rPr>
          <w:rStyle w:val="CharSectno"/>
        </w:rPr>
        <w:t>71</w:t>
      </w:r>
      <w:r>
        <w:t>.</w:t>
      </w:r>
      <w:r>
        <w:tab/>
        <w:t>Enforcement warrant, effect of</w:t>
      </w:r>
      <w:bookmarkEnd w:id="391"/>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392" w:name="_Toc51665695"/>
      <w:r>
        <w:rPr>
          <w:rStyle w:val="CharSectno"/>
        </w:rPr>
        <w:t>74</w:t>
      </w:r>
      <w:r>
        <w:t>.</w:t>
      </w:r>
      <w:r>
        <w:tab/>
        <w:t>Seizing personal property, powers enabling</w:t>
      </w:r>
      <w:bookmarkEnd w:id="392"/>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393" w:name="_Toc51665696"/>
      <w:r>
        <w:rPr>
          <w:rStyle w:val="CharSectno"/>
        </w:rPr>
        <w:t>75</w:t>
      </w:r>
      <w:r>
        <w:t>.</w:t>
      </w:r>
      <w:r>
        <w:tab/>
        <w:t>Property that cannot be seized and sold</w:t>
      </w:r>
      <w:bookmarkEnd w:id="393"/>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394" w:name="_Toc51665697"/>
      <w:r>
        <w:rPr>
          <w:rStyle w:val="CharSectno"/>
        </w:rPr>
        <w:t>76</w:t>
      </w:r>
      <w:r>
        <w:rPr>
          <w:snapToGrid w:val="0"/>
        </w:rPr>
        <w:t>.</w:t>
      </w:r>
      <w:r>
        <w:rPr>
          <w:snapToGrid w:val="0"/>
        </w:rPr>
        <w:tab/>
        <w:t>Seizure of documents</w:t>
      </w:r>
      <w:bookmarkEnd w:id="394"/>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395" w:name="_Toc51665698"/>
      <w:r>
        <w:rPr>
          <w:rStyle w:val="CharSectno"/>
        </w:rPr>
        <w:t>77</w:t>
      </w:r>
      <w:r>
        <w:rPr>
          <w:snapToGrid w:val="0"/>
        </w:rPr>
        <w:t>.</w:t>
      </w:r>
      <w:r>
        <w:rPr>
          <w:snapToGrid w:val="0"/>
        </w:rPr>
        <w:tab/>
        <w:t>Seizure of cheques etc.</w:t>
      </w:r>
      <w:bookmarkEnd w:id="39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396" w:name="_Toc51665699"/>
      <w:r>
        <w:rPr>
          <w:rStyle w:val="CharSectno"/>
        </w:rPr>
        <w:t>78</w:t>
      </w:r>
      <w:r>
        <w:rPr>
          <w:snapToGrid w:val="0"/>
        </w:rPr>
        <w:t>.</w:t>
      </w:r>
      <w:r>
        <w:rPr>
          <w:snapToGrid w:val="0"/>
        </w:rPr>
        <w:tab/>
        <w:t>Debts due to debtor to be paid to Sheriff</w:t>
      </w:r>
      <w:bookmarkEnd w:id="39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397" w:name="_Toc51665700"/>
      <w:r>
        <w:rPr>
          <w:rStyle w:val="CharSectno"/>
        </w:rPr>
        <w:t>80</w:t>
      </w:r>
      <w:r>
        <w:rPr>
          <w:snapToGrid w:val="0"/>
        </w:rPr>
        <w:t>.</w:t>
      </w:r>
      <w:r>
        <w:rPr>
          <w:snapToGrid w:val="0"/>
        </w:rPr>
        <w:tab/>
        <w:t>Notice of seizure</w:t>
      </w:r>
      <w:bookmarkEnd w:id="397"/>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398" w:name="_Toc51665701"/>
      <w:r>
        <w:rPr>
          <w:rStyle w:val="CharSectno"/>
        </w:rPr>
        <w:t>81</w:t>
      </w:r>
      <w:r>
        <w:t>.</w:t>
      </w:r>
      <w:r>
        <w:tab/>
        <w:t>Custody of seized property</w:t>
      </w:r>
      <w:bookmarkEnd w:id="39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399" w:name="_Toc51665702"/>
      <w:r>
        <w:rPr>
          <w:rStyle w:val="CharSectno"/>
        </w:rPr>
        <w:t>85</w:t>
      </w:r>
      <w:r>
        <w:rPr>
          <w:snapToGrid w:val="0"/>
        </w:rPr>
        <w:t>.</w:t>
      </w:r>
      <w:r>
        <w:rPr>
          <w:snapToGrid w:val="0"/>
        </w:rPr>
        <w:tab/>
        <w:t>Manner and place of sale</w:t>
      </w:r>
      <w:bookmarkEnd w:id="39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400" w:name="_Toc51665703"/>
      <w:r>
        <w:rPr>
          <w:rStyle w:val="CharSectno"/>
        </w:rPr>
        <w:t>86</w:t>
      </w:r>
      <w:r>
        <w:rPr>
          <w:snapToGrid w:val="0"/>
        </w:rPr>
        <w:t>.</w:t>
      </w:r>
      <w:r>
        <w:rPr>
          <w:snapToGrid w:val="0"/>
        </w:rPr>
        <w:tab/>
        <w:t>Sale price</w:t>
      </w:r>
      <w:bookmarkEnd w:id="40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401" w:name="_Toc51665704"/>
      <w:r>
        <w:rPr>
          <w:rStyle w:val="CharSectno"/>
        </w:rPr>
        <w:t>87</w:t>
      </w:r>
      <w:r>
        <w:t>.</w:t>
      </w:r>
      <w:r>
        <w:rPr>
          <w:rStyle w:val="CharSectno"/>
        </w:rPr>
        <w:tab/>
      </w:r>
      <w:r>
        <w:t>Sale passes good title: protection of Sheriff</w:t>
      </w:r>
      <w:bookmarkEnd w:id="401"/>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402" w:name="_Toc51245650"/>
      <w:bookmarkStart w:id="403" w:name="_Toc51317263"/>
      <w:bookmarkStart w:id="404" w:name="_Toc51319899"/>
      <w:bookmarkStart w:id="405" w:name="_Toc51320352"/>
      <w:bookmarkStart w:id="406" w:name="_Toc51581292"/>
      <w:bookmarkStart w:id="407" w:name="_Toc51581597"/>
      <w:bookmarkStart w:id="408" w:name="_Toc51665705"/>
      <w:r>
        <w:rPr>
          <w:rStyle w:val="CharDivNo"/>
        </w:rPr>
        <w:t>Division 4</w:t>
      </w:r>
      <w:r>
        <w:rPr>
          <w:snapToGrid w:val="0"/>
        </w:rPr>
        <w:t> — </w:t>
      </w:r>
      <w:r>
        <w:rPr>
          <w:rStyle w:val="CharDivText"/>
        </w:rPr>
        <w:t>Seizure and sale of land</w:t>
      </w:r>
      <w:bookmarkEnd w:id="402"/>
      <w:bookmarkEnd w:id="403"/>
      <w:bookmarkEnd w:id="404"/>
      <w:bookmarkEnd w:id="405"/>
      <w:bookmarkEnd w:id="406"/>
      <w:bookmarkEnd w:id="407"/>
      <w:bookmarkEnd w:id="408"/>
    </w:p>
    <w:p>
      <w:pPr>
        <w:pStyle w:val="Heading5"/>
        <w:keepNext w:val="0"/>
      </w:pPr>
      <w:bookmarkStart w:id="409" w:name="_Toc51665706"/>
      <w:r>
        <w:rPr>
          <w:rStyle w:val="CharSectno"/>
        </w:rPr>
        <w:t>88</w:t>
      </w:r>
      <w:r>
        <w:t>.</w:t>
      </w:r>
      <w:r>
        <w:tab/>
        <w:t>Warrant, effect of</w:t>
      </w:r>
      <w:bookmarkEnd w:id="409"/>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410" w:name="_Toc51665707"/>
      <w:r>
        <w:rPr>
          <w:rStyle w:val="CharSectno"/>
        </w:rPr>
        <w:t>89</w:t>
      </w:r>
      <w:r>
        <w:rPr>
          <w:snapToGrid w:val="0"/>
        </w:rPr>
        <w:t>.</w:t>
      </w:r>
      <w:r>
        <w:rPr>
          <w:snapToGrid w:val="0"/>
        </w:rPr>
        <w:tab/>
        <w:t>Seizure: how effected</w:t>
      </w:r>
      <w:bookmarkEnd w:id="41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411" w:name="_Toc51665708"/>
      <w:r>
        <w:rPr>
          <w:rStyle w:val="CharSectno"/>
        </w:rPr>
        <w:t>90</w:t>
      </w:r>
      <w:r>
        <w:rPr>
          <w:snapToGrid w:val="0"/>
        </w:rPr>
        <w:t>.</w:t>
      </w:r>
      <w:r>
        <w:rPr>
          <w:snapToGrid w:val="0"/>
        </w:rPr>
        <w:tab/>
        <w:t>Cancelling memorials</w:t>
      </w:r>
      <w:bookmarkEnd w:id="41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412" w:name="_Toc51665709"/>
      <w:r>
        <w:rPr>
          <w:rStyle w:val="CharSectno"/>
        </w:rPr>
        <w:t>91</w:t>
      </w:r>
      <w:r>
        <w:t>.</w:t>
      </w:r>
      <w:r>
        <w:tab/>
        <w:t>Power of entry</w:t>
      </w:r>
      <w:bookmarkEnd w:id="412"/>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413" w:name="_Toc51665710"/>
      <w:r>
        <w:rPr>
          <w:rStyle w:val="CharSectno"/>
        </w:rPr>
        <w:t>91A</w:t>
      </w:r>
      <w:r>
        <w:t>.</w:t>
      </w:r>
      <w:r>
        <w:tab/>
        <w:t>Debtor may be permitted to sell or mortgage real property</w:t>
      </w:r>
      <w:bookmarkEnd w:id="413"/>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414" w:name="_Toc51665711"/>
      <w:r>
        <w:rPr>
          <w:rStyle w:val="CharSectno"/>
        </w:rPr>
        <w:t>91B</w:t>
      </w:r>
      <w:r>
        <w:t>.</w:t>
      </w:r>
      <w:r>
        <w:tab/>
        <w:t>Place and manner of sale</w:t>
      </w:r>
      <w:bookmarkEnd w:id="414"/>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415" w:name="_Toc51665712"/>
      <w:r>
        <w:rPr>
          <w:rStyle w:val="CharSectno"/>
        </w:rPr>
        <w:t>92</w:t>
      </w:r>
      <w:r>
        <w:rPr>
          <w:snapToGrid w:val="0"/>
        </w:rPr>
        <w:t>.</w:t>
      </w:r>
      <w:r>
        <w:rPr>
          <w:snapToGrid w:val="0"/>
        </w:rPr>
        <w:tab/>
        <w:t>Sale and transfer of land seized</w:t>
      </w:r>
      <w:bookmarkEnd w:id="415"/>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416" w:name="_Toc51245658"/>
      <w:bookmarkStart w:id="417" w:name="_Toc51317271"/>
      <w:bookmarkStart w:id="418" w:name="_Toc51319907"/>
      <w:bookmarkStart w:id="419" w:name="_Toc51320360"/>
      <w:bookmarkStart w:id="420" w:name="_Toc51581300"/>
      <w:bookmarkStart w:id="421" w:name="_Toc51581605"/>
      <w:bookmarkStart w:id="422" w:name="_Toc51665713"/>
      <w:r>
        <w:rPr>
          <w:rStyle w:val="CharDivNo"/>
        </w:rPr>
        <w:t>Division 5</w:t>
      </w:r>
      <w:r>
        <w:rPr>
          <w:snapToGrid w:val="0"/>
        </w:rPr>
        <w:t> — </w:t>
      </w:r>
      <w:r>
        <w:rPr>
          <w:rStyle w:val="CharDivText"/>
        </w:rPr>
        <w:t>Interpleader</w:t>
      </w:r>
      <w:bookmarkEnd w:id="416"/>
      <w:bookmarkEnd w:id="417"/>
      <w:bookmarkEnd w:id="418"/>
      <w:bookmarkEnd w:id="419"/>
      <w:bookmarkEnd w:id="420"/>
      <w:bookmarkEnd w:id="421"/>
      <w:bookmarkEnd w:id="422"/>
    </w:p>
    <w:p>
      <w:pPr>
        <w:pStyle w:val="Heading5"/>
        <w:rPr>
          <w:snapToGrid w:val="0"/>
        </w:rPr>
      </w:pPr>
      <w:bookmarkStart w:id="423" w:name="_Toc51665714"/>
      <w:r>
        <w:rPr>
          <w:rStyle w:val="CharSectno"/>
        </w:rPr>
        <w:t>93</w:t>
      </w:r>
      <w:r>
        <w:rPr>
          <w:snapToGrid w:val="0"/>
        </w:rPr>
        <w:t>.</w:t>
      </w:r>
      <w:r>
        <w:rPr>
          <w:snapToGrid w:val="0"/>
        </w:rPr>
        <w:tab/>
        <w:t>Making  claim to property seized</w:t>
      </w:r>
      <w:bookmarkEnd w:id="423"/>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424" w:name="_Toc51665715"/>
      <w:r>
        <w:rPr>
          <w:rStyle w:val="CharSectno"/>
        </w:rPr>
        <w:t>94</w:t>
      </w:r>
      <w:r>
        <w:rPr>
          <w:snapToGrid w:val="0"/>
        </w:rPr>
        <w:t>.</w:t>
      </w:r>
      <w:r>
        <w:rPr>
          <w:snapToGrid w:val="0"/>
        </w:rPr>
        <w:tab/>
        <w:t>Sheriff may admit or dispute claim</w:t>
      </w:r>
      <w:bookmarkEnd w:id="42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425" w:name="_Toc51245661"/>
      <w:bookmarkStart w:id="426" w:name="_Toc51317274"/>
      <w:bookmarkStart w:id="427" w:name="_Toc51319910"/>
      <w:bookmarkStart w:id="428" w:name="_Toc51320363"/>
      <w:bookmarkStart w:id="429" w:name="_Toc51581303"/>
      <w:bookmarkStart w:id="430" w:name="_Toc51581608"/>
      <w:bookmarkStart w:id="431" w:name="_Toc51665716"/>
      <w:r>
        <w:rPr>
          <w:rStyle w:val="CharDivNo"/>
        </w:rPr>
        <w:t>Division 6A</w:t>
      </w:r>
      <w:r>
        <w:t> — </w:t>
      </w:r>
      <w:r>
        <w:rPr>
          <w:rStyle w:val="CharDivText"/>
        </w:rPr>
        <w:t>Additional powers relating to vehicles</w:t>
      </w:r>
      <w:bookmarkEnd w:id="425"/>
      <w:bookmarkEnd w:id="426"/>
      <w:bookmarkEnd w:id="427"/>
      <w:bookmarkEnd w:id="428"/>
      <w:bookmarkEnd w:id="429"/>
      <w:bookmarkEnd w:id="430"/>
      <w:bookmarkEnd w:id="431"/>
    </w:p>
    <w:p>
      <w:pPr>
        <w:pStyle w:val="Footnoteheading"/>
      </w:pPr>
      <w:r>
        <w:tab/>
        <w:t>[Heading inserted: No. 48 of 2012 s. 34.]</w:t>
      </w:r>
    </w:p>
    <w:p>
      <w:pPr>
        <w:pStyle w:val="Heading4"/>
      </w:pPr>
      <w:bookmarkStart w:id="432" w:name="_Toc51245662"/>
      <w:bookmarkStart w:id="433" w:name="_Toc51317275"/>
      <w:bookmarkStart w:id="434" w:name="_Toc51319911"/>
      <w:bookmarkStart w:id="435" w:name="_Toc51320364"/>
      <w:bookmarkStart w:id="436" w:name="_Toc51581304"/>
      <w:bookmarkStart w:id="437" w:name="_Toc51581609"/>
      <w:bookmarkStart w:id="438" w:name="_Toc51665717"/>
      <w:r>
        <w:t>Subdivision 1 — General provisions</w:t>
      </w:r>
      <w:bookmarkEnd w:id="432"/>
      <w:bookmarkEnd w:id="433"/>
      <w:bookmarkEnd w:id="434"/>
      <w:bookmarkEnd w:id="435"/>
      <w:bookmarkEnd w:id="436"/>
      <w:bookmarkEnd w:id="437"/>
      <w:bookmarkEnd w:id="438"/>
    </w:p>
    <w:p>
      <w:pPr>
        <w:pStyle w:val="Footnoteheading"/>
      </w:pPr>
      <w:r>
        <w:tab/>
        <w:t>[Heading inserted: No. 48 of 2012 s. 34.]</w:t>
      </w:r>
    </w:p>
    <w:p>
      <w:pPr>
        <w:pStyle w:val="Heading5"/>
      </w:pPr>
      <w:bookmarkStart w:id="439" w:name="_Toc51665718"/>
      <w:r>
        <w:rPr>
          <w:rStyle w:val="CharSectno"/>
        </w:rPr>
        <w:t>95A</w:t>
      </w:r>
      <w:r>
        <w:t>.</w:t>
      </w:r>
      <w:r>
        <w:tab/>
        <w:t>Application</w:t>
      </w:r>
      <w:bookmarkEnd w:id="439"/>
    </w:p>
    <w:p>
      <w:pPr>
        <w:pStyle w:val="Subsection"/>
      </w:pPr>
      <w:r>
        <w:tab/>
      </w:r>
      <w:r>
        <w:tab/>
        <w:t>This Division applies to a warrant issued under Part 3 or 4.</w:t>
      </w:r>
    </w:p>
    <w:p>
      <w:pPr>
        <w:pStyle w:val="Footnotesection"/>
      </w:pPr>
      <w:r>
        <w:tab/>
        <w:t>[Section 95A inserted: No. 48 of 2012 s. 34.]</w:t>
      </w:r>
    </w:p>
    <w:p>
      <w:pPr>
        <w:pStyle w:val="Heading5"/>
      </w:pPr>
      <w:bookmarkStart w:id="440" w:name="_Toc51665719"/>
      <w:r>
        <w:rPr>
          <w:rStyle w:val="CharSectno"/>
        </w:rPr>
        <w:t>95B</w:t>
      </w:r>
      <w:r>
        <w:t>.</w:t>
      </w:r>
      <w:r>
        <w:tab/>
        <w:t>Warning notices</w:t>
      </w:r>
      <w:bookmarkEnd w:id="440"/>
    </w:p>
    <w:p>
      <w:pPr>
        <w:pStyle w:val="Subsection"/>
      </w:pPr>
      <w:r>
        <w:tab/>
        <w:t>(1)</w:t>
      </w:r>
      <w:r>
        <w:tab/>
        <w:t>A warrant issued in respect of a debtor entitles the Sheriff to affix a notice that complies with subsection (2) to one or more vehicles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 amended: No. 25 of 2020 s. 89.]</w:t>
      </w:r>
    </w:p>
    <w:p>
      <w:pPr>
        <w:pStyle w:val="Heading4"/>
        <w:spacing w:before="220"/>
      </w:pPr>
      <w:bookmarkStart w:id="441" w:name="_Toc51245665"/>
      <w:bookmarkStart w:id="442" w:name="_Toc51317278"/>
      <w:bookmarkStart w:id="443" w:name="_Toc51319914"/>
      <w:bookmarkStart w:id="444" w:name="_Toc51320367"/>
      <w:bookmarkStart w:id="445" w:name="_Toc51581307"/>
      <w:bookmarkStart w:id="446" w:name="_Toc51581612"/>
      <w:bookmarkStart w:id="447" w:name="_Toc51665720"/>
      <w:r>
        <w:t>Subdivision 2 — Immobilisation of vehicles</w:t>
      </w:r>
      <w:bookmarkEnd w:id="441"/>
      <w:bookmarkEnd w:id="442"/>
      <w:bookmarkEnd w:id="443"/>
      <w:bookmarkEnd w:id="444"/>
      <w:bookmarkEnd w:id="445"/>
      <w:bookmarkEnd w:id="446"/>
      <w:bookmarkEnd w:id="447"/>
    </w:p>
    <w:p>
      <w:pPr>
        <w:pStyle w:val="Footnoteheading"/>
      </w:pPr>
      <w:r>
        <w:tab/>
        <w:t>[Heading inserted: No. 48 of 2012 s. 34.]</w:t>
      </w:r>
    </w:p>
    <w:p>
      <w:pPr>
        <w:pStyle w:val="Heading5"/>
      </w:pPr>
      <w:bookmarkStart w:id="448" w:name="_Toc51665721"/>
      <w:r>
        <w:rPr>
          <w:rStyle w:val="CharSectno"/>
        </w:rPr>
        <w:t>95C</w:t>
      </w:r>
      <w:r>
        <w:t>.</w:t>
      </w:r>
      <w:r>
        <w:tab/>
        <w:t>Immobilisation of vehicles</w:t>
      </w:r>
      <w:bookmarkEnd w:id="448"/>
    </w:p>
    <w:p>
      <w:pPr>
        <w:pStyle w:val="Subsection"/>
      </w:pPr>
      <w:r>
        <w:tab/>
        <w:t>(1)</w:t>
      </w:r>
      <w:r>
        <w:tab/>
        <w:t xml:space="preserve">A warrant issued in respect of a debtor entitles the Sheriff to immobilise one or more vehicles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 amended: No. 25 of 2020 s. 69.]</w:t>
      </w:r>
    </w:p>
    <w:p>
      <w:pPr>
        <w:pStyle w:val="Heading5"/>
      </w:pPr>
      <w:bookmarkStart w:id="449" w:name="_Toc51665722"/>
      <w:r>
        <w:rPr>
          <w:rStyle w:val="CharSectno"/>
        </w:rPr>
        <w:t>95D</w:t>
      </w:r>
      <w:r>
        <w:t>.</w:t>
      </w:r>
      <w:r>
        <w:tab/>
        <w:t>Removal of immobilisation of vehicle</w:t>
      </w:r>
      <w:bookmarkEnd w:id="449"/>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450" w:name="_Toc51665723"/>
      <w:r>
        <w:rPr>
          <w:rStyle w:val="CharSectno"/>
        </w:rPr>
        <w:t>95E</w:t>
      </w:r>
      <w:r>
        <w:t>.</w:t>
      </w:r>
      <w:r>
        <w:tab/>
        <w:t>Offences relating to immobilisation of vehicles</w:t>
      </w:r>
      <w:bookmarkEnd w:id="450"/>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451" w:name="_Toc51245669"/>
      <w:bookmarkStart w:id="452" w:name="_Toc51317282"/>
      <w:bookmarkStart w:id="453" w:name="_Toc51319918"/>
      <w:bookmarkStart w:id="454" w:name="_Toc51320371"/>
      <w:bookmarkStart w:id="455" w:name="_Toc51581311"/>
      <w:bookmarkStart w:id="456" w:name="_Toc51581616"/>
      <w:bookmarkStart w:id="457" w:name="_Toc51665724"/>
      <w:r>
        <w:t>Subdivision 3 — Removal of number plates</w:t>
      </w:r>
      <w:bookmarkEnd w:id="451"/>
      <w:bookmarkEnd w:id="452"/>
      <w:bookmarkEnd w:id="453"/>
      <w:bookmarkEnd w:id="454"/>
      <w:bookmarkEnd w:id="455"/>
      <w:bookmarkEnd w:id="456"/>
      <w:bookmarkEnd w:id="457"/>
    </w:p>
    <w:p>
      <w:pPr>
        <w:pStyle w:val="Footnoteheading"/>
      </w:pPr>
      <w:r>
        <w:tab/>
        <w:t>[Heading inserted: No. 48 of 2012 s. 34.]</w:t>
      </w:r>
    </w:p>
    <w:p>
      <w:pPr>
        <w:pStyle w:val="Heading5"/>
      </w:pPr>
      <w:bookmarkStart w:id="458" w:name="_Toc51665725"/>
      <w:r>
        <w:rPr>
          <w:rStyle w:val="CharSectno"/>
        </w:rPr>
        <w:t>95F</w:t>
      </w:r>
      <w:r>
        <w:t>.</w:t>
      </w:r>
      <w:r>
        <w:tab/>
        <w:t>Removal of number plates</w:t>
      </w:r>
      <w:bookmarkEnd w:id="458"/>
    </w:p>
    <w:p>
      <w:pPr>
        <w:pStyle w:val="Subsection"/>
      </w:pPr>
      <w:r>
        <w:tab/>
        <w:t>(1)</w:t>
      </w:r>
      <w:r>
        <w:tab/>
        <w:t>A warrant issued in respect of a debtor entitles the Sheriff to remove the number plates from one or more vehicles 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number plates were removed; and</w:t>
      </w:r>
    </w:p>
    <w:p>
      <w:pPr>
        <w:pStyle w:val="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Indenta"/>
      </w:pPr>
      <w:r>
        <w:tab/>
        <w:t>(c)</w:t>
      </w:r>
      <w:r>
        <w:tab/>
        <w:t>that the debtor is disqualified from holding or obtaining a vehicle licence for the vehicle; and</w:t>
      </w:r>
    </w:p>
    <w:p>
      <w:pPr>
        <w:pStyle w:val="Indenta"/>
      </w:pPr>
      <w:r>
        <w:tab/>
        <w:t>(d)</w:t>
      </w:r>
      <w:r>
        <w:tab/>
        <w:t>that it is an offence to remove the notice before the number plates are returned or a vehicle licence cancellation and disqualification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34; amended: No. 25 of 2020 s. 70.]</w:t>
      </w:r>
    </w:p>
    <w:p>
      <w:pPr>
        <w:pStyle w:val="Heading5"/>
      </w:pPr>
      <w:bookmarkStart w:id="459" w:name="_Toc51665726"/>
      <w:r>
        <w:rPr>
          <w:rStyle w:val="CharSectno"/>
        </w:rPr>
        <w:t>95G</w:t>
      </w:r>
      <w:r>
        <w:t>.</w:t>
      </w:r>
      <w:r>
        <w:tab/>
        <w:t>Vehicle licence suspension and disqualification order made when number plates are removed</w:t>
      </w:r>
      <w:bookmarkEnd w:id="459"/>
    </w:p>
    <w:p>
      <w:pPr>
        <w:pStyle w:val="Subsection"/>
      </w:pPr>
      <w:r>
        <w:tab/>
        <w:t>(1)</w:t>
      </w:r>
      <w:r>
        <w:tab/>
        <w:t>At the time the number plates of a vehicle are removed under a warrant, the Sheriff must make a vehicle licence suspension and disqualification order in respect of the vehicle and the debtor.</w:t>
      </w:r>
    </w:p>
    <w:p>
      <w:pPr>
        <w:pStyle w:val="Subsection"/>
      </w:pPr>
      <w:r>
        <w:tab/>
        <w:t>(1A)</w:t>
      </w:r>
      <w:r>
        <w:tab/>
        <w:t>Subsection (1) applies whether or not a vehicle licence for the vehicle is in force when the order is made.</w:t>
      </w:r>
    </w:p>
    <w:p>
      <w:pPr>
        <w:pStyle w:val="Subsection"/>
        <w:keepNext/>
      </w:pPr>
      <w:r>
        <w:tab/>
        <w:t>(2)</w:t>
      </w:r>
      <w:r>
        <w:tab/>
        <w:t>A vehicle licence suspension and disqualification order is an order disqualifying the debtor from holding or obtaining a vehicle licence for the vehicle.</w:t>
      </w:r>
    </w:p>
    <w:p>
      <w:pPr>
        <w:pStyle w:val="PermNoteHeading"/>
      </w:pPr>
      <w:r>
        <w:tab/>
        <w:t>Note for this subsection:</w:t>
      </w:r>
    </w:p>
    <w:p>
      <w:pPr>
        <w:pStyle w:val="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the </w:t>
      </w:r>
      <w:r>
        <w:rPr>
          <w:i/>
        </w:rPr>
        <w:t>Road Traffic (Vehicles) Act 2012</w:t>
      </w:r>
      <w:r>
        <w:t xml:space="preserve">, a vehicle licence suspension and disqualification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and disqualification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and disqualification order is made in respect of the vehicle under section 95J,</w:t>
      </w:r>
    </w:p>
    <w:p>
      <w:pPr>
        <w:pStyle w:val="Subsection"/>
      </w:pPr>
      <w:r>
        <w:tab/>
      </w:r>
      <w:r>
        <w:tab/>
        <w:t>the vehicle licence suspension and disqualification order is taken to be cancelled.</w:t>
      </w:r>
    </w:p>
    <w:p>
      <w:pPr>
        <w:pStyle w:val="Subsection"/>
      </w:pPr>
      <w:r>
        <w:tab/>
        <w:t>(6)</w:t>
      </w:r>
      <w:r>
        <w:tab/>
        <w:t>If a vehicle licence suspension and disqualification order is cancelled under subsection (5), the Registrar must notify the Director General of the cancellation as soon as practicable.</w:t>
      </w:r>
    </w:p>
    <w:p>
      <w:pPr>
        <w:pStyle w:val="Footnotesection"/>
      </w:pPr>
      <w:r>
        <w:tab/>
        <w:t>[Section 95G inserted: No. 48 of 2012 s. 34; amended: No. 25 of 2020 s. 71.]</w:t>
      </w:r>
    </w:p>
    <w:p>
      <w:pPr>
        <w:pStyle w:val="Heading5"/>
      </w:pPr>
      <w:bookmarkStart w:id="460" w:name="_Toc51665727"/>
      <w:r>
        <w:rPr>
          <w:rStyle w:val="CharSectno"/>
        </w:rPr>
        <w:t>95H</w:t>
      </w:r>
      <w:r>
        <w:t>.</w:t>
      </w:r>
      <w:r>
        <w:tab/>
        <w:t>Return of number plates</w:t>
      </w:r>
      <w:bookmarkEnd w:id="460"/>
    </w:p>
    <w:p>
      <w:pPr>
        <w:pStyle w:val="Subsection"/>
      </w:pPr>
      <w:r>
        <w:tab/>
        <w:t>(1)</w:t>
      </w:r>
      <w:r>
        <w:tab/>
        <w:t>If the number plates of a vehicle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of a debtor have been removed under a warrant; and</w:t>
      </w:r>
    </w:p>
    <w:p>
      <w:pPr>
        <w:pStyle w:val="Indenta"/>
      </w:pPr>
      <w:r>
        <w:tab/>
        <w:t>(b)</w:t>
      </w:r>
      <w:r>
        <w:tab/>
        <w:t>the warrant ceases to be in force; and</w:t>
      </w:r>
    </w:p>
    <w:p>
      <w:pPr>
        <w:pStyle w:val="Indenta"/>
      </w:pPr>
      <w:r>
        <w:tab/>
        <w:t>(c)</w:t>
      </w:r>
      <w:r>
        <w:tab/>
        <w:t>a vehicle licence cancellation and disqualification order has not been made in respect of the vehicle under section 95J; and</w:t>
      </w:r>
    </w:p>
    <w:p>
      <w:pPr>
        <w:pStyle w:val="Indenta"/>
      </w:pPr>
      <w:r>
        <w:tab/>
        <w:t>(d)</w:t>
      </w:r>
      <w:r>
        <w:tab/>
        <w:t>when the warrant ceases to be in force, the debtor holds the vehicle licence for the vehicle (whether or not the vehicle licence is suspended),</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 amended: No. 25 of 2020 s. 72.]</w:t>
      </w:r>
    </w:p>
    <w:p>
      <w:pPr>
        <w:pStyle w:val="Heading5"/>
      </w:pPr>
      <w:bookmarkStart w:id="461" w:name="_Toc51665728"/>
      <w:r>
        <w:rPr>
          <w:rStyle w:val="CharSectno"/>
        </w:rPr>
        <w:t>95I</w:t>
      </w:r>
      <w:r>
        <w:t>.</w:t>
      </w:r>
      <w:r>
        <w:tab/>
        <w:t>Offence of interfering with or removing notice</w:t>
      </w:r>
      <w:bookmarkEnd w:id="461"/>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or</w:t>
      </w:r>
    </w:p>
    <w:p>
      <w:pPr>
        <w:pStyle w:val="Indenta"/>
      </w:pPr>
      <w:r>
        <w:tab/>
        <w:t>(b)</w:t>
      </w:r>
      <w:r>
        <w:tab/>
        <w:t>a vehicle licence cancellation and disqualification order has been made in respect of the vehicle under section 95J.</w:t>
      </w:r>
    </w:p>
    <w:p>
      <w:pPr>
        <w:pStyle w:val="Penstart"/>
      </w:pPr>
      <w:r>
        <w:tab/>
        <w:t>Penalty: a fine of $2 000.</w:t>
      </w:r>
    </w:p>
    <w:p>
      <w:pPr>
        <w:pStyle w:val="Footnotesection"/>
      </w:pPr>
      <w:r>
        <w:tab/>
        <w:t>[Section 95I inserted: No. 48 of 2012 s. 34; amended: No. 25 of 2020 s. 73.]</w:t>
      </w:r>
    </w:p>
    <w:p>
      <w:pPr>
        <w:pStyle w:val="Heading4"/>
      </w:pPr>
      <w:bookmarkStart w:id="462" w:name="_Toc51245674"/>
      <w:bookmarkStart w:id="463" w:name="_Toc51317287"/>
      <w:bookmarkStart w:id="464" w:name="_Toc51319923"/>
      <w:bookmarkStart w:id="465" w:name="_Toc51320376"/>
      <w:bookmarkStart w:id="466" w:name="_Toc51581316"/>
      <w:bookmarkStart w:id="467" w:name="_Toc51581621"/>
      <w:bookmarkStart w:id="468" w:name="_Toc51665729"/>
      <w:r>
        <w:t>Subdivision 4 — Vehicle licence cancellation and disqualification orders</w:t>
      </w:r>
      <w:bookmarkEnd w:id="462"/>
      <w:bookmarkEnd w:id="463"/>
      <w:bookmarkEnd w:id="464"/>
      <w:bookmarkEnd w:id="465"/>
      <w:bookmarkEnd w:id="466"/>
      <w:bookmarkEnd w:id="467"/>
      <w:bookmarkEnd w:id="468"/>
    </w:p>
    <w:p>
      <w:pPr>
        <w:pStyle w:val="Footnoteheading"/>
        <w:keepNext/>
      </w:pPr>
      <w:r>
        <w:tab/>
        <w:t>[Heading inserted: No. 48 of 2012 s. 34; amended: No. 25 of 2020 s. 74.]</w:t>
      </w:r>
    </w:p>
    <w:p>
      <w:pPr>
        <w:pStyle w:val="Heading5"/>
      </w:pPr>
      <w:bookmarkStart w:id="469" w:name="_Toc51665730"/>
      <w:r>
        <w:rPr>
          <w:rStyle w:val="CharSectno"/>
        </w:rPr>
        <w:t>95J</w:t>
      </w:r>
      <w:r>
        <w:t>.</w:t>
      </w:r>
      <w:r>
        <w:tab/>
        <w:t>Vehicle licence cancellation and disqualification order</w:t>
      </w:r>
      <w:bookmarkEnd w:id="469"/>
    </w:p>
    <w:p>
      <w:pPr>
        <w:pStyle w:val="Subsection"/>
        <w:keepNext/>
      </w:pPr>
      <w:r>
        <w:tab/>
        <w:t>(1)</w:t>
      </w:r>
      <w:r>
        <w:tab/>
        <w:t xml:space="preserve">If — </w:t>
      </w:r>
    </w:p>
    <w:p>
      <w:pPr>
        <w:pStyle w:val="Indenta"/>
      </w:pPr>
      <w:r>
        <w:tab/>
        <w:t>(a)</w:t>
      </w:r>
      <w:r>
        <w:tab/>
        <w:t>the number plates of a vehicle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and disqualification order in respect of the vehicle.</w:t>
      </w:r>
    </w:p>
    <w:p>
      <w:pPr>
        <w:pStyle w:val="Subsection"/>
      </w:pPr>
      <w:r>
        <w:tab/>
        <w:t>(2)</w:t>
      </w:r>
      <w:r>
        <w:tab/>
        <w:t xml:space="preserve">A vehicle licence cancellation and disqualification order is an order — </w:t>
      </w:r>
    </w:p>
    <w:p>
      <w:pPr>
        <w:pStyle w:val="Indenta"/>
      </w:pPr>
      <w:r>
        <w:tab/>
        <w:t>(a)</w:t>
      </w:r>
      <w:r>
        <w:tab/>
        <w:t xml:space="preserve">if the vehicle is licensed under the </w:t>
      </w:r>
      <w:r>
        <w:rPr>
          <w:i/>
        </w:rPr>
        <w:t>Road Traffic (Vehicles) Act 2012</w:t>
      </w:r>
      <w:r>
        <w:t xml:space="preserve"> when the order is made — cancelling that vehicle licence;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and disqualification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and disqualification order.</w:t>
      </w:r>
    </w:p>
    <w:p>
      <w:pPr>
        <w:pStyle w:val="Subsection"/>
      </w:pPr>
      <w:r>
        <w:tab/>
        <w:t>(5)</w:t>
      </w:r>
      <w:r>
        <w:tab/>
        <w:t xml:space="preserve">For the purposes of this Act and the </w:t>
      </w:r>
      <w:r>
        <w:rPr>
          <w:i/>
        </w:rPr>
        <w:t>Road Traffic (Vehicles) Act 2012</w:t>
      </w:r>
      <w:r>
        <w:t>, a vehicle licence cancellation and disqualification order takes effect when it is made.</w:t>
      </w:r>
    </w:p>
    <w:p>
      <w:pPr>
        <w:pStyle w:val="Subsection"/>
        <w:keepNext/>
      </w:pPr>
      <w:r>
        <w:tab/>
        <w:t>(6)</w:t>
      </w:r>
      <w:r>
        <w:tab/>
        <w:t xml:space="preserve">If — </w:t>
      </w:r>
    </w:p>
    <w:p>
      <w:pPr>
        <w:pStyle w:val="Indenta"/>
      </w:pPr>
      <w:r>
        <w:tab/>
        <w:t>(a)</w:t>
      </w:r>
      <w:r>
        <w:tab/>
        <w:t>a vehicle licence cancellation and disqualification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and disqualification order is taken to be cancelled to the extent that the order would disqualify the debtor from holding or obtaining a vehicle licence in respect of that vehicle.</w:t>
      </w:r>
    </w:p>
    <w:p>
      <w:pPr>
        <w:pStyle w:val="Subsection"/>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Subsection"/>
      </w:pPr>
      <w:r>
        <w:tab/>
        <w:t>(7)</w:t>
      </w:r>
      <w:r>
        <w:tab/>
        <w:t xml:space="preserve">If a vehicle licence cancellation and disqualification order is cancelled under subsection (6) or (6A), then as soon as practicable — </w:t>
      </w:r>
    </w:p>
    <w:p>
      <w:pPr>
        <w:pStyle w:val="Indenta"/>
      </w:pPr>
      <w:r>
        <w:tab/>
        <w:t>(a)</w:t>
      </w:r>
      <w:r>
        <w:tab/>
        <w:t>the Sheriff must notify the debtor of the cancellation; and</w:t>
      </w:r>
    </w:p>
    <w:p>
      <w:pPr>
        <w:pStyle w:val="Indenta"/>
      </w:pPr>
      <w:r>
        <w:tab/>
        <w:t>(b)</w:t>
      </w:r>
      <w:r>
        <w:tab/>
        <w:t>the Registrar must notify the Director General of the cancellation.</w:t>
      </w:r>
    </w:p>
    <w:p>
      <w:pPr>
        <w:pStyle w:val="Subsection"/>
      </w:pPr>
      <w:r>
        <w:tab/>
        <w:t>(8)</w:t>
      </w:r>
      <w:r>
        <w:tab/>
        <w:t>The making of a vehicle licence cancellation and disqualification order under this section in relation to a vehicle does not entitle the debtor to the refund of any fee paid in respect of the grant or renewal of the vehicle licence.</w:t>
      </w:r>
    </w:p>
    <w:p>
      <w:pPr>
        <w:pStyle w:val="Footnotesection"/>
      </w:pPr>
      <w:r>
        <w:tab/>
        <w:t>[Section 95J inserted: No. 48 of 2012 s. 34; amended: No. 25 of 2020 s. 75.]</w:t>
      </w:r>
    </w:p>
    <w:p>
      <w:pPr>
        <w:pStyle w:val="Heading4"/>
      </w:pPr>
      <w:bookmarkStart w:id="470" w:name="_Toc51245676"/>
      <w:bookmarkStart w:id="471" w:name="_Toc51317289"/>
      <w:bookmarkStart w:id="472" w:name="_Toc51319925"/>
      <w:bookmarkStart w:id="473" w:name="_Toc51320378"/>
      <w:bookmarkStart w:id="474" w:name="_Toc51581318"/>
      <w:bookmarkStart w:id="475" w:name="_Toc51581623"/>
      <w:bookmarkStart w:id="476" w:name="_Toc51665731"/>
      <w:r>
        <w:t>Subdivision 5 — Powers for this Division</w:t>
      </w:r>
      <w:bookmarkEnd w:id="470"/>
      <w:bookmarkEnd w:id="471"/>
      <w:bookmarkEnd w:id="472"/>
      <w:bookmarkEnd w:id="473"/>
      <w:bookmarkEnd w:id="474"/>
      <w:bookmarkEnd w:id="475"/>
      <w:bookmarkEnd w:id="476"/>
    </w:p>
    <w:p>
      <w:pPr>
        <w:pStyle w:val="Footnoteheading"/>
      </w:pPr>
      <w:r>
        <w:tab/>
        <w:t>[Heading inserted: No. 48 of 2012 s. 34.]</w:t>
      </w:r>
    </w:p>
    <w:p>
      <w:pPr>
        <w:pStyle w:val="Heading5"/>
        <w:spacing w:before="240"/>
      </w:pPr>
      <w:bookmarkStart w:id="477" w:name="_Toc51665732"/>
      <w:r>
        <w:rPr>
          <w:rStyle w:val="CharSectno"/>
        </w:rPr>
        <w:t>95K</w:t>
      </w:r>
      <w:r>
        <w:t>.</w:t>
      </w:r>
      <w:r>
        <w:tab/>
        <w:t>Powers enabling immobilisation of vehicles and removal of number plates etc.</w:t>
      </w:r>
      <w:bookmarkEnd w:id="477"/>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 amended: No. 25 of 2020 s. 89.]</w:t>
      </w:r>
    </w:p>
    <w:p>
      <w:pPr>
        <w:pStyle w:val="Heading3"/>
      </w:pPr>
      <w:bookmarkStart w:id="478" w:name="_Toc51317291"/>
      <w:bookmarkStart w:id="479" w:name="_Toc51319927"/>
      <w:bookmarkStart w:id="480" w:name="_Toc51320380"/>
      <w:bookmarkStart w:id="481" w:name="_Toc51581320"/>
      <w:bookmarkStart w:id="482" w:name="_Toc51581625"/>
      <w:bookmarkStart w:id="483" w:name="_Toc51665733"/>
      <w:bookmarkStart w:id="484" w:name="_Toc51245678"/>
      <w:r>
        <w:rPr>
          <w:rStyle w:val="CharDivNo"/>
        </w:rPr>
        <w:t>Division 6B</w:t>
      </w:r>
      <w:r>
        <w:t xml:space="preserve"> — </w:t>
      </w:r>
      <w:r>
        <w:rPr>
          <w:rStyle w:val="CharDivText"/>
        </w:rPr>
        <w:t>Garnishment</w:t>
      </w:r>
      <w:bookmarkEnd w:id="478"/>
      <w:bookmarkEnd w:id="479"/>
      <w:bookmarkEnd w:id="480"/>
      <w:bookmarkEnd w:id="481"/>
      <w:bookmarkEnd w:id="482"/>
      <w:bookmarkEnd w:id="483"/>
    </w:p>
    <w:p>
      <w:pPr>
        <w:pStyle w:val="Footnoteheading"/>
      </w:pPr>
      <w:r>
        <w:tab/>
        <w:t>[Heading inserted: No. 25 of 2020 s. 76.]</w:t>
      </w:r>
    </w:p>
    <w:p>
      <w:pPr>
        <w:pStyle w:val="Heading4"/>
      </w:pPr>
      <w:bookmarkStart w:id="485" w:name="_Toc51317292"/>
      <w:bookmarkStart w:id="486" w:name="_Toc51319928"/>
      <w:bookmarkStart w:id="487" w:name="_Toc51320381"/>
      <w:bookmarkStart w:id="488" w:name="_Toc51581321"/>
      <w:bookmarkStart w:id="489" w:name="_Toc51581626"/>
      <w:bookmarkStart w:id="490" w:name="_Toc51665734"/>
      <w:r>
        <w:t>Subdivision 1 — Preliminary</w:t>
      </w:r>
      <w:bookmarkEnd w:id="485"/>
      <w:bookmarkEnd w:id="486"/>
      <w:bookmarkEnd w:id="487"/>
      <w:bookmarkEnd w:id="488"/>
      <w:bookmarkEnd w:id="489"/>
      <w:bookmarkEnd w:id="490"/>
    </w:p>
    <w:p>
      <w:pPr>
        <w:pStyle w:val="Footnoteheading"/>
      </w:pPr>
      <w:r>
        <w:tab/>
        <w:t>[Heading inserted: No. 25 of 2020 s. 76.]</w:t>
      </w:r>
    </w:p>
    <w:p>
      <w:pPr>
        <w:pStyle w:val="Heading5"/>
      </w:pPr>
      <w:bookmarkStart w:id="491" w:name="_Toc51665735"/>
      <w:r>
        <w:rPr>
          <w:rStyle w:val="CharSectno"/>
        </w:rPr>
        <w:t>95L</w:t>
      </w:r>
      <w:r>
        <w:t>.</w:t>
      </w:r>
      <w:r>
        <w:tab/>
        <w:t>Application</w:t>
      </w:r>
      <w:bookmarkEnd w:id="491"/>
    </w:p>
    <w:p>
      <w:pPr>
        <w:pStyle w:val="Subsection"/>
      </w:pPr>
      <w:r>
        <w:tab/>
      </w:r>
      <w:r>
        <w:tab/>
        <w:t>This Division applies to a warrant issued under Part 3 or 4.</w:t>
      </w:r>
    </w:p>
    <w:p>
      <w:pPr>
        <w:pStyle w:val="Footnotesection"/>
      </w:pPr>
      <w:r>
        <w:tab/>
        <w:t>[Section 95L inserted: No. 25 of 2020 s. 76.]</w:t>
      </w:r>
    </w:p>
    <w:p>
      <w:pPr>
        <w:pStyle w:val="Heading5"/>
      </w:pPr>
      <w:bookmarkStart w:id="492" w:name="_Toc51665736"/>
      <w:r>
        <w:rPr>
          <w:rStyle w:val="CharSectno"/>
        </w:rPr>
        <w:t>95M</w:t>
      </w:r>
      <w:r>
        <w:t>.</w:t>
      </w:r>
      <w:r>
        <w:tab/>
        <w:t>Garnishee orders</w:t>
      </w:r>
      <w:bookmarkEnd w:id="492"/>
    </w:p>
    <w:p>
      <w:pPr>
        <w:pStyle w:val="Subsection"/>
      </w:pPr>
      <w:r>
        <w:tab/>
        <w:t>(1)</w:t>
      </w:r>
      <w:r>
        <w:tab/>
        <w:t>A warrant issued in respect of a debtor entitles the Sheriff, in accordance with this Division, to issue a garnishee order in respect of the debtor and the amount owed under the warrant and any enforcement fees.</w:t>
      </w:r>
    </w:p>
    <w:p>
      <w:pPr>
        <w:pStyle w:val="Subsection"/>
        <w:keepNext/>
      </w:pPr>
      <w:r>
        <w:tab/>
        <w:t>(2)</w:t>
      </w:r>
      <w:r>
        <w:tab/>
        <w:t xml:space="preserve">A </w:t>
      </w:r>
      <w:r>
        <w:rPr>
          <w:rStyle w:val="CharDefText"/>
        </w:rPr>
        <w:t>garnishee order</w:t>
      </w:r>
      <w:r>
        <w:t xml:space="preserve"> is — </w:t>
      </w:r>
    </w:p>
    <w:p>
      <w:pPr>
        <w:pStyle w:val="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Subsection"/>
      </w:pPr>
      <w:r>
        <w:tab/>
        <w:t>(3)</w:t>
      </w:r>
      <w:r>
        <w:tab/>
        <w:t>A reference in this Division to a garnishee order is to the order as amended from time to time.</w:t>
      </w:r>
    </w:p>
    <w:p>
      <w:pPr>
        <w:pStyle w:val="Subsection"/>
      </w:pPr>
      <w:r>
        <w:tab/>
        <w:t>(4)</w:t>
      </w:r>
      <w:r>
        <w:tab/>
        <w:t>The Sheriff must ensure that only 1 garnishee order is in force under an enforcement warrant at any time.</w:t>
      </w:r>
    </w:p>
    <w:p>
      <w:pPr>
        <w:pStyle w:val="Footnotesection"/>
      </w:pPr>
      <w:r>
        <w:tab/>
        <w:t>[Section 95M inserted: No. 25 of 2020 s. 76.]</w:t>
      </w:r>
    </w:p>
    <w:p>
      <w:pPr>
        <w:pStyle w:val="Heading5"/>
      </w:pPr>
      <w:bookmarkStart w:id="493" w:name="_Toc51665737"/>
      <w:r>
        <w:rPr>
          <w:rStyle w:val="CharSectno"/>
        </w:rPr>
        <w:t>95N</w:t>
      </w:r>
      <w:r>
        <w:t>.</w:t>
      </w:r>
      <w:r>
        <w:tab/>
        <w:t>Duration, amendment and cancellation of garnishee order</w:t>
      </w:r>
      <w:bookmarkEnd w:id="493"/>
    </w:p>
    <w:p>
      <w:pPr>
        <w:pStyle w:val="Subsection"/>
      </w:pPr>
      <w:r>
        <w:tab/>
        <w:t>(1)</w:t>
      </w:r>
      <w:r>
        <w:tab/>
        <w:t xml:space="preserve">A garnishee order — </w:t>
      </w:r>
    </w:p>
    <w:p>
      <w:pPr>
        <w:pStyle w:val="Indenta"/>
      </w:pPr>
      <w:r>
        <w:tab/>
        <w:t>(a)</w:t>
      </w:r>
      <w:r>
        <w:tab/>
        <w:t xml:space="preserve">comes into force on the day that is 7 days after — </w:t>
      </w:r>
    </w:p>
    <w:p>
      <w:pPr>
        <w:pStyle w:val="Indenti"/>
      </w:pPr>
      <w:r>
        <w:tab/>
        <w:t>(i)</w:t>
      </w:r>
      <w:r>
        <w:tab/>
        <w:t>for a garnishee order on earnings — the day on which a copy of it is served on the relevant payer to whom it is issued under section 95O(4); or</w:t>
      </w:r>
    </w:p>
    <w:p>
      <w:pPr>
        <w:pStyle w:val="Indenti"/>
      </w:pPr>
      <w:r>
        <w:tab/>
        <w:t>(ii)</w:t>
      </w:r>
      <w:r>
        <w:tab/>
        <w:t>for a bank account garnishee order — the day on which a copy of it is served on the bank to which it is issued under section 95V(5);</w:t>
      </w:r>
    </w:p>
    <w:p>
      <w:pPr>
        <w:pStyle w:val="Indenta"/>
      </w:pPr>
      <w:r>
        <w:tab/>
      </w:r>
      <w:r>
        <w:tab/>
        <w:t>and</w:t>
      </w:r>
    </w:p>
    <w:p>
      <w:pPr>
        <w:pStyle w:val="Indenta"/>
      </w:pPr>
      <w:r>
        <w:tab/>
        <w:t>(b)</w:t>
      </w:r>
      <w:r>
        <w:tab/>
        <w:t xml:space="preserve">is in force until whichever of the following occurs first — </w:t>
      </w:r>
    </w:p>
    <w:p>
      <w:pPr>
        <w:pStyle w:val="Indenti"/>
      </w:pPr>
      <w:r>
        <w:tab/>
        <w:t>(i)</w:t>
      </w:r>
      <w:r>
        <w:tab/>
        <w:t>it is cancelled under subsection (2) or (4);</w:t>
      </w:r>
    </w:p>
    <w:p>
      <w:pPr>
        <w:pStyle w:val="Indenti"/>
      </w:pPr>
      <w:r>
        <w:tab/>
        <w:t>(ii)</w:t>
      </w:r>
      <w:r>
        <w:tab/>
        <w:t>for a garnishee order on earnings — the relevant payer gives the Sheriff a notice under section 95Q(4);</w:t>
      </w:r>
    </w:p>
    <w:p>
      <w:pPr>
        <w:pStyle w:val="Indenti"/>
      </w:pPr>
      <w:r>
        <w:tab/>
        <w:t>(iii)</w:t>
      </w:r>
      <w:r>
        <w:tab/>
        <w:t>for a single payment garnishee order — the bank gives the Sheriff a return under section 95W(1)(c);</w:t>
      </w:r>
    </w:p>
    <w:p>
      <w:pPr>
        <w:pStyle w:val="Indenti"/>
      </w:pPr>
      <w:r>
        <w:tab/>
        <w:t>(iv)</w:t>
      </w:r>
      <w:r>
        <w:tab/>
        <w:t>for a bank account garnishee order — the bank gives the Sheriff a notice under section 95X(2).</w:t>
      </w:r>
    </w:p>
    <w:p>
      <w:pPr>
        <w:pStyle w:val="Subsection"/>
      </w:pPr>
      <w:r>
        <w:tab/>
        <w:t>(2)</w:t>
      </w:r>
      <w:r>
        <w:tab/>
        <w:t>A garnishee order is cancelled when the warrant under which it is issued ceases to be in force.</w:t>
      </w:r>
    </w:p>
    <w:p>
      <w:pPr>
        <w:pStyle w:val="Subsection"/>
      </w:pPr>
      <w:r>
        <w:tab/>
        <w:t>(3)</w:t>
      </w:r>
      <w:r>
        <w:tab/>
        <w:t>A debtor in relation to whom a garnishee order is in force may apply to the Sheriff in the approved form for the amendment or cancellation of the order.</w:t>
      </w:r>
    </w:p>
    <w:p>
      <w:pPr>
        <w:pStyle w:val="Subsection"/>
      </w:pPr>
      <w:r>
        <w:tab/>
        <w:t>(4)</w:t>
      </w:r>
      <w:r>
        <w:tab/>
        <w:t>The Sheriff may, if the Sheriff thinks fit, amend or cancel a garnishee order on an application under subsection (3) or on the Sheriff’s own initiative.</w:t>
      </w:r>
    </w:p>
    <w:p>
      <w:pPr>
        <w:pStyle w:val="Subsection"/>
      </w:pPr>
      <w:r>
        <w:tab/>
        <w:t>(5)</w:t>
      </w:r>
      <w:r>
        <w:tab/>
        <w:t xml:space="preserve">If a garnishee order is amended or cancelled, notice of the amendment or cancellation must be served on — </w:t>
      </w:r>
    </w:p>
    <w:p>
      <w:pPr>
        <w:pStyle w:val="Indenta"/>
      </w:pPr>
      <w:r>
        <w:tab/>
        <w:t>(a)</w:t>
      </w:r>
      <w:r>
        <w:tab/>
        <w:t>the debtor; and</w:t>
      </w:r>
    </w:p>
    <w:p>
      <w:pPr>
        <w:pStyle w:val="Indenta"/>
      </w:pPr>
      <w:r>
        <w:tab/>
        <w:t>(b)</w:t>
      </w:r>
      <w:r>
        <w:tab/>
        <w:t>the relevant payer or bank to whom the order was issued.</w:t>
      </w:r>
    </w:p>
    <w:p>
      <w:pPr>
        <w:pStyle w:val="Footnotesection"/>
      </w:pPr>
      <w:r>
        <w:tab/>
        <w:t>[Section 95N inserted: No. 25 of 2020 s. 76.]</w:t>
      </w:r>
    </w:p>
    <w:p>
      <w:pPr>
        <w:pStyle w:val="Heading4"/>
      </w:pPr>
      <w:bookmarkStart w:id="494" w:name="_Toc51317296"/>
      <w:bookmarkStart w:id="495" w:name="_Toc51319932"/>
      <w:bookmarkStart w:id="496" w:name="_Toc51320385"/>
      <w:bookmarkStart w:id="497" w:name="_Toc51581325"/>
      <w:bookmarkStart w:id="498" w:name="_Toc51581630"/>
      <w:bookmarkStart w:id="499" w:name="_Toc51665738"/>
      <w:r>
        <w:t>Subdivision 2 — Garnishee orders on earnings</w:t>
      </w:r>
      <w:bookmarkEnd w:id="494"/>
      <w:bookmarkEnd w:id="495"/>
      <w:bookmarkEnd w:id="496"/>
      <w:bookmarkEnd w:id="497"/>
      <w:bookmarkEnd w:id="498"/>
      <w:bookmarkEnd w:id="499"/>
    </w:p>
    <w:p>
      <w:pPr>
        <w:pStyle w:val="Footnoteheading"/>
      </w:pPr>
      <w:r>
        <w:tab/>
        <w:t>[Heading inserted: No. 25 of 2020 s. 76.]</w:t>
      </w:r>
    </w:p>
    <w:p>
      <w:pPr>
        <w:pStyle w:val="Heading5"/>
      </w:pPr>
      <w:bookmarkStart w:id="500" w:name="_Toc51665739"/>
      <w:r>
        <w:rPr>
          <w:rStyle w:val="CharSectno"/>
        </w:rPr>
        <w:t>95O</w:t>
      </w:r>
      <w:r>
        <w:t>.</w:t>
      </w:r>
      <w:r>
        <w:tab/>
        <w:t>Issue of garnishee order on earnings</w:t>
      </w:r>
      <w:bookmarkEnd w:id="500"/>
    </w:p>
    <w:p>
      <w:pPr>
        <w:pStyle w:val="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Subsection"/>
      </w:pPr>
      <w:r>
        <w:tab/>
        <w:t>(2)</w:t>
      </w:r>
      <w:r>
        <w:tab/>
        <w:t xml:space="preserve">A garnishee order on earnings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of the debtor’s earnings for each week that is to be deducted from the debtor’s earnings and paid to the Sheriff;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95P(2)(c) must be given to the Sheriff;</w:t>
      </w:r>
    </w:p>
    <w:p>
      <w:pPr>
        <w:pStyle w:val="Indenta"/>
      </w:pPr>
      <w:r>
        <w:tab/>
      </w:r>
      <w:r>
        <w:tab/>
        <w:t>and</w:t>
      </w:r>
    </w:p>
    <w:p>
      <w:pPr>
        <w:pStyle w:val="Indenta"/>
      </w:pPr>
      <w:r>
        <w:tab/>
        <w:t>(c)</w:t>
      </w:r>
      <w:r>
        <w:tab/>
        <w:t>explain how the amount deducted from the debtor’s earnings for a pay period is to be determined under section 95P.</w:t>
      </w:r>
    </w:p>
    <w:p>
      <w:pPr>
        <w:pStyle w:val="Subsection"/>
      </w:pPr>
      <w:r>
        <w:tab/>
        <w:t>(3)</w:t>
      </w:r>
      <w:r>
        <w:tab/>
        <w:t xml:space="preserve">A garnishee order on earnings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(4)</w:t>
      </w:r>
      <w:r>
        <w:tab/>
        <w:t>A copy of a garnishee order on earnings must be served on the debtor and the relevant payer.</w:t>
      </w:r>
    </w:p>
    <w:p>
      <w:pPr>
        <w:pStyle w:val="Footnotesection"/>
      </w:pPr>
      <w:r>
        <w:tab/>
        <w:t>[Section 95O inserted: No. 25 of 2020 s. 76.]</w:t>
      </w:r>
    </w:p>
    <w:p>
      <w:pPr>
        <w:pStyle w:val="Heading5"/>
      </w:pPr>
      <w:bookmarkStart w:id="501" w:name="_Toc51665740"/>
      <w:r>
        <w:rPr>
          <w:rStyle w:val="CharSectno"/>
        </w:rPr>
        <w:t>95P</w:t>
      </w:r>
      <w:r>
        <w:t>.</w:t>
      </w:r>
      <w:r>
        <w:tab/>
        <w:t>Compliance with garnishee order on earnings</w:t>
      </w:r>
      <w:bookmarkEnd w:id="501"/>
    </w:p>
    <w:p>
      <w:pPr>
        <w:pStyle w:val="Subsection"/>
      </w:pPr>
      <w:r>
        <w:tab/>
        <w:t>(1)</w:t>
      </w:r>
      <w:r>
        <w:tab/>
        <w:t xml:space="preserve">This section applies if — </w:t>
      </w:r>
    </w:p>
    <w:p>
      <w:pPr>
        <w:pStyle w:val="Indenta"/>
      </w:pPr>
      <w:r>
        <w:tab/>
        <w:t>(a)</w:t>
      </w:r>
      <w:r>
        <w:tab/>
        <w:t>a garnishee order on earnings issued to a relevant payer is in force in relation to a debtor; and</w:t>
      </w:r>
    </w:p>
    <w:p>
      <w:pPr>
        <w:pStyle w:val="Indenta"/>
      </w:pPr>
      <w:r>
        <w:tab/>
        <w:t>(b)</w:t>
      </w:r>
      <w:r>
        <w:tab/>
        <w:t xml:space="preserve">earnings are payable by the relevant payer to the debtor for a period (the </w:t>
      </w:r>
      <w:r>
        <w:rPr>
          <w:rStyle w:val="CharDefText"/>
        </w:rPr>
        <w:t>pay period</w:t>
      </w:r>
      <w:r>
        <w:t>).</w:t>
      </w:r>
    </w:p>
    <w:p>
      <w:pPr>
        <w:pStyle w:val="Subsection"/>
      </w:pPr>
      <w:r>
        <w:tab/>
        <w:t>(2)</w:t>
      </w:r>
      <w:r>
        <w:tab/>
        <w:t xml:space="preserve">The relevant payer must — </w:t>
      </w:r>
    </w:p>
    <w:p>
      <w:pPr>
        <w:pStyle w:val="Indenta"/>
      </w:pPr>
      <w:r>
        <w:tab/>
        <w:t>(a)</w:t>
      </w:r>
      <w:r>
        <w:tab/>
        <w:t>deduct from the earnings payable to the debtor for the pay period an amount determined under subsection (3);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(3)</w:t>
      </w:r>
      <w:r>
        <w:tab/>
        <w:t xml:space="preserve">For the purposes of subsection (2)(a), the amount to be deducted is the lowest of the following — </w:t>
      </w:r>
    </w:p>
    <w:p>
      <w:pPr>
        <w:pStyle w:val="Indenta"/>
      </w:pPr>
      <w:r>
        <w:tab/>
        <w:t>(a)</w:t>
      </w:r>
      <w:r>
        <w:tab/>
        <w:t>the amount determined by multiplying the weekly amount specified in the garnishee order under section 95O(2)(b)(ii) by the number of weeks in the pay period;</w:t>
      </w:r>
    </w:p>
    <w:p>
      <w:pPr>
        <w:pStyle w:val="Indenta"/>
      </w:pPr>
      <w:r>
        <w:tab/>
        <w:t>(b)</w:t>
      </w:r>
      <w:r>
        <w:tab/>
        <w:t>the amount, if any, that would reduce the debtor’s earnings for the pay period to the protected earnings amount;</w:t>
      </w:r>
    </w:p>
    <w:p>
      <w:pPr>
        <w:pStyle w:val="Indenta"/>
      </w:pPr>
      <w:r>
        <w:tab/>
        <w:t>(c)</w:t>
      </w:r>
      <w:r>
        <w:tab/>
        <w:t>the amount that would result in the total amount deducted under the order for all pay periods being equal to the total amount stated in the order under section 95O(2)(b)(i).</w:t>
      </w:r>
    </w:p>
    <w:p>
      <w:pPr>
        <w:pStyle w:val="Subsection"/>
      </w:pPr>
      <w:r>
        <w:tab/>
        <w:t>(4)</w:t>
      </w:r>
      <w:r>
        <w:tab/>
        <w:t>If the debtor’s earnings for the pay period are equal to or less than the protected earnings amount, the relevant payer must not deduct any amount from the earnings under subsection (2).</w:t>
      </w:r>
    </w:p>
    <w:p>
      <w:pPr>
        <w:pStyle w:val="Subsection"/>
      </w:pPr>
      <w:r>
        <w:tab/>
        <w:t>(5)</w:t>
      </w:r>
      <w:r>
        <w:tab/>
        <w:t>If the pay period is not a number of whole weeks, the number of weeks in the pay period for the purposes of subsection (3)(a) is to be determined by dividing the number of days in the pay period by 7 (rounded to 2 decimal places).</w:t>
      </w:r>
    </w:p>
    <w:p>
      <w:pPr>
        <w:pStyle w:val="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 xml:space="preserve">Civil Judgments Enforcement Act 2004 </w:t>
      </w:r>
      <w:r>
        <w:t>Part 4 Division 4).</w:t>
      </w:r>
    </w:p>
    <w:p>
      <w:pPr>
        <w:pStyle w:val="Footnotesection"/>
      </w:pPr>
      <w:r>
        <w:tab/>
        <w:t>[Section 95P inserted: No. 25 of 2020 s. 76.]</w:t>
      </w:r>
    </w:p>
    <w:p>
      <w:pPr>
        <w:pStyle w:val="Heading5"/>
      </w:pPr>
      <w:bookmarkStart w:id="502" w:name="_Toc51665741"/>
      <w:r>
        <w:rPr>
          <w:rStyle w:val="CharSectno"/>
        </w:rPr>
        <w:t>95Q</w:t>
      </w:r>
      <w:r>
        <w:t>.</w:t>
      </w:r>
      <w:r>
        <w:tab/>
        <w:t>Notices and returns to be given in relation to garnishee orders on earnings</w:t>
      </w:r>
      <w:bookmarkEnd w:id="502"/>
    </w:p>
    <w:p>
      <w:pPr>
        <w:pStyle w:val="Subsection"/>
      </w:pPr>
      <w:r>
        <w:tab/>
        <w:t>(1)</w:t>
      </w:r>
      <w:r>
        <w:tab/>
        <w:t>This section applies if a garnishee order on earnings issued to a relevant payer is in force in relation to a debtor.</w:t>
      </w:r>
    </w:p>
    <w:p>
      <w:pPr>
        <w:pStyle w:val="Subsection"/>
      </w:pPr>
      <w:r>
        <w:tab/>
        <w:t>(2)</w:t>
      </w:r>
      <w:r>
        <w:tab/>
        <w:t xml:space="preserve">If the relevant payer pays earnings to the debtor for a pay period, the relevant payer must, no later than 7 days after the earnings are paid, ensure that the debtor is notified of — </w:t>
      </w:r>
    </w:p>
    <w:p>
      <w:pPr>
        <w:pStyle w:val="Indenta"/>
      </w:pPr>
      <w:r>
        <w:tab/>
        <w:t>(a)</w:t>
      </w:r>
      <w:r>
        <w:tab/>
        <w:t>the amount deducted under the garnishee order; or</w:t>
      </w:r>
    </w:p>
    <w:p>
      <w:pPr>
        <w:pStyle w:val="Indenta"/>
      </w:pPr>
      <w:r>
        <w:tab/>
        <w:t>(b)</w:t>
      </w:r>
      <w:r>
        <w:tab/>
        <w:t>if no deduction was made — that no deduction was made under the garnishee order.</w:t>
      </w:r>
    </w:p>
    <w:p>
      <w:pPr>
        <w:pStyle w:val="Penstart"/>
      </w:pPr>
      <w:r>
        <w:tab/>
        <w:t>Penalty for this subsection: a fine of $2 000.</w:t>
      </w:r>
    </w:p>
    <w:p>
      <w:pPr>
        <w:pStyle w:val="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Penstart"/>
      </w:pPr>
      <w:r>
        <w:tab/>
        <w:t>Penalty for this subsection: a fine of $2 000.</w:t>
      </w:r>
    </w:p>
    <w:p>
      <w:pPr>
        <w:pStyle w:val="Subsection"/>
      </w:pPr>
      <w:r>
        <w:tab/>
        <w:t>(4)</w:t>
      </w:r>
      <w:r>
        <w:tab/>
        <w:t>If the debtor ceases to be a person to whom the relevant payer pays, or is likely to pay, earnings, the relevant payer must give the Sheriff notice of the cessation in the approved form within 14 days after the cessation.</w:t>
      </w:r>
    </w:p>
    <w:p>
      <w:pPr>
        <w:pStyle w:val="Penstart"/>
      </w:pPr>
      <w:r>
        <w:tab/>
        <w:t>Penalty for this subsection: a fine of $2 000.</w:t>
      </w:r>
    </w:p>
    <w:p>
      <w:pPr>
        <w:pStyle w:val="Footnotesection"/>
      </w:pPr>
      <w:r>
        <w:tab/>
        <w:t>[Section 95Q inserted: No. 25 of 2020 s. 76.]</w:t>
      </w:r>
    </w:p>
    <w:p>
      <w:pPr>
        <w:pStyle w:val="Heading5"/>
      </w:pPr>
      <w:bookmarkStart w:id="503" w:name="_Toc51665742"/>
      <w:r>
        <w:rPr>
          <w:rStyle w:val="CharSectno"/>
        </w:rPr>
        <w:t>95R</w:t>
      </w:r>
      <w:r>
        <w:t>.</w:t>
      </w:r>
      <w:r>
        <w:tab/>
        <w:t>Discharge of liability to pay debtor</w:t>
      </w:r>
      <w:bookmarkEnd w:id="503"/>
    </w:p>
    <w:p>
      <w:pPr>
        <w:pStyle w:val="Subsection"/>
      </w:pPr>
      <w:r>
        <w:tab/>
      </w:r>
      <w:r>
        <w:tab/>
        <w:t>If a relevant payer deducts an amount from a debtor’s earnings in compliance with section 95P, the relevant payer’s liability to pay the amount to the debtor, or any person other than the Sheriff, is discharged.</w:t>
      </w:r>
    </w:p>
    <w:p>
      <w:pPr>
        <w:pStyle w:val="Footnotesection"/>
      </w:pPr>
      <w:r>
        <w:tab/>
        <w:t>[Section 95R inserted: No. 25 of 2020 s. 76.]</w:t>
      </w:r>
    </w:p>
    <w:p>
      <w:pPr>
        <w:pStyle w:val="Heading5"/>
      </w:pPr>
      <w:bookmarkStart w:id="504" w:name="_Toc51665743"/>
      <w:r>
        <w:rPr>
          <w:rStyle w:val="CharSectno"/>
        </w:rPr>
        <w:t>95S</w:t>
      </w:r>
      <w:r>
        <w:t>.</w:t>
      </w:r>
      <w:r>
        <w:tab/>
        <w:t>Records to be kept by relevant payers</w:t>
      </w:r>
      <w:bookmarkEnd w:id="504"/>
    </w:p>
    <w:p>
      <w:pPr>
        <w:pStyle w:val="Subsection"/>
      </w:pPr>
      <w:r>
        <w:tab/>
        <w:t>(1)</w:t>
      </w:r>
      <w:r>
        <w:tab/>
        <w:t xml:space="preserve">A relevant payer to whom a garnishee order on earnings has been issued in relation to a debtor must keep records of — </w:t>
      </w:r>
    </w:p>
    <w:p>
      <w:pPr>
        <w:pStyle w:val="Indenta"/>
      </w:pPr>
      <w:r>
        <w:tab/>
        <w:t>(a)</w:t>
      </w:r>
      <w:r>
        <w:tab/>
        <w:t>the debtor’s earnings payable by the relevant payer while the garnishee order is in force; and</w:t>
      </w:r>
    </w:p>
    <w:p>
      <w:pPr>
        <w:pStyle w:val="Indenta"/>
      </w:pPr>
      <w:r>
        <w:tab/>
        <w:t>(b)</w:t>
      </w:r>
      <w:r>
        <w:tab/>
        <w:t>amounts deducted from the debtor’s earnings and paid to the Sheriff under this Subdivision; and</w:t>
      </w:r>
    </w:p>
    <w:p>
      <w:pPr>
        <w:pStyle w:val="Indenta"/>
      </w:pPr>
      <w:r>
        <w:tab/>
        <w:t>(c)</w:t>
      </w:r>
      <w:r>
        <w:tab/>
        <w:t>returns and notices given in accordance with this Subdivision.</w:t>
      </w:r>
    </w:p>
    <w:p>
      <w:pPr>
        <w:pStyle w:val="Penstart"/>
      </w:pPr>
      <w:r>
        <w:tab/>
        <w:t>Penalty for this subsection: a fine of $2 000.</w:t>
      </w:r>
    </w:p>
    <w:p>
      <w:pPr>
        <w:pStyle w:val="Subsection"/>
      </w:pPr>
      <w:r>
        <w:tab/>
        <w:t>(2)</w:t>
      </w:r>
      <w:r>
        <w:tab/>
        <w:t>Records kept under subsection (1) must be retained for 2 years after the garnishee order on earnings ceases to be in force.</w:t>
      </w:r>
    </w:p>
    <w:p>
      <w:pPr>
        <w:pStyle w:val="Penstart"/>
      </w:pPr>
      <w:r>
        <w:tab/>
        <w:t>Penalty for this subsection: a fine of $2 000.</w:t>
      </w:r>
    </w:p>
    <w:p>
      <w:pPr>
        <w:pStyle w:val="Footnotesection"/>
      </w:pPr>
      <w:r>
        <w:tab/>
        <w:t>[Section 95S inserted: No. 25 of 2020 s. 76.]</w:t>
      </w:r>
    </w:p>
    <w:p>
      <w:pPr>
        <w:pStyle w:val="Heading5"/>
      </w:pPr>
      <w:bookmarkStart w:id="505" w:name="_Toc51665744"/>
      <w:r>
        <w:rPr>
          <w:rStyle w:val="CharSectno"/>
        </w:rPr>
        <w:t>95T</w:t>
      </w:r>
      <w:r>
        <w:t>.</w:t>
      </w:r>
      <w:r>
        <w:tab/>
        <w:t>Protection of employees</w:t>
      </w:r>
      <w:bookmarkEnd w:id="505"/>
    </w:p>
    <w:p>
      <w:pPr>
        <w:pStyle w:val="Subsection"/>
      </w:pPr>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p>
    <w:p>
      <w:pPr>
        <w:pStyle w:val="Penstart"/>
      </w:pPr>
      <w:r>
        <w:tab/>
        <w:t>Penalty for this subsection: a fine of $5 000.</w:t>
      </w:r>
    </w:p>
    <w:p>
      <w:pPr>
        <w:pStyle w:val="Subsection"/>
        <w:keepNext/>
      </w:pPr>
      <w:r>
        <w:tab/>
        <w:t>(2)</w:t>
      </w:r>
      <w:r>
        <w:tab/>
        <w:t xml:space="preserve">Subsection (3) applies if — </w:t>
      </w:r>
    </w:p>
    <w:p>
      <w:pPr>
        <w:pStyle w:val="Indenta"/>
      </w:pPr>
      <w:r>
        <w:tab/>
        <w:t>(a)</w:t>
      </w:r>
      <w:r>
        <w:tab/>
        <w:t>an employer is charged with an offence under subsection (1) that is alleged to have been committed within 6 months after the employer was served with the garnishee order on earnings concerned; and</w:t>
      </w:r>
    </w:p>
    <w:p>
      <w:pPr>
        <w:pStyle w:val="Indenta"/>
      </w:pPr>
      <w:r>
        <w:tab/>
        <w:t>(b)</w:t>
      </w:r>
      <w:r>
        <w:tab/>
        <w:t>all of the elements of the offence are proved except the grounds for the employer’s treatment of the debtor.</w:t>
      </w:r>
    </w:p>
    <w:p>
      <w:pPr>
        <w:pStyle w:val="Subsection"/>
      </w:pPr>
      <w:r>
        <w:tab/>
        <w:t>(3)</w:t>
      </w:r>
      <w:r>
        <w:tab/>
        <w:t>The onus of proving that the grounds for the employer’s treatment of the debtor were not the issue of the garnishee order is on the employer.</w:t>
      </w:r>
    </w:p>
    <w:p>
      <w:pPr>
        <w:pStyle w:val="Footnotesection"/>
      </w:pPr>
      <w:r>
        <w:tab/>
        <w:t>[Section 95T inserted: No. 25 of 2020 s. 76.]</w:t>
      </w:r>
    </w:p>
    <w:p>
      <w:pPr>
        <w:pStyle w:val="Heading5"/>
      </w:pPr>
      <w:bookmarkStart w:id="506" w:name="_Toc51665745"/>
      <w:r>
        <w:rPr>
          <w:rStyle w:val="CharSectno"/>
        </w:rPr>
        <w:t>95U</w:t>
      </w:r>
      <w:r>
        <w:t>.</w:t>
      </w:r>
      <w:r>
        <w:tab/>
        <w:t>Regulations for this Subdivision</w:t>
      </w:r>
      <w:bookmarkEnd w:id="506"/>
    </w:p>
    <w:p>
      <w:pPr>
        <w:pStyle w:val="Subsection"/>
      </w:pPr>
      <w:r>
        <w:tab/>
        <w:t>(1)</w:t>
      </w:r>
      <w:r>
        <w:tab/>
        <w:t>The regulations may prescribe a method for determining the protected earnings amount for a pay period for the purposes of section 95P.</w:t>
      </w:r>
    </w:p>
    <w:p>
      <w:pPr>
        <w:pStyle w:val="Subsection"/>
      </w:pPr>
      <w:r>
        <w:tab/>
        <w:t>(2)</w:t>
      </w:r>
      <w:r>
        <w:tab/>
        <w:t>Different methods may be prescribed for different classes of debtors.</w:t>
      </w:r>
    </w:p>
    <w:p>
      <w:pPr>
        <w:pStyle w:val="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Footnotesection"/>
      </w:pPr>
      <w:r>
        <w:tab/>
        <w:t>[Section 95U inserted: No. 25 of 2020 s. 76.]</w:t>
      </w:r>
    </w:p>
    <w:p>
      <w:pPr>
        <w:pStyle w:val="Heading4"/>
      </w:pPr>
      <w:bookmarkStart w:id="507" w:name="_Toc51317304"/>
      <w:bookmarkStart w:id="508" w:name="_Toc51319940"/>
      <w:bookmarkStart w:id="509" w:name="_Toc51320393"/>
      <w:bookmarkStart w:id="510" w:name="_Toc51581333"/>
      <w:bookmarkStart w:id="511" w:name="_Toc51581638"/>
      <w:bookmarkStart w:id="512" w:name="_Toc51665746"/>
      <w:r>
        <w:t>Subdivision 3 — Garnishee orders on bank accounts</w:t>
      </w:r>
      <w:bookmarkEnd w:id="507"/>
      <w:bookmarkEnd w:id="508"/>
      <w:bookmarkEnd w:id="509"/>
      <w:bookmarkEnd w:id="510"/>
      <w:bookmarkEnd w:id="511"/>
      <w:bookmarkEnd w:id="512"/>
    </w:p>
    <w:p>
      <w:pPr>
        <w:pStyle w:val="Footnoteheading"/>
        <w:keepNext/>
      </w:pPr>
      <w:r>
        <w:tab/>
        <w:t>[Heading inserted: No. 25 of 2020 s. 76.]</w:t>
      </w:r>
    </w:p>
    <w:p>
      <w:pPr>
        <w:pStyle w:val="Heading5"/>
      </w:pPr>
      <w:bookmarkStart w:id="513" w:name="_Toc51665747"/>
      <w:r>
        <w:rPr>
          <w:rStyle w:val="CharSectno"/>
        </w:rPr>
        <w:t>95V</w:t>
      </w:r>
      <w:r>
        <w:t>.</w:t>
      </w:r>
      <w:r>
        <w:tab/>
        <w:t>Issue of bank account garnishee order</w:t>
      </w:r>
      <w:bookmarkEnd w:id="513"/>
    </w:p>
    <w:p>
      <w:pPr>
        <w:pStyle w:val="Subsection"/>
      </w:pPr>
      <w:r>
        <w:tab/>
        <w:t>(1)</w:t>
      </w:r>
      <w:r>
        <w:tab/>
        <w:t>The Sheriff may, under a warrant issued in respect of a debtor, issue a bank account garnishee order to a bank if the Sheriff is satisfied that the debtor has an account with the bank.</w:t>
      </w:r>
    </w:p>
    <w:p>
      <w:pPr>
        <w:pStyle w:val="Subsection"/>
        <w:keepNext/>
      </w:pPr>
      <w:r>
        <w:tab/>
        <w:t>(2)</w:t>
      </w:r>
      <w:r>
        <w:tab/>
        <w:t xml:space="preserve">A bank account garnishee order may be — </w:t>
      </w:r>
    </w:p>
    <w:p>
      <w:pPr>
        <w:pStyle w:val="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Indenta"/>
      </w:pPr>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p>
    <w:p>
      <w:pPr>
        <w:pStyle w:val="Subsection"/>
      </w:pPr>
      <w:r>
        <w:tab/>
        <w:t>(3)</w:t>
      </w:r>
      <w:r>
        <w:tab/>
        <w:t xml:space="preserve">A bank account garnishee order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or amounts required to be deducted and paid under the order;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95W(1)(c) or (2)(c) must be given to the Sheriff;</w:t>
      </w:r>
    </w:p>
    <w:p>
      <w:pPr>
        <w:pStyle w:val="Indenta"/>
      </w:pPr>
      <w:r>
        <w:tab/>
      </w:r>
      <w:r>
        <w:tab/>
        <w:t>and</w:t>
      </w:r>
    </w:p>
    <w:p>
      <w:pPr>
        <w:pStyle w:val="Indenta"/>
      </w:pPr>
      <w:r>
        <w:tab/>
        <w:t>(c)</w:t>
      </w:r>
      <w:r>
        <w:tab/>
        <w:t>explain how an amount deducted under the order is to be determined under section 95W.</w:t>
      </w:r>
    </w:p>
    <w:p>
      <w:pPr>
        <w:pStyle w:val="Subsection"/>
      </w:pPr>
      <w:r>
        <w:tab/>
        <w:t>(4)</w:t>
      </w:r>
      <w:r>
        <w:tab/>
        <w:t xml:space="preserve">A bank account garnishee order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(5)</w:t>
      </w:r>
      <w:r>
        <w:tab/>
        <w:t>A copy of a bank account garnishee order must be served on the debtor and the bank.</w:t>
      </w:r>
    </w:p>
    <w:p>
      <w:pPr>
        <w:pStyle w:val="Footnotesection"/>
      </w:pPr>
      <w:r>
        <w:tab/>
        <w:t>[Section 95V inserted: No. 25 of 2020 s. 76.]</w:t>
      </w:r>
    </w:p>
    <w:p>
      <w:pPr>
        <w:pStyle w:val="Heading5"/>
      </w:pPr>
      <w:bookmarkStart w:id="514" w:name="_Toc51665748"/>
      <w:r>
        <w:rPr>
          <w:rStyle w:val="CharSectno"/>
        </w:rPr>
        <w:t>95W</w:t>
      </w:r>
      <w:r>
        <w:t>.</w:t>
      </w:r>
      <w:r>
        <w:tab/>
        <w:t>Compliance with bank account garnishee order</w:t>
      </w:r>
      <w:bookmarkEnd w:id="514"/>
    </w:p>
    <w:p>
      <w:pPr>
        <w:pStyle w:val="Subsection"/>
      </w:pPr>
      <w:r>
        <w:tab/>
        <w:t>(1)</w:t>
      </w:r>
      <w:r>
        <w:tab/>
        <w:t xml:space="preserve">If a single payment garnishee order issued to a bank is in force in relation to a debtor, the bank must, as soon as practicable after the order comes into force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(2)</w:t>
      </w:r>
      <w:r>
        <w:tab/>
        <w:t xml:space="preserve">If a multiple payments garnishee order issued to a bank is in force in relation to a debtor, the bank must, whenever required to make a payment under the order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keepNext/>
      </w:pPr>
      <w:r>
        <w:tab/>
        <w:t>(3)</w:t>
      </w:r>
      <w:r>
        <w:tab/>
        <w:t>For the purposes of subsections (1)(a) and (2)(a), the amount to be deducted is the lowest of the following —</w:t>
      </w:r>
    </w:p>
    <w:p>
      <w:pPr>
        <w:pStyle w:val="Indenta"/>
      </w:pPr>
      <w:r>
        <w:tab/>
        <w:t>(a)</w:t>
      </w:r>
      <w:r>
        <w:tab/>
        <w:t>the amount specified in the order as the amount for the relevant deduction;</w:t>
      </w:r>
    </w:p>
    <w:p>
      <w:pPr>
        <w:pStyle w:val="Indenta"/>
      </w:pPr>
      <w:r>
        <w:tab/>
        <w:t>(b)</w:t>
      </w:r>
      <w:r>
        <w:tab/>
        <w:t>the amount, if any, that would reduce the total amount held for the debtor in accounts with the bank at the time of the deduction to the protected bank account amount;</w:t>
      </w:r>
    </w:p>
    <w:p>
      <w:pPr>
        <w:pStyle w:val="Indenta"/>
      </w:pPr>
      <w:r>
        <w:tab/>
        <w:t>(c)</w:t>
      </w:r>
      <w:r>
        <w:tab/>
        <w:t>the amount that would result in the total amount deducted under the order (including any previous deductions) being equal to the total amount stated in the order under section 95V(3)(b)(i).</w:t>
      </w:r>
    </w:p>
    <w:p>
      <w:pPr>
        <w:pStyle w:val="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Subsection"/>
      </w:pPr>
      <w:r>
        <w:tab/>
        <w:t>(5)</w:t>
      </w:r>
      <w:r>
        <w:tab/>
        <w:t>If money is held for the debtor in more than 1 account with the bank, the bank may decide the account or accounts from which to make the deduction under subsection (1) or (2).</w:t>
      </w:r>
    </w:p>
    <w:p>
      <w:pPr>
        <w:pStyle w:val="Subsection"/>
      </w:pPr>
      <w:r>
        <w:tab/>
        <w:t>(6)</w:t>
      </w:r>
      <w:r>
        <w:tab/>
        <w:t>The bank must not make a deduction under subsection (1) or (2) that would result in any of the debtor’s accounts becoming overdrawn.</w:t>
      </w:r>
    </w:p>
    <w:p>
      <w:pPr>
        <w:pStyle w:val="Subsection"/>
        <w:keepNext/>
      </w:pPr>
      <w:r>
        <w:tab/>
        <w:t>(7)</w:t>
      </w:r>
      <w:r>
        <w:tab/>
        <w:t xml:space="preserve">A deduction under this section is to be made after deducting any amount the bank is required to deduct from the account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Civil Judgments Enforcement Act 2004</w:t>
      </w:r>
      <w:r>
        <w:t xml:space="preserve"> Part 4 Division 5).</w:t>
      </w:r>
    </w:p>
    <w:p>
      <w:pPr>
        <w:pStyle w:val="Footnotesection"/>
      </w:pPr>
      <w:r>
        <w:tab/>
        <w:t>[Section 95W inserted: No. 25 of 2020 s. 76.]</w:t>
      </w:r>
    </w:p>
    <w:p>
      <w:pPr>
        <w:pStyle w:val="Heading5"/>
      </w:pPr>
      <w:bookmarkStart w:id="515" w:name="_Toc51665749"/>
      <w:r>
        <w:rPr>
          <w:rStyle w:val="CharSectno"/>
        </w:rPr>
        <w:t>95X</w:t>
      </w:r>
      <w:r>
        <w:t>.</w:t>
      </w:r>
      <w:r>
        <w:tab/>
        <w:t>Notices to be given by banks</w:t>
      </w:r>
      <w:bookmarkEnd w:id="515"/>
    </w:p>
    <w:p>
      <w:pPr>
        <w:pStyle w:val="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Penstart"/>
      </w:pPr>
      <w:r>
        <w:tab/>
        <w:t>Penalty for this subsection: a fine of $2 000.</w:t>
      </w:r>
    </w:p>
    <w:p>
      <w:pPr>
        <w:pStyle w:val="Subsection"/>
      </w:pPr>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p>
    <w:p>
      <w:pPr>
        <w:pStyle w:val="Penstart"/>
      </w:pPr>
      <w:r>
        <w:tab/>
        <w:t>Penalty for this subsection: a fine of $2 000.</w:t>
      </w:r>
    </w:p>
    <w:p>
      <w:pPr>
        <w:pStyle w:val="Footnotesection"/>
      </w:pPr>
      <w:r>
        <w:tab/>
        <w:t>[Section 95X inserted: No. 25 of 2020 s. 76.]</w:t>
      </w:r>
    </w:p>
    <w:p>
      <w:pPr>
        <w:pStyle w:val="Heading5"/>
      </w:pPr>
      <w:bookmarkStart w:id="516" w:name="_Toc51665750"/>
      <w:r>
        <w:rPr>
          <w:rStyle w:val="CharSectno"/>
        </w:rPr>
        <w:t>95Y</w:t>
      </w:r>
      <w:r>
        <w:t>.</w:t>
      </w:r>
      <w:r>
        <w:tab/>
        <w:t>Records to be kept by banks</w:t>
      </w:r>
      <w:bookmarkEnd w:id="516"/>
    </w:p>
    <w:p>
      <w:pPr>
        <w:pStyle w:val="Subsection"/>
      </w:pPr>
      <w:r>
        <w:tab/>
        <w:t>(1)</w:t>
      </w:r>
      <w:r>
        <w:tab/>
        <w:t xml:space="preserve">A bank to which a bank account garnishee order has been issued in relation to a debtor must keep records of — </w:t>
      </w:r>
    </w:p>
    <w:p>
      <w:pPr>
        <w:pStyle w:val="Indenta"/>
      </w:pPr>
      <w:r>
        <w:tab/>
        <w:t>(a)</w:t>
      </w:r>
      <w:r>
        <w:tab/>
        <w:t>amounts deducted from the debtor’s accounts and paid to the Sheriff under this Subdivision; and</w:t>
      </w:r>
    </w:p>
    <w:p>
      <w:pPr>
        <w:pStyle w:val="Indenta"/>
      </w:pPr>
      <w:r>
        <w:tab/>
        <w:t>(b)</w:t>
      </w:r>
      <w:r>
        <w:tab/>
        <w:t>returns and notices given in accordance with this Subdivision.</w:t>
      </w:r>
    </w:p>
    <w:p>
      <w:pPr>
        <w:pStyle w:val="Penstart"/>
      </w:pPr>
      <w:r>
        <w:tab/>
        <w:t>Penalty for this subsection: a fine of $10 000.</w:t>
      </w:r>
    </w:p>
    <w:p>
      <w:pPr>
        <w:pStyle w:val="Subsection"/>
      </w:pPr>
      <w:r>
        <w:tab/>
        <w:t>(2)</w:t>
      </w:r>
      <w:r>
        <w:tab/>
        <w:t>Records kept under subsection (1) must be retained for 2 years after the bank account garnishee order ceases to be in force.</w:t>
      </w:r>
    </w:p>
    <w:p>
      <w:pPr>
        <w:pStyle w:val="Penstart"/>
      </w:pPr>
      <w:r>
        <w:tab/>
        <w:t>Penalty for this subsection: a fine of $10 000.</w:t>
      </w:r>
    </w:p>
    <w:p>
      <w:pPr>
        <w:pStyle w:val="Footnotesection"/>
      </w:pPr>
      <w:r>
        <w:tab/>
        <w:t>[Section 95Y inserted: No. 25 of 2020 s. 76.]</w:t>
      </w:r>
    </w:p>
    <w:p>
      <w:pPr>
        <w:pStyle w:val="Heading5"/>
      </w:pPr>
      <w:bookmarkStart w:id="517" w:name="_Toc51665751"/>
      <w:r>
        <w:rPr>
          <w:rStyle w:val="CharSectno"/>
        </w:rPr>
        <w:t>95Z</w:t>
      </w:r>
      <w:r>
        <w:t>.</w:t>
      </w:r>
      <w:r>
        <w:tab/>
        <w:t>Administration fee for deduction under bank account garnishee order</w:t>
      </w:r>
      <w:bookmarkEnd w:id="517"/>
    </w:p>
    <w:p>
      <w:pPr>
        <w:pStyle w:val="Subsection"/>
      </w:pPr>
      <w:r>
        <w:tab/>
      </w:r>
      <w:r>
        <w:tab/>
        <w:t>If a bank charges a debtor an amount for the administrative cost of making a deduction under a bank account garnishee order, the amount of the charge must not exceed the amount prescribed by the regulations.</w:t>
      </w:r>
    </w:p>
    <w:p>
      <w:pPr>
        <w:pStyle w:val="Penstart"/>
      </w:pPr>
      <w:r>
        <w:tab/>
        <w:t>Penalty: a fine of $10 000.</w:t>
      </w:r>
    </w:p>
    <w:p>
      <w:pPr>
        <w:pStyle w:val="Footnotesection"/>
      </w:pPr>
      <w:r>
        <w:tab/>
        <w:t>[Section 95Z inserted: No. 25 of 2020 s. 76.]</w:t>
      </w:r>
    </w:p>
    <w:p>
      <w:pPr>
        <w:pStyle w:val="Heading5"/>
      </w:pPr>
      <w:bookmarkStart w:id="518" w:name="_Toc51665752"/>
      <w:r>
        <w:rPr>
          <w:rStyle w:val="CharSectno"/>
        </w:rPr>
        <w:t>95ZA</w:t>
      </w:r>
      <w:r>
        <w:t>.</w:t>
      </w:r>
      <w:r>
        <w:tab/>
        <w:t>Requirements for debtor if bank account garnishee order issued</w:t>
      </w:r>
      <w:bookmarkEnd w:id="518"/>
    </w:p>
    <w:p>
      <w:pPr>
        <w:pStyle w:val="Subsection"/>
      </w:pPr>
      <w:r>
        <w:tab/>
        <w:t>(1)</w:t>
      </w:r>
      <w:r>
        <w:tab/>
        <w:t>This section applies if a bank account garnishee order has been issued to a bank in relation to a debtor.</w:t>
      </w:r>
    </w:p>
    <w:p>
      <w:pPr>
        <w:pStyle w:val="Subsection"/>
      </w:pPr>
      <w:r>
        <w:tab/>
        <w:t>(2)</w:t>
      </w:r>
      <w:r>
        <w:tab/>
        <w:t xml:space="preserve">The debtor must not, with the intention of preventing the execution of the order, do any of the following — </w:t>
      </w:r>
    </w:p>
    <w:p>
      <w:pPr>
        <w:pStyle w:val="Indenta"/>
      </w:pPr>
      <w:r>
        <w:tab/>
        <w:t>(a)</w:t>
      </w:r>
      <w:r>
        <w:tab/>
        <w:t>make a withdrawal or transfer of money from any of the debtor’s accounts with the bank that results in a deduction not being able to be made under the order;</w:t>
      </w:r>
    </w:p>
    <w:p>
      <w:pPr>
        <w:pStyle w:val="Indenta"/>
      </w:pPr>
      <w:r>
        <w:tab/>
        <w:t>(b)</w:t>
      </w:r>
      <w:r>
        <w:tab/>
        <w:t>prevent any earnings or other amount from being paid into any of the debtor’s accounts with the bank;</w:t>
      </w:r>
    </w:p>
    <w:p>
      <w:pPr>
        <w:pStyle w:val="Indenta"/>
      </w:pPr>
      <w:r>
        <w:tab/>
        <w:t>(c)</w:t>
      </w:r>
      <w:r>
        <w:tab/>
        <w:t>close any of the debtor’s accounts with the bank.</w:t>
      </w:r>
    </w:p>
    <w:p>
      <w:pPr>
        <w:pStyle w:val="Penstart"/>
      </w:pPr>
      <w:r>
        <w:tab/>
        <w:t>Penalty for this subsection: a fine of $2 000.</w:t>
      </w:r>
    </w:p>
    <w:p>
      <w:pPr>
        <w:pStyle w:val="Subsection"/>
      </w:pPr>
      <w:r>
        <w:tab/>
        <w:t>(3)</w:t>
      </w:r>
      <w:r>
        <w:tab/>
        <w:t xml:space="preserve">The debtor must notify the Sheriff if — </w:t>
      </w:r>
    </w:p>
    <w:p>
      <w:pPr>
        <w:pStyle w:val="Indenta"/>
      </w:pPr>
      <w:r>
        <w:tab/>
        <w:t>(a)</w:t>
      </w:r>
      <w:r>
        <w:tab/>
        <w:t>the debtor closes all of the debtor’s accounts with the bank; or</w:t>
      </w:r>
    </w:p>
    <w:p>
      <w:pPr>
        <w:pStyle w:val="Indenta"/>
      </w:pPr>
      <w:r>
        <w:tab/>
        <w:t>(b)</w:t>
      </w:r>
      <w:r>
        <w:tab/>
        <w:t>a person who makes regular deposits of earnings or other amounts into any of the debtor’s accounts with the bank discontinues those deposits.</w:t>
      </w:r>
    </w:p>
    <w:p>
      <w:pPr>
        <w:pStyle w:val="Penstart"/>
      </w:pPr>
      <w:r>
        <w:tab/>
        <w:t>Penalty for this subsection: a fine of $2 000.</w:t>
      </w:r>
    </w:p>
    <w:p>
      <w:pPr>
        <w:pStyle w:val="Footnotesection"/>
      </w:pPr>
      <w:r>
        <w:tab/>
        <w:t>[Section 95ZA inserted: No. 25 of 2020 s. 76.]</w:t>
      </w:r>
    </w:p>
    <w:p>
      <w:pPr>
        <w:pStyle w:val="Heading5"/>
      </w:pPr>
      <w:bookmarkStart w:id="519" w:name="_Toc51665753"/>
      <w:r>
        <w:rPr>
          <w:rStyle w:val="CharSectno"/>
        </w:rPr>
        <w:t>95ZB</w:t>
      </w:r>
      <w:r>
        <w:t>.</w:t>
      </w:r>
      <w:r>
        <w:tab/>
        <w:t>Regulations for this Subdivision</w:t>
      </w:r>
      <w:bookmarkEnd w:id="519"/>
    </w:p>
    <w:p>
      <w:pPr>
        <w:pStyle w:val="Subsection"/>
      </w:pPr>
      <w:r>
        <w:tab/>
        <w:t>(1)</w:t>
      </w:r>
      <w:r>
        <w:tab/>
        <w:t>The regulations may prescribe a protected bank account amount, or a method for determining a protected bank account amount, for the purposes of section 95W.</w:t>
      </w:r>
    </w:p>
    <w:p>
      <w:pPr>
        <w:pStyle w:val="Subsection"/>
      </w:pPr>
      <w:r>
        <w:tab/>
        <w:t>(2)</w:t>
      </w:r>
      <w:r>
        <w:tab/>
        <w:t>Different protected bank account amounts or methods may be prescribed for different classes of debtors.</w:t>
      </w:r>
    </w:p>
    <w:p>
      <w:pPr>
        <w:pStyle w:val="Footnotesection"/>
      </w:pPr>
      <w:r>
        <w:tab/>
        <w:t>[Section 95ZB inserted: No. 25 of 2020 s. 76.]</w:t>
      </w:r>
    </w:p>
    <w:p>
      <w:pPr>
        <w:pStyle w:val="Heading4"/>
      </w:pPr>
      <w:bookmarkStart w:id="520" w:name="_Toc51317312"/>
      <w:bookmarkStart w:id="521" w:name="_Toc51319948"/>
      <w:bookmarkStart w:id="522" w:name="_Toc51320401"/>
      <w:bookmarkStart w:id="523" w:name="_Toc51581341"/>
      <w:bookmarkStart w:id="524" w:name="_Toc51581646"/>
      <w:bookmarkStart w:id="525" w:name="_Toc51665754"/>
      <w:r>
        <w:t>Subdivision 4 — General provisions</w:t>
      </w:r>
      <w:bookmarkEnd w:id="520"/>
      <w:bookmarkEnd w:id="521"/>
      <w:bookmarkEnd w:id="522"/>
      <w:bookmarkEnd w:id="523"/>
      <w:bookmarkEnd w:id="524"/>
      <w:bookmarkEnd w:id="525"/>
    </w:p>
    <w:p>
      <w:pPr>
        <w:pStyle w:val="Footnoteheading"/>
        <w:keepNext/>
      </w:pPr>
      <w:r>
        <w:tab/>
        <w:t>[Heading inserted: No. 25 of 2020 s. 76.]</w:t>
      </w:r>
    </w:p>
    <w:p>
      <w:pPr>
        <w:pStyle w:val="Heading5"/>
      </w:pPr>
      <w:bookmarkStart w:id="526" w:name="_Toc51665755"/>
      <w:r>
        <w:rPr>
          <w:rStyle w:val="CharSectno"/>
        </w:rPr>
        <w:t>95ZC</w:t>
      </w:r>
      <w:r>
        <w:t>.</w:t>
      </w:r>
      <w:r>
        <w:tab/>
        <w:t>Sheriff may refund money deducted under garnishee order</w:t>
      </w:r>
      <w:bookmarkEnd w:id="526"/>
    </w:p>
    <w:p>
      <w:pPr>
        <w:pStyle w:val="Subsection"/>
      </w:pPr>
      <w:r>
        <w:tab/>
        <w:t>(1)</w:t>
      </w:r>
      <w:r>
        <w:tab/>
        <w:t xml:space="preserve">A debtor may apply to the Sheriff, in accordance with the regulations, for a refund of any money — </w:t>
      </w:r>
    </w:p>
    <w:p>
      <w:pPr>
        <w:pStyle w:val="Indenta"/>
      </w:pPr>
      <w:r>
        <w:tab/>
        <w:t>(a)</w:t>
      </w:r>
      <w:r>
        <w:tab/>
        <w:t>deducted from the debtor’s earnings under a garnishee order on earnings and paid to the Sheriff; or</w:t>
      </w:r>
    </w:p>
    <w:p>
      <w:pPr>
        <w:pStyle w:val="Indenta"/>
      </w:pPr>
      <w:r>
        <w:tab/>
        <w:t>(b)</w:t>
      </w:r>
      <w:r>
        <w:tab/>
        <w:t>deducted from the debtor’s accounts with a bank under a bank account garnishee order and paid to the Sheriff.</w:t>
      </w:r>
    </w:p>
    <w:p>
      <w:pPr>
        <w:pStyle w:val="Subsection"/>
      </w:pPr>
      <w:r>
        <w:tab/>
        <w:t>(2)</w:t>
      </w:r>
      <w:r>
        <w:tab/>
        <w:t>On an application under subsection (1), the Sheriff may, if the Sheriff thinks fit, refund the amount or part of it to the debtor.</w:t>
      </w:r>
    </w:p>
    <w:p>
      <w:pPr>
        <w:pStyle w:val="Footnotesection"/>
      </w:pPr>
      <w:r>
        <w:tab/>
        <w:t>[Section 95ZC inserted: No. 25 of 2020 s. 76.]</w:t>
      </w:r>
    </w:p>
    <w:p>
      <w:pPr>
        <w:pStyle w:val="Heading5"/>
      </w:pPr>
      <w:bookmarkStart w:id="527" w:name="_Toc51665756"/>
      <w:r>
        <w:rPr>
          <w:rStyle w:val="CharSectno"/>
        </w:rPr>
        <w:t>95ZD</w:t>
      </w:r>
      <w:r>
        <w:t>.</w:t>
      </w:r>
      <w:r>
        <w:tab/>
        <w:t>Obtaining information relevant to garnishee order</w:t>
      </w:r>
      <w:bookmarkEnd w:id="527"/>
    </w:p>
    <w:p>
      <w:pPr>
        <w:pStyle w:val="Subsection"/>
      </w:pPr>
      <w:r>
        <w:tab/>
        <w:t>(1)</w:t>
      </w:r>
      <w:r>
        <w:tab/>
        <w:t>The powers in this section can only be exercised by the Sheriff after receiving a warrant and for the purpose of determining whether to exercise a function under this Division.</w:t>
      </w:r>
    </w:p>
    <w:p>
      <w:pPr>
        <w:pStyle w:val="Subsection"/>
      </w:pPr>
      <w:r>
        <w:tab/>
        <w:t>(2)</w:t>
      </w:r>
      <w:r>
        <w:tab/>
        <w:t xml:space="preserve">The Sheriff may, in writing, request any person who the Sheriff suspects pays, or may pay, earnings to the debtor to disclose to the Sheriff specified information about the following — </w:t>
      </w:r>
    </w:p>
    <w:p>
      <w:pPr>
        <w:pStyle w:val="Indenta"/>
      </w:pPr>
      <w:r>
        <w:tab/>
        <w:t>(a)</w:t>
      </w:r>
      <w:r>
        <w:tab/>
        <w:t>whether the person pays, or is likely to pay, earnings to the debtor;</w:t>
      </w:r>
    </w:p>
    <w:p>
      <w:pPr>
        <w:pStyle w:val="Indenta"/>
      </w:pPr>
      <w:r>
        <w:tab/>
        <w:t>(b)</w:t>
      </w:r>
      <w:r>
        <w:tab/>
        <w:t>the debtor’s earnings;</w:t>
      </w:r>
    </w:p>
    <w:p>
      <w:pPr>
        <w:pStyle w:val="Indenta"/>
      </w:pPr>
      <w:r>
        <w:tab/>
        <w:t>(c)</w:t>
      </w:r>
      <w:r>
        <w:tab/>
        <w:t>any other information the Sheriff considers is or may be relevant to determining whether to exercise a function under this Division.</w:t>
      </w:r>
    </w:p>
    <w:p>
      <w:pPr>
        <w:pStyle w:val="Subsection"/>
      </w:pPr>
      <w:r>
        <w:tab/>
        <w:t>(3)</w:t>
      </w:r>
      <w:r>
        <w:tab/>
        <w:t xml:space="preserve">The Sheriff may, in writing, request any bank that the Sheriff suspects holds or may hold money for the debtor in an account to disclose to the Sheriff specified information about any of the following — </w:t>
      </w:r>
    </w:p>
    <w:p>
      <w:pPr>
        <w:pStyle w:val="Indenta"/>
      </w:pPr>
      <w:r>
        <w:tab/>
        <w:t>(a)</w:t>
      </w:r>
      <w:r>
        <w:tab/>
        <w:t>the debtor’s accounts (if any) with the bank;</w:t>
      </w:r>
    </w:p>
    <w:p>
      <w:pPr>
        <w:pStyle w:val="Indenta"/>
      </w:pPr>
      <w:r>
        <w:tab/>
        <w:t>(b)</w:t>
      </w:r>
      <w:r>
        <w:tab/>
        <w:t>the balance of those accounts and any payments into those accounts;</w:t>
      </w:r>
    </w:p>
    <w:p>
      <w:pPr>
        <w:pStyle w:val="Indenta"/>
      </w:pPr>
      <w:r>
        <w:tab/>
        <w:t>(c)</w:t>
      </w:r>
      <w:r>
        <w:tab/>
        <w:t>any other information the Sheriff considers is or may be relevant to determining whether to exercise a function under this Division.</w:t>
      </w:r>
    </w:p>
    <w:p>
      <w:pPr>
        <w:pStyle w:val="Subsection"/>
      </w:pPr>
      <w:r>
        <w:tab/>
        <w:t>(4)</w:t>
      </w:r>
      <w:r>
        <w:tab/>
        <w:t>A person commits an offence if the person does not comply with a request made under subsection (2) or (3).</w:t>
      </w:r>
    </w:p>
    <w:p>
      <w:pPr>
        <w:pStyle w:val="Penstart"/>
      </w:pPr>
      <w:r>
        <w:tab/>
        <w:t>Penalty for this subsection: a fine of $2 000.</w:t>
      </w:r>
    </w:p>
    <w:p>
      <w:pPr>
        <w:pStyle w:val="Subsection"/>
      </w:pPr>
      <w:r>
        <w:tab/>
        <w:t>(5)</w:t>
      </w:r>
      <w:r>
        <w:tab/>
        <w:t>A person commits an offence if the person discloses information to the Sheriff in response to a request under subsection (2) or (3) that the person knows is false or misleading in a material particular.</w:t>
      </w:r>
    </w:p>
    <w:p>
      <w:pPr>
        <w:pStyle w:val="Penstart"/>
      </w:pPr>
      <w:r>
        <w:tab/>
        <w:t>Penalty for this subsection: a fine of $2 000.</w:t>
      </w:r>
    </w:p>
    <w:p>
      <w:pPr>
        <w:pStyle w:val="Footnotesection"/>
      </w:pPr>
      <w:r>
        <w:tab/>
        <w:t>[Section 95ZD inserted: No. 25 of 2020 s. 76.]</w:t>
      </w:r>
    </w:p>
    <w:p>
      <w:pPr>
        <w:pStyle w:val="Heading5"/>
      </w:pPr>
      <w:bookmarkStart w:id="528" w:name="_Toc51665757"/>
      <w:r>
        <w:rPr>
          <w:rStyle w:val="CharSectno"/>
        </w:rPr>
        <w:t>95ZE</w:t>
      </w:r>
      <w:r>
        <w:t>.</w:t>
      </w:r>
      <w:r>
        <w:tab/>
        <w:t>Relevant payer or bank must not disclose information</w:t>
      </w:r>
      <w:bookmarkEnd w:id="528"/>
    </w:p>
    <w:p>
      <w:pPr>
        <w:pStyle w:val="Subsection"/>
        <w:keepNext/>
      </w:pPr>
      <w:r>
        <w:tab/>
        <w:t>(1)</w:t>
      </w:r>
      <w:r>
        <w:tab/>
        <w:t xml:space="preserve">This section applies to a person who is or has been — </w:t>
      </w:r>
    </w:p>
    <w:p>
      <w:pPr>
        <w:pStyle w:val="Indenta"/>
      </w:pPr>
      <w:r>
        <w:tab/>
        <w:t>(a)</w:t>
      </w:r>
      <w:r>
        <w:tab/>
        <w:t>a relevant payer or bank to whom a garnishee order has been issued in relation to a debtor; or</w:t>
      </w:r>
    </w:p>
    <w:p>
      <w:pPr>
        <w:pStyle w:val="Indenta"/>
      </w:pPr>
      <w:r>
        <w:tab/>
        <w:t>(b)</w:t>
      </w:r>
      <w:r>
        <w:tab/>
        <w:t>a person employed by, or performing services for, a relevant payer or bank referred to in paragraph (a).</w:t>
      </w:r>
    </w:p>
    <w:p>
      <w:pPr>
        <w:pStyle w:val="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Indenta"/>
      </w:pPr>
      <w:r>
        <w:tab/>
        <w:t>(a)</w:t>
      </w:r>
      <w:r>
        <w:tab/>
        <w:t>for the purpose of, or in connection with, performing the duties of the relevant payer or bank under this Division; or</w:t>
      </w:r>
    </w:p>
    <w:p>
      <w:pPr>
        <w:pStyle w:val="Indenta"/>
      </w:pPr>
      <w:r>
        <w:tab/>
        <w:t>(b)</w:t>
      </w:r>
      <w:r>
        <w:tab/>
        <w:t>if it is necessary to do so in carrying on the business affairs of the relevant payer or bank.</w:t>
      </w:r>
    </w:p>
    <w:p>
      <w:pPr>
        <w:pStyle w:val="Penstart"/>
      </w:pPr>
      <w:r>
        <w:tab/>
        <w:t>Penalty for this subsection: a fine of $10 000.</w:t>
      </w:r>
    </w:p>
    <w:p>
      <w:pPr>
        <w:pStyle w:val="Footnotesection"/>
      </w:pPr>
      <w:bookmarkStart w:id="529" w:name="_Toc51317316"/>
      <w:r>
        <w:tab/>
        <w:t>[Section 95ZE inserted: No. 25 of 2020 s. 76.]</w:t>
      </w:r>
    </w:p>
    <w:p>
      <w:pPr>
        <w:pStyle w:val="Heading3"/>
        <w:rPr>
          <w:snapToGrid w:val="0"/>
        </w:rPr>
      </w:pPr>
      <w:bookmarkStart w:id="530" w:name="_Toc51319952"/>
      <w:bookmarkStart w:id="531" w:name="_Toc51320405"/>
      <w:bookmarkStart w:id="532" w:name="_Toc51581345"/>
      <w:bookmarkStart w:id="533" w:name="_Toc51581650"/>
      <w:bookmarkStart w:id="534" w:name="_Toc51665758"/>
      <w:r>
        <w:rPr>
          <w:rStyle w:val="CharDivNo"/>
        </w:rPr>
        <w:t>Division 6</w:t>
      </w:r>
      <w:r>
        <w:rPr>
          <w:snapToGrid w:val="0"/>
        </w:rPr>
        <w:t> — </w:t>
      </w:r>
      <w:r>
        <w:rPr>
          <w:rStyle w:val="CharDivText"/>
        </w:rPr>
        <w:t>Miscellaneous</w:t>
      </w:r>
      <w:bookmarkEnd w:id="484"/>
      <w:bookmarkEnd w:id="529"/>
      <w:bookmarkEnd w:id="530"/>
      <w:bookmarkEnd w:id="531"/>
      <w:bookmarkEnd w:id="532"/>
      <w:bookmarkEnd w:id="533"/>
      <w:bookmarkEnd w:id="534"/>
    </w:p>
    <w:p>
      <w:pPr>
        <w:pStyle w:val="Heading5"/>
        <w:rPr>
          <w:snapToGrid w:val="0"/>
        </w:rPr>
      </w:pPr>
      <w:bookmarkStart w:id="535" w:name="_Toc51665759"/>
      <w:r>
        <w:rPr>
          <w:rStyle w:val="CharSectno"/>
        </w:rPr>
        <w:t>95</w:t>
      </w:r>
      <w:r>
        <w:rPr>
          <w:snapToGrid w:val="0"/>
        </w:rPr>
        <w:t>.</w:t>
      </w:r>
      <w:r>
        <w:rPr>
          <w:snapToGrid w:val="0"/>
        </w:rPr>
        <w:tab/>
        <w:t>Priority of warrant over writs etc.</w:t>
      </w:r>
      <w:bookmarkEnd w:id="53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536" w:name="_Toc51665760"/>
      <w:r>
        <w:rPr>
          <w:rStyle w:val="CharSectno"/>
        </w:rPr>
        <w:t>96</w:t>
      </w:r>
      <w:r>
        <w:rPr>
          <w:snapToGrid w:val="0"/>
        </w:rPr>
        <w:t>.</w:t>
      </w:r>
      <w:r>
        <w:rPr>
          <w:snapToGrid w:val="0"/>
        </w:rPr>
        <w:tab/>
        <w:t>How amounts recovered to be applied</w:t>
      </w:r>
      <w:bookmarkEnd w:id="536"/>
    </w:p>
    <w:p>
      <w:pPr>
        <w:pStyle w:val="Subsection"/>
        <w:rPr>
          <w:snapToGrid w:val="0"/>
        </w:rPr>
      </w:pPr>
      <w:r>
        <w:rPr>
          <w:snapToGrid w:val="0"/>
        </w:rPr>
        <w:tab/>
        <w:t>(1)</w:t>
      </w:r>
      <w:r>
        <w:rPr>
          <w:snapToGrid w:val="0"/>
        </w:rPr>
        <w:tab/>
        <w:t xml:space="preserve">The Sheriff is to apply the money </w:t>
      </w:r>
      <w:r>
        <w:t>recovered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 xml:space="preserve">Firstly, </w:t>
      </w:r>
      <w:r>
        <w:t xml:space="preserve">if the money is recovered from the sale of property under the warrant,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70D;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pPr>
      <w:r>
        <w:tab/>
        <w:t>(4A)</w:t>
      </w:r>
      <w:r>
        <w:tab/>
        <w:t>Fourthly, the proceeds are to be applied in the payment to the Registrar of the amount owed in respect of any other enforceable registered fine (as those terms are defined in section 28(1)) of the debtor.</w:t>
      </w:r>
    </w:p>
    <w:p>
      <w:pPr>
        <w:pStyle w:val="Subsection"/>
        <w:rPr>
          <w:snapToGrid w:val="0"/>
        </w:rPr>
      </w:pPr>
      <w:r>
        <w:rPr>
          <w:snapToGrid w:val="0"/>
        </w:rPr>
        <w:tab/>
        <w:t>(5)</w:t>
      </w:r>
      <w:r>
        <w:rPr>
          <w:snapToGrid w:val="0"/>
        </w:rPr>
        <w:tab/>
      </w:r>
      <w:r>
        <w:t xml:space="preserve">Fifthly,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 No. 25 of 2020 s. 77.]</w:t>
      </w:r>
    </w:p>
    <w:p>
      <w:pPr>
        <w:pStyle w:val="Heading5"/>
        <w:rPr>
          <w:snapToGrid w:val="0"/>
        </w:rPr>
      </w:pPr>
      <w:bookmarkStart w:id="537" w:name="_Toc51665761"/>
      <w:r>
        <w:rPr>
          <w:rStyle w:val="CharSectno"/>
        </w:rPr>
        <w:t>97</w:t>
      </w:r>
      <w:r>
        <w:rPr>
          <w:snapToGrid w:val="0"/>
        </w:rPr>
        <w:t>.</w:t>
      </w:r>
      <w:r>
        <w:rPr>
          <w:snapToGrid w:val="0"/>
        </w:rPr>
        <w:tab/>
        <w:t>Warrant may be satisfied at any time</w:t>
      </w:r>
      <w:bookmarkEnd w:id="537"/>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538" w:name="_Toc51665762"/>
      <w:r>
        <w:rPr>
          <w:rStyle w:val="CharSectno"/>
        </w:rPr>
        <w:t>98A</w:t>
      </w:r>
      <w:r>
        <w:t>.</w:t>
      </w:r>
      <w:r>
        <w:tab/>
        <w:t>Seized property to be released if warrant ceases to be in force</w:t>
      </w:r>
      <w:bookmarkEnd w:id="538"/>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539" w:name="_Toc51665763"/>
      <w:r>
        <w:rPr>
          <w:rStyle w:val="CharSectno"/>
        </w:rPr>
        <w:t>98</w:t>
      </w:r>
      <w:r>
        <w:t>.</w:t>
      </w:r>
      <w:r>
        <w:tab/>
        <w:t>Sheriff exempt from some licensing requirements</w:t>
      </w:r>
      <w:bookmarkEnd w:id="539"/>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540" w:name="_Toc51665764"/>
      <w:r>
        <w:rPr>
          <w:rStyle w:val="CharSectno"/>
        </w:rPr>
        <w:t>99</w:t>
      </w:r>
      <w:r>
        <w:rPr>
          <w:snapToGrid w:val="0"/>
        </w:rPr>
        <w:t>.</w:t>
      </w:r>
      <w:r>
        <w:rPr>
          <w:snapToGrid w:val="0"/>
        </w:rPr>
        <w:tab/>
        <w:t>Sheriff exempt from fees</w:t>
      </w:r>
      <w:bookmarkEnd w:id="540"/>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541" w:name="_Toc51319959"/>
      <w:bookmarkStart w:id="542" w:name="_Toc51320412"/>
      <w:bookmarkStart w:id="543" w:name="_Toc51581352"/>
      <w:bookmarkStart w:id="544" w:name="_Toc51581657"/>
      <w:bookmarkStart w:id="545" w:name="_Toc51665765"/>
      <w:bookmarkStart w:id="546" w:name="_Toc51245685"/>
      <w:bookmarkStart w:id="547" w:name="_Toc51317323"/>
      <w:r>
        <w:rPr>
          <w:rStyle w:val="CharPartNo"/>
        </w:rPr>
        <w:t>Part 7A</w:t>
      </w:r>
      <w:r>
        <w:rPr>
          <w:rStyle w:val="CharDivNo"/>
        </w:rPr>
        <w:t> </w:t>
      </w:r>
      <w:r>
        <w:t>—</w:t>
      </w:r>
      <w:r>
        <w:rPr>
          <w:rStyle w:val="CharDivText"/>
        </w:rPr>
        <w:t> </w:t>
      </w:r>
      <w:r>
        <w:rPr>
          <w:rStyle w:val="CharPartText"/>
        </w:rPr>
        <w:t>Information</w:t>
      </w:r>
      <w:bookmarkEnd w:id="541"/>
      <w:bookmarkEnd w:id="542"/>
      <w:bookmarkEnd w:id="543"/>
      <w:bookmarkEnd w:id="544"/>
      <w:bookmarkEnd w:id="545"/>
    </w:p>
    <w:p>
      <w:pPr>
        <w:pStyle w:val="Footnoteheading"/>
      </w:pPr>
      <w:r>
        <w:tab/>
        <w:t>[Heading inserted: No. 25 of 2020 s. 78.]</w:t>
      </w:r>
    </w:p>
    <w:p>
      <w:pPr>
        <w:pStyle w:val="Heading5"/>
      </w:pPr>
      <w:bookmarkStart w:id="548" w:name="_Toc51665766"/>
      <w:r>
        <w:rPr>
          <w:rStyle w:val="CharSectno"/>
        </w:rPr>
        <w:t>100</w:t>
      </w:r>
      <w:r>
        <w:t>.</w:t>
      </w:r>
      <w:r>
        <w:tab/>
        <w:t>Terms used</w:t>
      </w:r>
      <w:bookmarkEnd w:id="548"/>
    </w:p>
    <w:p>
      <w:pPr>
        <w:pStyle w:val="Subsection"/>
      </w:pPr>
      <w:r>
        <w:tab/>
      </w:r>
      <w:r>
        <w:tab/>
        <w:t xml:space="preserve">In this Part — </w:t>
      </w:r>
    </w:p>
    <w:p>
      <w:pPr>
        <w:pStyle w:val="Defstart"/>
      </w:pPr>
      <w:r>
        <w:tab/>
      </w:r>
      <w:r>
        <w:rPr>
          <w:rStyle w:val="CharDefText"/>
        </w:rPr>
        <w:t>alleged offender</w:t>
      </w:r>
      <w:r>
        <w:t xml:space="preserve"> has the meaning given in section 11;</w:t>
      </w:r>
    </w:p>
    <w:p>
      <w:pPr>
        <w:pStyle w:val="Defstart"/>
      </w:pPr>
      <w:r>
        <w:tab/>
      </w:r>
      <w:r>
        <w:rPr>
          <w:rStyle w:val="CharDefText"/>
        </w:rPr>
        <w:t>contractor</w:t>
      </w:r>
      <w:r>
        <w:t xml:space="preserve"> has the meaning given in the </w:t>
      </w:r>
      <w:r>
        <w:rPr>
          <w:i/>
        </w:rPr>
        <w:t>Court Security and Custodial Services Act 1999</w:t>
      </w:r>
      <w:r>
        <w:t xml:space="preserve"> section 3;</w:t>
      </w:r>
    </w:p>
    <w:p>
      <w:pPr>
        <w:pStyle w:val="Defstart"/>
      </w:pPr>
      <w:r>
        <w:tab/>
      </w:r>
      <w:r>
        <w:rPr>
          <w:rStyle w:val="CharDefText"/>
        </w:rPr>
        <w:t>offender</w:t>
      </w:r>
      <w:r>
        <w:t xml:space="preserve"> has the meaning given in section 28(1);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relevant information</w:t>
      </w:r>
      <w:r>
        <w:t xml:space="preserve"> means — </w:t>
      </w:r>
    </w:p>
    <w:p>
      <w:pPr>
        <w:pStyle w:val="Defpara"/>
      </w:pPr>
      <w:r>
        <w:tab/>
        <w:t>(a)</w:t>
      </w:r>
      <w:r>
        <w:tab/>
        <w:t>in relation to the Registrar — information that, in the opinion of the Registrar, is or is likely to be relevant to the performance of any function of the Registrar under this Act or another written law; or</w:t>
      </w:r>
    </w:p>
    <w:p>
      <w:pPr>
        <w:pStyle w:val="Defpara"/>
      </w:pPr>
      <w:r>
        <w:tab/>
        <w:t>(b)</w:t>
      </w:r>
      <w:r>
        <w:tab/>
        <w:t>in relation to the Sheriff — information that, in the opinion of the Sheriff, is or is likely to be relevant to the performance of any function of the Sheriff under this Act or another written law;</w:t>
      </w:r>
    </w:p>
    <w:p>
      <w:pPr>
        <w:pStyle w:val="Defstart"/>
      </w:pPr>
      <w:r>
        <w:tab/>
      </w:r>
      <w:r>
        <w:rPr>
          <w:rStyle w:val="CharDefText"/>
        </w:rPr>
        <w:t>research</w:t>
      </w:r>
      <w:r>
        <w:t xml:space="preserve"> means research to promote the development of criminology or corrective services.</w:t>
      </w:r>
    </w:p>
    <w:p>
      <w:pPr>
        <w:pStyle w:val="Footnotesection"/>
      </w:pPr>
      <w:r>
        <w:tab/>
        <w:t>[Section 100 inserted: No. 25 of 2020 s. 78.]</w:t>
      </w:r>
    </w:p>
    <w:p>
      <w:pPr>
        <w:pStyle w:val="Heading5"/>
      </w:pPr>
      <w:bookmarkStart w:id="549" w:name="_Toc51665767"/>
      <w:r>
        <w:rPr>
          <w:rStyle w:val="CharSectno"/>
        </w:rPr>
        <w:t>100A</w:t>
      </w:r>
      <w:r>
        <w:t>.</w:t>
      </w:r>
      <w:r>
        <w:tab/>
        <w:t>Disclosure of information to Registrar or Sheriff</w:t>
      </w:r>
      <w:bookmarkEnd w:id="549"/>
    </w:p>
    <w:p>
      <w:pPr>
        <w:pStyle w:val="Subsection"/>
      </w:pPr>
      <w:r>
        <w:tab/>
        <w:t>(1)</w:t>
      </w:r>
      <w:r>
        <w:tab/>
        <w:t xml:space="preserve">The Registrar or Sheriff (the </w:t>
      </w:r>
      <w:r>
        <w:rPr>
          <w:rStyle w:val="CharDefText"/>
        </w:rPr>
        <w:t>requesting officer</w:t>
      </w:r>
      <w:r>
        <w:t>) may request a public authority, contractor or electricity corporation to disclose relevant information to the requesting officer.</w:t>
      </w:r>
    </w:p>
    <w:p>
      <w:pPr>
        <w:pStyle w:val="Subsection"/>
      </w:pPr>
      <w:r>
        <w:tab/>
        <w:t>(2)</w:t>
      </w:r>
      <w:r>
        <w:tab/>
        <w:t xml:space="preserve">A request under subsection (1)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(3)</w:t>
      </w:r>
      <w:r>
        <w:tab/>
        <w:t>A person to whom a request under subsection (1) is made must disclose information in compliance with the request.</w:t>
      </w:r>
    </w:p>
    <w:p>
      <w:pPr>
        <w:pStyle w:val="Subsection"/>
      </w:pPr>
      <w:r>
        <w:tab/>
        <w:t>(4)</w:t>
      </w:r>
      <w:r>
        <w:tab/>
        <w:t>A person, other than a public authority, who contravenes a request made under subsection (1) is guilty of a contempt of the Magistrates Court.</w:t>
      </w:r>
    </w:p>
    <w:p>
      <w:pPr>
        <w:pStyle w:val="Footnotesection"/>
      </w:pPr>
      <w:r>
        <w:tab/>
        <w:t>[Section 100A inserted: No. 25 of 2020 s. 78.]</w:t>
      </w:r>
    </w:p>
    <w:p>
      <w:pPr>
        <w:pStyle w:val="Heading5"/>
      </w:pPr>
      <w:bookmarkStart w:id="550" w:name="_Toc51665768"/>
      <w:r>
        <w:rPr>
          <w:rStyle w:val="CharSectno"/>
        </w:rPr>
        <w:t>100B</w:t>
      </w:r>
      <w:r>
        <w:t>.</w:t>
      </w:r>
      <w:r>
        <w:tab/>
        <w:t>Disclosure of information by Registrar or Sheriff</w:t>
      </w:r>
      <w:bookmarkEnd w:id="550"/>
    </w:p>
    <w:p>
      <w:pPr>
        <w:pStyle w:val="Subsection"/>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Subsection"/>
      </w:pPr>
      <w:r>
        <w:tab/>
        <w:t>(2)</w:t>
      </w:r>
      <w:r>
        <w:tab/>
        <w:t>The Registrar or Sheriff may disclose information as approved under subsection (1).</w:t>
      </w:r>
    </w:p>
    <w:p>
      <w:pPr>
        <w:pStyle w:val="Subsection"/>
      </w:pPr>
      <w:r>
        <w:tab/>
        <w:t>(3)</w:t>
      </w:r>
      <w:r>
        <w:tab/>
        <w:t xml:space="preserve">The Registrar or Sheriff may — </w:t>
      </w:r>
    </w:p>
    <w:p>
      <w:pPr>
        <w:pStyle w:val="Indenta"/>
      </w:pPr>
      <w:r>
        <w:tab/>
        <w:t>(a)</w:t>
      </w:r>
      <w:r>
        <w:tab/>
        <w:t>disclose information relating to offenders, alleged offenders, fines or infringement notices to a public authority or other body for use in research; or</w:t>
      </w:r>
    </w:p>
    <w:p>
      <w:pPr>
        <w:pStyle w:val="Indenta"/>
      </w:pPr>
      <w:r>
        <w:tab/>
        <w:t>(b)</w:t>
      </w:r>
      <w:r>
        <w:tab/>
        <w:t>disclose information prescribed by the regulations in circumstances prescribed by the regulations.</w:t>
      </w:r>
    </w:p>
    <w:p>
      <w:pPr>
        <w:pStyle w:val="Subsection"/>
      </w:pPr>
      <w:r>
        <w:tab/>
        <w:t>(4)</w:t>
      </w:r>
      <w:r>
        <w:tab/>
        <w:t xml:space="preserve">The Registrar must — </w:t>
      </w:r>
    </w:p>
    <w:p>
      <w:pPr>
        <w:pStyle w:val="Indenta"/>
      </w:pPr>
      <w:r>
        <w:tab/>
        <w:t>(a)</w:t>
      </w:r>
      <w:r>
        <w:tab/>
        <w:t>establish written procedures for the disclosure of information by the Registrar or Sheriff under this section; and</w:t>
      </w:r>
    </w:p>
    <w:p>
      <w:pPr>
        <w:pStyle w:val="Indenta"/>
      </w:pPr>
      <w:r>
        <w:tab/>
        <w:t>(b)</w:t>
      </w:r>
      <w:r>
        <w:tab/>
        <w:t>ensure that the procedures are published on the Registrar’s website.</w:t>
      </w:r>
    </w:p>
    <w:p>
      <w:pPr>
        <w:pStyle w:val="Footnotesection"/>
      </w:pPr>
      <w:r>
        <w:tab/>
        <w:t>[Section 100B inserted: No. 25 of 2020 s. 78.]</w:t>
      </w:r>
    </w:p>
    <w:p>
      <w:pPr>
        <w:pStyle w:val="Heading5"/>
      </w:pPr>
      <w:bookmarkStart w:id="551" w:name="_Toc51665769"/>
      <w:r>
        <w:rPr>
          <w:rStyle w:val="CharSectno"/>
        </w:rPr>
        <w:t>100C</w:t>
      </w:r>
      <w:r>
        <w:t>.</w:t>
      </w:r>
      <w:r>
        <w:tab/>
        <w:t>Registrar and Sheriff to have access to records of Director General</w:t>
      </w:r>
      <w:bookmarkEnd w:id="551"/>
    </w:p>
    <w:p>
      <w:pPr>
        <w:pStyle w:val="Subsection"/>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Footnotesection"/>
      </w:pPr>
      <w:r>
        <w:tab/>
        <w:t>[Section 100C inserted: No. 25 of 2020 s. 78.]</w:t>
      </w:r>
    </w:p>
    <w:p>
      <w:pPr>
        <w:pStyle w:val="Heading5"/>
      </w:pPr>
      <w:bookmarkStart w:id="552" w:name="_Toc51665770"/>
      <w:r>
        <w:rPr>
          <w:rStyle w:val="CharSectno"/>
        </w:rPr>
        <w:t>100D</w:t>
      </w:r>
      <w:r>
        <w:t>.</w:t>
      </w:r>
      <w:r>
        <w:tab/>
        <w:t>Regulations relating to information</w:t>
      </w:r>
      <w:bookmarkEnd w:id="552"/>
    </w:p>
    <w:p>
      <w:pPr>
        <w:pStyle w:val="Subsection"/>
      </w:pPr>
      <w:r>
        <w:tab/>
      </w:r>
      <w:r>
        <w:tab/>
        <w:t xml:space="preserve">The regulations may provide for the following — </w:t>
      </w:r>
    </w:p>
    <w:p>
      <w:pPr>
        <w:pStyle w:val="Indenta"/>
      </w:pPr>
      <w:r>
        <w:tab/>
        <w:t>(a)</w:t>
      </w:r>
      <w:r>
        <w:tab/>
        <w:t>the conditions subject to which information may be disclosed or accessed under this Part;</w:t>
      </w:r>
    </w:p>
    <w:p>
      <w:pPr>
        <w:pStyle w:val="Indenta"/>
      </w:pPr>
      <w:r>
        <w:tab/>
        <w:t>(b)</w:t>
      </w:r>
      <w:r>
        <w:tab/>
        <w:t>the receipt, use and storage of information disclosed or accessed under this Part;</w:t>
      </w:r>
    </w:p>
    <w:p>
      <w:pPr>
        <w:pStyle w:val="Indenta"/>
      </w:pPr>
      <w:r>
        <w:tab/>
        <w:t>(c)</w:t>
      </w:r>
      <w:r>
        <w:tab/>
        <w:t>the restriction of access to information disclosed or accessed under this Part;</w:t>
      </w:r>
    </w:p>
    <w:p>
      <w:pPr>
        <w:pStyle w:val="Indenta"/>
      </w:pPr>
      <w:r>
        <w:tab/>
        <w:t>(d)</w:t>
      </w:r>
      <w:r>
        <w:tab/>
        <w:t>the maximum period for which information disclosed or accessed under this Part may be retained;</w:t>
      </w:r>
    </w:p>
    <w:p>
      <w:pPr>
        <w:pStyle w:val="Indenta"/>
      </w:pPr>
      <w:r>
        <w:tab/>
        <w:t>(e)</w:t>
      </w:r>
      <w:r>
        <w:tab/>
        <w:t>the circumstances in which information disclosed or accessed under this Part must be destroyed.</w:t>
      </w:r>
    </w:p>
    <w:p>
      <w:pPr>
        <w:pStyle w:val="Footnotesection"/>
      </w:pPr>
      <w:r>
        <w:tab/>
        <w:t>[Section 100D inserted: No. 25 of 2020 s. 78.]</w:t>
      </w:r>
    </w:p>
    <w:p>
      <w:pPr>
        <w:pStyle w:val="Heading5"/>
      </w:pPr>
      <w:bookmarkStart w:id="553" w:name="_Toc51665771"/>
      <w:r>
        <w:rPr>
          <w:rStyle w:val="CharSectno"/>
        </w:rPr>
        <w:t>100E</w:t>
      </w:r>
      <w:r>
        <w:t>.</w:t>
      </w:r>
      <w:r>
        <w:tab/>
        <w:t>Disclosure not subject to other laws</w:t>
      </w:r>
      <w:bookmarkEnd w:id="553"/>
    </w:p>
    <w:p>
      <w:pPr>
        <w:pStyle w:val="Subsection"/>
      </w:pPr>
      <w:r>
        <w:tab/>
        <w:t>(1)</w:t>
      </w:r>
      <w:r>
        <w:tab/>
        <w:t>Information may be disclosed or accessed under this Part despite any written law relating to confidentiality or secrecy.</w:t>
      </w:r>
    </w:p>
    <w:p>
      <w:pPr>
        <w:pStyle w:val="Subsection"/>
      </w:pPr>
      <w:r>
        <w:tab/>
        <w:t>(2)</w:t>
      </w:r>
      <w:r>
        <w:tab/>
        <w:t xml:space="preserve">If information is disclosed or accessed, in good faith, under this Part — </w:t>
      </w:r>
    </w:p>
    <w:p>
      <w:pPr>
        <w:pStyle w:val="Indenta"/>
      </w:pPr>
      <w:r>
        <w:tab/>
        <w:t>(a)</w:t>
      </w:r>
      <w:r>
        <w:tab/>
        <w:t>no civil or criminal liability is incurred in respect of the disclosure or access; and</w:t>
      </w:r>
    </w:p>
    <w:p>
      <w:pPr>
        <w:pStyle w:val="Indenta"/>
      </w:pPr>
      <w:r>
        <w:tab/>
        <w:t>(b)</w:t>
      </w:r>
      <w:r>
        <w:tab/>
        <w:t>the disclosure or access is not to be regarded as a breach of any duty of confidentiality or secrecy imposed by law; and</w:t>
      </w:r>
    </w:p>
    <w:p>
      <w:pPr>
        <w:pStyle w:val="Indenta"/>
      </w:pPr>
      <w:r>
        <w:tab/>
        <w:t>(c)</w:t>
      </w:r>
      <w:r>
        <w:tab/>
        <w:t>the disclosure or access is not to be regarded as a breach of professional ethics or standards or as unprofessional conduct.</w:t>
      </w:r>
    </w:p>
    <w:p>
      <w:pPr>
        <w:pStyle w:val="Footnotesection"/>
      </w:pPr>
      <w:r>
        <w:tab/>
        <w:t>[Section 100E inserted: No. 25 of 2020 s. 78.]</w:t>
      </w:r>
    </w:p>
    <w:p>
      <w:pPr>
        <w:pStyle w:val="Heading5"/>
      </w:pPr>
      <w:bookmarkStart w:id="554" w:name="_Toc51665772"/>
      <w:r>
        <w:rPr>
          <w:rStyle w:val="CharSectno"/>
        </w:rPr>
        <w:t>100F</w:t>
      </w:r>
      <w:r>
        <w:t>.</w:t>
      </w:r>
      <w:r>
        <w:tab/>
        <w:t>Confidentiality</w:t>
      </w:r>
      <w:bookmarkEnd w:id="554"/>
    </w:p>
    <w:p>
      <w:pPr>
        <w:pStyle w:val="Subsection"/>
      </w:pPr>
      <w:r>
        <w:tab/>
        <w:t>(1)</w:t>
      </w:r>
      <w:r>
        <w:tab/>
        <w:t xml:space="preserve">A person must not, directly or indirectly, collect, use or disclose information of the following kinds except as authorised under subsection (2) — </w:t>
      </w:r>
    </w:p>
    <w:p>
      <w:pPr>
        <w:pStyle w:val="Indenta"/>
      </w:pPr>
      <w:r>
        <w:tab/>
        <w:t>(a)</w:t>
      </w:r>
      <w:r>
        <w:tab/>
        <w:t>information obtained because of the person’s office, position, employment or engagement for the purposes of this Act;</w:t>
      </w:r>
    </w:p>
    <w:p>
      <w:pPr>
        <w:pStyle w:val="Indenta"/>
      </w:pPr>
      <w:r>
        <w:tab/>
        <w:t>(b)</w:t>
      </w:r>
      <w:r>
        <w:tab/>
        <w:t>information disclosed to the person under section 100A or 100B.</w:t>
      </w:r>
    </w:p>
    <w:p>
      <w:pPr>
        <w:pStyle w:val="Penstart"/>
      </w:pPr>
      <w:r>
        <w:tab/>
        <w:t>Penalty for this subsection: a fine of $10 000.</w:t>
      </w:r>
    </w:p>
    <w:p>
      <w:pPr>
        <w:pStyle w:val="Subsection"/>
      </w:pPr>
      <w:r>
        <w:tab/>
        <w:t>(2)</w:t>
      </w:r>
      <w:r>
        <w:tab/>
        <w:t xml:space="preserve">The collection, use or disclosure of information to which subsection (1) applies is authorised if the information is collected, used or disclosed in good faith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for the purposes of any legal proceedings arising under this Act or another written law;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the case of information disclosed under section 100B — for the purposes for which the information was disclosed; or</w:t>
      </w:r>
    </w:p>
    <w:p>
      <w:pPr>
        <w:pStyle w:val="Indenta"/>
      </w:pPr>
      <w:r>
        <w:tab/>
        <w:t>(g)</w:t>
      </w:r>
      <w:r>
        <w:tab/>
        <w:t>in circumstances prescribed by the regulations.</w:t>
      </w:r>
    </w:p>
    <w:p>
      <w:pPr>
        <w:pStyle w:val="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Footnotesection"/>
      </w:pPr>
      <w:r>
        <w:tab/>
        <w:t>[Section 100F inserted: No. 25 of 2020 s. 78.]</w:t>
      </w:r>
    </w:p>
    <w:p>
      <w:pPr>
        <w:pStyle w:val="Heading2"/>
      </w:pPr>
      <w:bookmarkStart w:id="555" w:name="_Toc51319967"/>
      <w:bookmarkStart w:id="556" w:name="_Toc51320420"/>
      <w:bookmarkStart w:id="557" w:name="_Toc51581360"/>
      <w:bookmarkStart w:id="558" w:name="_Toc51581665"/>
      <w:bookmarkStart w:id="559" w:name="_Toc51665773"/>
      <w:r>
        <w:rPr>
          <w:rStyle w:val="CharPartNo"/>
        </w:rPr>
        <w:t>Part 8</w:t>
      </w:r>
      <w:r>
        <w:rPr>
          <w:rStyle w:val="CharDivNo"/>
        </w:rPr>
        <w:t> </w:t>
      </w:r>
      <w:r>
        <w:t>—</w:t>
      </w:r>
      <w:r>
        <w:rPr>
          <w:rStyle w:val="CharDivText"/>
        </w:rPr>
        <w:t> </w:t>
      </w:r>
      <w:r>
        <w:rPr>
          <w:rStyle w:val="CharPartText"/>
        </w:rPr>
        <w:t>Miscellaneous</w:t>
      </w:r>
      <w:bookmarkEnd w:id="546"/>
      <w:bookmarkEnd w:id="547"/>
      <w:bookmarkEnd w:id="555"/>
      <w:bookmarkEnd w:id="556"/>
      <w:bookmarkEnd w:id="557"/>
      <w:bookmarkEnd w:id="558"/>
      <w:bookmarkEnd w:id="559"/>
    </w:p>
    <w:p>
      <w:pPr>
        <w:pStyle w:val="Heading5"/>
        <w:spacing w:before="180"/>
        <w:rPr>
          <w:snapToGrid w:val="0"/>
        </w:rPr>
      </w:pPr>
      <w:bookmarkStart w:id="560" w:name="_Toc51665774"/>
      <w:r>
        <w:rPr>
          <w:rStyle w:val="CharSectno"/>
        </w:rPr>
        <w:t>101</w:t>
      </w:r>
      <w:r>
        <w:rPr>
          <w:snapToGrid w:val="0"/>
        </w:rPr>
        <w:t>.</w:t>
      </w:r>
      <w:r>
        <w:rPr>
          <w:snapToGrid w:val="0"/>
        </w:rPr>
        <w:tab/>
        <w:t>Justices may set aside licence suspension order made under Part 3</w:t>
      </w:r>
      <w:bookmarkEnd w:id="560"/>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561" w:name="_Toc51665775"/>
      <w:r>
        <w:rPr>
          <w:rStyle w:val="CharSectno"/>
        </w:rPr>
        <w:t>101AA</w:t>
      </w:r>
      <w:r>
        <w:t>.</w:t>
      </w:r>
      <w:r>
        <w:tab/>
        <w:t>Magistrates Court may set aside enforcement warrant issued under Part 3</w:t>
      </w:r>
      <w:bookmarkEnd w:id="561"/>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562" w:name="_Toc51665776"/>
      <w:r>
        <w:rPr>
          <w:rStyle w:val="CharSectno"/>
        </w:rPr>
        <w:t>101A</w:t>
      </w:r>
      <w:r>
        <w:rPr>
          <w:snapToGrid w:val="0"/>
        </w:rPr>
        <w:t>.</w:t>
      </w:r>
      <w:r>
        <w:rPr>
          <w:snapToGrid w:val="0"/>
        </w:rPr>
        <w:tab/>
        <w:t>Justices may set aside licence suspension order made under Part 4</w:t>
      </w:r>
      <w:bookmarkEnd w:id="562"/>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563" w:name="_Toc51665777"/>
      <w:r>
        <w:rPr>
          <w:rStyle w:val="CharSectno"/>
        </w:rPr>
        <w:t>101B</w:t>
      </w:r>
      <w:r>
        <w:rPr>
          <w:snapToGrid w:val="0"/>
        </w:rPr>
        <w:t>.</w:t>
      </w:r>
      <w:r>
        <w:rPr>
          <w:snapToGrid w:val="0"/>
        </w:rPr>
        <w:tab/>
        <w:t>Enforcement suspended on appeal etc.</w:t>
      </w:r>
      <w:bookmarkEnd w:id="563"/>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 and</w:t>
      </w:r>
    </w:p>
    <w:p>
      <w:pPr>
        <w:pStyle w:val="Indenti"/>
      </w:pPr>
      <w:r>
        <w:tab/>
        <w:t>(iv)</w:t>
      </w:r>
      <w:r>
        <w:tab/>
        <w:t>no money has been paid in compliance with a notice served under section 78 under the warrant; and</w:t>
      </w:r>
    </w:p>
    <w:p>
      <w:pPr>
        <w:pStyle w:val="Indenti"/>
      </w:pPr>
      <w:r>
        <w:tab/>
        <w:t>(v)</w:t>
      </w:r>
      <w:r>
        <w:tab/>
        <w:t>no money has been deducted in compliance with a garnishee order issued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 xml:space="preserve">an order to attend for work and development has been issued under </w:t>
      </w:r>
      <w:r>
        <w:t>section 47 but not served, the order is to be taken as being cancelled as from that time;</w:t>
      </w:r>
    </w:p>
    <w:p>
      <w:pPr>
        <w:pStyle w:val="Indenta"/>
      </w:pPr>
      <w:r>
        <w:tab/>
        <w:t>(f)</w:t>
      </w:r>
      <w:r>
        <w:tab/>
        <w:t>an ongoing fine expiation order (as defined in section 28(1)) is in force in relation to the fine, the order continues in force after the appeal is made, subject to section 52J.</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 or</w:t>
      </w:r>
    </w:p>
    <w:p>
      <w:pPr>
        <w:pStyle w:val="Indenti"/>
      </w:pPr>
      <w:r>
        <w:tab/>
        <w:t>(iv)</w:t>
      </w:r>
      <w:r>
        <w:tab/>
        <w:t>money has been paid in compliance with a notice served under section 78 under the warrant; or</w:t>
      </w:r>
    </w:p>
    <w:p>
      <w:pPr>
        <w:pStyle w:val="Indenti"/>
      </w:pPr>
      <w:r>
        <w:tab/>
        <w:t>(v)</w:t>
      </w:r>
      <w:r>
        <w:tab/>
        <w:t>money has been deducted in compliance with a garnishee order issued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 xml:space="preserve">an order to attend for work and development issued under </w:t>
      </w:r>
      <w:r>
        <w:t xml:space="preserve">section 47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and disqualification order has not been made under section 95J in respect of the vehicle; and</w:t>
      </w:r>
    </w:p>
    <w:p>
      <w:pPr>
        <w:pStyle w:val="Indenta"/>
      </w:pPr>
      <w:r>
        <w:tab/>
        <w:t>(e)</w:t>
      </w:r>
      <w:r>
        <w:tab/>
        <w:t>the person holds the vehicle licence for the vehicle (whether or not the vehicle licence is suspended),</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and disqualification order has been made under section 95J in respect of a vehicle under the warrant,</w:t>
      </w:r>
    </w:p>
    <w:p>
      <w:pPr>
        <w:pStyle w:val="Subsection"/>
      </w:pPr>
      <w:r>
        <w:tab/>
      </w:r>
      <w:r>
        <w:tab/>
        <w:t>the vehicle licence cancellation and disqualification order is taken to be cancelled to the extent that the order would disqualify the person from holding or obtaining a vehicle licence in respect of that vehicle, and the Registrar must notify the Director General of that cancellation and disqualification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 No. 25 of 2020 s. 79.]</w:t>
      </w:r>
    </w:p>
    <w:p>
      <w:pPr>
        <w:pStyle w:val="Heading5"/>
        <w:rPr>
          <w:snapToGrid w:val="0"/>
        </w:rPr>
      </w:pPr>
      <w:bookmarkStart w:id="564" w:name="_Toc51665778"/>
      <w:r>
        <w:rPr>
          <w:rStyle w:val="CharSectno"/>
        </w:rPr>
        <w:t>101C</w:t>
      </w:r>
      <w:r>
        <w:rPr>
          <w:snapToGrid w:val="0"/>
        </w:rPr>
        <w:t>.</w:t>
      </w:r>
      <w:r>
        <w:rPr>
          <w:snapToGrid w:val="0"/>
        </w:rPr>
        <w:tab/>
        <w:t>Proving licence suspension orders and service of documents</w:t>
      </w:r>
      <w:bookmarkEnd w:id="564"/>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suspension and disqualification order was made under section 95G or a vehicle licence cancellation and disqualification 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suspension and disqualification order made under section 95G, or a vehicle licence cancellation and disqualification order</w:t>
      </w:r>
      <w:r>
        <w:rPr>
          <w:snapToGrid w:val="0"/>
        </w:rPr>
        <w:t xml:space="preserve"> made under section 95J, and of the matter to which it relates;</w:t>
      </w:r>
    </w:p>
    <w:p>
      <w:pPr>
        <w:pStyle w:val="Indenta"/>
        <w:rPr>
          <w:snapToGrid w:val="0"/>
        </w:rPr>
      </w:pPr>
      <w:r>
        <w:rPr>
          <w:snapToGrid w:val="0"/>
        </w:rPr>
        <w:tab/>
        <w:t>(c)</w:t>
      </w:r>
      <w:r>
        <w:rPr>
          <w:snapToGrid w:val="0"/>
        </w:rPr>
        <w:tab/>
        <w:t xml:space="preserve">that a vehicle licence suspension </w:t>
      </w:r>
      <w:r>
        <w:t>and disqualification</w:t>
      </w:r>
      <w:r>
        <w:rPr>
          <w:snapToGrid w:val="0"/>
        </w:rPr>
        <w:t xml:space="preserve"> order made under section 95G had not, at a particular time, been cancelled;</w:t>
      </w:r>
    </w:p>
    <w:p>
      <w:pPr>
        <w:pStyle w:val="Indenta"/>
        <w:rPr>
          <w:snapToGrid w:val="0"/>
        </w:rPr>
      </w:pPr>
      <w:r>
        <w:rPr>
          <w:snapToGrid w:val="0"/>
        </w:rPr>
        <w:tab/>
        <w:t>(d)</w:t>
      </w:r>
      <w:r>
        <w:rPr>
          <w:snapToGrid w:val="0"/>
        </w:rPr>
        <w:tab/>
        <w:t xml:space="preserve">that a vehicle licence cancellation </w:t>
      </w:r>
      <w:r>
        <w:t>and disqualification</w:t>
      </w:r>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 No. 25 of 2020 s. 80.]</w:t>
      </w:r>
    </w:p>
    <w:p>
      <w:pPr>
        <w:pStyle w:val="Heading5"/>
        <w:spacing w:before="200"/>
        <w:rPr>
          <w:snapToGrid w:val="0"/>
        </w:rPr>
      </w:pPr>
      <w:bookmarkStart w:id="565" w:name="_Toc51665779"/>
      <w:r>
        <w:rPr>
          <w:rStyle w:val="CharSectno"/>
        </w:rPr>
        <w:t>101D</w:t>
      </w:r>
      <w:r>
        <w:rPr>
          <w:snapToGrid w:val="0"/>
        </w:rPr>
        <w:t>.</w:t>
      </w:r>
      <w:r>
        <w:rPr>
          <w:snapToGrid w:val="0"/>
        </w:rPr>
        <w:tab/>
        <w:t>Validity of certain orders not affected by non-receipt of documents</w:t>
      </w:r>
      <w:bookmarkEnd w:id="565"/>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and disqualification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and disqualification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 No. 25 of 2020 s. 81.]</w:t>
      </w:r>
    </w:p>
    <w:p>
      <w:pPr>
        <w:pStyle w:val="Heading5"/>
        <w:spacing w:before="200"/>
        <w:rPr>
          <w:snapToGrid w:val="0"/>
        </w:rPr>
      </w:pPr>
      <w:bookmarkStart w:id="566" w:name="_Toc51665780"/>
      <w:r>
        <w:rPr>
          <w:rStyle w:val="CharSectno"/>
        </w:rPr>
        <w:t>102</w:t>
      </w:r>
      <w:r>
        <w:rPr>
          <w:snapToGrid w:val="0"/>
        </w:rPr>
        <w:t>.</w:t>
      </w:r>
      <w:r>
        <w:rPr>
          <w:snapToGrid w:val="0"/>
        </w:rPr>
        <w:tab/>
        <w:t>Effect of payment by dishonoured cheque</w:t>
      </w:r>
      <w:bookmarkEnd w:id="566"/>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567" w:name="_Toc51665781"/>
      <w:r>
        <w:rPr>
          <w:rStyle w:val="CharSectno"/>
        </w:rPr>
        <w:t>103</w:t>
      </w:r>
      <w:r>
        <w:rPr>
          <w:snapToGrid w:val="0"/>
        </w:rPr>
        <w:t>.</w:t>
      </w:r>
      <w:r>
        <w:rPr>
          <w:snapToGrid w:val="0"/>
        </w:rPr>
        <w:tab/>
        <w:t>Exclusion of rules of natural justice</w:t>
      </w:r>
      <w:bookmarkEnd w:id="567"/>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 the CEO (fines enforcement) or</w:t>
      </w:r>
      <w:r>
        <w:rPr>
          <w:snapToGrid w:val="0"/>
        </w:rPr>
        <w:t xml:space="preserve"> the CEO</w:t>
      </w:r>
      <w:r>
        <w:t xml:space="preserve"> (corrections)</w:t>
      </w:r>
      <w:r>
        <w:rPr>
          <w:snapToGrid w:val="0"/>
        </w:rPr>
        <w:t>.</w:t>
      </w:r>
    </w:p>
    <w:p>
      <w:pPr>
        <w:pStyle w:val="Footnotesection"/>
      </w:pPr>
      <w:r>
        <w:tab/>
        <w:t>[Section 103 amended: No. 65 of 2006 s. 64; No. 25 of 2020 s. 82.]</w:t>
      </w:r>
    </w:p>
    <w:p>
      <w:pPr>
        <w:pStyle w:val="Heading5"/>
        <w:spacing w:before="180"/>
        <w:rPr>
          <w:snapToGrid w:val="0"/>
        </w:rPr>
      </w:pPr>
      <w:bookmarkStart w:id="568" w:name="_Toc51665782"/>
      <w:r>
        <w:rPr>
          <w:rStyle w:val="CharSectno"/>
        </w:rPr>
        <w:t>104</w:t>
      </w:r>
      <w:r>
        <w:rPr>
          <w:snapToGrid w:val="0"/>
        </w:rPr>
        <w:t>.</w:t>
      </w:r>
      <w:r>
        <w:rPr>
          <w:snapToGrid w:val="0"/>
        </w:rPr>
        <w:tab/>
        <w:t>Warrants of commitment</w:t>
      </w:r>
      <w:bookmarkEnd w:id="56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569" w:name="_Toc51665783"/>
      <w:r>
        <w:rPr>
          <w:rStyle w:val="CharSectno"/>
        </w:rPr>
        <w:t>105</w:t>
      </w:r>
      <w:r>
        <w:rPr>
          <w:snapToGrid w:val="0"/>
        </w:rPr>
        <w:t>.</w:t>
      </w:r>
      <w:r>
        <w:rPr>
          <w:snapToGrid w:val="0"/>
        </w:rPr>
        <w:tab/>
        <w:t>Facsimile warrants</w:t>
      </w:r>
      <w:bookmarkEnd w:id="569"/>
    </w:p>
    <w:p>
      <w:pPr>
        <w:pStyle w:val="Subsection"/>
        <w:rPr>
          <w:snapToGrid w:val="0"/>
        </w:rPr>
      </w:pPr>
      <w:r>
        <w:rPr>
          <w:snapToGrid w:val="0"/>
        </w:rPr>
        <w:tab/>
        <w:t>(1)</w:t>
      </w:r>
      <w:r>
        <w:rPr>
          <w:snapToGrid w:val="0"/>
        </w:rPr>
        <w:tab/>
        <w:t>A</w:t>
      </w:r>
      <w:r>
        <w:t>n enforcement warrant</w:t>
      </w:r>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 No. 25 of 2020 s. 83.]</w:t>
      </w:r>
    </w:p>
    <w:p>
      <w:pPr>
        <w:pStyle w:val="Heading5"/>
      </w:pPr>
      <w:bookmarkStart w:id="570" w:name="_Toc51665784"/>
      <w:r>
        <w:rPr>
          <w:rStyle w:val="CharSectno"/>
        </w:rPr>
        <w:t>105A</w:t>
      </w:r>
      <w:r>
        <w:t>.</w:t>
      </w:r>
      <w:r>
        <w:tab/>
        <w:t>Delegation by CEO (fines enforcement)</w:t>
      </w:r>
      <w:bookmarkEnd w:id="570"/>
    </w:p>
    <w:p>
      <w:pPr>
        <w:pStyle w:val="Subsection"/>
      </w:pPr>
      <w:r>
        <w:tab/>
        <w:t>(1)</w:t>
      </w:r>
      <w:r>
        <w:tab/>
        <w:t>The CEO (fines enforcement) may delegate to any person any power or duty of the CEO (fines enforcement) under another provision of this Act.</w:t>
      </w:r>
    </w:p>
    <w:p>
      <w:pPr>
        <w:pStyle w:val="Subsection"/>
      </w:pPr>
      <w:r>
        <w:tab/>
        <w:t>(2)</w:t>
      </w:r>
      <w:r>
        <w:tab/>
        <w:t>The delegation must be in writing signed by the CEO (fines enforcement).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(fines enforcement) to perform a function through an officer or agent.</w:t>
      </w:r>
    </w:p>
    <w:p>
      <w:pPr>
        <w:pStyle w:val="Footnotesection"/>
      </w:pPr>
      <w:r>
        <w:tab/>
        <w:t>[Section 105A inserted: No. 25 of 2020 s. 84.]</w:t>
      </w:r>
    </w:p>
    <w:p>
      <w:pPr>
        <w:pStyle w:val="Heading5"/>
        <w:spacing w:before="180"/>
        <w:rPr>
          <w:snapToGrid w:val="0"/>
        </w:rPr>
      </w:pPr>
      <w:bookmarkStart w:id="571" w:name="_Toc51665785"/>
      <w:r>
        <w:rPr>
          <w:rStyle w:val="CharSectno"/>
        </w:rPr>
        <w:t>106</w:t>
      </w:r>
      <w:r>
        <w:rPr>
          <w:snapToGrid w:val="0"/>
        </w:rPr>
        <w:t>.</w:t>
      </w:r>
      <w:r>
        <w:rPr>
          <w:snapToGrid w:val="0"/>
        </w:rPr>
        <w:tab/>
        <w:t>Validity of acts not affected by want of form</w:t>
      </w:r>
      <w:bookmarkEnd w:id="571"/>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572" w:name="_Toc51665786"/>
      <w:r>
        <w:rPr>
          <w:rStyle w:val="CharSectno"/>
        </w:rPr>
        <w:t>107</w:t>
      </w:r>
      <w:r>
        <w:rPr>
          <w:snapToGrid w:val="0"/>
        </w:rPr>
        <w:t>.</w:t>
      </w:r>
      <w:r>
        <w:rPr>
          <w:snapToGrid w:val="0"/>
        </w:rPr>
        <w:tab/>
        <w:t>Protection from liability for wrongdoing</w:t>
      </w:r>
      <w:bookmarkEnd w:id="572"/>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573" w:name="_Toc51665787"/>
      <w:r>
        <w:rPr>
          <w:rStyle w:val="CharSectno"/>
        </w:rPr>
        <w:t>108A</w:t>
      </w:r>
      <w:r>
        <w:t>.</w:t>
      </w:r>
      <w:r>
        <w:tab/>
        <w:t>Credit for punishment served in error</w:t>
      </w:r>
      <w:bookmarkEnd w:id="573"/>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this Act;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Part 4;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 No. 25 of 2020 s. 85.]</w:t>
      </w:r>
    </w:p>
    <w:p>
      <w:pPr>
        <w:pStyle w:val="Heading5"/>
        <w:spacing w:before="180"/>
      </w:pPr>
      <w:bookmarkStart w:id="574" w:name="_Toc51665788"/>
      <w:r>
        <w:rPr>
          <w:rStyle w:val="CharSectno"/>
        </w:rPr>
        <w:t>108B</w:t>
      </w:r>
      <w:r>
        <w:t>.</w:t>
      </w:r>
      <w:r>
        <w:tab/>
        <w:t>Amounts to be credited to agency special purpose account</w:t>
      </w:r>
      <w:bookmarkEnd w:id="574"/>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575" w:name="_Toc51665789"/>
      <w:r>
        <w:rPr>
          <w:rStyle w:val="CharSectno"/>
        </w:rPr>
        <w:t>108</w:t>
      </w:r>
      <w:r>
        <w:rPr>
          <w:snapToGrid w:val="0"/>
        </w:rPr>
        <w:t>.</w:t>
      </w:r>
      <w:r>
        <w:rPr>
          <w:snapToGrid w:val="0"/>
        </w:rPr>
        <w:tab/>
        <w:t>Regulations</w:t>
      </w:r>
      <w:bookmarkEnd w:id="5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 or 101AA;</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r>
        <w:t>for the purposes of this Act;</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r>
        <w:t>this Act by a statutory declaration or by other means;</w:t>
      </w:r>
    </w:p>
    <w:p>
      <w:pPr>
        <w:pStyle w:val="Indenta"/>
      </w:pPr>
      <w:r>
        <w:tab/>
        <w:t>(d)</w:t>
      </w:r>
      <w:r>
        <w:tab/>
        <w:t>providing for offences against the regulations and prescribing penalties for those offences not exceeding a fine of $5 000.</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alleged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pPr>
      <w:r>
        <w:tab/>
        <w:t>(ba)</w:t>
      </w:r>
      <w:r>
        <w:tab/>
        <w:t>a fee for the service of a summons under Part 4 Division 3E Subdivision 3;</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 No. 25 of 2020 s. 86.]</w:t>
      </w:r>
    </w:p>
    <w:p>
      <w:pPr>
        <w:pStyle w:val="Heading5"/>
      </w:pPr>
      <w:bookmarkStart w:id="576" w:name="_Toc51665790"/>
      <w:r>
        <w:rPr>
          <w:rStyle w:val="CharSectno"/>
        </w:rPr>
        <w:t>109</w:t>
      </w:r>
      <w:r>
        <w:t>.</w:t>
      </w:r>
      <w:r>
        <w:tab/>
        <w:t>Imposition of tax</w:t>
      </w:r>
      <w:bookmarkEnd w:id="576"/>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577" w:name="_Toc51665791"/>
      <w:r>
        <w:rPr>
          <w:rStyle w:val="CharSectno"/>
        </w:rPr>
        <w:t>109A</w:t>
      </w:r>
      <w:r>
        <w:t>.</w:t>
      </w:r>
      <w:r>
        <w:tab/>
        <w:t xml:space="preserve">Review of certain amendments made by </w:t>
      </w:r>
      <w:r>
        <w:rPr>
          <w:i/>
        </w:rPr>
        <w:t>Fines, Penalties and Infringement Notices Enforcement Amendment Act 2020</w:t>
      </w:r>
      <w:bookmarkEnd w:id="577"/>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109A inserted: No. 25 of 2020 s. 87.]</w:t>
      </w:r>
    </w:p>
    <w:p>
      <w:pPr>
        <w:pStyle w:val="Heading5"/>
      </w:pPr>
      <w:bookmarkStart w:id="578" w:name="_Toc51665792"/>
      <w:r>
        <w:rPr>
          <w:rStyle w:val="CharSectno"/>
        </w:rPr>
        <w:t>109B</w:t>
      </w:r>
      <w:r>
        <w:t>.</w:t>
      </w:r>
      <w:r>
        <w:tab/>
        <w:t>Review of Part 4 Division 3C Subdivision 2</w:t>
      </w:r>
      <w:bookmarkEnd w:id="578"/>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579" w:name="_Toc51245704"/>
      <w:bookmarkStart w:id="580" w:name="_Toc51317342"/>
      <w:bookmarkStart w:id="581" w:name="_Toc51319987"/>
      <w:bookmarkStart w:id="582" w:name="_Toc51320440"/>
      <w:bookmarkStart w:id="583" w:name="_Toc51581380"/>
      <w:bookmarkStart w:id="584" w:name="_Toc51581685"/>
      <w:bookmarkStart w:id="585" w:name="_Toc51665793"/>
      <w:r>
        <w:rPr>
          <w:rStyle w:val="CharPartNo"/>
        </w:rPr>
        <w:t>Part 9</w:t>
      </w:r>
      <w:r>
        <w:rPr>
          <w:b w:val="0"/>
        </w:rPr>
        <w:t> </w:t>
      </w:r>
      <w:r>
        <w:t>—</w:t>
      </w:r>
      <w:r>
        <w:rPr>
          <w:b w:val="0"/>
        </w:rPr>
        <w:t> </w:t>
      </w:r>
      <w:r>
        <w:rPr>
          <w:rStyle w:val="CharPartText"/>
        </w:rPr>
        <w:t>Transitional and validation provisions</w:t>
      </w:r>
      <w:bookmarkEnd w:id="579"/>
      <w:bookmarkEnd w:id="580"/>
      <w:bookmarkEnd w:id="581"/>
      <w:bookmarkEnd w:id="582"/>
      <w:bookmarkEnd w:id="583"/>
      <w:bookmarkEnd w:id="584"/>
      <w:bookmarkEnd w:id="585"/>
    </w:p>
    <w:p>
      <w:pPr>
        <w:pStyle w:val="Footnoteheading"/>
      </w:pPr>
      <w:r>
        <w:tab/>
        <w:t>[Heading inserted: No. 48 of 2012 s. 42.]</w:t>
      </w:r>
    </w:p>
    <w:p>
      <w:pPr>
        <w:pStyle w:val="Heading3"/>
      </w:pPr>
      <w:bookmarkStart w:id="586" w:name="_Toc51245705"/>
      <w:bookmarkStart w:id="587" w:name="_Toc51317343"/>
      <w:bookmarkStart w:id="588" w:name="_Toc51319988"/>
      <w:bookmarkStart w:id="589" w:name="_Toc51320441"/>
      <w:bookmarkStart w:id="590" w:name="_Toc51581381"/>
      <w:bookmarkStart w:id="591" w:name="_Toc51581686"/>
      <w:bookmarkStart w:id="592" w:name="_Toc51665794"/>
      <w:r>
        <w:rPr>
          <w:rStyle w:val="CharDivNo"/>
        </w:rPr>
        <w:t>Division 1</w:t>
      </w:r>
      <w:r>
        <w:t> — </w:t>
      </w:r>
      <w:r>
        <w:rPr>
          <w:rStyle w:val="CharDivText"/>
        </w:rPr>
        <w:t xml:space="preserve">Provisions for </w:t>
      </w:r>
      <w:r>
        <w:rPr>
          <w:rStyle w:val="CharDivText"/>
          <w:i/>
        </w:rPr>
        <w:t>Fines, Penalties and Infringement Notices Enforcement Amendment Act 2012</w:t>
      </w:r>
      <w:bookmarkEnd w:id="586"/>
      <w:bookmarkEnd w:id="587"/>
      <w:bookmarkEnd w:id="588"/>
      <w:bookmarkEnd w:id="589"/>
      <w:bookmarkEnd w:id="590"/>
      <w:bookmarkEnd w:id="591"/>
      <w:bookmarkEnd w:id="592"/>
    </w:p>
    <w:p>
      <w:pPr>
        <w:pStyle w:val="Footnoteheading"/>
      </w:pPr>
      <w:r>
        <w:tab/>
        <w:t>[Heading inserted: No. 25 of 2020 s. 7.]</w:t>
      </w:r>
    </w:p>
    <w:p>
      <w:pPr>
        <w:pStyle w:val="Heading5"/>
      </w:pPr>
      <w:bookmarkStart w:id="593" w:name="_Toc51665795"/>
      <w:r>
        <w:rPr>
          <w:rStyle w:val="CharSectno"/>
        </w:rPr>
        <w:t>110</w:t>
      </w:r>
      <w:r>
        <w:t>.</w:t>
      </w:r>
      <w:r>
        <w:tab/>
        <w:t>Transitional provisions as to warrants of execution</w:t>
      </w:r>
      <w:bookmarkEnd w:id="593"/>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594" w:name="_Toc51665796"/>
      <w:r>
        <w:rPr>
          <w:rStyle w:val="CharSectno"/>
        </w:rPr>
        <w:t>111</w:t>
      </w:r>
      <w:r>
        <w:t>.</w:t>
      </w:r>
      <w:r>
        <w:tab/>
        <w:t>Transitional provisions as to notices of intention to suspend licences issued under s. 18</w:t>
      </w:r>
      <w:bookmarkEnd w:id="59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595" w:name="_Toc51665797"/>
      <w:r>
        <w:rPr>
          <w:rStyle w:val="CharSectno"/>
        </w:rPr>
        <w:t>112</w:t>
      </w:r>
      <w:r>
        <w:t>.</w:t>
      </w:r>
      <w:r>
        <w:tab/>
        <w:t>Transitional provisions as to notices of intention to suspend licences issued under s. 42</w:t>
      </w:r>
      <w:bookmarkEnd w:id="595"/>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596" w:name="_Toc51665798"/>
      <w:r>
        <w:rPr>
          <w:rStyle w:val="CharSectno"/>
        </w:rPr>
        <w:t>113</w:t>
      </w:r>
      <w:r>
        <w:t>.</w:t>
      </w:r>
      <w:r>
        <w:tab/>
        <w:t>Transitional provisions as to infringement notices</w:t>
      </w:r>
      <w:bookmarkEnd w:id="596"/>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597" w:name="_Toc51665799"/>
      <w:r>
        <w:rPr>
          <w:rStyle w:val="CharSectno"/>
        </w:rPr>
        <w:t>114</w:t>
      </w:r>
      <w:r>
        <w:t>.</w:t>
      </w:r>
      <w:r>
        <w:tab/>
        <w:t>Validation</w:t>
      </w:r>
      <w:bookmarkEnd w:id="597"/>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598" w:name="_Toc51245711"/>
      <w:bookmarkStart w:id="599" w:name="_Toc51317349"/>
      <w:bookmarkStart w:id="600" w:name="_Toc51319994"/>
      <w:bookmarkStart w:id="601" w:name="_Toc51320447"/>
      <w:bookmarkStart w:id="602" w:name="_Toc51581387"/>
      <w:bookmarkStart w:id="603" w:name="_Toc51581692"/>
      <w:bookmarkStart w:id="604" w:name="_Toc51665800"/>
      <w:r>
        <w:rPr>
          <w:rStyle w:val="CharDivNo"/>
        </w:rPr>
        <w:t>Division 2</w:t>
      </w:r>
      <w:r>
        <w:t> — </w:t>
      </w:r>
      <w:r>
        <w:rPr>
          <w:rStyle w:val="CharDivText"/>
        </w:rPr>
        <w:t xml:space="preserve">Provisions for </w:t>
      </w:r>
      <w:r>
        <w:rPr>
          <w:rStyle w:val="CharDivText"/>
          <w:i/>
        </w:rPr>
        <w:t>Fines, Penalties and Infringement Notices Enforcement Amendment Act 2020</w:t>
      </w:r>
      <w:bookmarkEnd w:id="598"/>
      <w:bookmarkEnd w:id="599"/>
      <w:bookmarkEnd w:id="600"/>
      <w:bookmarkEnd w:id="601"/>
      <w:bookmarkEnd w:id="602"/>
      <w:bookmarkEnd w:id="603"/>
      <w:bookmarkEnd w:id="604"/>
    </w:p>
    <w:p>
      <w:pPr>
        <w:pStyle w:val="Footnoteheading"/>
      </w:pPr>
      <w:r>
        <w:tab/>
        <w:t>[Heading inserted: No. 25 of 2020 s. 8.]</w:t>
      </w:r>
    </w:p>
    <w:p>
      <w:pPr>
        <w:pStyle w:val="Heading5"/>
      </w:pPr>
      <w:bookmarkStart w:id="605" w:name="_Toc51665801"/>
      <w:r>
        <w:rPr>
          <w:rStyle w:val="CharSectno"/>
        </w:rPr>
        <w:t>115</w:t>
      </w:r>
      <w:r>
        <w:t>.</w:t>
      </w:r>
      <w:r>
        <w:tab/>
        <w:t>Terms used</w:t>
      </w:r>
      <w:bookmarkEnd w:id="605"/>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8.]</w:t>
      </w:r>
    </w:p>
    <w:p>
      <w:pPr>
        <w:pStyle w:val="Heading5"/>
      </w:pPr>
      <w:bookmarkStart w:id="606" w:name="_Toc51665802"/>
      <w:r>
        <w:rPr>
          <w:rStyle w:val="CharSectno"/>
        </w:rPr>
        <w:t>116</w:t>
      </w:r>
      <w:r>
        <w:t>.</w:t>
      </w:r>
      <w:r>
        <w:tab/>
        <w:t>Offender not yet arrested under warrant of commitment issued before first commencement day</w:t>
      </w:r>
      <w:bookmarkEnd w:id="606"/>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607" w:name="_Toc51665803"/>
      <w:r>
        <w:rPr>
          <w:rStyle w:val="CharSectno"/>
        </w:rPr>
        <w:t>117</w:t>
      </w:r>
      <w:r>
        <w:t>.</w:t>
      </w:r>
      <w:r>
        <w:tab/>
        <w:t>Offender in custody under warrant of commitment issued before first commencement day</w:t>
      </w:r>
      <w:bookmarkEnd w:id="607"/>
    </w:p>
    <w:p>
      <w:pPr>
        <w:pStyle w:val="Subsection"/>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608" w:name="_Toc51665804"/>
      <w:r>
        <w:rPr>
          <w:rStyle w:val="CharSectno"/>
        </w:rPr>
        <w:t>118</w:t>
      </w:r>
      <w:r>
        <w:t>.</w:t>
      </w:r>
      <w:r>
        <w:tab/>
        <w:t>Issue and cancellation of warrants of commitment in transitional period</w:t>
      </w:r>
      <w:bookmarkEnd w:id="608"/>
    </w:p>
    <w:p>
      <w:pPr>
        <w:pStyle w:val="Subsection"/>
      </w:pPr>
      <w:r>
        <w:tab/>
        <w:t>(1)</w:t>
      </w:r>
      <w:r>
        <w:tab/>
        <w:t>During the transitional period, the Registrar must not issue a warrant of commitment in relation to an offender under 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609" w:name="_Toc51665805"/>
      <w:r>
        <w:rPr>
          <w:rStyle w:val="CharSectno"/>
        </w:rPr>
        <w:t>119</w:t>
      </w:r>
      <w:r>
        <w:t>.</w:t>
      </w:r>
      <w:r>
        <w:tab/>
        <w:t>Notices issued under s. 78(1) before first commencement day</w:t>
      </w:r>
      <w:bookmarkEnd w:id="609"/>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Indenta"/>
      </w:pPr>
      <w:r>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pPr>
      <w:bookmarkStart w:id="610" w:name="_Toc51665806"/>
      <w:r>
        <w:rPr>
          <w:rStyle w:val="CharSectno"/>
        </w:rPr>
        <w:t>120</w:t>
      </w:r>
      <w:r>
        <w:t>.</w:t>
      </w:r>
      <w:r>
        <w:tab/>
        <w:t>Application of amendments</w:t>
      </w:r>
      <w:bookmarkEnd w:id="610"/>
    </w:p>
    <w:p>
      <w:pPr>
        <w:pStyle w:val="Subsection"/>
      </w:pPr>
      <w:r>
        <w:tab/>
      </w:r>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Indenta"/>
      </w:pPr>
      <w:r>
        <w:tab/>
        <w:t>(a)</w:t>
      </w:r>
      <w:r>
        <w:tab/>
        <w:t>an infringement notice whether it was issued or registered with the Registry for enforcement before, on or after the second commencement day; and</w:t>
      </w:r>
    </w:p>
    <w:p>
      <w:pPr>
        <w:pStyle w:val="Indenta"/>
      </w:pPr>
      <w:r>
        <w:tab/>
        <w:t>(b)</w:t>
      </w:r>
      <w:r>
        <w:tab/>
        <w:t>a fine whether it was imposed or registered with the Registry for enforcement before, on or after the second commencement day.</w:t>
      </w:r>
    </w:p>
    <w:p>
      <w:pPr>
        <w:pStyle w:val="Footnotesection"/>
      </w:pPr>
      <w:r>
        <w:tab/>
        <w:t>[Section 120 inserted: No. 25 of 2020 s. 88.]</w:t>
      </w:r>
    </w:p>
    <w:p>
      <w:pPr>
        <w:pStyle w:val="Heading5"/>
      </w:pPr>
      <w:bookmarkStart w:id="611" w:name="_Toc51665807"/>
      <w:r>
        <w:rPr>
          <w:rStyle w:val="CharSectno"/>
        </w:rPr>
        <w:t>121</w:t>
      </w:r>
      <w:r>
        <w:t>.</w:t>
      </w:r>
      <w:r>
        <w:tab/>
        <w:t>Time to pay orders</w:t>
      </w:r>
      <w:bookmarkEnd w:id="611"/>
    </w:p>
    <w:p>
      <w:pPr>
        <w:pStyle w:val="Subsection"/>
      </w:pPr>
      <w:r>
        <w:tab/>
        <w:t>(1)</w:t>
      </w:r>
      <w:r>
        <w:tab/>
        <w:t>A time to pay order made before the second commencement day under section 27A of the former Act is, on and from the second commencement day, taken to be a time to pay order made under section 21C.</w:t>
      </w:r>
    </w:p>
    <w:p>
      <w:pPr>
        <w:pStyle w:val="Subsection"/>
      </w:pPr>
      <w:r>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p>
    <w:p>
      <w:pPr>
        <w:pStyle w:val="Indenta"/>
      </w:pPr>
      <w:r>
        <w:tab/>
        <w:t>(a)</w:t>
      </w:r>
      <w:r>
        <w:tab/>
        <w:t>an application for a time to pay order under section 21B; and</w:t>
      </w:r>
    </w:p>
    <w:p>
      <w:pPr>
        <w:pStyle w:val="Indenta"/>
      </w:pPr>
      <w:r>
        <w:tab/>
        <w:t>(b)</w:t>
      </w:r>
      <w:r>
        <w:tab/>
        <w:t>if the request was under section 27A(1)(b) of the former Act — a request under section 20A(1).</w:t>
      </w:r>
    </w:p>
    <w:p>
      <w:pPr>
        <w:pStyle w:val="Subsection"/>
      </w:pPr>
      <w:r>
        <w:tab/>
        <w:t>(3)</w:t>
      </w:r>
      <w:r>
        <w:tab/>
        <w:t>A time to pay order made before the second commencement day under section 55A of the former Act is, on and from the second commencement day, taken to be a time to pay order made under section 33.</w:t>
      </w:r>
    </w:p>
    <w:p>
      <w:pPr>
        <w:pStyle w:val="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Indenta"/>
      </w:pPr>
      <w:r>
        <w:tab/>
        <w:t>(a)</w:t>
      </w:r>
      <w:r>
        <w:tab/>
        <w:t>an application for a time to pay order under section 32C; and</w:t>
      </w:r>
    </w:p>
    <w:p>
      <w:pPr>
        <w:pStyle w:val="Indenta"/>
      </w:pPr>
      <w:r>
        <w:tab/>
        <w:t>(b)</w:t>
      </w:r>
      <w:r>
        <w:tab/>
        <w:t>if the request was under section 55A(1)(b) of the former Act — a request under section 44A(1).</w:t>
      </w:r>
    </w:p>
    <w:p>
      <w:pPr>
        <w:pStyle w:val="Footnotesection"/>
      </w:pPr>
      <w:r>
        <w:tab/>
        <w:t>[Section 121 inserted: No. 25 of 2020 s. 88.]</w:t>
      </w:r>
    </w:p>
    <w:p>
      <w:pPr>
        <w:pStyle w:val="Heading5"/>
      </w:pPr>
      <w:bookmarkStart w:id="612" w:name="_Toc51665808"/>
      <w:r>
        <w:rPr>
          <w:rStyle w:val="CharSectno"/>
        </w:rPr>
        <w:t>122</w:t>
      </w:r>
      <w:r>
        <w:t>.</w:t>
      </w:r>
      <w:r>
        <w:tab/>
        <w:t>Enforcement warrant issued before second commencement day authorises issue of garnishee order</w:t>
      </w:r>
      <w:bookmarkEnd w:id="612"/>
    </w:p>
    <w:p>
      <w:pPr>
        <w:pStyle w:val="Subsection"/>
      </w:pPr>
      <w:r>
        <w:tab/>
        <w:t>(1)</w:t>
      </w:r>
      <w:r>
        <w:tab/>
        <w:t>This section applies if an enforcement warrant issued under Part 3 or 4 is in force immediately before the second commencement day.</w:t>
      </w:r>
    </w:p>
    <w:p>
      <w:pPr>
        <w:pStyle w:val="Subsection"/>
      </w:pPr>
      <w:r>
        <w:tab/>
        <w:t>(2)</w:t>
      </w:r>
      <w:r>
        <w:tab/>
        <w:t xml:space="preserve">The Sheriff may issue a garnishee order in relation to the debtor under the warrant under section 95O or 95V even though — </w:t>
      </w:r>
    </w:p>
    <w:p>
      <w:pPr>
        <w:pStyle w:val="Indenta"/>
      </w:pPr>
      <w:r>
        <w:tab/>
        <w:t>(a)</w:t>
      </w:r>
      <w:r>
        <w:tab/>
        <w:t>Part 7 Division 6B was not in force when the warrant was issued; and</w:t>
      </w:r>
    </w:p>
    <w:p>
      <w:pPr>
        <w:pStyle w:val="Indenta"/>
      </w:pPr>
      <w:r>
        <w:tab/>
        <w:t>(b)</w:t>
      </w:r>
      <w:r>
        <w:tab/>
        <w:t>the terms of the warrant do not refer to garnishment.</w:t>
      </w:r>
    </w:p>
    <w:p>
      <w:pPr>
        <w:pStyle w:val="Subsection"/>
      </w:pPr>
      <w:r>
        <w:tab/>
        <w:t>(3)</w:t>
      </w:r>
      <w:r>
        <w:tab/>
        <w:t>At least 28 days before issuing a garnishee order as referred to in subsection (2), the Sheriff must serve on the debtor a notice in the approved form explaining that a garnishee order can be issued under the enforcement warrant.</w:t>
      </w:r>
    </w:p>
    <w:p>
      <w:pPr>
        <w:pStyle w:val="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Indenta"/>
      </w:pPr>
      <w:r>
        <w:tab/>
        <w:t>(a)</w:t>
      </w:r>
      <w:r>
        <w:tab/>
        <w:t>make a withdrawal or transfer of money from any of the debtor’s accounts with a bank that would result in a deduction not being able to be made under a garnishee order;</w:t>
      </w:r>
    </w:p>
    <w:p>
      <w:pPr>
        <w:pStyle w:val="Indenta"/>
      </w:pPr>
      <w:r>
        <w:tab/>
        <w:t>(b)</w:t>
      </w:r>
      <w:r>
        <w:tab/>
        <w:t>prevent any earnings or other amount from being paid into any of the debtor’s accounts with a bank;</w:t>
      </w:r>
    </w:p>
    <w:p>
      <w:pPr>
        <w:pStyle w:val="Indenta"/>
        <w:keepNext/>
      </w:pPr>
      <w:r>
        <w:tab/>
        <w:t>(c)</w:t>
      </w:r>
      <w:r>
        <w:tab/>
        <w:t>close any of the debtor’s accounts with a bank.</w:t>
      </w:r>
    </w:p>
    <w:p>
      <w:pPr>
        <w:pStyle w:val="Penstart"/>
        <w:keepNext/>
      </w:pPr>
      <w:r>
        <w:tab/>
        <w:t>Penalty for this subsection: a fine of $2 000.</w:t>
      </w:r>
    </w:p>
    <w:p>
      <w:pPr>
        <w:pStyle w:val="Footnotesection"/>
      </w:pPr>
      <w:r>
        <w:tab/>
        <w:t>[Section 122 inserted: No. 25 of 2020 s. 88.]</w:t>
      </w:r>
    </w:p>
    <w:p>
      <w:pPr>
        <w:pStyle w:val="Heading5"/>
      </w:pPr>
      <w:bookmarkStart w:id="613" w:name="_Toc51665809"/>
      <w:r>
        <w:rPr>
          <w:rStyle w:val="CharSectno"/>
        </w:rPr>
        <w:t>123</w:t>
      </w:r>
      <w:r>
        <w:t>.</w:t>
      </w:r>
      <w:r>
        <w:tab/>
        <w:t>Instruments issued under provisions of former Act</w:t>
      </w:r>
      <w:bookmarkEnd w:id="613"/>
    </w:p>
    <w:p>
      <w:pPr>
        <w:pStyle w:val="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TableNAm"/>
            </w:pPr>
            <w:r>
              <w:t>1.</w:t>
            </w:r>
          </w:p>
        </w:tc>
        <w:tc>
          <w:tcPr>
            <w:tcW w:w="2764" w:type="dxa"/>
            <w:noWrap/>
          </w:tcPr>
          <w:p>
            <w:pPr>
              <w:pStyle w:val="TableNAm"/>
            </w:pPr>
            <w:r>
              <w:t xml:space="preserve">Licence suspension order made under — </w:t>
            </w:r>
          </w:p>
          <w:p>
            <w:pPr>
              <w:pStyle w:val="TableNAm"/>
            </w:pPr>
            <w:r>
              <w:t>(a)</w:t>
            </w:r>
            <w:r>
              <w:tab/>
              <w:t>section 27C of the former Act; or</w:t>
            </w:r>
          </w:p>
          <w:p>
            <w:pPr>
              <w:pStyle w:val="TableNAm"/>
            </w:pPr>
            <w:r>
              <w:t>(b)</w:t>
            </w:r>
            <w:r>
              <w:tab/>
              <w:t>section 68A of the former Act in relation to an enforcement warrant issued under Part 3</w:t>
            </w:r>
          </w:p>
        </w:tc>
        <w:tc>
          <w:tcPr>
            <w:tcW w:w="2764" w:type="dxa"/>
            <w:noWrap/>
          </w:tcPr>
          <w:p>
            <w:pPr>
              <w:pStyle w:val="TableNAm"/>
            </w:pPr>
            <w:r>
              <w:t>Licence suspension order made under section 19</w:t>
            </w:r>
          </w:p>
        </w:tc>
      </w:tr>
      <w:tr>
        <w:tc>
          <w:tcPr>
            <w:tcW w:w="709" w:type="dxa"/>
            <w:noWrap/>
          </w:tcPr>
          <w:p>
            <w:pPr>
              <w:pStyle w:val="TableNAm"/>
            </w:pPr>
            <w:r>
              <w:t>2.</w:t>
            </w:r>
          </w:p>
        </w:tc>
        <w:tc>
          <w:tcPr>
            <w:tcW w:w="2764" w:type="dxa"/>
            <w:noWrap/>
          </w:tcPr>
          <w:p>
            <w:pPr>
              <w:pStyle w:val="TableNAm"/>
            </w:pPr>
            <w:r>
              <w:t xml:space="preserve">Licence suspension order made under — </w:t>
            </w:r>
          </w:p>
          <w:p>
            <w:pPr>
              <w:pStyle w:val="TableNAm"/>
            </w:pPr>
            <w:r>
              <w:t>(a)</w:t>
            </w:r>
            <w:r>
              <w:tab/>
              <w:t>section 48A, 53A or 55C of the former Act; or</w:t>
            </w:r>
          </w:p>
          <w:p>
            <w:pPr>
              <w:pStyle w:val="TableNAm"/>
            </w:pPr>
            <w:r>
              <w:t>(b)</w:t>
            </w:r>
            <w:r>
              <w:tab/>
              <w:t>section 68A of the former Act in relation to an enforcement warrant issued under Part 4</w:t>
            </w:r>
          </w:p>
        </w:tc>
        <w:tc>
          <w:tcPr>
            <w:tcW w:w="2764" w:type="dxa"/>
            <w:noWrap/>
          </w:tcPr>
          <w:p>
            <w:pPr>
              <w:pStyle w:val="TableNAm"/>
            </w:pPr>
            <w:r>
              <w:t>Licence suspension order made under section 43</w:t>
            </w:r>
          </w:p>
        </w:tc>
      </w:tr>
      <w:tr>
        <w:tc>
          <w:tcPr>
            <w:tcW w:w="709" w:type="dxa"/>
            <w:noWrap/>
          </w:tcPr>
          <w:p>
            <w:pPr>
              <w:pStyle w:val="TableNAm"/>
            </w:pPr>
            <w:r>
              <w:t>3.</w:t>
            </w:r>
          </w:p>
        </w:tc>
        <w:tc>
          <w:tcPr>
            <w:tcW w:w="2764" w:type="dxa"/>
            <w:noWrap/>
          </w:tcPr>
          <w:p>
            <w:pPr>
              <w:pStyle w:val="TableNAm"/>
            </w:pPr>
            <w:r>
              <w:t>Enforcement warrant issued under section 55D of the former Act</w:t>
            </w:r>
          </w:p>
        </w:tc>
        <w:tc>
          <w:tcPr>
            <w:tcW w:w="2764" w:type="dxa"/>
            <w:noWrap/>
          </w:tcPr>
          <w:p>
            <w:pPr>
              <w:pStyle w:val="TableNAm"/>
            </w:pPr>
            <w:r>
              <w:t>Enforcement warrant issued under section 45</w:t>
            </w:r>
          </w:p>
        </w:tc>
      </w:tr>
      <w:tr>
        <w:tc>
          <w:tcPr>
            <w:tcW w:w="709" w:type="dxa"/>
            <w:noWrap/>
          </w:tcPr>
          <w:p>
            <w:pPr>
              <w:pStyle w:val="TableNAm"/>
            </w:pPr>
            <w:r>
              <w:t>4.</w:t>
            </w:r>
          </w:p>
        </w:tc>
        <w:tc>
          <w:tcPr>
            <w:tcW w:w="2764" w:type="dxa"/>
            <w:noWrap/>
          </w:tcPr>
          <w:p>
            <w:pPr>
              <w:pStyle w:val="TableNAm"/>
            </w:pPr>
            <w:r>
              <w:t>Order to attend for work and development issued under section 47A or 55D of the former Act</w:t>
            </w:r>
          </w:p>
        </w:tc>
        <w:tc>
          <w:tcPr>
            <w:tcW w:w="2764" w:type="dxa"/>
            <w:noWrap/>
          </w:tcPr>
          <w:p>
            <w:pPr>
              <w:pStyle w:val="TableNAm"/>
            </w:pPr>
            <w:r>
              <w:t>Order to attend for work and development issued under section 47(1)</w:t>
            </w:r>
          </w:p>
        </w:tc>
      </w:tr>
      <w:tr>
        <w:tc>
          <w:tcPr>
            <w:tcW w:w="709" w:type="dxa"/>
            <w:noWrap/>
          </w:tcPr>
          <w:p>
            <w:pPr>
              <w:pStyle w:val="TableNAm"/>
            </w:pPr>
            <w:r>
              <w:t>5.</w:t>
            </w:r>
          </w:p>
        </w:tc>
        <w:tc>
          <w:tcPr>
            <w:tcW w:w="2764" w:type="dxa"/>
            <w:noWrap/>
          </w:tcPr>
          <w:p>
            <w:pPr>
              <w:pStyle w:val="TableNAm"/>
            </w:pPr>
            <w:r>
              <w:t>Vehicle licence suspension order issued under section 95G of the former Act</w:t>
            </w:r>
          </w:p>
        </w:tc>
        <w:tc>
          <w:tcPr>
            <w:tcW w:w="2764" w:type="dxa"/>
            <w:noWrap/>
          </w:tcPr>
          <w:p>
            <w:pPr>
              <w:pStyle w:val="TableNAm"/>
            </w:pPr>
            <w:r>
              <w:t>Vehicle licence suspension and disqualification order issued under section 95G</w:t>
            </w:r>
          </w:p>
        </w:tc>
      </w:tr>
      <w:tr>
        <w:tc>
          <w:tcPr>
            <w:tcW w:w="709" w:type="dxa"/>
            <w:noWrap/>
          </w:tcPr>
          <w:p>
            <w:pPr>
              <w:pStyle w:val="TableNAm"/>
            </w:pPr>
            <w:r>
              <w:t>6.</w:t>
            </w:r>
          </w:p>
        </w:tc>
        <w:tc>
          <w:tcPr>
            <w:tcW w:w="2764" w:type="dxa"/>
            <w:noWrap/>
          </w:tcPr>
          <w:p>
            <w:pPr>
              <w:pStyle w:val="TableNAm"/>
            </w:pPr>
            <w:r>
              <w:t>Vehicle licence cancellation order issued under section 95J of the former Act</w:t>
            </w:r>
          </w:p>
        </w:tc>
        <w:tc>
          <w:tcPr>
            <w:tcW w:w="2764" w:type="dxa"/>
            <w:noWrap/>
          </w:tcPr>
          <w:p>
            <w:pPr>
              <w:pStyle w:val="TableNAm"/>
            </w:pPr>
            <w:r>
              <w:t>Vehicle licence cancellation and disqualification order issued under section 95J</w:t>
            </w:r>
          </w:p>
        </w:tc>
      </w:tr>
    </w:tbl>
    <w:p>
      <w:pPr>
        <w:pStyle w:val="Footnotesection"/>
      </w:pPr>
      <w:r>
        <w:tab/>
        <w:t>[Section 123 inserted: No. 25 of 2020 s. 88.]</w:t>
      </w:r>
    </w:p>
    <w:p>
      <w:pPr>
        <w:pStyle w:val="Heading5"/>
      </w:pPr>
      <w:bookmarkStart w:id="614" w:name="_Toc51665810"/>
      <w:r>
        <w:rPr>
          <w:rStyle w:val="CharSectno"/>
        </w:rPr>
        <w:t>124</w:t>
      </w:r>
      <w:r>
        <w:t>.</w:t>
      </w:r>
      <w:r>
        <w:tab/>
        <w:t>Administrative information sharing arrangements</w:t>
      </w:r>
      <w:bookmarkEnd w:id="614"/>
    </w:p>
    <w:p>
      <w:pPr>
        <w:pStyle w:val="Subsection"/>
      </w:pPr>
      <w:r>
        <w:tab/>
        <w:t>(1)</w:t>
      </w:r>
      <w:r>
        <w:tab/>
        <w:t>Any administrative arrangements made between the Registrar and the Director General for the purposes of section 10 of the former Act are, on and from the second commencement day, taken to be made for the purposes of section 100C.</w:t>
      </w:r>
    </w:p>
    <w:p>
      <w:pPr>
        <w:pStyle w:val="Subsection"/>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Footnotesection"/>
      </w:pPr>
      <w:r>
        <w:tab/>
        <w:t>[Section 124 inserted: No. 25 of 2020 s. 88.]</w:t>
      </w:r>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615" w:name="_Toc51245717"/>
      <w:bookmarkStart w:id="616" w:name="_Toc51317355"/>
      <w:bookmarkStart w:id="617" w:name="_Toc51320005"/>
      <w:bookmarkStart w:id="618" w:name="_Toc51320458"/>
      <w:bookmarkStart w:id="619" w:name="_Toc51581398"/>
      <w:bookmarkStart w:id="620" w:name="_Toc51581703"/>
      <w:bookmarkStart w:id="621" w:name="_Toc51665811"/>
      <w:r>
        <w:t>Notes</w:t>
      </w:r>
      <w:bookmarkEnd w:id="615"/>
      <w:bookmarkEnd w:id="616"/>
      <w:bookmarkEnd w:id="617"/>
      <w:bookmarkEnd w:id="618"/>
      <w:bookmarkEnd w:id="619"/>
      <w:bookmarkEnd w:id="620"/>
      <w:bookmarkEnd w:id="621"/>
    </w:p>
    <w:p>
      <w:pPr>
        <w:pStyle w:val="nStatement"/>
      </w:pPr>
      <w:r>
        <w:t xml:space="preserve">This is a compilation of the </w:t>
      </w:r>
      <w:r>
        <w:rPr>
          <w:i/>
          <w:noProof/>
        </w:rPr>
        <w:t>Fines, Penalties and Infringement Notices Enforcement Act 1994</w:t>
      </w:r>
      <w:r>
        <w:t xml:space="preserve"> and includes amendments made by other written laws</w:t>
      </w:r>
      <w:r>
        <w:rPr>
          <w:vertAlign w:val="superscript"/>
        </w:rPr>
        <w:t> 1M, 1</w:t>
      </w:r>
      <w:r>
        <w:t>. For provisions that have come into operation, and for information about any reprints, see the compilation table. For provisions that have not yet come into operation see the uncommenced provisions table.</w:t>
      </w:r>
    </w:p>
    <w:p>
      <w:pPr>
        <w:pStyle w:val="nHeading3"/>
      </w:pPr>
      <w:bookmarkStart w:id="622" w:name="_Toc51665812"/>
      <w:r>
        <w:t>Compilation table</w:t>
      </w:r>
      <w:bookmarkEnd w:id="62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t xml:space="preserve">Courts and Tribunals (Electronic Processes Facilitation) Act 2013 </w:t>
            </w:r>
            <w:r>
              <w:rPr>
                <w:snapToGrid w:val="0"/>
              </w:rPr>
              <w:t>Pt. 3 Div. 12 (other than s. 95 </w:t>
            </w:r>
            <w:r>
              <w:rPr>
                <w:snapToGrid w:val="0"/>
                <w:vertAlign w:val="superscript"/>
              </w:rPr>
              <w:t>3</w:t>
            </w:r>
            <w:r>
              <w:rPr>
                <w:snapToGrid w:val="0"/>
              </w:rPr>
              <w:t>)</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single" w:sz="4" w:space="0" w:color="auto"/>
            </w:tcBorders>
            <w:shd w:val="clear" w:color="auto" w:fill="auto"/>
          </w:tcPr>
          <w:p>
            <w:pPr>
              <w:pStyle w:val="nTable"/>
              <w:keepNext/>
              <w:spacing w:after="40"/>
              <w:rPr>
                <w:i/>
                <w:snapToGrid w:val="0"/>
              </w:rPr>
            </w:pPr>
            <w:r>
              <w:rPr>
                <w:i/>
                <w:noProof/>
              </w:rPr>
              <w:t>Fines, Penalties and Infringement Notices Enforcement Amendment Act 2020</w:t>
            </w:r>
            <w:r>
              <w:rPr>
                <w:noProof/>
              </w:rPr>
              <w:t xml:space="preserve"> Pt. 2 Div. 1</w:t>
            </w:r>
            <w:r>
              <w:rPr>
                <w:noProof/>
              </w:rPr>
              <w:noBreakHyphen/>
              <w:t>3 and s. 103</w:t>
            </w:r>
          </w:p>
        </w:tc>
        <w:tc>
          <w:tcPr>
            <w:tcW w:w="1134" w:type="dxa"/>
            <w:tcBorders>
              <w:top w:val="nil"/>
              <w:bottom w:val="single" w:sz="4" w:space="0" w:color="auto"/>
            </w:tcBorders>
            <w:shd w:val="clear" w:color="auto" w:fill="auto"/>
          </w:tcPr>
          <w:p>
            <w:pPr>
              <w:pStyle w:val="nTable"/>
              <w:keepNext/>
              <w:spacing w:after="40"/>
              <w:rPr>
                <w:snapToGrid w:val="0"/>
              </w:rPr>
            </w:pPr>
            <w:r>
              <w:t>25 of 2020</w:t>
            </w:r>
          </w:p>
        </w:tc>
        <w:tc>
          <w:tcPr>
            <w:tcW w:w="1134" w:type="dxa"/>
            <w:tcBorders>
              <w:top w:val="nil"/>
              <w:bottom w:val="single" w:sz="4" w:space="0" w:color="auto"/>
            </w:tcBorders>
            <w:shd w:val="clear" w:color="auto" w:fill="auto"/>
          </w:tcPr>
          <w:p>
            <w:pPr>
              <w:pStyle w:val="nTable"/>
              <w:keepNext/>
              <w:spacing w:after="40"/>
              <w:rPr>
                <w:snapToGrid w:val="0"/>
              </w:rPr>
            </w:pPr>
            <w:r>
              <w:t>19 Jun 2020</w:t>
            </w:r>
          </w:p>
        </w:tc>
        <w:tc>
          <w:tcPr>
            <w:tcW w:w="2552" w:type="dxa"/>
            <w:tcBorders>
              <w:top w:val="nil"/>
              <w:bottom w:val="single" w:sz="4" w:space="0" w:color="auto"/>
            </w:tcBorders>
            <w:shd w:val="clear" w:color="auto" w:fill="auto"/>
          </w:tcPr>
          <w:p>
            <w:pPr>
              <w:pStyle w:val="nTable"/>
              <w:keepNext/>
              <w:spacing w:after="40"/>
              <w:rPr>
                <w:snapToGrid w:val="0"/>
                <w:color w:val="000000"/>
              </w:rPr>
            </w:pPr>
            <w:r>
              <w:t>Pt. 2 Div. 1 and 2, s. 87 and 103: 20 Jun 2020 (see s. 2(1)(b));</w:t>
            </w:r>
            <w:r>
              <w:br/>
              <w:t>s. 9</w:t>
            </w:r>
            <w:r>
              <w:noBreakHyphen/>
              <w:t>86, 88 and 89: 29 Sep 2020 (see s. 2(1)(c) and SL 2020/159 cl. 2(a))</w:t>
            </w:r>
          </w:p>
        </w:tc>
      </w:tr>
    </w:tbl>
    <w:p>
      <w:pPr>
        <w:pStyle w:val="nHeading3"/>
      </w:pPr>
      <w:bookmarkStart w:id="623" w:name="_Toc51665813"/>
      <w:r>
        <w:t>Uncommenced provisions table</w:t>
      </w:r>
      <w:bookmarkEnd w:id="6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snapToGrid w:val="0"/>
              </w:rPr>
            </w:pPr>
            <w:r>
              <w:rPr>
                <w:i/>
                <w:noProof/>
              </w:rPr>
              <w:t>Fines, Penalties and Infringement Notices Enforcement Amendment Act 2020</w:t>
            </w:r>
            <w:r>
              <w:rPr>
                <w:noProof/>
              </w:rPr>
              <w:t xml:space="preserve"> s. 90-102, 104 and 105</w:t>
            </w:r>
          </w:p>
        </w:tc>
        <w:tc>
          <w:tcPr>
            <w:tcW w:w="1134" w:type="dxa"/>
            <w:tcBorders>
              <w:top w:val="nil"/>
            </w:tcBorders>
          </w:tcPr>
          <w:p>
            <w:pPr>
              <w:pStyle w:val="nTable"/>
              <w:spacing w:after="40"/>
              <w:rPr>
                <w:snapToGrid w:val="0"/>
              </w:rPr>
            </w:pPr>
            <w:r>
              <w:t>25 of 2020</w:t>
            </w:r>
          </w:p>
        </w:tc>
        <w:tc>
          <w:tcPr>
            <w:tcW w:w="1134" w:type="dxa"/>
            <w:tcBorders>
              <w:top w:val="nil"/>
            </w:tcBorders>
          </w:tcPr>
          <w:p>
            <w:pPr>
              <w:pStyle w:val="nTable"/>
              <w:spacing w:after="40"/>
            </w:pPr>
            <w:r>
              <w:t>19 Jun 2020</w:t>
            </w:r>
          </w:p>
        </w:tc>
        <w:tc>
          <w:tcPr>
            <w:tcW w:w="2552" w:type="dxa"/>
            <w:tcBorders>
              <w:top w:val="nil"/>
            </w:tcBorders>
          </w:tcPr>
          <w:p>
            <w:pPr>
              <w:pStyle w:val="nTable"/>
              <w:spacing w:after="40"/>
              <w:rPr>
                <w:snapToGrid w:val="0"/>
              </w:rPr>
            </w:pPr>
            <w:r>
              <w:t>30 Sep 2020 (see s. 2(1)(d) and SL 2020/159 cl. 2(b))</w:t>
            </w:r>
          </w:p>
        </w:tc>
      </w:tr>
    </w:tbl>
    <w:p>
      <w:pPr>
        <w:pStyle w:val="nHeading3"/>
      </w:pPr>
      <w:bookmarkStart w:id="624" w:name="_Toc51665814"/>
      <w:r>
        <w:t>Other notes</w:t>
      </w:r>
      <w:bookmarkEnd w:id="624"/>
    </w:p>
    <w:p>
      <w:pPr>
        <w:pStyle w:val="nNote"/>
        <w:keepNext/>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Note"/>
        <w:keepNext/>
        <w:spacing w:before="160"/>
      </w:pPr>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626" w:name="_Toc51581402"/>
      <w:bookmarkStart w:id="627" w:name="_Toc51581707"/>
      <w:bookmarkStart w:id="628" w:name="_Toc51665815"/>
      <w:r>
        <w:rPr>
          <w:sz w:val="28"/>
        </w:rPr>
        <w:t>Defined terms</w:t>
      </w:r>
      <w:bookmarkEnd w:id="626"/>
      <w:bookmarkEnd w:id="627"/>
      <w:bookmarkEnd w:id="6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alleged offence</w:t>
      </w:r>
      <w:r>
        <w:tab/>
        <w:t>11</w:t>
      </w:r>
    </w:p>
    <w:p>
      <w:pPr>
        <w:pStyle w:val="DefinedTerms"/>
      </w:pPr>
      <w:r>
        <w:t>alleged offender</w:t>
      </w:r>
      <w:r>
        <w:tab/>
        <w:t>11, 100</w:t>
      </w:r>
    </w:p>
    <w:p>
      <w:pPr>
        <w:pStyle w:val="DefinedTerms"/>
      </w:pPr>
      <w:r>
        <w:t>amending Act</w:t>
      </w:r>
      <w:r>
        <w:tab/>
        <w:t>109A(1)</w:t>
      </w:r>
    </w:p>
    <w:p>
      <w:pPr>
        <w:pStyle w:val="DefinedTerms"/>
      </w:pPr>
      <w:r>
        <w:t>amount outstanding</w:t>
      </w:r>
      <w:r>
        <w:tab/>
        <w:t>61(1)</w:t>
      </w:r>
    </w:p>
    <w:p>
      <w:pPr>
        <w:pStyle w:val="DefinedTerms"/>
      </w:pPr>
      <w:r>
        <w:t>amount owed</w:t>
      </w:r>
      <w:r>
        <w:tab/>
        <w:t>28(1), 56A</w:t>
      </w:r>
    </w:p>
    <w:p>
      <w:pPr>
        <w:pStyle w:val="DefinedTerms"/>
      </w:pPr>
      <w:r>
        <w:t>applicant</w:t>
      </w:r>
      <w:r>
        <w:tab/>
        <w:t>101(1), 101AA(2), 101A(1)</w:t>
      </w:r>
    </w:p>
    <w:p>
      <w:pPr>
        <w:pStyle w:val="DefinedTerms"/>
      </w:pPr>
      <w:r>
        <w:t>approved form</w:t>
      </w:r>
      <w:r>
        <w:tab/>
        <w:t>3(1)</w:t>
      </w:r>
    </w:p>
    <w:p>
      <w:pPr>
        <w:pStyle w:val="DefinedTerms"/>
      </w:pPr>
      <w:r>
        <w:t>arresting officer</w:t>
      </w:r>
      <w:r>
        <w:tab/>
        <w:t>52ZC(1)</w:t>
      </w:r>
    </w:p>
    <w:p>
      <w:pPr>
        <w:pStyle w:val="DefinedTerms"/>
      </w:pPr>
      <w:r>
        <w:t>audio link</w:t>
      </w:r>
      <w:r>
        <w:tab/>
        <w:t>28(1)</w:t>
      </w:r>
    </w:p>
    <w:p>
      <w:pPr>
        <w:pStyle w:val="DefinedTerms"/>
      </w:pPr>
      <w:r>
        <w:t>authorised police officer</w:t>
      </w:r>
      <w:r>
        <w:tab/>
        <w:t>28(1)</w:t>
      </w:r>
    </w:p>
    <w:p>
      <w:pPr>
        <w:pStyle w:val="DefinedTerms"/>
      </w:pPr>
      <w:r>
        <w:t>bank</w:t>
      </w:r>
      <w:r>
        <w:tab/>
        <w:t>63(1)</w:t>
      </w:r>
    </w:p>
    <w:p>
      <w:pPr>
        <w:pStyle w:val="DefinedTerms"/>
      </w:pPr>
      <w:r>
        <w:t>bank account garnishee order</w:t>
      </w:r>
      <w:r>
        <w:tab/>
        <w:t>63(1), 95M(2)</w:t>
      </w:r>
    </w:p>
    <w:p>
      <w:pPr>
        <w:pStyle w:val="DefinedTerms"/>
      </w:pPr>
      <w:r>
        <w:t>CCO</w:t>
      </w:r>
      <w:r>
        <w:tab/>
        <w:t>28(1)</w:t>
      </w:r>
    </w:p>
    <w:p>
      <w:pPr>
        <w:pStyle w:val="DefinedTerms"/>
      </w:pPr>
      <w:r>
        <w:t>CEO (corrections)</w:t>
      </w:r>
      <w:r>
        <w:tab/>
        <w:t>3(1)</w:t>
      </w:r>
    </w:p>
    <w:p>
      <w:pPr>
        <w:pStyle w:val="DefinedTerms"/>
      </w:pPr>
      <w:r>
        <w:t>CEO (fines enforcement)</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Commissioner of Police</w:t>
      </w:r>
      <w:r>
        <w:tab/>
        <w:t>3(1)</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contractor</w:t>
      </w:r>
      <w:r>
        <w:tab/>
        <w:t>100</w:t>
      </w:r>
    </w:p>
    <w:p>
      <w:pPr>
        <w:pStyle w:val="DefinedTerms"/>
      </w:pPr>
      <w:r>
        <w:t>court</w:t>
      </w:r>
      <w:r>
        <w:tab/>
        <w:t>28(1)</w:t>
      </w:r>
    </w:p>
    <w:p>
      <w:pPr>
        <w:pStyle w:val="DefinedTerms"/>
      </w:pPr>
      <w:r>
        <w:t>court custody centre</w:t>
      </w:r>
      <w:r>
        <w:tab/>
        <w:t>28(1)</w:t>
      </w:r>
    </w:p>
    <w:p>
      <w:pPr>
        <w:pStyle w:val="DefinedTerms"/>
      </w:pPr>
      <w:r>
        <w:t>court officer</w:t>
      </w:r>
      <w:r>
        <w:tab/>
        <w:t>28(1)</w:t>
      </w:r>
    </w:p>
    <w:p>
      <w:pPr>
        <w:pStyle w:val="DefinedTerms"/>
      </w:pPr>
      <w:r>
        <w:t>Court Security and Custodial Services Act 1999</w:t>
      </w:r>
      <w:r>
        <w:tab/>
        <w:t>28(1)</w:t>
      </w:r>
    </w:p>
    <w:p>
      <w:pPr>
        <w:pStyle w:val="DefinedTerms"/>
      </w:pPr>
      <w:r>
        <w:t>daily expiation amount</w:t>
      </w:r>
      <w:r>
        <w:tab/>
        <w:t>52B</w:t>
      </w:r>
    </w:p>
    <w:p>
      <w:pPr>
        <w:pStyle w:val="DefinedTerms"/>
      </w:pPr>
      <w:r>
        <w:t>debtor</w:t>
      </w:r>
      <w:r>
        <w:tab/>
        <w:t>63(1)</w:t>
      </w:r>
    </w:p>
    <w:p>
      <w:pPr>
        <w:pStyle w:val="DefinedTerms"/>
      </w:pPr>
      <w:r>
        <w:t>detainee</w:t>
      </w:r>
      <w:r>
        <w:tab/>
        <w:t>28(1)</w:t>
      </w:r>
    </w:p>
    <w:p>
      <w:pPr>
        <w:pStyle w:val="DefinedTerms"/>
      </w:pPr>
      <w:r>
        <w:t>detention centre</w:t>
      </w:r>
      <w:r>
        <w:tab/>
        <w:t>28(1)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t>due date</w:t>
      </w:r>
      <w:r>
        <w:tab/>
        <w:t>18(3), 42(3)</w:t>
      </w:r>
    </w:p>
    <w:p>
      <w:pPr>
        <w:pStyle w:val="DefinedTerms"/>
      </w:pPr>
      <w:r>
        <w:t>dwelling</w:t>
      </w:r>
      <w:r>
        <w:tab/>
        <w:t>63(1)</w:t>
      </w:r>
    </w:p>
    <w:p>
      <w:pPr>
        <w:pStyle w:val="DefinedTerms"/>
      </w:pPr>
      <w:r>
        <w:t>earnings</w:t>
      </w:r>
      <w:r>
        <w:tab/>
        <w:t>63(1)</w:t>
      </w:r>
    </w:p>
    <w:p>
      <w:pPr>
        <w:pStyle w:val="DefinedTerms"/>
      </w:pPr>
      <w:r>
        <w:t>election</w:t>
      </w:r>
      <w:r>
        <w:tab/>
        <w:t>11</w:t>
      </w:r>
    </w:p>
    <w:p>
      <w:pPr>
        <w:pStyle w:val="DefinedTerms"/>
      </w:pPr>
      <w:r>
        <w:t>electricity corporation</w:t>
      </w:r>
      <w:r>
        <w:tab/>
        <w:t>3(1)</w:t>
      </w:r>
    </w:p>
    <w:p>
      <w:pPr>
        <w:pStyle w:val="DefinedTerms"/>
      </w:pPr>
      <w:r>
        <w:t>enforceable registered fine</w:t>
      </w:r>
      <w:r>
        <w:tab/>
        <w:t>28(1)</w:t>
      </w:r>
    </w:p>
    <w:p>
      <w:pPr>
        <w:pStyle w:val="DefinedTerms"/>
      </w:pPr>
      <w:r>
        <w:t>enforcement action</w:t>
      </w:r>
      <w:r>
        <w:tab/>
        <w:t>68B(1)</w:t>
      </w:r>
    </w:p>
    <w:p>
      <w:pPr>
        <w:pStyle w:val="DefinedTerms"/>
      </w:pPr>
      <w:r>
        <w:t>enforcement fees</w:t>
      </w:r>
      <w:r>
        <w:tab/>
        <w:t>11, 28(1), 56A, 63(1)</w:t>
      </w:r>
    </w:p>
    <w:p>
      <w:pPr>
        <w:pStyle w:val="DefinedTerms"/>
      </w:pPr>
      <w:r>
        <w:t>enforcement instrument</w:t>
      </w:r>
      <w:r>
        <w:tab/>
        <w:t>28(1)</w:t>
      </w:r>
    </w:p>
    <w:p>
      <w:pPr>
        <w:pStyle w:val="DefinedTerms"/>
      </w:pPr>
      <w:r>
        <w:t>enforcement warrant</w:t>
      </w:r>
      <w:r>
        <w:tab/>
        <w:t>11, 28(1)</w:t>
      </w:r>
    </w:p>
    <w:p>
      <w:pPr>
        <w:pStyle w:val="DefinedTerms"/>
      </w:pPr>
      <w:r>
        <w:t>fine</w:t>
      </w:r>
      <w:r>
        <w:tab/>
        <w:t>28(1), 56A, 59</w:t>
      </w:r>
    </w:p>
    <w:p>
      <w:pPr>
        <w:pStyle w:val="DefinedTerms"/>
      </w:pPr>
      <w:r>
        <w:t>fine enforcement (WDO) order</w:t>
      </w:r>
      <w:r>
        <w:tab/>
        <w:t>28(1)</w:t>
      </w:r>
    </w:p>
    <w:p>
      <w:pPr>
        <w:pStyle w:val="DefinedTerms"/>
      </w:pPr>
      <w:r>
        <w:t>fine expiation order</w:t>
      </w:r>
      <w:r>
        <w:tab/>
        <w:t>28(1)</w:t>
      </w:r>
    </w:p>
    <w:p>
      <w:pPr>
        <w:pStyle w:val="DefinedTerms"/>
      </w:pPr>
      <w:r>
        <w:t>first commencement day</w:t>
      </w:r>
      <w:r>
        <w:tab/>
        <w:t>115</w:t>
      </w:r>
    </w:p>
    <w:p>
      <w:pPr>
        <w:pStyle w:val="DefinedTerms"/>
      </w:pPr>
      <w:r>
        <w:t>former Act</w:t>
      </w:r>
      <w:r>
        <w:tab/>
        <w:t>115</w:t>
      </w:r>
    </w:p>
    <w:p>
      <w:pPr>
        <w:pStyle w:val="DefinedTerms"/>
      </w:pPr>
      <w:r>
        <w:t>garnishee order</w:t>
      </w:r>
      <w:r>
        <w:tab/>
        <w:t>63(1), 95M(2)</w:t>
      </w:r>
    </w:p>
    <w:p>
      <w:pPr>
        <w:pStyle w:val="DefinedTerms"/>
      </w:pPr>
      <w:r>
        <w:t>garnishee order on earnings</w:t>
      </w:r>
      <w:r>
        <w:tab/>
        <w:t>63(1), 95M(2)</w:t>
      </w:r>
    </w:p>
    <w:p>
      <w:pPr>
        <w:pStyle w:val="DefinedTerms"/>
      </w:pPr>
      <w:r>
        <w:t>give</w:t>
      </w:r>
      <w:r>
        <w:tab/>
        <w:t>3(1)</w:t>
      </w:r>
    </w:p>
    <w:p>
      <w:pPr>
        <w:pStyle w:val="DefinedTerms"/>
      </w:pPr>
      <w:r>
        <w:t>hardship</w:t>
      </w:r>
      <w:r>
        <w:tab/>
        <w:t>3(1)</w:t>
      </w:r>
    </w:p>
    <w:p>
      <w:pPr>
        <w:pStyle w:val="DefinedTerms"/>
      </w:pPr>
      <w:r>
        <w:t>infringement notice</w:t>
      </w:r>
      <w:r>
        <w:tab/>
        <w:t>11, 26(4)</w:t>
      </w:r>
    </w:p>
    <w:p>
      <w:pPr>
        <w:pStyle w:val="DefinedTerms"/>
      </w:pPr>
      <w:r>
        <w:t>interest</w:t>
      </w:r>
      <w:r>
        <w:tab/>
        <w:t>70(1)</w:t>
      </w:r>
    </w:p>
    <w:p>
      <w:pPr>
        <w:pStyle w:val="DefinedTerms"/>
      </w:pPr>
      <w:r>
        <w:t>issue day</w:t>
      </w:r>
      <w:r>
        <w:tab/>
        <w:t>52H(1)</w:t>
      </w:r>
    </w:p>
    <w:p>
      <w:pPr>
        <w:pStyle w:val="DefinedTerms"/>
      </w:pPr>
      <w:r>
        <w:t>licence suspension order</w:t>
      </w:r>
      <w:r>
        <w:tab/>
        <w:t>11, 28(1), 101D(1A)</w:t>
      </w:r>
    </w:p>
    <w:p>
      <w:pPr>
        <w:pStyle w:val="DefinedTerms"/>
      </w:pPr>
      <w:r>
        <w:t>mobile home</w:t>
      </w:r>
      <w:r>
        <w:tab/>
        <w:t>63(1)</w:t>
      </w:r>
    </w:p>
    <w:p>
      <w:pPr>
        <w:pStyle w:val="DefinedTerms"/>
      </w:pPr>
      <w:r>
        <w:t>modified penalty</w:t>
      </w:r>
      <w:r>
        <w:tab/>
        <w:t>11, 56A</w:t>
      </w:r>
    </w:p>
    <w:p>
      <w:pPr>
        <w:pStyle w:val="DefinedTerms"/>
      </w:pPr>
      <w:r>
        <w:t>multiple payments garnishee order</w:t>
      </w:r>
      <w:r>
        <w:tab/>
        <w:t>63(1), 95V(2)</w:t>
      </w:r>
    </w:p>
    <w:p>
      <w:pPr>
        <w:pStyle w:val="DefinedTerms"/>
      </w:pPr>
      <w:r>
        <w:t>number plate</w:t>
      </w:r>
      <w:r>
        <w:tab/>
        <w:t>3(1)</w:t>
      </w:r>
    </w:p>
    <w:p>
      <w:pPr>
        <w:pStyle w:val="DefinedTerms"/>
      </w:pPr>
      <w:r>
        <w:t>offender</w:t>
      </w:r>
      <w:r>
        <w:tab/>
        <w:t>28(1), 100, 108A(1)</w:t>
      </w:r>
    </w:p>
    <w:p>
      <w:pPr>
        <w:pStyle w:val="DefinedTerms"/>
      </w:pPr>
      <w:r>
        <w:t>ongoing fine expiation order</w:t>
      </w:r>
      <w:r>
        <w:tab/>
        <w:t>28(1), 52I(1)</w:t>
      </w:r>
    </w:p>
    <w:p>
      <w:pPr>
        <w:pStyle w:val="DefinedTerms"/>
      </w:pPr>
      <w:r>
        <w:t>order to attend for work and development</w:t>
      </w:r>
      <w:r>
        <w:tab/>
        <w:t>28(1)</w:t>
      </w:r>
    </w:p>
    <w:p>
      <w:pPr>
        <w:pStyle w:val="DefinedTerms"/>
      </w:pPr>
      <w:r>
        <w:t>outstanding order to pay or elect</w:t>
      </w:r>
      <w:r>
        <w:tab/>
        <w:t>56A, 56AA</w:t>
      </w:r>
    </w:p>
    <w:p>
      <w:pPr>
        <w:pStyle w:val="DefinedTerms"/>
      </w:pPr>
      <w:r>
        <w:t>outstanding registered fine</w:t>
      </w:r>
      <w:r>
        <w:tab/>
        <w:t>56A, 56B</w:t>
      </w:r>
    </w:p>
    <w:p>
      <w:pPr>
        <w:pStyle w:val="DefinedTerms"/>
      </w:pPr>
      <w:r>
        <w:t>owner</w:t>
      </w:r>
      <w:r>
        <w:tab/>
        <w:t>63(1)</w:t>
      </w:r>
    </w:p>
    <w:p>
      <w:pPr>
        <w:pStyle w:val="DefinedTerms"/>
      </w:pPr>
      <w:r>
        <w:t>paid</w:t>
      </w:r>
      <w:r>
        <w:tab/>
        <w:t>3(1)</w:t>
      </w:r>
    </w:p>
    <w:p>
      <w:pPr>
        <w:pStyle w:val="DefinedTerms"/>
      </w:pPr>
      <w:r>
        <w:t>pay period</w:t>
      </w:r>
      <w:r>
        <w:tab/>
        <w:t>95P(1)</w:t>
      </w:r>
    </w:p>
    <w:p>
      <w:pPr>
        <w:pStyle w:val="DefinedTerms"/>
      </w:pPr>
      <w:r>
        <w:t>period of concurrent imprisonment</w:t>
      </w:r>
      <w:r>
        <w:tab/>
        <w:t>115</w:t>
      </w:r>
    </w:p>
    <w:p>
      <w:pPr>
        <w:pStyle w:val="DefinedTerms"/>
      </w:pPr>
      <w:r>
        <w:t>period served</w:t>
      </w:r>
      <w:r>
        <w:tab/>
        <w:t>53(7)</w:t>
      </w:r>
    </w:p>
    <w:p>
      <w:pPr>
        <w:pStyle w:val="DefinedTerms"/>
      </w:pPr>
      <w:r>
        <w:t>person in court custody</w:t>
      </w:r>
      <w:r>
        <w:tab/>
        <w:t>28(1)</w:t>
      </w:r>
    </w:p>
    <w:p>
      <w:pPr>
        <w:pStyle w:val="DefinedTerms"/>
      </w:pPr>
      <w:r>
        <w:t>personal property</w:t>
      </w:r>
      <w:r>
        <w:tab/>
        <w:t>63(1)</w:t>
      </w:r>
    </w:p>
    <w:p>
      <w:pPr>
        <w:pStyle w:val="DefinedTerms"/>
      </w:pPr>
      <w:r>
        <w:t>place</w:t>
      </w:r>
      <w:r>
        <w:tab/>
        <w:t>63(1)</w:t>
      </w:r>
    </w:p>
    <w:p>
      <w:pPr>
        <w:pStyle w:val="DefinedTerms"/>
      </w:pPr>
      <w:r>
        <w:t>police facility</w:t>
      </w:r>
      <w:r>
        <w:tab/>
        <w:t>28(1)</w:t>
      </w:r>
    </w:p>
    <w:p>
      <w:pPr>
        <w:pStyle w:val="DefinedTerms"/>
      </w:pPr>
      <w:r>
        <w:t>prescribed enactment</w:t>
      </w:r>
      <w:r>
        <w:tab/>
        <w:t>11</w:t>
      </w:r>
    </w:p>
    <w:p>
      <w:pPr>
        <w:pStyle w:val="DefinedTerms"/>
      </w:pPr>
      <w:r>
        <w:t>principal enactment</w:t>
      </w:r>
      <w:r>
        <w:tab/>
        <w:t>11</w:t>
      </w:r>
    </w:p>
    <w:p>
      <w:pPr>
        <w:pStyle w:val="DefinedTerms"/>
      </w:pPr>
      <w:r>
        <w:t>prison</w:t>
      </w:r>
      <w:r>
        <w:tab/>
        <w:t>28(1)</w:t>
      </w:r>
    </w:p>
    <w:p>
      <w:pPr>
        <w:pStyle w:val="DefinedTerms"/>
      </w:pPr>
      <w:r>
        <w:t>prisoner</w:t>
      </w:r>
      <w:r>
        <w:tab/>
        <w:t>28(1)</w:t>
      </w:r>
    </w:p>
    <w:p>
      <w:pPr>
        <w:pStyle w:val="DefinedTerms"/>
      </w:pPr>
      <w:r>
        <w:t>proceeds</w:t>
      </w:r>
      <w:r>
        <w:tab/>
        <w:t>96(1)</w:t>
      </w:r>
    </w:p>
    <w:p>
      <w:pPr>
        <w:pStyle w:val="DefinedTerms"/>
      </w:pPr>
      <w:r>
        <w:t>prosecuting authority</w:t>
      </w:r>
      <w:r>
        <w:tab/>
        <w:t>11, 32B(2)</w:t>
      </w:r>
    </w:p>
    <w:p>
      <w:pPr>
        <w:pStyle w:val="DefinedTerms"/>
      </w:pPr>
      <w:r>
        <w:t>prosecuting officer</w:t>
      </w:r>
      <w:r>
        <w:tab/>
        <w:t>11</w:t>
      </w:r>
    </w:p>
    <w:p>
      <w:pPr>
        <w:pStyle w:val="DefinedTerms"/>
      </w:pPr>
      <w:r>
        <w:t>protected bank account amount</w:t>
      </w:r>
      <w:r>
        <w:tab/>
        <w:t>63(1)</w:t>
      </w:r>
    </w:p>
    <w:p>
      <w:pPr>
        <w:pStyle w:val="DefinedTerms"/>
      </w:pPr>
      <w:r>
        <w:t>protected earnings amount</w:t>
      </w:r>
      <w:r>
        <w:tab/>
        <w:t>63(1)</w:t>
      </w:r>
    </w:p>
    <w:p>
      <w:pPr>
        <w:pStyle w:val="DefinedTerms"/>
      </w:pPr>
      <w:r>
        <w:t>public authority</w:t>
      </w:r>
      <w:r>
        <w:tab/>
        <w:t>70(1), 100</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3(1)</w:t>
      </w:r>
    </w:p>
    <w:p>
      <w:pPr>
        <w:pStyle w:val="DefinedTerms"/>
      </w:pPr>
      <w:r>
        <w:t>Registry</w:t>
      </w:r>
      <w:r>
        <w:tab/>
        <w:t>3(1)</w:t>
      </w:r>
    </w:p>
    <w:p>
      <w:pPr>
        <w:pStyle w:val="DefinedTerms"/>
      </w:pPr>
      <w:r>
        <w:t>relevant amount</w:t>
      </w:r>
      <w:r>
        <w:tab/>
        <w:t>10B(1), 119(3)</w:t>
      </w:r>
    </w:p>
    <w:p>
      <w:pPr>
        <w:pStyle w:val="DefinedTerms"/>
      </w:pPr>
      <w:r>
        <w:t>relevant details</w:t>
      </w:r>
      <w:r>
        <w:tab/>
        <w:t>56A, 56C</w:t>
      </w:r>
    </w:p>
    <w:p>
      <w:pPr>
        <w:pStyle w:val="DefinedTerms"/>
      </w:pPr>
      <w:r>
        <w:t>relevant fines</w:t>
      </w:r>
      <w:r>
        <w:tab/>
        <w:t>52N(1), 117(1)</w:t>
      </w:r>
    </w:p>
    <w:p>
      <w:pPr>
        <w:pStyle w:val="DefinedTerms"/>
      </w:pPr>
      <w:r>
        <w:t>relevant information</w:t>
      </w:r>
      <w:r>
        <w:tab/>
        <w:t>100</w:t>
      </w:r>
    </w:p>
    <w:p>
      <w:pPr>
        <w:pStyle w:val="DefinedTerms"/>
      </w:pPr>
      <w:r>
        <w:t>relevant payer</w:t>
      </w:r>
      <w:r>
        <w:tab/>
        <w:t>63(1), 95O(1)</w:t>
      </w:r>
    </w:p>
    <w:p>
      <w:pPr>
        <w:pStyle w:val="DefinedTerms"/>
      </w:pPr>
      <w:r>
        <w:t>relevant warrants</w:t>
      </w:r>
      <w:r>
        <w:tab/>
        <w:t>117(1)</w:t>
      </w:r>
    </w:p>
    <w:p>
      <w:pPr>
        <w:pStyle w:val="DefinedTerms"/>
      </w:pPr>
      <w:r>
        <w:t>remote area</w:t>
      </w:r>
      <w:r>
        <w:tab/>
        <w:t>3(1)</w:t>
      </w:r>
    </w:p>
    <w:p>
      <w:pPr>
        <w:pStyle w:val="DefinedTerms"/>
      </w:pPr>
      <w:r>
        <w:t>requesting officer</w:t>
      </w:r>
      <w:r>
        <w:tab/>
        <w:t>100A(1)</w:t>
      </w:r>
    </w:p>
    <w:p>
      <w:pPr>
        <w:pStyle w:val="DefinedTerms"/>
      </w:pPr>
      <w:r>
        <w:t>required hours</w:t>
      </w:r>
      <w:r>
        <w:tab/>
        <w:t>50(1)</w:t>
      </w:r>
    </w:p>
    <w:p>
      <w:pPr>
        <w:pStyle w:val="DefinedTerms"/>
      </w:pPr>
      <w:r>
        <w:t>research</w:t>
      </w:r>
      <w:r>
        <w:tab/>
        <w:t>100</w:t>
      </w:r>
    </w:p>
    <w:p>
      <w:pPr>
        <w:pStyle w:val="DefinedTerms"/>
      </w:pPr>
      <w:r>
        <w:t>responsible officer</w:t>
      </w:r>
      <w:r>
        <w:tab/>
        <w:t>28(1), 52ZC(2)</w:t>
      </w:r>
    </w:p>
    <w:p>
      <w:pPr>
        <w:pStyle w:val="DefinedTerms"/>
      </w:pPr>
      <w:r>
        <w:t>road law</w:t>
      </w:r>
      <w:r>
        <w:tab/>
        <w:t>3(1)</w:t>
      </w:r>
    </w:p>
    <w:p>
      <w:pPr>
        <w:pStyle w:val="DefinedTerms"/>
      </w:pPr>
      <w:r>
        <w:t>saleable interest</w:t>
      </w:r>
      <w:r>
        <w:tab/>
        <w:t>63(1), 71(1), 88(1)</w:t>
      </w:r>
    </w:p>
    <w:p>
      <w:pPr>
        <w:pStyle w:val="DefinedTerms"/>
      </w:pPr>
      <w:r>
        <w:t>second commencement day</w:t>
      </w:r>
      <w:r>
        <w:tab/>
        <w:t>115</w:t>
      </w:r>
    </w:p>
    <w:p>
      <w:pPr>
        <w:pStyle w:val="DefinedTerms"/>
      </w:pPr>
      <w:r>
        <w:t>section 78 notice</w:t>
      </w:r>
      <w:r>
        <w:tab/>
        <w:t>119(1)</w:t>
      </w:r>
    </w:p>
    <w:p>
      <w:pPr>
        <w:pStyle w:val="DefinedTerms"/>
      </w:pPr>
      <w:r>
        <w:t>serve</w:t>
      </w:r>
      <w:r>
        <w:tab/>
        <w:t>3(1)</w:t>
      </w:r>
    </w:p>
    <w:p>
      <w:pPr>
        <w:pStyle w:val="DefinedTerms"/>
      </w:pPr>
      <w:r>
        <w:t>Sheriff</w:t>
      </w:r>
      <w:r>
        <w:tab/>
        <w:t>3(1)</w:t>
      </w:r>
    </w:p>
    <w:p>
      <w:pPr>
        <w:pStyle w:val="DefinedTerms"/>
      </w:pPr>
      <w:r>
        <w:t>single payment garnishee order</w:t>
      </w:r>
      <w:r>
        <w:tab/>
        <w:t>63(1), 95V(2)</w:t>
      </w:r>
    </w:p>
    <w:p>
      <w:pPr>
        <w:pStyle w:val="DefinedTerms"/>
      </w:pPr>
      <w:r>
        <w:t>specified period</w:t>
      </w:r>
      <w:r>
        <w:tab/>
        <w:t>53(7)</w:t>
      </w:r>
    </w:p>
    <w:p>
      <w:pPr>
        <w:pStyle w:val="DefinedTerms"/>
      </w:pPr>
      <w:r>
        <w:t>time to pay order</w:t>
      </w:r>
      <w:r>
        <w:tab/>
        <w:t>11, 28(1)</w:t>
      </w:r>
    </w:p>
    <w:p>
      <w:pPr>
        <w:pStyle w:val="DefinedTerms"/>
      </w:pPr>
      <w:r>
        <w:t>transitional period</w:t>
      </w:r>
      <w:r>
        <w:tab/>
        <w:t>113(1), 115</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video link</w:t>
      </w:r>
      <w:r>
        <w:tab/>
        <w:t>28(1)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warrant of commitment</w:t>
      </w:r>
      <w:r>
        <w:tab/>
        <w:t>28(1)</w:t>
      </w:r>
    </w:p>
    <w:p>
      <w:pPr>
        <w:pStyle w:val="DefinedTerms"/>
      </w:pPr>
      <w:r>
        <w:t>warrant of commitment inquiry</w:t>
      </w:r>
      <w:r>
        <w:tab/>
        <w:t>28(1), 52M(1)</w:t>
      </w:r>
    </w:p>
    <w:p>
      <w:pPr>
        <w:pStyle w:val="DefinedTerms"/>
      </w:pPr>
      <w:r>
        <w:t>warrant of commitment inquiry process</w:t>
      </w:r>
      <w:r>
        <w:tab/>
        <w:t>28(1), 52M(2)</w:t>
      </w:r>
    </w:p>
    <w:p>
      <w:pPr>
        <w:pStyle w:val="DefinedTerms"/>
      </w:pPr>
      <w:r>
        <w:t>work and development order (WDO)</w:t>
      </w:r>
      <w:r>
        <w:tab/>
        <w:t>3(1)</w:t>
      </w:r>
    </w:p>
    <w:p>
      <w:pPr>
        <w:pStyle w:val="DefinedTerms"/>
      </w:pPr>
      <w:r>
        <w:t>young person</w:t>
      </w:r>
      <w:r>
        <w:tab/>
        <w:t>10B(1)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5" w:name="Compilation"/>
    <w:bookmarkEnd w:id="6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9" w:name="DefinedTerms"/>
    <w:bookmarkEnd w:id="6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0" w:name="Coversheet"/>
    <w:bookmarkEnd w:id="6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43033"/>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05E5-6E4B-43D1-B49D-4E222EAB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52627</Words>
  <Characters>247347</Characters>
  <Application>Microsoft Office Word</Application>
  <DocSecurity>0</DocSecurity>
  <Lines>6870</Lines>
  <Paragraphs>4053</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295921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1994 - 06-c0-00</dc:title>
  <dc:subject/>
  <dc:creator/>
  <cp:keywords/>
  <dc:description/>
  <cp:lastModifiedBy>svcMRProcess</cp:lastModifiedBy>
  <cp:revision>4</cp:revision>
  <cp:lastPrinted>2019-05-22T03:28:00Z</cp:lastPrinted>
  <dcterms:created xsi:type="dcterms:W3CDTF">2020-09-25T04:29:00Z</dcterms:created>
  <dcterms:modified xsi:type="dcterms:W3CDTF">2020-09-25T04:30:00Z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AsAtDate">
    <vt:lpwstr>29 Sep 2020</vt:lpwstr>
  </property>
  <property fmtid="{D5CDD505-2E9C-101B-9397-08002B2CF9AE}" pid="9" name="Suffix">
    <vt:lpwstr>06-c0-00</vt:lpwstr>
  </property>
  <property fmtid="{D5CDD505-2E9C-101B-9397-08002B2CF9AE}" pid="10" name="CommencementDate">
    <vt:lpwstr>20200929</vt:lpwstr>
  </property>
</Properties>
</file>