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Juries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_Toc51684451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_Toc51684452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Jury pools</w:t>
      </w:r>
    </w:p>
    <w:p>
      <w:pPr>
        <w:pStyle w:val="TOC8"/>
        <w:rPr>
          <w:rFonts w:asciiTheme="minorHAnsi" w:eastAsiaTheme="minorEastAsia" w:hAnsiTheme="minorHAnsi" w:cstheme="minorBidi"/>
          <w:szCs w:val="22"/>
        </w:rPr>
      </w:pPr>
      <w:r>
        <w:t>3A.</w:t>
      </w:r>
      <w:r>
        <w:tab/>
        <w:t>Jury pool summons, form of (Act s. 32D)</w:t>
      </w:r>
      <w:r>
        <w:tab/>
      </w:r>
      <w:r>
        <w:fldChar w:fldCharType="begin"/>
      </w:r>
      <w:r>
        <w:instrText xml:space="preserve"> PAGEREF _Toc51684454 \h </w:instrText>
      </w:r>
      <w:r>
        <w:fldChar w:fldCharType="separate"/>
      </w:r>
      <w:r>
        <w:t>2</w:t>
      </w:r>
      <w:r>
        <w:fldChar w:fldCharType="end"/>
      </w:r>
    </w:p>
    <w:p>
      <w:pPr>
        <w:pStyle w:val="TOC8"/>
        <w:rPr>
          <w:rFonts w:asciiTheme="minorHAnsi" w:eastAsiaTheme="minorEastAsia" w:hAnsiTheme="minorHAnsi" w:cstheme="minorBidi"/>
          <w:szCs w:val="22"/>
        </w:rPr>
      </w:pPr>
      <w:r>
        <w:t>3B.</w:t>
      </w:r>
      <w:r>
        <w:tab/>
        <w:t>Pool precept, form of (Act s. 32G)</w:t>
      </w:r>
      <w:r>
        <w:tab/>
      </w:r>
      <w:r>
        <w:fldChar w:fldCharType="begin"/>
      </w:r>
      <w:r>
        <w:instrText xml:space="preserve"> PAGEREF _Toc51684455 \h </w:instrText>
      </w:r>
      <w:r>
        <w:fldChar w:fldCharType="separate"/>
      </w:r>
      <w:r>
        <w:t>2</w:t>
      </w:r>
      <w:r>
        <w:fldChar w:fldCharType="end"/>
      </w:r>
    </w:p>
    <w:p>
      <w:pPr>
        <w:pStyle w:val="TOC8"/>
        <w:rPr>
          <w:rFonts w:asciiTheme="minorHAnsi" w:eastAsiaTheme="minorEastAsia" w:hAnsiTheme="minorHAnsi" w:cstheme="minorBidi"/>
          <w:szCs w:val="22"/>
        </w:rPr>
      </w:pPr>
      <w:r>
        <w:t>3C.</w:t>
      </w:r>
      <w:r>
        <w:tab/>
        <w:t>Failure to obey summons to be reported to sheriff (Act s. 32D)</w:t>
      </w:r>
      <w:r>
        <w:tab/>
      </w:r>
      <w:r>
        <w:fldChar w:fldCharType="begin"/>
      </w:r>
      <w:r>
        <w:instrText xml:space="preserve"> PAGEREF _Toc51684456 \h </w:instrText>
      </w:r>
      <w:r>
        <w:fldChar w:fldCharType="separate"/>
      </w:r>
      <w:r>
        <w:t>2</w:t>
      </w:r>
      <w:r>
        <w:fldChar w:fldCharType="end"/>
      </w:r>
    </w:p>
    <w:p>
      <w:pPr>
        <w:pStyle w:val="TOC8"/>
        <w:rPr>
          <w:rFonts w:asciiTheme="minorHAnsi" w:eastAsiaTheme="minorEastAsia" w:hAnsiTheme="minorHAnsi" w:cstheme="minorBidi"/>
          <w:szCs w:val="22"/>
        </w:rPr>
      </w:pPr>
      <w:r>
        <w:t>3D.</w:t>
      </w:r>
      <w:r>
        <w:tab/>
        <w:t>Selection of jurors by ballot, time for (Act s. 32H)</w:t>
      </w:r>
      <w:r>
        <w:tab/>
      </w:r>
      <w:r>
        <w:fldChar w:fldCharType="begin"/>
      </w:r>
      <w:r>
        <w:instrText xml:space="preserve"> PAGEREF _Toc51684457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Payments for juries in civil trials</w:t>
      </w:r>
    </w:p>
    <w:p>
      <w:pPr>
        <w:pStyle w:val="TOC8"/>
        <w:rPr>
          <w:rFonts w:asciiTheme="minorHAnsi" w:eastAsiaTheme="minorEastAsia" w:hAnsiTheme="minorHAnsi" w:cstheme="minorBidi"/>
          <w:szCs w:val="22"/>
        </w:rPr>
      </w:pPr>
      <w:r>
        <w:t>3.</w:t>
      </w:r>
      <w:r>
        <w:tab/>
        <w:t>Time and amounts prescribed (Act s. 44(1) and (3))</w:t>
      </w:r>
      <w:r>
        <w:tab/>
      </w:r>
      <w:r>
        <w:fldChar w:fldCharType="begin"/>
      </w:r>
      <w:r>
        <w:instrText xml:space="preserve"> PAGEREF _Toc51684459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 allowances and expenses</w:t>
      </w:r>
    </w:p>
    <w:p>
      <w:pPr>
        <w:pStyle w:val="TOC8"/>
        <w:rPr>
          <w:rFonts w:asciiTheme="minorHAnsi" w:eastAsiaTheme="minorEastAsia" w:hAnsiTheme="minorHAnsi" w:cstheme="minorBidi"/>
          <w:szCs w:val="22"/>
        </w:rPr>
      </w:pPr>
      <w:r>
        <w:t>4.</w:t>
      </w:r>
      <w:r>
        <w:tab/>
        <w:t>Fees for doing jury service (Act s. 58B(4) and (5))</w:t>
      </w:r>
      <w:r>
        <w:tab/>
      </w:r>
      <w:r>
        <w:fldChar w:fldCharType="begin"/>
      </w:r>
      <w:r>
        <w:instrText xml:space="preserve"> PAGEREF _Toc51684461 \h </w:instrText>
      </w:r>
      <w:r>
        <w:fldChar w:fldCharType="separate"/>
      </w:r>
      <w:r>
        <w:t>4</w:t>
      </w:r>
      <w:r>
        <w:fldChar w:fldCharType="end"/>
      </w:r>
    </w:p>
    <w:p>
      <w:pPr>
        <w:pStyle w:val="TOC8"/>
        <w:rPr>
          <w:rFonts w:asciiTheme="minorHAnsi" w:eastAsiaTheme="minorEastAsia" w:hAnsiTheme="minorHAnsi" w:cstheme="minorBidi"/>
          <w:szCs w:val="22"/>
        </w:rPr>
      </w:pPr>
      <w:r>
        <w:t>5.</w:t>
      </w:r>
      <w:r>
        <w:tab/>
        <w:t>Travel expense and allowance prescribed (Act s. 58B(2))</w:t>
      </w:r>
      <w:r>
        <w:tab/>
      </w:r>
      <w:r>
        <w:fldChar w:fldCharType="begin"/>
      </w:r>
      <w:r>
        <w:instrText xml:space="preserve"> PAGEREF _Toc51684462 \h </w:instrText>
      </w:r>
      <w:r>
        <w:fldChar w:fldCharType="separate"/>
      </w:r>
      <w:r>
        <w:t>5</w:t>
      </w:r>
      <w:r>
        <w:fldChar w:fldCharType="end"/>
      </w:r>
    </w:p>
    <w:p>
      <w:pPr>
        <w:pStyle w:val="TOC8"/>
        <w:rPr>
          <w:rFonts w:asciiTheme="minorHAnsi" w:eastAsiaTheme="minorEastAsia" w:hAnsiTheme="minorHAnsi" w:cstheme="minorBidi"/>
          <w:szCs w:val="22"/>
        </w:rPr>
      </w:pPr>
      <w:r>
        <w:t>6.</w:t>
      </w:r>
      <w:r>
        <w:tab/>
        <w:t>Class of employer prescribed (Act s. 58B(3))</w:t>
      </w:r>
      <w:r>
        <w:tab/>
      </w:r>
      <w:r>
        <w:fldChar w:fldCharType="begin"/>
      </w:r>
      <w:r>
        <w:instrText xml:space="preserve"> PAGEREF _Toc51684463 \h </w:instrText>
      </w:r>
      <w:r>
        <w:fldChar w:fldCharType="separate"/>
      </w:r>
      <w:r>
        <w:t>5</w:t>
      </w:r>
      <w:r>
        <w:fldChar w:fldCharType="end"/>
      </w:r>
    </w:p>
    <w:p>
      <w:pPr>
        <w:pStyle w:val="TOC8"/>
        <w:rPr>
          <w:rFonts w:asciiTheme="minorHAnsi" w:eastAsiaTheme="minorEastAsia" w:hAnsiTheme="minorHAnsi" w:cstheme="minorBidi"/>
          <w:szCs w:val="22"/>
        </w:rPr>
      </w:pPr>
      <w:r>
        <w:t>7.</w:t>
      </w:r>
      <w:r>
        <w:tab/>
        <w:t>Juror employed under contract of service to give certain information</w:t>
      </w:r>
      <w:r>
        <w:tab/>
      </w:r>
      <w:r>
        <w:fldChar w:fldCharType="begin"/>
      </w:r>
      <w:r>
        <w:instrText xml:space="preserve"> PAGEREF _Toc51684464 \h </w:instrText>
      </w:r>
      <w:r>
        <w:fldChar w:fldCharType="separate"/>
      </w:r>
      <w:r>
        <w:t>5</w:t>
      </w:r>
      <w:r>
        <w:fldChar w:fldCharType="end"/>
      </w:r>
    </w:p>
    <w:p>
      <w:pPr>
        <w:pStyle w:val="TOC8"/>
        <w:rPr>
          <w:rFonts w:asciiTheme="minorHAnsi" w:eastAsiaTheme="minorEastAsia" w:hAnsiTheme="minorHAnsi" w:cstheme="minorBidi"/>
          <w:szCs w:val="22"/>
        </w:rPr>
      </w:pPr>
      <w:r>
        <w:t>8.</w:t>
      </w:r>
      <w:r>
        <w:tab/>
        <w:t>Reimbursement of employer (Act s. 58B(3))</w:t>
      </w:r>
      <w:r>
        <w:tab/>
      </w:r>
      <w:r>
        <w:fldChar w:fldCharType="begin"/>
      </w:r>
      <w:r>
        <w:instrText xml:space="preserve"> PAGEREF _Toc51684465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9.</w:t>
      </w:r>
      <w:r>
        <w:tab/>
        <w:t>Offences and modified penalties prescribed; designation etc. of officers (Sch. 2)</w:t>
      </w:r>
      <w:r>
        <w:tab/>
      </w:r>
      <w:r>
        <w:fldChar w:fldCharType="begin"/>
      </w:r>
      <w:r>
        <w:instrText xml:space="preserve"> PAGEREF _Toc51684467 \h </w:instrText>
      </w:r>
      <w:r>
        <w:fldChar w:fldCharType="separate"/>
      </w:r>
      <w:r>
        <w:t>7</w:t>
      </w:r>
      <w:r>
        <w:fldChar w:fldCharType="end"/>
      </w:r>
    </w:p>
    <w:p>
      <w:pPr>
        <w:pStyle w:val="TOC8"/>
        <w:rPr>
          <w:rFonts w:asciiTheme="minorHAnsi" w:eastAsiaTheme="minorEastAsia" w:hAnsiTheme="minorHAnsi" w:cstheme="minorBidi"/>
          <w:szCs w:val="22"/>
        </w:rPr>
      </w:pPr>
      <w:r>
        <w:t>10.</w:t>
      </w:r>
      <w:r>
        <w:tab/>
        <w:t>Forms prescribed (Sch. 3)</w:t>
      </w:r>
      <w:r>
        <w:tab/>
      </w:r>
      <w:r>
        <w:fldChar w:fldCharType="begin"/>
      </w:r>
      <w:r>
        <w:instrText xml:space="preserve"> PAGEREF _Toc51684468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concerning jury pools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 concerning prescribed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_Toc51684473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Juries Act 1957</w:t>
      </w:r>
    </w:p>
    <w:p>
      <w:pPr>
        <w:pStyle w:val="NameofActReg"/>
      </w:pPr>
      <w:r>
        <w:t>Juries Regulations 2008</w:t>
      </w:r>
    </w:p>
    <w:p>
      <w:pPr>
        <w:pStyle w:val="Heading2"/>
        <w:keepNext w:val="0"/>
        <w:pageBreakBefore w:val="0"/>
        <w:spacing w:before="240"/>
      </w:pPr>
      <w:bookmarkStart w:id="3" w:name="_Toc51662263"/>
      <w:bookmarkStart w:id="4" w:name="_Toc51662451"/>
      <w:bookmarkStart w:id="5" w:name="_Toc5168445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68445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8" w:name="_Toc5168445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9" w:name="_Toc51662266"/>
      <w:bookmarkStart w:id="10" w:name="_Toc51662454"/>
      <w:bookmarkStart w:id="11" w:name="_Toc51684453"/>
      <w:r>
        <w:rPr>
          <w:rStyle w:val="CharPartNo"/>
        </w:rPr>
        <w:t>Part 2A</w:t>
      </w:r>
      <w:r>
        <w:rPr>
          <w:rStyle w:val="CharDivNo"/>
        </w:rPr>
        <w:t> </w:t>
      </w:r>
      <w:r>
        <w:t>—</w:t>
      </w:r>
      <w:r>
        <w:rPr>
          <w:rStyle w:val="CharDivText"/>
        </w:rPr>
        <w:t> </w:t>
      </w:r>
      <w:r>
        <w:rPr>
          <w:rStyle w:val="CharPartText"/>
        </w:rPr>
        <w:t>Jury pools</w:t>
      </w:r>
      <w:bookmarkEnd w:id="9"/>
      <w:bookmarkEnd w:id="10"/>
      <w:bookmarkEnd w:id="11"/>
    </w:p>
    <w:p>
      <w:pPr>
        <w:pStyle w:val="Footnoteheading"/>
      </w:pPr>
      <w:r>
        <w:tab/>
        <w:t>[Heading inserted: Gazette 30 Jun 2011 p. 2616.]</w:t>
      </w:r>
    </w:p>
    <w:p>
      <w:pPr>
        <w:pStyle w:val="Heading5"/>
        <w:tabs>
          <w:tab w:val="center" w:pos="3548"/>
        </w:tabs>
      </w:pPr>
      <w:bookmarkStart w:id="12" w:name="_Toc51684454"/>
      <w:r>
        <w:rPr>
          <w:rStyle w:val="CharSectno"/>
        </w:rPr>
        <w:t>3A</w:t>
      </w:r>
      <w:r>
        <w:t>.</w:t>
      </w:r>
      <w:r>
        <w:tab/>
        <w:t>Jury pool summons, form of (Act s. 32D)</w:t>
      </w:r>
      <w:bookmarkEnd w:id="12"/>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13" w:name="_Toc51684455"/>
      <w:r>
        <w:rPr>
          <w:rStyle w:val="CharSectno"/>
        </w:rPr>
        <w:t>3B</w:t>
      </w:r>
      <w:r>
        <w:t>.</w:t>
      </w:r>
      <w:r>
        <w:tab/>
        <w:t>Pool precept, form of (Act s. 32G)</w:t>
      </w:r>
      <w:bookmarkEnd w:id="13"/>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14" w:name="_Toc51684456"/>
      <w:r>
        <w:rPr>
          <w:rStyle w:val="CharSectno"/>
        </w:rPr>
        <w:t>3C</w:t>
      </w:r>
      <w:r>
        <w:t>.</w:t>
      </w:r>
      <w:r>
        <w:tab/>
        <w:t>Failure to obey summons to be reported to sheriff (Act s. 32D)</w:t>
      </w:r>
      <w:bookmarkEnd w:id="14"/>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15" w:name="_Toc51684457"/>
      <w:r>
        <w:rPr>
          <w:rStyle w:val="CharSectno"/>
        </w:rPr>
        <w:t>3D</w:t>
      </w:r>
      <w:r>
        <w:t>.</w:t>
      </w:r>
      <w:r>
        <w:tab/>
        <w:t>Selection of jurors by ballot, time for (Act s. 32H)</w:t>
      </w:r>
      <w:bookmarkEnd w:id="15"/>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16" w:name="_Toc51662271"/>
      <w:bookmarkStart w:id="17" w:name="_Toc51662459"/>
      <w:bookmarkStart w:id="18" w:name="_Toc51684458"/>
      <w:r>
        <w:rPr>
          <w:rStyle w:val="CharPartNo"/>
        </w:rPr>
        <w:t>Part 2</w:t>
      </w:r>
      <w:r>
        <w:rPr>
          <w:rStyle w:val="CharDivNo"/>
        </w:rPr>
        <w:t> </w:t>
      </w:r>
      <w:r>
        <w:t>—</w:t>
      </w:r>
      <w:r>
        <w:rPr>
          <w:rStyle w:val="CharDivText"/>
        </w:rPr>
        <w:t> </w:t>
      </w:r>
      <w:r>
        <w:rPr>
          <w:rStyle w:val="CharPartText"/>
        </w:rPr>
        <w:t>Payments for juries in civil trials</w:t>
      </w:r>
      <w:bookmarkEnd w:id="16"/>
      <w:bookmarkEnd w:id="17"/>
      <w:bookmarkEnd w:id="18"/>
    </w:p>
    <w:p>
      <w:pPr>
        <w:pStyle w:val="Heading5"/>
      </w:pPr>
      <w:bookmarkStart w:id="19" w:name="_Toc51684459"/>
      <w:r>
        <w:rPr>
          <w:rStyle w:val="CharSectno"/>
        </w:rPr>
        <w:t>3</w:t>
      </w:r>
      <w:r>
        <w:t>.</w:t>
      </w:r>
      <w:r>
        <w:tab/>
        <w:t>Time and amounts prescribed (Act s. 44(1) and (3))</w:t>
      </w:r>
      <w:bookmarkEnd w:id="19"/>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20" w:name="_Toc51662273"/>
      <w:bookmarkStart w:id="21" w:name="_Toc51662461"/>
      <w:bookmarkStart w:id="22" w:name="_Toc51684460"/>
      <w:r>
        <w:rPr>
          <w:rStyle w:val="CharPartNo"/>
        </w:rPr>
        <w:t>Part 3</w:t>
      </w:r>
      <w:r>
        <w:rPr>
          <w:rStyle w:val="CharDivNo"/>
        </w:rPr>
        <w:t> </w:t>
      </w:r>
      <w:r>
        <w:t>—</w:t>
      </w:r>
      <w:r>
        <w:rPr>
          <w:rStyle w:val="CharDivText"/>
        </w:rPr>
        <w:t> </w:t>
      </w:r>
      <w:r>
        <w:rPr>
          <w:rStyle w:val="CharPartText"/>
        </w:rPr>
        <w:t>Fees, allowances and expenses</w:t>
      </w:r>
      <w:bookmarkEnd w:id="20"/>
      <w:bookmarkEnd w:id="21"/>
      <w:bookmarkEnd w:id="22"/>
    </w:p>
    <w:p>
      <w:pPr>
        <w:pStyle w:val="Heading5"/>
        <w:tabs>
          <w:tab w:val="left" w:pos="4080"/>
        </w:tabs>
      </w:pPr>
      <w:bookmarkStart w:id="23" w:name="_Toc51684461"/>
      <w:r>
        <w:rPr>
          <w:rStyle w:val="CharSectno"/>
        </w:rPr>
        <w:t>4</w:t>
      </w:r>
      <w:r>
        <w:t>.</w:t>
      </w:r>
      <w:r>
        <w:tab/>
        <w:t>Fees for doing jury service (Act s. 58B(4) and (5))</w:t>
      </w:r>
      <w:bookmarkEnd w:id="23"/>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a person loses income as a result of a day or part</w:t>
      </w:r>
      <w:r>
        <w:noBreakHyphen/>
        <w:t>day of jury service and the loss is greater than the fee prescribed under subregulation (1), the summoning officer may, on application by the person, pay a fee for the day that equals the loss.</w:t>
      </w:r>
    </w:p>
    <w:p>
      <w:pPr>
        <w:pStyle w:val="Subsection"/>
      </w:pPr>
      <w:r>
        <w:tab/>
        <w:t>(3)</w:t>
      </w:r>
      <w:r>
        <w:tab/>
        <w:t xml:space="preserve">The fee payable under subregulation (2) cannot exceed $1 000 unless the summoning officer is satisfied that — </w:t>
      </w:r>
    </w:p>
    <w:p>
      <w:pPr>
        <w:pStyle w:val="Indenta"/>
      </w:pPr>
      <w:r>
        <w:tab/>
        <w:t>(a)</w:t>
      </w:r>
      <w:r>
        <w:tab/>
        <w:t xml:space="preserve">the person’s lost income is greater than $1 000; and </w:t>
      </w:r>
    </w:p>
    <w:p>
      <w:pPr>
        <w:pStyle w:val="Indenta"/>
        <w:rPr>
          <w:rStyle w:val="DraftersNotes"/>
          <w:b w:val="0"/>
          <w:i w:val="0"/>
          <w:sz w:val="24"/>
        </w:rPr>
      </w:pPr>
      <w:r>
        <w:tab/>
        <w:t>(b)</w:t>
      </w:r>
      <w:r>
        <w:tab/>
        <w:t>not paying a fee equal to the loss would cause undue hardship to the person.</w:t>
      </w:r>
    </w:p>
    <w:p>
      <w:pPr>
        <w:pStyle w:val="Subsection"/>
      </w:pPr>
      <w:r>
        <w:tab/>
        <w:t>(4)</w:t>
      </w:r>
      <w:r>
        <w:tab/>
        <w:t xml:space="preserve">The application must — </w:t>
      </w:r>
    </w:p>
    <w:p>
      <w:pPr>
        <w:pStyle w:val="Indenta"/>
      </w:pPr>
      <w:r>
        <w:tab/>
        <w:t>(a)</w:t>
      </w:r>
      <w:r>
        <w:tab/>
        <w:t>be in a form approved by the summoning officer; and</w:t>
      </w:r>
    </w:p>
    <w:p>
      <w:pPr>
        <w:pStyle w:val="Indenta"/>
      </w:pPr>
      <w:r>
        <w:tab/>
        <w:t>(b)</w:t>
      </w:r>
      <w:r>
        <w:tab/>
        <w:t>include or be accompanied by the information required by the summoning officer; and</w:t>
      </w:r>
    </w:p>
    <w:p>
      <w:pPr>
        <w:pStyle w:val="Indenta"/>
      </w:pPr>
      <w:r>
        <w:tab/>
        <w:t>(c)</w:t>
      </w:r>
      <w:r>
        <w:tab/>
        <w:t>be made within 3 months after the last day of the period of jury service.</w:t>
      </w:r>
    </w:p>
    <w:p>
      <w:pPr>
        <w:pStyle w:val="Subsection"/>
      </w:pPr>
      <w:r>
        <w:tab/>
        <w:t>(5)</w:t>
      </w:r>
      <w:r>
        <w:tab/>
        <w:t>Despite subregulation (4)(c), the summoning officer may extend the period for making an application for a further period not exceeding 1 year if satisfied that exceptional circumstances exist.</w:t>
      </w:r>
    </w:p>
    <w:p>
      <w:pPr>
        <w:pStyle w:val="Footnotesection"/>
      </w:pPr>
      <w:r>
        <w:tab/>
        <w:t>[Regulation 4 amended: Gazette 30 Jun 2011 p. 2617; SL 2020/27 r. 4.]</w:t>
      </w:r>
    </w:p>
    <w:p>
      <w:pPr>
        <w:pStyle w:val="Heading5"/>
      </w:pPr>
      <w:bookmarkStart w:id="24" w:name="_Toc51684462"/>
      <w:r>
        <w:rPr>
          <w:rStyle w:val="CharSectno"/>
        </w:rPr>
        <w:t>5</w:t>
      </w:r>
      <w:r>
        <w:t>.</w:t>
      </w:r>
      <w:r>
        <w:tab/>
        <w:t>Travel expense and allowance prescribed (Act s. 58B(2))</w:t>
      </w:r>
      <w:bookmarkEnd w:id="24"/>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5" w:name="_Toc51684463"/>
      <w:r>
        <w:rPr>
          <w:rStyle w:val="CharSectno"/>
        </w:rPr>
        <w:t>6</w:t>
      </w:r>
      <w:r>
        <w:t>.</w:t>
      </w:r>
      <w:r>
        <w:tab/>
        <w:t>Class of employer prescribed (Act s. 58B(3))</w:t>
      </w:r>
      <w:bookmarkEnd w:id="25"/>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26" w:name="_Toc51684464"/>
      <w:r>
        <w:rPr>
          <w:rStyle w:val="CharSectno"/>
        </w:rPr>
        <w:t>7</w:t>
      </w:r>
      <w:r>
        <w:t>.</w:t>
      </w:r>
      <w:r>
        <w:tab/>
        <w:t>Juror employed under contract of service to give certain information</w:t>
      </w:r>
      <w:bookmarkEnd w:id="26"/>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7" w:name="_Toc51684465"/>
      <w:r>
        <w:rPr>
          <w:rStyle w:val="CharSectno"/>
        </w:rPr>
        <w:t>8</w:t>
      </w:r>
      <w:r>
        <w:t>.</w:t>
      </w:r>
      <w:r>
        <w:tab/>
        <w:t>Reimbursement of employer (Act s. 58B(3))</w:t>
      </w:r>
      <w:bookmarkEnd w:id="27"/>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28" w:name="_Toc51662279"/>
      <w:bookmarkStart w:id="29" w:name="_Toc51662467"/>
      <w:bookmarkStart w:id="30" w:name="_Toc51684466"/>
      <w:r>
        <w:rPr>
          <w:rStyle w:val="CharPartNo"/>
        </w:rPr>
        <w:t>Part 4</w:t>
      </w:r>
      <w:r>
        <w:rPr>
          <w:rStyle w:val="CharDivNo"/>
        </w:rPr>
        <w:t> </w:t>
      </w:r>
      <w:r>
        <w:t>—</w:t>
      </w:r>
      <w:r>
        <w:rPr>
          <w:rStyle w:val="CharDivText"/>
        </w:rPr>
        <w:t> </w:t>
      </w:r>
      <w:r>
        <w:rPr>
          <w:rStyle w:val="CharPartText"/>
        </w:rPr>
        <w:t>Infringement notices</w:t>
      </w:r>
      <w:bookmarkEnd w:id="28"/>
      <w:bookmarkEnd w:id="29"/>
      <w:bookmarkEnd w:id="30"/>
    </w:p>
    <w:p>
      <w:pPr>
        <w:pStyle w:val="Footnoteheading"/>
      </w:pPr>
      <w:r>
        <w:tab/>
        <w:t>[Heading inserted: Gazette 27 Oct 2011 p. 4553.]</w:t>
      </w:r>
    </w:p>
    <w:p>
      <w:pPr>
        <w:pStyle w:val="Heading5"/>
      </w:pPr>
      <w:bookmarkStart w:id="31" w:name="_Toc51684467"/>
      <w:r>
        <w:rPr>
          <w:rStyle w:val="CharSectno"/>
        </w:rPr>
        <w:t>9</w:t>
      </w:r>
      <w:r>
        <w:t>.</w:t>
      </w:r>
      <w:r>
        <w:tab/>
        <w:t>Offences and modified penalties prescribed; designation etc. of officers (Sch. 2)</w:t>
      </w:r>
      <w:bookmarkEnd w:id="3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32" w:name="_Toc51684468"/>
      <w:r>
        <w:rPr>
          <w:rStyle w:val="CharSectno"/>
        </w:rPr>
        <w:t>10</w:t>
      </w:r>
      <w:r>
        <w:t>.</w:t>
      </w:r>
      <w:r>
        <w:tab/>
        <w:t>Forms prescribed (Sch. 3)</w:t>
      </w:r>
      <w:bookmarkEnd w:id="32"/>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 w:name="_Toc51662282"/>
      <w:bookmarkStart w:id="34" w:name="_Toc51662470"/>
      <w:bookmarkStart w:id="35" w:name="_Toc51684469"/>
      <w:r>
        <w:rPr>
          <w:rStyle w:val="CharSchNo"/>
        </w:rPr>
        <w:t>Schedule 1</w:t>
      </w:r>
      <w:r>
        <w:rPr>
          <w:rStyle w:val="CharSDivNo"/>
        </w:rPr>
        <w:t> </w:t>
      </w:r>
      <w:r>
        <w:t>—</w:t>
      </w:r>
      <w:r>
        <w:rPr>
          <w:rStyle w:val="CharSDivText"/>
        </w:rPr>
        <w:t> </w:t>
      </w:r>
      <w:r>
        <w:rPr>
          <w:rStyle w:val="CharSchText"/>
        </w:rPr>
        <w:t>Forms concerning jury pools</w:t>
      </w:r>
      <w:bookmarkEnd w:id="33"/>
      <w:bookmarkEnd w:id="34"/>
      <w:bookmarkEnd w:id="35"/>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36" w:name="_Toc51662283"/>
      <w:bookmarkStart w:id="37" w:name="_Toc51662471"/>
      <w:bookmarkStart w:id="38" w:name="_Toc51684470"/>
      <w:r>
        <w:rPr>
          <w:rStyle w:val="CharSchNo"/>
        </w:rPr>
        <w:t>Schedule 2</w:t>
      </w:r>
      <w:r>
        <w:t> — </w:t>
      </w:r>
      <w:r>
        <w:rPr>
          <w:rStyle w:val="CharSchText"/>
        </w:rPr>
        <w:t>Prescribed offences and modified penalties</w:t>
      </w:r>
      <w:bookmarkEnd w:id="36"/>
      <w:bookmarkEnd w:id="37"/>
      <w:bookmarkEnd w:id="38"/>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39" w:name="_Toc51662284"/>
      <w:bookmarkStart w:id="40" w:name="_Toc51662472"/>
      <w:bookmarkStart w:id="41" w:name="_Toc51684471"/>
      <w:r>
        <w:rPr>
          <w:rStyle w:val="CharSchNo"/>
        </w:rPr>
        <w:t>Schedule 3</w:t>
      </w:r>
      <w:r>
        <w:t> — </w:t>
      </w:r>
      <w:r>
        <w:rPr>
          <w:rStyle w:val="CharSchText"/>
        </w:rPr>
        <w:t>Forms concerning prescribed offences</w:t>
      </w:r>
      <w:bookmarkEnd w:id="39"/>
      <w:bookmarkEnd w:id="40"/>
      <w:bookmarkEnd w:id="41"/>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 32H(4)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1"/>
              </w:numPr>
              <w:tabs>
                <w:tab w:val="clear" w:pos="567"/>
              </w:tabs>
              <w:spacing w:before="80"/>
              <w:ind w:left="601"/>
            </w:pPr>
            <w:r>
              <w:t xml:space="preserve">In person at any magistrate courthouse in the state of Western Australia. </w:t>
            </w:r>
          </w:p>
          <w:p>
            <w:pPr>
              <w:pStyle w:val="yTableNAm"/>
              <w:numPr>
                <w:ilvl w:val="0"/>
                <w:numId w:val="1"/>
              </w:numPr>
              <w:tabs>
                <w:tab w:val="clear" w:pos="567"/>
              </w:tabs>
              <w:spacing w:before="80"/>
              <w:ind w:left="601"/>
            </w:pPr>
            <w:r>
              <w:t xml:space="preserve">A cheque or money order made payable to: </w:t>
            </w:r>
            <w:r>
              <w:rPr>
                <w:b/>
              </w:rPr>
              <w:t>Jury Services</w:t>
            </w:r>
            <w:r>
              <w:t xml:space="preserve"> posted to:</w:t>
            </w:r>
          </w:p>
          <w:p>
            <w:pPr>
              <w:pStyle w:val="yTableNAm"/>
              <w:spacing w:before="80"/>
            </w:pPr>
            <w:r>
              <w:tab/>
            </w:r>
            <w:r>
              <w:tab/>
            </w:r>
            <w:r>
              <w:rPr>
                <w:szCs w:val="22"/>
              </w:rPr>
              <w:t>Sherif</w:t>
            </w:r>
            <w:r>
              <w:rPr>
                <w:spacing w:val="20"/>
                <w:szCs w:val="22"/>
              </w:rPr>
              <w:t>f</w:t>
            </w:r>
            <w:r>
              <w:rPr>
                <w:szCs w:val="22"/>
              </w:rPr>
              <w:t>’s</w:t>
            </w:r>
            <w:r>
              <w:t xml:space="preserve"> Office</w:t>
            </w:r>
          </w:p>
          <w:p>
            <w:pPr>
              <w:pStyle w:val="yTableNAm"/>
              <w:spacing w:before="0"/>
            </w:pPr>
            <w:r>
              <w:tab/>
            </w:r>
            <w:r>
              <w:tab/>
              <w:t>Level 2, 500 Hay Street</w:t>
            </w:r>
          </w:p>
          <w:p>
            <w:pPr>
              <w:pStyle w:val="yTableNAm"/>
              <w:spacing w:before="0"/>
            </w:pPr>
            <w:r>
              <w:tab/>
            </w:r>
            <w:r>
              <w:tab/>
              <w:t>PERTH WA 6000</w:t>
            </w:r>
          </w:p>
          <w:p>
            <w:pPr>
              <w:pStyle w:val="yTableNAm"/>
              <w:spacing w:before="80"/>
            </w:pPr>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Level 2, 500 Hay Street</w:t>
            </w:r>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t>PERTH WA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 Gazette 27 Oct 2011 p. 4554</w:t>
      </w:r>
      <w:r>
        <w:noBreakHyphen/>
        <w:t>5; amended: Gazette 20 Aug 2013 p. 3859; SL 2020/27 r. 5; SL 2020/162 r. 8.]</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3" w:name="_Toc51662285"/>
      <w:bookmarkStart w:id="44" w:name="_Toc51662473"/>
      <w:bookmarkStart w:id="45" w:name="_Toc51684472"/>
      <w:r>
        <w:t>Notes</w:t>
      </w:r>
      <w:bookmarkEnd w:id="43"/>
      <w:bookmarkEnd w:id="44"/>
      <w:bookmarkEnd w:id="45"/>
    </w:p>
    <w:p>
      <w:pPr>
        <w:pStyle w:val="nStatement"/>
      </w:pPr>
      <w:r>
        <w:t xml:space="preserve">This is a compilation of the </w:t>
      </w:r>
      <w:r>
        <w:rPr>
          <w:i/>
          <w:noProof/>
        </w:rPr>
        <w:t>Juries Regulations 2008</w:t>
      </w:r>
      <w:r>
        <w:t xml:space="preserve"> and includes amendments made by other written laws. For provisions that have come into operation, and for information about any reprints, see the compilation table.</w:t>
      </w:r>
    </w:p>
    <w:p>
      <w:pPr>
        <w:pStyle w:val="nHeading3"/>
      </w:pPr>
      <w:bookmarkStart w:id="46" w:name="_Toc51684473"/>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rPr>
            </w:pPr>
            <w:r>
              <w:rPr>
                <w:i/>
              </w:rPr>
              <w:t>Juries Amendment Regulations 2020</w:t>
            </w:r>
          </w:p>
        </w:tc>
        <w:tc>
          <w:tcPr>
            <w:tcW w:w="1276" w:type="dxa"/>
            <w:tcBorders>
              <w:top w:val="nil"/>
              <w:bottom w:val="nil"/>
            </w:tcBorders>
            <w:shd w:val="clear" w:color="auto" w:fill="auto"/>
          </w:tcPr>
          <w:p>
            <w:pPr>
              <w:pStyle w:val="nTable"/>
              <w:spacing w:after="40"/>
            </w:pPr>
            <w:r>
              <w:t>SL 2020/27</w:t>
            </w:r>
            <w:r>
              <w:br/>
              <w:t xml:space="preserve">31 Mar 2020 </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p>
        </w:tc>
      </w:tr>
      <w:tr>
        <w:tc>
          <w:tcPr>
            <w:tcW w:w="3118" w:type="dxa"/>
            <w:tcBorders>
              <w:top w:val="nil"/>
              <w:bottom w:val="single" w:sz="4" w:space="0" w:color="auto"/>
            </w:tcBorders>
            <w:shd w:val="clear" w:color="auto" w:fill="auto"/>
          </w:tcPr>
          <w:p>
            <w:pPr>
              <w:pStyle w:val="nTable"/>
              <w:spacing w:after="40"/>
              <w:rPr>
                <w:i/>
              </w:rPr>
            </w:pPr>
            <w:r>
              <w:rPr>
                <w:i/>
              </w:rPr>
              <w:t>Attorney General Regulations Amendment (Infringement Notices) Regulations 2020</w:t>
            </w:r>
            <w:r>
              <w:t xml:space="preserve"> Pt. 4</w:t>
            </w:r>
          </w:p>
        </w:tc>
        <w:tc>
          <w:tcPr>
            <w:tcW w:w="1276" w:type="dxa"/>
            <w:tcBorders>
              <w:top w:val="nil"/>
              <w:bottom w:val="single" w:sz="4" w:space="0" w:color="auto"/>
            </w:tcBorders>
            <w:shd w:val="clear" w:color="auto" w:fill="auto"/>
          </w:tcPr>
          <w:p>
            <w:pPr>
              <w:pStyle w:val="nTable"/>
              <w:spacing w:after="40"/>
            </w:pPr>
            <w:r>
              <w:t>SL 2020/162 25 Sep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29 Sep 2020 (see r. 2(b) and SL 2020/159 cl. 2(a))</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8" w:name="_Toc51662287"/>
      <w:bookmarkStart w:id="49" w:name="_Toc51662475"/>
      <w:bookmarkStart w:id="50" w:name="_Toc51684474"/>
      <w:r>
        <w:rPr>
          <w:sz w:val="28"/>
        </w:rPr>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juror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092742"/>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 w:name="WAFER_2020092209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742_GUID" w:val="c571813e-c068-4ad7-ac99-f56cb6e875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2656</Words>
  <Characters>12937</Characters>
  <Application>Microsoft Office Word</Application>
  <DocSecurity>0</DocSecurity>
  <Lines>446</Lines>
  <Paragraphs>294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2008 - 01-d0-00</dc:title>
  <dc:subject/>
  <dc:creator/>
  <cp:keywords/>
  <dc:description/>
  <cp:lastModifiedBy>svcMRProcess</cp:lastModifiedBy>
  <cp:revision>4</cp:revision>
  <cp:lastPrinted>2012-03-29T03:39:00Z</cp:lastPrinted>
  <dcterms:created xsi:type="dcterms:W3CDTF">2020-09-25T05:44:00Z</dcterms:created>
  <dcterms:modified xsi:type="dcterms:W3CDTF">2020-09-25T05:44:00Z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AsAtDate">
    <vt:lpwstr>29 Sep 2020</vt:lpwstr>
  </property>
  <property fmtid="{D5CDD505-2E9C-101B-9397-08002B2CF9AE}" pid="8" name="Suffix">
    <vt:lpwstr>01-d0-00</vt:lpwstr>
  </property>
  <property fmtid="{D5CDD505-2E9C-101B-9397-08002B2CF9AE}" pid="9" name="CommencementDate">
    <vt:lpwstr>20200929</vt:lpwstr>
  </property>
</Properties>
</file>