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_Toc52270923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_Toc52270924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_Toc52270926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_Toc52270927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Fair Trading Act 2010</w:t>
      </w:r>
    </w:p>
    <w:p>
      <w:pPr>
        <w:pStyle w:val="NameofActReg"/>
      </w:pPr>
      <w:r>
        <w:t>Fair Trading (Fitness Industry Code of Practice) Regulations 2020</w:t>
      </w:r>
    </w:p>
    <w:p>
      <w:pPr>
        <w:pStyle w:val="Heading5"/>
      </w:pPr>
      <w:bookmarkStart w:id="3" w:name="_Toc5227092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(Fitness Industry Code of Practice)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5227092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2021.</w:t>
      </w:r>
    </w:p>
    <w:p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>
      <w:pPr>
        <w:pStyle w:val="yEdnoteschedule"/>
      </w:pPr>
      <w:r>
        <w:t>[Schedule 1 has not come into operation.]</w:t>
      </w:r>
    </w:p>
    <w:p>
      <w:pPr>
        <w:pStyle w:val="ySubsection"/>
      </w:pP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  <w:titlePg/>
          <w:docGrid w:linePitch="326"/>
        </w:sectPr>
      </w:pPr>
    </w:p>
    <w:p>
      <w:pPr>
        <w:pStyle w:val="nHeading2"/>
      </w:pPr>
      <w:bookmarkStart w:id="7" w:name="_Toc51763963"/>
      <w:bookmarkStart w:id="8" w:name="_Toc51853579"/>
      <w:bookmarkStart w:id="9" w:name="_Toc52270888"/>
      <w:bookmarkStart w:id="10" w:name="_Toc52270925"/>
      <w:r>
        <w:t>Notes</w:t>
      </w:r>
      <w:bookmarkEnd w:id="7"/>
      <w:bookmarkEnd w:id="8"/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(Fitness Industry Code of Practice) Regulations 2020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1" w:name="_Toc52270926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Fair Trading (Fitness Industry Code of Practice) Regulations 2020 </w:t>
            </w:r>
            <w:r>
              <w:rPr>
                <w:noProof/>
              </w:rPr>
              <w:t>r. 1 and 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2020/179 29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29 Sep 2020 (see r. 2(a))</w:t>
            </w:r>
          </w:p>
        </w:tc>
      </w:tr>
    </w:tbl>
    <w:p>
      <w:pPr>
        <w:pStyle w:val="nHeading3"/>
      </w:pPr>
      <w:bookmarkStart w:id="12" w:name="_Toc52270927"/>
      <w:r>
        <w:t>Uncommenced provisions table</w:t>
      </w:r>
      <w:bookmarkEnd w:id="12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Fair Trading (Fitness Industry Code of Practice) Regulations 2020 </w:t>
            </w:r>
            <w:r>
              <w:rPr>
                <w:noProof/>
              </w:rPr>
              <w:t>r. 3 and 4 and Sch.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2020/179 29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1 Jul 2021 (see r. 2(b))</w:t>
            </w:r>
          </w:p>
        </w:tc>
      </w:tr>
    </w:tbl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6" w:name="Schedule"/>
    <w:bookmarkEnd w:id="6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3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31348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115104021" w:val="RemoveTocBookmarks,RemoveUnusedBookmarks,RemoveLanguageTags,ResetPageSize,RunningHeaders,UpdateStyles,UsedStyles"/>
    <w:docVar w:name="WAFER_20191115104021_GUID" w:val="d863d45a-aeb5-4126-a8f8-00a27ed62261"/>
    <w:docVar w:name="WAFER_202003120939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12093947_GUID" w:val="b68c34d1-2cd5-46cf-b2b6-538e2bc7405a"/>
    <w:docVar w:name="WAFER_20200722095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722095709_GUID" w:val="3028f64b-c887-474b-b2e3-f8daf736b509"/>
    <w:docVar w:name="WAFER_202008241453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4145326_GUID" w:val="d26bbaf1-228f-406a-aefb-b3682c703ef2"/>
    <w:docVar w:name="WAFER_202009231348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34809_GUID" w:val="00568eee-dbb7-4c24-92e6-3ea1386a728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7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7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BE38-3D40-428F-83C6-8403C9AB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1839</Characters>
  <Application>Microsoft Office Word</Application>
  <DocSecurity>0</DocSecurity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(Fitness Industry Code of Practice) Regulations 2020 - 00-a0-01</dc:title>
  <dc:subject/>
  <dc:creator/>
  <cp:keywords/>
  <dc:description/>
  <cp:lastModifiedBy>svcMRProcess</cp:lastModifiedBy>
  <cp:revision>4</cp:revision>
  <cp:lastPrinted>2020-09-22T04:21:00Z</cp:lastPrinted>
  <dcterms:created xsi:type="dcterms:W3CDTF">2020-09-29T03:30:00Z</dcterms:created>
  <dcterms:modified xsi:type="dcterms:W3CDTF">2020-09-29T03:30:00Z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52065</vt:lpwstr>
  </property>
  <property fmtid="{D5CDD505-2E9C-101B-9397-08002B2CF9AE}" pid="3" name="DocumentType">
    <vt:lpwstr>Reg</vt:lpwstr>
  </property>
  <property fmtid="{D5CDD505-2E9C-101B-9397-08002B2CF9AE}" pid="4" name="AsAtDate">
    <vt:lpwstr>29 Sep 2020</vt:lpwstr>
  </property>
  <property fmtid="{D5CDD505-2E9C-101B-9397-08002B2CF9AE}" pid="5" name="Suffix">
    <vt:lpwstr>00-a0-01</vt:lpwstr>
  </property>
  <property fmtid="{D5CDD505-2E9C-101B-9397-08002B2CF9AE}" pid="6" name="CommencementDate">
    <vt:lpwstr>20200929</vt:lpwstr>
  </property>
</Properties>
</file>