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_Toc54770429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_Toc54770430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_Toc54770431 \h </w:instrText>
      </w:r>
      <w:r>
        <w:fldChar w:fldCharType="separate"/>
      </w:r>
      <w:r>
        <w:t>4</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_Toc54770432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_Toc54770433 \h </w:instrText>
      </w:r>
      <w:r>
        <w:fldChar w:fldCharType="separate"/>
      </w:r>
      <w:r>
        <w:t>4</w:t>
      </w:r>
      <w:r>
        <w:fldChar w:fldCharType="end"/>
      </w:r>
    </w:p>
    <w:p>
      <w:pPr>
        <w:pStyle w:val="TOC8"/>
        <w:rPr>
          <w:rFonts w:asciiTheme="minorHAnsi" w:eastAsiaTheme="minorEastAsia" w:hAnsiTheme="minorHAnsi" w:cstheme="minorBidi"/>
          <w:szCs w:val="22"/>
        </w:rPr>
      </w:pPr>
      <w:r>
        <w:t>4AAA.</w:t>
      </w:r>
      <w:r>
        <w:tab/>
        <w:t>Refund of fees in response to COVID</w:t>
      </w:r>
      <w:r>
        <w:noBreakHyphen/>
        <w:t>19 pandemic</w:t>
      </w:r>
      <w:r>
        <w:tab/>
      </w:r>
      <w:r>
        <w:fldChar w:fldCharType="begin"/>
      </w:r>
      <w:r>
        <w:instrText xml:space="preserve"> PAGEREF _Toc54770434 \h </w:instrText>
      </w:r>
      <w:r>
        <w:fldChar w:fldCharType="separate"/>
      </w:r>
      <w:r>
        <w:t>5</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_Toc54770435 \h </w:instrText>
      </w:r>
      <w:r>
        <w:fldChar w:fldCharType="separate"/>
      </w:r>
      <w:r>
        <w:t>6</w:t>
      </w:r>
      <w:r>
        <w:fldChar w:fldCharType="end"/>
      </w:r>
    </w:p>
    <w:p>
      <w:pPr>
        <w:pStyle w:val="TOC8"/>
        <w:rPr>
          <w:rFonts w:asciiTheme="minorHAnsi" w:eastAsiaTheme="minorEastAsia" w:hAnsiTheme="minorHAnsi" w:cstheme="minorBidi"/>
          <w:szCs w:val="22"/>
        </w:rPr>
      </w:pPr>
      <w:r>
        <w:t>4AB.</w:t>
      </w:r>
      <w:r>
        <w:tab/>
        <w:t>Prescribed educational requirement for licensees who are individuals (Act s. 40B)</w:t>
      </w:r>
      <w:r>
        <w:tab/>
      </w:r>
      <w:r>
        <w:fldChar w:fldCharType="begin"/>
      </w:r>
      <w:r>
        <w:instrText xml:space="preserve"> PAGEREF _Toc54770436 \h </w:instrText>
      </w:r>
      <w:r>
        <w:fldChar w:fldCharType="separate"/>
      </w:r>
      <w:r>
        <w:t>7</w:t>
      </w:r>
      <w:r>
        <w:fldChar w:fldCharType="end"/>
      </w:r>
    </w:p>
    <w:p>
      <w:pPr>
        <w:pStyle w:val="TOC8"/>
        <w:rPr>
          <w:rFonts w:asciiTheme="minorHAnsi" w:eastAsiaTheme="minorEastAsia" w:hAnsiTheme="minorHAnsi" w:cstheme="minorBidi"/>
          <w:szCs w:val="22"/>
        </w:rPr>
      </w:pPr>
      <w:r>
        <w:t>4AC.</w:t>
      </w:r>
      <w:r>
        <w:tab/>
        <w:t>Prescribed educational requirement for sales representatives (Act s. 50C)</w:t>
      </w:r>
      <w:r>
        <w:tab/>
      </w:r>
      <w:r>
        <w:fldChar w:fldCharType="begin"/>
      </w:r>
      <w:r>
        <w:instrText xml:space="preserve"> PAGEREF _Toc54770437 \h </w:instrText>
      </w:r>
      <w:r>
        <w:fldChar w:fldCharType="separate"/>
      </w:r>
      <w:r>
        <w:t>8</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_Toc54770438 \h </w:instrText>
      </w:r>
      <w:r>
        <w:fldChar w:fldCharType="separate"/>
      </w:r>
      <w:r>
        <w:t>8</w:t>
      </w:r>
      <w:r>
        <w:fldChar w:fldCharType="end"/>
      </w:r>
    </w:p>
    <w:p>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_Toc54770439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_Toc54770440 \h </w:instrText>
      </w:r>
      <w:r>
        <w:fldChar w:fldCharType="separate"/>
      </w:r>
      <w:r>
        <w:t>13</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_Toc54770441 \h </w:instrText>
      </w:r>
      <w:r>
        <w:fldChar w:fldCharType="separate"/>
      </w:r>
      <w:r>
        <w:t>16</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_Toc54770442 \h </w:instrText>
      </w:r>
      <w:r>
        <w:fldChar w:fldCharType="separate"/>
      </w:r>
      <w:r>
        <w:t>17</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_Toc54770443 \h </w:instrText>
      </w:r>
      <w:r>
        <w:fldChar w:fldCharType="separate"/>
      </w:r>
      <w:r>
        <w:t>18</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_Toc54770444 \h </w:instrText>
      </w:r>
      <w:r>
        <w:fldChar w:fldCharType="separate"/>
      </w:r>
      <w:r>
        <w:t>19</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_Toc54770445 \h </w:instrText>
      </w:r>
      <w:r>
        <w:fldChar w:fldCharType="separate"/>
      </w:r>
      <w:r>
        <w:t>19</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_Toc54770446 \h </w:instrText>
      </w:r>
      <w:r>
        <w:fldChar w:fldCharType="separate"/>
      </w:r>
      <w:r>
        <w:t>20</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_Toc54770447 \h </w:instrText>
      </w:r>
      <w:r>
        <w:fldChar w:fldCharType="separate"/>
      </w:r>
      <w:r>
        <w:t>20</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_Toc54770448 \h </w:instrText>
      </w:r>
      <w:r>
        <w:fldChar w:fldCharType="separate"/>
      </w:r>
      <w:r>
        <w:t>21</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_Toc54770449 \h </w:instrText>
      </w:r>
      <w:r>
        <w:fldChar w:fldCharType="separate"/>
      </w:r>
      <w:r>
        <w:t>21</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Registers (Act s. 133(2))</w:t>
      </w:r>
      <w:r>
        <w:tab/>
      </w:r>
      <w:r>
        <w:fldChar w:fldCharType="begin"/>
      </w:r>
      <w:r>
        <w:instrText xml:space="preserve"> PAGEREF _Toc54770450 \h </w:instrText>
      </w:r>
      <w:r>
        <w:fldChar w:fldCharType="separate"/>
      </w:r>
      <w:r>
        <w:t>22</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_Toc54770451 \h </w:instrText>
      </w:r>
      <w:r>
        <w:fldChar w:fldCharType="separate"/>
      </w:r>
      <w:r>
        <w:t>24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_Toc54770452 \h </w:instrText>
      </w:r>
      <w:r>
        <w:fldChar w:fldCharType="separate"/>
      </w:r>
      <w:r>
        <w:t>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_Toc54770453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_Toc54770454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_Toc54770455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_Toc54770456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_Toc54770457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_Toc54770458 \h </w:instrText>
      </w:r>
      <w:r>
        <w:fldChar w:fldCharType="separate"/>
      </w:r>
      <w:r>
        <w:t>27</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_Toc54770459 \h </w:instrText>
      </w:r>
      <w:r>
        <w:fldChar w:fldCharType="separate"/>
      </w:r>
      <w:r>
        <w:t>27</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_Toc54770460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_Toc54770466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_Toc54770467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5477042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54770430"/>
      <w:r>
        <w:rPr>
          <w:rStyle w:val="CharSectno"/>
        </w:rPr>
        <w:t>2</w:t>
      </w:r>
      <w:r>
        <w:rPr>
          <w:snapToGrid w:val="0"/>
        </w:rPr>
        <w:t>.</w:t>
      </w:r>
      <w:r>
        <w:rPr>
          <w:snapToGrid w:val="0"/>
        </w:rPr>
        <w:tab/>
        <w:t>Terms used</w:t>
      </w:r>
      <w:bookmarkEnd w:id="4"/>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keepLines/>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w:t>
      </w:r>
    </w:p>
    <w:p>
      <w:pPr>
        <w:pStyle w:val="Ednotesection"/>
      </w:pPr>
      <w:r>
        <w:t>[</w:t>
      </w:r>
      <w:r>
        <w:rPr>
          <w:b/>
        </w:rPr>
        <w:t>3.</w:t>
      </w:r>
      <w:r>
        <w:tab/>
        <w:t>Deleted: Gazette 30 Jun 2011 p. 2669.]</w:t>
      </w:r>
    </w:p>
    <w:p>
      <w:pPr>
        <w:pStyle w:val="Heading5"/>
      </w:pPr>
      <w:bookmarkStart w:id="5" w:name="_Toc54770431"/>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54770432"/>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54770433"/>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8" w:name="_Toc54770434"/>
      <w:r>
        <w:rPr>
          <w:rStyle w:val="CharSectno"/>
        </w:rPr>
        <w:t>4AAA</w:t>
      </w:r>
      <w:r>
        <w:t>.</w:t>
      </w:r>
      <w:r>
        <w:tab/>
        <w:t>Refund of fees in response to COVID</w:t>
      </w:r>
      <w:r>
        <w:noBreakHyphen/>
        <w:t>19 pandemic</w:t>
      </w:r>
      <w:bookmarkEnd w:id="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pPr>
      <w:bookmarkStart w:id="9" w:name="_Toc54770435"/>
      <w:r>
        <w:rPr>
          <w:rStyle w:val="CharSectno"/>
        </w:rPr>
        <w:t>4AA</w:t>
      </w:r>
      <w:r>
        <w:t>.</w:t>
      </w:r>
      <w:r>
        <w:tab/>
        <w:t>CPD activities</w:t>
      </w:r>
      <w:bookmarkEnd w:id="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keepNext/>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10" w:name="_Toc54770436"/>
      <w:r>
        <w:rPr>
          <w:rStyle w:val="CharSectno"/>
        </w:rPr>
        <w:t>4AB</w:t>
      </w:r>
      <w:r>
        <w:t>.</w:t>
      </w:r>
      <w:r>
        <w:tab/>
        <w:t>Prescribed educational requirement for licensees who are individuals (Act s. 40B)</w:t>
      </w:r>
      <w:bookmarkEnd w:id="10"/>
    </w:p>
    <w:p>
      <w:pPr>
        <w:pStyle w:val="Subsection"/>
        <w:keepNext/>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11" w:name="_Toc54770437"/>
      <w:r>
        <w:rPr>
          <w:rStyle w:val="CharSectno"/>
        </w:rPr>
        <w:t>4AC</w:t>
      </w:r>
      <w:r>
        <w:t>.</w:t>
      </w:r>
      <w:r>
        <w:tab/>
        <w:t>Prescribed educational requirement for sales representatives (Act s. 50C)</w:t>
      </w:r>
      <w:bookmarkEnd w:id="11"/>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12" w:name="_Toc54770438"/>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54770439"/>
      <w:r>
        <w:rPr>
          <w:rStyle w:val="CharSectno"/>
        </w:rPr>
        <w:t>6</w:t>
      </w:r>
      <w:r>
        <w:t>.</w:t>
      </w:r>
      <w:r>
        <w:tab/>
        <w:t>Prescribed examinations for licence applicants (Act Sch. 1 cl. 1(a))</w:t>
      </w:r>
      <w:bookmarkEnd w:id="1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Next/>
              <w:keepLines/>
              <w:rPr>
                <w:sz w:val="22"/>
              </w:rPr>
            </w:pPr>
            <w:r>
              <w:rPr>
                <w:sz w:val="22"/>
              </w:rPr>
              <w:t>No certificate of registration</w:t>
            </w:r>
          </w:p>
        </w:tc>
        <w:tc>
          <w:tcPr>
            <w:tcW w:w="3260" w:type="dxa"/>
            <w:noWrap/>
            <w:vAlign w:val="center"/>
          </w:tcPr>
          <w:p>
            <w:pPr>
              <w:pStyle w:val="TableNAm"/>
              <w:keepNext/>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14" w:name="_Toc54770440"/>
      <w:r>
        <w:rPr>
          <w:rStyle w:val="CharSectno"/>
        </w:rPr>
        <w:t>6A</w:t>
      </w:r>
      <w:r>
        <w:t>.</w:t>
      </w:r>
      <w:r>
        <w:tab/>
        <w:t>Prescribed qualifications for certificate applicants (Act s. 47(2))</w:t>
      </w:r>
      <w:bookmarkEnd w:id="14"/>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15" w:name="_Toc54770441"/>
      <w:r>
        <w:rPr>
          <w:rStyle w:val="CharSectno"/>
        </w:rPr>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16" w:name="_Toc54770442"/>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54770443"/>
      <w:r>
        <w:rPr>
          <w:rStyle w:val="CharSectno"/>
        </w:rPr>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54770444"/>
      <w:r>
        <w:rPr>
          <w:rStyle w:val="CharSectno"/>
        </w:rPr>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54770445"/>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54770446"/>
      <w:r>
        <w:rPr>
          <w:rStyle w:val="CharSectno"/>
        </w:rPr>
        <w:t>6E</w:t>
      </w:r>
      <w:r>
        <w:t>.</w:t>
      </w:r>
      <w:r>
        <w:tab/>
        <w:t>Separate trust accounts, requests for, requirements prescribed (Act s. 68A(4))</w:t>
      </w:r>
      <w:bookmarkEnd w:id="20"/>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54770447"/>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54770448"/>
      <w:r>
        <w:rPr>
          <w:rStyle w:val="CharSectno"/>
        </w:rPr>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54770449"/>
      <w:r>
        <w:rPr>
          <w:rStyle w:val="CharSectno"/>
        </w:rPr>
        <w:t>6H</w:t>
      </w:r>
      <w:r>
        <w:rPr>
          <w:snapToGrid w:val="0"/>
        </w:rPr>
        <w:t>.</w:t>
      </w:r>
      <w:r>
        <w:rPr>
          <w:snapToGrid w:val="0"/>
        </w:rPr>
        <w:tab/>
        <w:t>Record keeping requirements</w:t>
      </w:r>
      <w:bookmarkEnd w:id="2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54770450"/>
      <w:r>
        <w:rPr>
          <w:rStyle w:val="CharSectno"/>
        </w:rPr>
        <w:t>7</w:t>
      </w:r>
      <w:r>
        <w:rPr>
          <w:snapToGrid w:val="0"/>
        </w:rPr>
        <w:t>.</w:t>
      </w:r>
      <w:r>
        <w:rPr>
          <w:snapToGrid w:val="0"/>
        </w:rPr>
        <w:tab/>
        <w:t>Registers (Act s. 133(2))</w:t>
      </w:r>
      <w:bookmarkEnd w:id="24"/>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54770451"/>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6" w:name="_Toc54770452"/>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54770453"/>
      <w:r>
        <w:rPr>
          <w:rStyle w:val="CharSectno"/>
        </w:rPr>
        <w:t>8</w:t>
      </w:r>
      <w:r>
        <w:rPr>
          <w:snapToGrid w:val="0"/>
        </w:rPr>
        <w:t>.</w:t>
      </w:r>
      <w:r>
        <w:rPr>
          <w:snapToGrid w:val="0"/>
        </w:rPr>
        <w:tab/>
        <w:t>Changes in particulars, licensees to notify Commissioner of</w:t>
      </w:r>
      <w:bookmarkEnd w:id="2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keepNex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28" w:name="_Toc54770454"/>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54770455"/>
      <w:r>
        <w:rPr>
          <w:rStyle w:val="CharSectno"/>
        </w:rPr>
        <w:t>10</w:t>
      </w:r>
      <w:r>
        <w:rPr>
          <w:snapToGrid w:val="0"/>
        </w:rPr>
        <w:t>.</w:t>
      </w:r>
      <w:r>
        <w:rPr>
          <w:snapToGrid w:val="0"/>
        </w:rPr>
        <w:tab/>
      </w:r>
      <w:r>
        <w:t>Unsuccessful</w:t>
      </w:r>
      <w:r>
        <w:rPr>
          <w:snapToGrid w:val="0"/>
        </w:rPr>
        <w:t xml:space="preserve"> applicant for licence etc., refund to (Act s. 113)</w:t>
      </w:r>
      <w:bookmarkEnd w:id="29"/>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5477045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54770457"/>
      <w:r>
        <w:rPr>
          <w:rStyle w:val="CharSectno"/>
        </w:rPr>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54770458"/>
      <w:r>
        <w:rPr>
          <w:rStyle w:val="CharSectno"/>
        </w:rPr>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54770459"/>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54770460"/>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54271712"/>
      <w:bookmarkStart w:id="36" w:name="_Toc54595331"/>
      <w:bookmarkStart w:id="37" w:name="_Toc54693147"/>
      <w:bookmarkStart w:id="38" w:name="_Toc54770461"/>
      <w:bookmarkStart w:id="39" w:name="_Toc54250738"/>
      <w:r>
        <w:rPr>
          <w:rStyle w:val="CharSchNo"/>
        </w:rPr>
        <w:t>Schedule 1 </w:t>
      </w:r>
      <w:r>
        <w:t>— </w:t>
      </w:r>
      <w:r>
        <w:rPr>
          <w:rStyle w:val="CharSchText"/>
        </w:rPr>
        <w:t>Fees</w:t>
      </w:r>
      <w:bookmarkEnd w:id="35"/>
      <w:bookmarkEnd w:id="36"/>
      <w:bookmarkEnd w:id="37"/>
      <w:bookmarkEnd w:id="38"/>
    </w:p>
    <w:p>
      <w:pPr>
        <w:pStyle w:val="yShoulderClause"/>
      </w:pPr>
      <w:r>
        <w:t>[r. 4, 4A and 4AAA]</w:t>
      </w:r>
    </w:p>
    <w:p>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bookmarkEnd w:id="39"/>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1" w:name="_Toc54250739"/>
      <w:bookmarkStart w:id="42" w:name="_Toc54271713"/>
      <w:bookmarkStart w:id="43" w:name="_Toc54595332"/>
      <w:bookmarkStart w:id="44" w:name="_Toc54693148"/>
      <w:bookmarkStart w:id="45" w:name="_Toc54770462"/>
      <w:r>
        <w:rPr>
          <w:rStyle w:val="CharSchNo"/>
        </w:rPr>
        <w:t>Schedule 1A</w:t>
      </w:r>
      <w:r>
        <w:rPr>
          <w:rStyle w:val="CharSDivNo"/>
        </w:rPr>
        <w:t> </w:t>
      </w:r>
      <w:r>
        <w:t>—</w:t>
      </w:r>
      <w:r>
        <w:rPr>
          <w:rStyle w:val="CharSDivText"/>
        </w:rPr>
        <w:t> </w:t>
      </w:r>
      <w:r>
        <w:rPr>
          <w:rStyle w:val="CharSchText"/>
        </w:rPr>
        <w:t>Professional development subjects</w:t>
      </w:r>
      <w:bookmarkEnd w:id="41"/>
      <w:bookmarkEnd w:id="42"/>
      <w:bookmarkEnd w:id="43"/>
      <w:bookmarkEnd w:id="44"/>
      <w:bookmarkEnd w:id="45"/>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6" w:name="_Toc54250740"/>
      <w:bookmarkStart w:id="47" w:name="_Toc54271714"/>
      <w:bookmarkStart w:id="48" w:name="_Toc54595333"/>
      <w:bookmarkStart w:id="49" w:name="_Toc54693149"/>
      <w:bookmarkStart w:id="50" w:name="_Toc54770463"/>
      <w:r>
        <w:rPr>
          <w:rStyle w:val="CharSchNo"/>
        </w:rPr>
        <w:t>Schedule 2</w:t>
      </w:r>
      <w:r>
        <w:rPr>
          <w:rStyle w:val="CharSDivNo"/>
        </w:rPr>
        <w:t> </w:t>
      </w:r>
      <w:r>
        <w:t>—</w:t>
      </w:r>
      <w:r>
        <w:rPr>
          <w:rStyle w:val="CharSDivText"/>
        </w:rPr>
        <w:t> </w:t>
      </w:r>
      <w:r>
        <w:rPr>
          <w:rStyle w:val="CharSchText"/>
        </w:rPr>
        <w:t>Forms</w:t>
      </w:r>
      <w:bookmarkEnd w:id="46"/>
      <w:bookmarkEnd w:id="47"/>
      <w:bookmarkEnd w:id="48"/>
      <w:bookmarkEnd w:id="49"/>
      <w:bookmarkEnd w:id="5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1" w:name="_Toc54250741"/>
      <w:bookmarkStart w:id="52" w:name="_Toc54271715"/>
      <w:bookmarkStart w:id="53" w:name="_Toc54595334"/>
      <w:bookmarkStart w:id="54" w:name="_Toc54693150"/>
      <w:bookmarkStart w:id="55" w:name="_Toc54770464"/>
      <w:r>
        <w:rPr>
          <w:rStyle w:val="CharSchNo"/>
        </w:rPr>
        <w:t>Schedule 3</w:t>
      </w:r>
      <w:r>
        <w:rPr>
          <w:rStyle w:val="CharSDivNo"/>
        </w:rPr>
        <w:t> </w:t>
      </w:r>
      <w:r>
        <w:t>—</w:t>
      </w:r>
      <w:r>
        <w:rPr>
          <w:rStyle w:val="CharSDivText"/>
        </w:rPr>
        <w:t> </w:t>
      </w:r>
      <w:r>
        <w:rPr>
          <w:rStyle w:val="CharSchText"/>
        </w:rPr>
        <w:t>Prescribed offences and modified penalties</w:t>
      </w:r>
      <w:bookmarkEnd w:id="51"/>
      <w:bookmarkEnd w:id="52"/>
      <w:bookmarkEnd w:id="53"/>
      <w:bookmarkEnd w:id="54"/>
      <w:bookmarkEnd w:id="55"/>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56" w:name="_Toc54250742"/>
      <w:bookmarkStart w:id="57" w:name="_Toc54271716"/>
      <w:bookmarkStart w:id="58" w:name="_Toc54595335"/>
      <w:bookmarkStart w:id="59" w:name="_Toc54693151"/>
      <w:bookmarkStart w:id="60" w:name="_Toc54770465"/>
      <w:r>
        <w:t>Notes</w:t>
      </w:r>
      <w:bookmarkEnd w:id="56"/>
      <w:bookmarkEnd w:id="57"/>
      <w:bookmarkEnd w:id="58"/>
      <w:bookmarkEnd w:id="59"/>
      <w:bookmarkEnd w:id="60"/>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61" w:name="_Toc54770466"/>
      <w:r>
        <w:t>Compilation table</w:t>
      </w:r>
      <w:bookmarkEnd w:id="6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single" w:sz="4" w:space="0" w:color="auto"/>
            </w:tcBorders>
          </w:tcPr>
          <w:p>
            <w:pPr>
              <w:pStyle w:val="nTable"/>
              <w:spacing w:after="40"/>
              <w:rPr>
                <w:i/>
              </w:rPr>
            </w:pPr>
            <w:r>
              <w:rPr>
                <w:i/>
              </w:rPr>
              <w:t>Real Estate and Business Agents (General) Amendment Regulations 2020</w:t>
            </w:r>
          </w:p>
        </w:tc>
        <w:tc>
          <w:tcPr>
            <w:tcW w:w="1276" w:type="dxa"/>
            <w:tcBorders>
              <w:top w:val="nil"/>
              <w:bottom w:val="single" w:sz="4" w:space="0" w:color="auto"/>
            </w:tcBorders>
          </w:tcPr>
          <w:p>
            <w:pPr>
              <w:pStyle w:val="nTable"/>
              <w:spacing w:after="40"/>
            </w:pPr>
            <w:r>
              <w:t>SL 2020/209 30 Oct 2020</w:t>
            </w:r>
          </w:p>
        </w:tc>
        <w:tc>
          <w:tcPr>
            <w:tcW w:w="2693" w:type="dxa"/>
            <w:tcBorders>
              <w:top w:val="nil"/>
              <w:bottom w:val="single" w:sz="4" w:space="0" w:color="auto"/>
            </w:tcBorders>
          </w:tcPr>
          <w:p>
            <w:pPr>
              <w:pStyle w:val="nTable"/>
              <w:spacing w:after="40"/>
            </w:pPr>
            <w:r>
              <w:t>r. 1 and 2: 30 Oct 2020 (see r. 2(a));</w:t>
            </w:r>
            <w:r>
              <w:br/>
              <w:t>Regulations other than r. 1 and 2: 31 Oct 2020 (see r. 2(b))</w:t>
            </w:r>
          </w:p>
        </w:tc>
      </w:tr>
    </w:tbl>
    <w:p>
      <w:pPr>
        <w:pStyle w:val="nHeading3"/>
      </w:pPr>
      <w:bookmarkStart w:id="62" w:name="_Toc54770467"/>
      <w:r>
        <w:t>Other notes</w:t>
      </w:r>
      <w:bookmarkEnd w:id="62"/>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64" w:name="_Toc54770468"/>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2(1)</w:t>
      </w:r>
    </w:p>
    <w:p>
      <w:pPr>
        <w:pStyle w:val="DefinedTerms"/>
      </w:pPr>
      <w:r>
        <w:t>commencement day</w:t>
      </w:r>
      <w:r>
        <w:tab/>
        <w:t>4AAA(1)</w:t>
      </w:r>
    </w:p>
    <w:p>
      <w:pPr>
        <w:pStyle w:val="DefinedTerms"/>
      </w:pPr>
      <w:r>
        <w:t>CPD activity</w:t>
      </w:r>
      <w:r>
        <w:tab/>
        <w:t>2(1)</w:t>
      </w:r>
    </w:p>
    <w:p>
      <w:pPr>
        <w:pStyle w:val="DefinedTerms"/>
      </w:pPr>
      <w:r>
        <w:t>CPD subject</w:t>
      </w:r>
      <w:r>
        <w:tab/>
        <w:t>2(1)</w:t>
      </w:r>
    </w:p>
    <w:p>
      <w:pPr>
        <w:pStyle w:val="DefinedTerms"/>
      </w:pPr>
      <w:r>
        <w:t>CPP07 Property Services Training Package</w:t>
      </w:r>
      <w:r>
        <w:tab/>
        <w:t>6A(2)</w:t>
      </w:r>
    </w:p>
    <w:p>
      <w:pPr>
        <w:pStyle w:val="DefinedTerms"/>
      </w:pPr>
      <w:r>
        <w:t>designated fee</w:t>
      </w:r>
      <w:r>
        <w:tab/>
        <w:t>4AAA(1)</w:t>
      </w:r>
    </w:p>
    <w:p>
      <w:pPr>
        <w:pStyle w:val="DefinedTerms"/>
      </w:pPr>
      <w:r>
        <w:t>designated period</w:t>
      </w:r>
      <w:r>
        <w:tab/>
        <w:t>2(1)</w:t>
      </w:r>
    </w:p>
    <w:p>
      <w:pPr>
        <w:pStyle w:val="DefinedTerms"/>
      </w:pPr>
      <w:r>
        <w:t>educational activity</w:t>
      </w:r>
      <w:r>
        <w:tab/>
        <w:t>2(1)</w:t>
      </w:r>
    </w:p>
    <w:p>
      <w:pPr>
        <w:pStyle w:val="DefinedTerms"/>
      </w:pPr>
      <w:r>
        <w:t>holding fee</w:t>
      </w:r>
      <w:r>
        <w:tab/>
        <w:t>4A(1)</w:t>
      </w:r>
    </w:p>
    <w:p>
      <w:pPr>
        <w:pStyle w:val="DefinedTerms"/>
      </w:pPr>
      <w:r>
        <w:t>mandatory CPD activity</w:t>
      </w:r>
      <w:r>
        <w:tab/>
        <w:t>2(1)</w:t>
      </w:r>
    </w:p>
    <w:p>
      <w:pPr>
        <w:pStyle w:val="DefinedTerms"/>
      </w:pPr>
      <w:r>
        <w:t>mandatory CPD subject</w:t>
      </w:r>
      <w:r>
        <w:tab/>
        <w:t>2(1)</w:t>
      </w:r>
    </w:p>
    <w:p>
      <w:pPr>
        <w:pStyle w:val="DefinedTerms"/>
      </w:pPr>
      <w:r>
        <w:t>point value</w:t>
      </w:r>
      <w:r>
        <w:tab/>
        <w:t>2(1)</w:t>
      </w:r>
    </w:p>
    <w:p>
      <w:pPr>
        <w:pStyle w:val="DefinedTerms"/>
      </w:pPr>
      <w:r>
        <w:t>record</w:t>
      </w:r>
      <w:r>
        <w:tab/>
        <w:t>2(1)</w:t>
      </w:r>
    </w:p>
    <w:p>
      <w:pPr>
        <w:pStyle w:val="DefinedTerms"/>
      </w:pPr>
      <w:r>
        <w:t>reduced fee</w:t>
      </w:r>
      <w:r>
        <w:tab/>
        <w:t>4AAA(1)</w:t>
      </w:r>
    </w:p>
    <w:p>
      <w:pPr>
        <w:pStyle w:val="DefinedTerms"/>
      </w:pPr>
      <w:r>
        <w:t>register</w:t>
      </w:r>
      <w:r>
        <w:tab/>
        <w:t>2(1)</w:t>
      </w:r>
    </w:p>
    <w:p>
      <w:pPr>
        <w:pStyle w:val="DefinedTerms"/>
      </w:pPr>
      <w:r>
        <w:t>registered training provider</w:t>
      </w:r>
      <w:r>
        <w:tab/>
        <w:t>2(1)</w:t>
      </w:r>
    </w:p>
    <w:p>
      <w:pPr>
        <w:pStyle w:val="DefinedTerms"/>
      </w:pPr>
      <w:r>
        <w:t>regulated person</w:t>
      </w:r>
      <w:r>
        <w:tab/>
        <w:t>2(1)</w:t>
      </w:r>
    </w:p>
    <w:p>
      <w:pPr>
        <w:pStyle w:val="DefinedTerms"/>
      </w:pPr>
      <w:r>
        <w:t>relevant bank accepted bills rate</w:t>
      </w:r>
      <w:r>
        <w:tab/>
        <w:t>6F(2)</w:t>
      </w:r>
    </w:p>
    <w:p>
      <w:pPr>
        <w:pStyle w:val="DefinedTerms"/>
      </w:pPr>
      <w:r>
        <w:t>relevant day</w:t>
      </w:r>
      <w:r>
        <w:tab/>
        <w:t>2(1)</w:t>
      </w:r>
    </w:p>
    <w:p>
      <w:pPr>
        <w:pStyle w:val="DefinedTerms"/>
      </w:pPr>
      <w:r>
        <w:t>restricted certificate (property management)</w:t>
      </w:r>
      <w:r>
        <w:tab/>
        <w:t>2(1)</w:t>
      </w:r>
    </w:p>
    <w:p>
      <w:pPr>
        <w:pStyle w:val="DefinedTerms"/>
      </w:pPr>
      <w:r>
        <w:t>restricted certificate (sales)</w:t>
      </w:r>
      <w:r>
        <w:tab/>
        <w:t>2(1)</w:t>
      </w:r>
    </w:p>
    <w:p>
      <w:pPr>
        <w:pStyle w:val="DefinedTerms"/>
      </w:pPr>
      <w:r>
        <w:t>unrestricted certificate</w:t>
      </w:r>
      <w:r>
        <w:tab/>
        <w:t>2(1)</w:t>
      </w:r>
    </w:p>
    <w:p>
      <w:pPr>
        <w:pStyle w:val="DefinedTerms"/>
      </w:pPr>
      <w:r>
        <w:t>working day</w:t>
      </w:r>
      <w:r>
        <w:tab/>
        <w:t>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209162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2BFA-55F3-4880-87CB-08EE16C6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9918</Words>
  <Characters>49395</Characters>
  <Application>Microsoft Office Word</Application>
  <DocSecurity>0</DocSecurity>
  <Lines>2058</Lines>
  <Paragraphs>1289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1979 - 08-n0-00</dc:title>
  <dc:subject/>
  <dc:creator/>
  <cp:keywords/>
  <dc:description/>
  <cp:lastModifiedBy>svcMRProcess</cp:lastModifiedBy>
  <cp:revision>4</cp:revision>
  <cp:lastPrinted>2014-10-02T03:16:00Z</cp:lastPrinted>
  <dcterms:created xsi:type="dcterms:W3CDTF">2020-10-30T02:46:00Z</dcterms:created>
  <dcterms:modified xsi:type="dcterms:W3CDTF">2020-10-30T02:46:00Z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31 Oct 2020</vt:lpwstr>
  </property>
  <property fmtid="{D5CDD505-2E9C-101B-9397-08002B2CF9AE}" pid="8" name="Suffix">
    <vt:lpwstr>08-n0-00</vt:lpwstr>
  </property>
  <property fmtid="{D5CDD505-2E9C-101B-9397-08002B2CF9AE}" pid="9" name="CommencementDate">
    <vt:lpwstr>20201031</vt:lpwstr>
  </property>
</Properties>
</file>