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_Toc97632214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_Toc97632215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_Toc97632216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Safety levies</w:t>
      </w:r>
    </w:p>
    <w:p>
      <w:pPr>
        <w:pStyle w:val="TOC4"/>
        <w:tabs>
          <w:tab w:val="right" w:leader="dot" w:pos="7077"/>
        </w:tabs>
        <w:rPr>
          <w:rFonts w:asciiTheme="minorHAnsi" w:eastAsiaTheme="minorEastAsia" w:hAnsiTheme="minorHAnsi" w:cstheme="minorBidi"/>
          <w:b w:val="0"/>
          <w:szCs w:val="22"/>
        </w:rPr>
      </w:pPr>
      <w:r>
        <w:t>Division 1 — Safety management system levy</w:t>
      </w:r>
    </w:p>
    <w:p>
      <w:pPr>
        <w:pStyle w:val="TOC8"/>
        <w:rPr>
          <w:rFonts w:asciiTheme="minorHAnsi" w:eastAsiaTheme="minorEastAsia" w:hAnsiTheme="minorHAnsi" w:cstheme="minorBidi"/>
          <w:szCs w:val="22"/>
        </w:rPr>
      </w:pPr>
      <w:r>
        <w:t>4.</w:t>
      </w:r>
      <w:r>
        <w:tab/>
        <w:t>Safety management system levy</w:t>
      </w:r>
      <w:r>
        <w:tab/>
      </w:r>
      <w:r>
        <w:fldChar w:fldCharType="begin"/>
      </w:r>
      <w:r>
        <w:instrText xml:space="preserve"> PAGEREF _Toc97632219 \h </w:instrText>
      </w:r>
      <w:r>
        <w:fldChar w:fldCharType="separate"/>
      </w:r>
      <w:r>
        <w:t>7</w:t>
      </w:r>
      <w:r>
        <w:fldChar w:fldCharType="end"/>
      </w:r>
    </w:p>
    <w:p>
      <w:pPr>
        <w:pStyle w:val="TOC8"/>
        <w:rPr>
          <w:rFonts w:asciiTheme="minorHAnsi" w:eastAsiaTheme="minorEastAsia" w:hAnsiTheme="minorHAnsi" w:cstheme="minorBidi"/>
          <w:szCs w:val="22"/>
        </w:rPr>
      </w:pPr>
      <w:r>
        <w:t>5.</w:t>
      </w:r>
      <w:r>
        <w:tab/>
        <w:t>Liability for payment of safety management system levy</w:t>
      </w:r>
      <w:r>
        <w:tab/>
      </w:r>
      <w:r>
        <w:fldChar w:fldCharType="begin"/>
      </w:r>
      <w:r>
        <w:instrText xml:space="preserve"> PAGEREF _Toc97632220 \h </w:instrText>
      </w:r>
      <w:r>
        <w:fldChar w:fldCharType="separate"/>
      </w:r>
      <w:r>
        <w:t>7</w:t>
      </w:r>
      <w:r>
        <w:fldChar w:fldCharType="end"/>
      </w:r>
    </w:p>
    <w:p>
      <w:pPr>
        <w:pStyle w:val="TOC8"/>
        <w:rPr>
          <w:rFonts w:asciiTheme="minorHAnsi" w:eastAsiaTheme="minorEastAsia" w:hAnsiTheme="minorHAnsi" w:cstheme="minorBidi"/>
          <w:szCs w:val="22"/>
        </w:rPr>
      </w:pPr>
      <w:r>
        <w:t>6.</w:t>
      </w:r>
      <w:r>
        <w:tab/>
        <w:t>Amount of safety management system levy</w:t>
      </w:r>
      <w:r>
        <w:tab/>
      </w:r>
      <w:r>
        <w:fldChar w:fldCharType="begin"/>
      </w:r>
      <w:r>
        <w:instrText xml:space="preserve"> PAGEREF _Toc97632221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Pipeline safety case levy</w:t>
      </w:r>
    </w:p>
    <w:p>
      <w:pPr>
        <w:pStyle w:val="TOC8"/>
        <w:rPr>
          <w:rFonts w:asciiTheme="minorHAnsi" w:eastAsiaTheme="minorEastAsia" w:hAnsiTheme="minorHAnsi" w:cstheme="minorBidi"/>
          <w:szCs w:val="22"/>
        </w:rPr>
      </w:pPr>
      <w:r>
        <w:t>7.</w:t>
      </w:r>
      <w:r>
        <w:tab/>
      </w:r>
      <w:r>
        <w:rPr>
          <w:bCs/>
        </w:rPr>
        <w:t>Pipeline safety case levy</w:t>
      </w:r>
      <w:r>
        <w:tab/>
      </w:r>
      <w:r>
        <w:fldChar w:fldCharType="begin"/>
      </w:r>
      <w:r>
        <w:instrText xml:space="preserve"> PAGEREF _Toc97632223 \h </w:instrText>
      </w:r>
      <w:r>
        <w:fldChar w:fldCharType="separate"/>
      </w:r>
      <w:r>
        <w:t>8</w:t>
      </w:r>
      <w:r>
        <w:fldChar w:fldCharType="end"/>
      </w:r>
    </w:p>
    <w:p>
      <w:pPr>
        <w:pStyle w:val="TOC8"/>
        <w:rPr>
          <w:rFonts w:asciiTheme="minorHAnsi" w:eastAsiaTheme="minorEastAsia" w:hAnsiTheme="minorHAnsi" w:cstheme="minorBidi"/>
          <w:szCs w:val="22"/>
        </w:rPr>
      </w:pPr>
      <w:r>
        <w:t>8.</w:t>
      </w:r>
      <w:r>
        <w:tab/>
      </w:r>
      <w:r>
        <w:rPr>
          <w:bCs/>
        </w:rPr>
        <w:t>Liability for payment of pipeline safety case levy</w:t>
      </w:r>
      <w:r>
        <w:tab/>
      </w:r>
      <w:r>
        <w:fldChar w:fldCharType="begin"/>
      </w:r>
      <w:r>
        <w:instrText xml:space="preserve"> PAGEREF _Toc97632224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bCs/>
        </w:rPr>
        <w:t>Amount of pipeline safety case levy</w:t>
      </w:r>
      <w:r>
        <w:tab/>
      </w:r>
      <w:r>
        <w:fldChar w:fldCharType="begin"/>
      </w:r>
      <w:r>
        <w:instrText xml:space="preserve"> PAGEREF _Toc97632225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Facility safety case levy</w:t>
      </w:r>
    </w:p>
    <w:p>
      <w:pPr>
        <w:pStyle w:val="TOC8"/>
        <w:rPr>
          <w:rFonts w:asciiTheme="minorHAnsi" w:eastAsiaTheme="minorEastAsia" w:hAnsiTheme="minorHAnsi" w:cstheme="minorBidi"/>
          <w:szCs w:val="22"/>
        </w:rPr>
      </w:pPr>
      <w:r>
        <w:t>10A.</w:t>
      </w:r>
      <w:r>
        <w:tab/>
        <w:t>Facility safety case levy</w:t>
      </w:r>
      <w:r>
        <w:tab/>
      </w:r>
      <w:r>
        <w:fldChar w:fldCharType="begin"/>
      </w:r>
      <w:r>
        <w:instrText xml:space="preserve"> PAGEREF _Toc97632227 \h </w:instrText>
      </w:r>
      <w:r>
        <w:fldChar w:fldCharType="separate"/>
      </w:r>
      <w:r>
        <w:t>9</w:t>
      </w:r>
      <w:r>
        <w:fldChar w:fldCharType="end"/>
      </w:r>
    </w:p>
    <w:p>
      <w:pPr>
        <w:pStyle w:val="TOC8"/>
        <w:rPr>
          <w:rFonts w:asciiTheme="minorHAnsi" w:eastAsiaTheme="minorEastAsia" w:hAnsiTheme="minorHAnsi" w:cstheme="minorBidi"/>
          <w:szCs w:val="22"/>
        </w:rPr>
      </w:pPr>
      <w:r>
        <w:t>10B.</w:t>
      </w:r>
      <w:r>
        <w:tab/>
        <w:t>Liability for payment of facility safety case levy</w:t>
      </w:r>
      <w:r>
        <w:tab/>
      </w:r>
      <w:r>
        <w:fldChar w:fldCharType="begin"/>
      </w:r>
      <w:r>
        <w:instrText xml:space="preserve"> PAGEREF _Toc97632228 \h </w:instrText>
      </w:r>
      <w:r>
        <w:fldChar w:fldCharType="separate"/>
      </w:r>
      <w:r>
        <w:t>9</w:t>
      </w:r>
      <w:r>
        <w:fldChar w:fldCharType="end"/>
      </w:r>
    </w:p>
    <w:p>
      <w:pPr>
        <w:pStyle w:val="TOC8"/>
        <w:rPr>
          <w:rFonts w:asciiTheme="minorHAnsi" w:eastAsiaTheme="minorEastAsia" w:hAnsiTheme="minorHAnsi" w:cstheme="minorBidi"/>
          <w:szCs w:val="22"/>
        </w:rPr>
      </w:pPr>
      <w:r>
        <w:t>10C.</w:t>
      </w:r>
      <w:r>
        <w:tab/>
        <w:t>Amount of facility safety case levy</w:t>
      </w:r>
      <w:r>
        <w:tab/>
      </w:r>
      <w:r>
        <w:fldChar w:fldCharType="begin"/>
      </w:r>
      <w:r>
        <w:instrText xml:space="preserve"> PAGEREF _Toc97632229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Pipeline management plan levy</w:t>
      </w:r>
    </w:p>
    <w:p>
      <w:pPr>
        <w:pStyle w:val="TOC8"/>
        <w:rPr>
          <w:rFonts w:asciiTheme="minorHAnsi" w:eastAsiaTheme="minorEastAsia" w:hAnsiTheme="minorHAnsi" w:cstheme="minorBidi"/>
          <w:szCs w:val="22"/>
        </w:rPr>
      </w:pPr>
      <w:r>
        <w:t>10D.</w:t>
      </w:r>
      <w:r>
        <w:tab/>
        <w:t>Pipeline management plan levy</w:t>
      </w:r>
      <w:r>
        <w:tab/>
      </w:r>
      <w:r>
        <w:fldChar w:fldCharType="begin"/>
      </w:r>
      <w:r>
        <w:instrText xml:space="preserve"> PAGEREF _Toc97632231 \h </w:instrText>
      </w:r>
      <w:r>
        <w:fldChar w:fldCharType="separate"/>
      </w:r>
      <w:r>
        <w:t>10</w:t>
      </w:r>
      <w:r>
        <w:fldChar w:fldCharType="end"/>
      </w:r>
    </w:p>
    <w:p>
      <w:pPr>
        <w:pStyle w:val="TOC8"/>
        <w:rPr>
          <w:rFonts w:asciiTheme="minorHAnsi" w:eastAsiaTheme="minorEastAsia" w:hAnsiTheme="minorHAnsi" w:cstheme="minorBidi"/>
          <w:szCs w:val="22"/>
        </w:rPr>
      </w:pPr>
      <w:r>
        <w:t>10E.</w:t>
      </w:r>
      <w:r>
        <w:tab/>
        <w:t>Liability for payment of pipeline management plan levy</w:t>
      </w:r>
      <w:r>
        <w:tab/>
      </w:r>
      <w:r>
        <w:fldChar w:fldCharType="begin"/>
      </w:r>
      <w:r>
        <w:instrText xml:space="preserve"> PAGEREF _Toc97632232 \h </w:instrText>
      </w:r>
      <w:r>
        <w:fldChar w:fldCharType="separate"/>
      </w:r>
      <w:r>
        <w:t>10</w:t>
      </w:r>
      <w:r>
        <w:fldChar w:fldCharType="end"/>
      </w:r>
    </w:p>
    <w:p>
      <w:pPr>
        <w:pStyle w:val="TOC8"/>
        <w:rPr>
          <w:rFonts w:asciiTheme="minorHAnsi" w:eastAsiaTheme="minorEastAsia" w:hAnsiTheme="minorHAnsi" w:cstheme="minorBidi"/>
          <w:szCs w:val="22"/>
        </w:rPr>
      </w:pPr>
      <w:r>
        <w:t>10F.</w:t>
      </w:r>
      <w:r>
        <w:tab/>
        <w:t>Amount of pipeline management plan levy</w:t>
      </w:r>
      <w:r>
        <w:tab/>
      </w:r>
      <w:r>
        <w:fldChar w:fldCharType="begin"/>
      </w:r>
      <w:r>
        <w:instrText xml:space="preserve"> PAGEREF _Toc97632233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DSMS levy</w:t>
      </w:r>
    </w:p>
    <w:p>
      <w:pPr>
        <w:pStyle w:val="TOC8"/>
        <w:rPr>
          <w:rFonts w:asciiTheme="minorHAnsi" w:eastAsiaTheme="minorEastAsia" w:hAnsiTheme="minorHAnsi" w:cstheme="minorBidi"/>
          <w:szCs w:val="22"/>
        </w:rPr>
      </w:pPr>
      <w:r>
        <w:t>10G.</w:t>
      </w:r>
      <w:r>
        <w:tab/>
        <w:t>DSMS levy</w:t>
      </w:r>
      <w:r>
        <w:tab/>
      </w:r>
      <w:r>
        <w:fldChar w:fldCharType="begin"/>
      </w:r>
      <w:r>
        <w:instrText xml:space="preserve"> PAGEREF _Toc97632235 \h </w:instrText>
      </w:r>
      <w:r>
        <w:fldChar w:fldCharType="separate"/>
      </w:r>
      <w:r>
        <w:t>11</w:t>
      </w:r>
      <w:r>
        <w:fldChar w:fldCharType="end"/>
      </w:r>
    </w:p>
    <w:p>
      <w:pPr>
        <w:pStyle w:val="TOC8"/>
        <w:rPr>
          <w:rFonts w:asciiTheme="minorHAnsi" w:eastAsiaTheme="minorEastAsia" w:hAnsiTheme="minorHAnsi" w:cstheme="minorBidi"/>
          <w:szCs w:val="22"/>
        </w:rPr>
      </w:pPr>
      <w:r>
        <w:t>10H.</w:t>
      </w:r>
      <w:r>
        <w:tab/>
        <w:t>Liability for payment of DSMS levy</w:t>
      </w:r>
      <w:r>
        <w:tab/>
      </w:r>
      <w:r>
        <w:fldChar w:fldCharType="begin"/>
      </w:r>
      <w:r>
        <w:instrText xml:space="preserve"> PAGEREF _Toc97632236 \h </w:instrText>
      </w:r>
      <w:r>
        <w:fldChar w:fldCharType="separate"/>
      </w:r>
      <w:r>
        <w:t>11</w:t>
      </w:r>
      <w:r>
        <w:fldChar w:fldCharType="end"/>
      </w:r>
    </w:p>
    <w:p>
      <w:pPr>
        <w:pStyle w:val="TOC8"/>
        <w:rPr>
          <w:rFonts w:asciiTheme="minorHAnsi" w:eastAsiaTheme="minorEastAsia" w:hAnsiTheme="minorHAnsi" w:cstheme="minorBidi"/>
          <w:szCs w:val="22"/>
        </w:rPr>
      </w:pPr>
      <w:r>
        <w:t>10I.</w:t>
      </w:r>
      <w:r>
        <w:tab/>
        <w:t>Amount of DSMS levy</w:t>
      </w:r>
      <w:r>
        <w:tab/>
      </w:r>
      <w:r>
        <w:fldChar w:fldCharType="begin"/>
      </w:r>
      <w:r>
        <w:instrText xml:space="preserve"> PAGEREF _Toc97632237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and recovery of safety levies</w:t>
      </w:r>
    </w:p>
    <w:p>
      <w:pPr>
        <w:pStyle w:val="TOC8"/>
        <w:rPr>
          <w:rFonts w:asciiTheme="minorHAnsi" w:eastAsiaTheme="minorEastAsia" w:hAnsiTheme="minorHAnsi" w:cstheme="minorBidi"/>
          <w:szCs w:val="22"/>
        </w:rPr>
      </w:pPr>
      <w:r>
        <w:t>10.</w:t>
      </w:r>
      <w:r>
        <w:tab/>
        <w:t>Assessment of safety levy</w:t>
      </w:r>
      <w:r>
        <w:tab/>
      </w:r>
      <w:r>
        <w:fldChar w:fldCharType="begin"/>
      </w:r>
      <w:r>
        <w:instrText xml:space="preserve"> PAGEREF _Toc97632239 \h </w:instrText>
      </w:r>
      <w:r>
        <w:fldChar w:fldCharType="separate"/>
      </w:r>
      <w:r>
        <w:t>12</w:t>
      </w:r>
      <w:r>
        <w:fldChar w:fldCharType="end"/>
      </w:r>
    </w:p>
    <w:p>
      <w:pPr>
        <w:pStyle w:val="TOC8"/>
        <w:rPr>
          <w:rFonts w:asciiTheme="minorHAnsi" w:eastAsiaTheme="minorEastAsia" w:hAnsiTheme="minorHAnsi" w:cstheme="minorBidi"/>
          <w:szCs w:val="22"/>
        </w:rPr>
      </w:pPr>
      <w:r>
        <w:t>11.</w:t>
      </w:r>
      <w:r>
        <w:tab/>
        <w:t>Payment of safety levy</w:t>
      </w:r>
      <w:r>
        <w:tab/>
      </w:r>
      <w:r>
        <w:fldChar w:fldCharType="begin"/>
      </w:r>
      <w:r>
        <w:instrText xml:space="preserve"> PAGEREF _Toc97632240 \h </w:instrText>
      </w:r>
      <w:r>
        <w:fldChar w:fldCharType="separate"/>
      </w:r>
      <w:r>
        <w:t>12</w:t>
      </w:r>
      <w:r>
        <w:fldChar w:fldCharType="end"/>
      </w:r>
    </w:p>
    <w:p>
      <w:pPr>
        <w:pStyle w:val="TOC8"/>
        <w:rPr>
          <w:rFonts w:asciiTheme="minorHAnsi" w:eastAsiaTheme="minorEastAsia" w:hAnsiTheme="minorHAnsi" w:cstheme="minorBidi"/>
          <w:szCs w:val="22"/>
        </w:rPr>
      </w:pPr>
      <w:r>
        <w:t>12.</w:t>
      </w:r>
      <w:r>
        <w:tab/>
        <w:t>Penalty for non</w:t>
      </w:r>
      <w:r>
        <w:noBreakHyphen/>
        <w:t>payment of safety levy</w:t>
      </w:r>
      <w:r>
        <w:tab/>
      </w:r>
      <w:r>
        <w:fldChar w:fldCharType="begin"/>
      </w:r>
      <w:r>
        <w:instrText xml:space="preserve"> PAGEREF _Toc97632241 \h </w:instrText>
      </w:r>
      <w:r>
        <w:fldChar w:fldCharType="separate"/>
      </w:r>
      <w:r>
        <w:t>12</w:t>
      </w:r>
      <w:r>
        <w:fldChar w:fldCharType="end"/>
      </w:r>
    </w:p>
    <w:p>
      <w:pPr>
        <w:pStyle w:val="TOC8"/>
        <w:rPr>
          <w:rFonts w:asciiTheme="minorHAnsi" w:eastAsiaTheme="minorEastAsia" w:hAnsiTheme="minorHAnsi" w:cstheme="minorBidi"/>
          <w:szCs w:val="22"/>
        </w:rPr>
      </w:pPr>
      <w:r>
        <w:t>13.</w:t>
      </w:r>
      <w:r>
        <w:tab/>
        <w:t>Recovery of safety levy and penalty amount</w:t>
      </w:r>
      <w:r>
        <w:tab/>
      </w:r>
      <w:r>
        <w:fldChar w:fldCharType="begin"/>
      </w:r>
      <w:r>
        <w:instrText xml:space="preserve"> PAGEREF _Toc97632242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Objections and review</w:t>
      </w:r>
    </w:p>
    <w:p>
      <w:pPr>
        <w:pStyle w:val="TOC8"/>
        <w:rPr>
          <w:rFonts w:asciiTheme="minorHAnsi" w:eastAsiaTheme="minorEastAsia" w:hAnsiTheme="minorHAnsi" w:cstheme="minorBidi"/>
          <w:szCs w:val="22"/>
        </w:rPr>
      </w:pPr>
      <w:r>
        <w:t>14.</w:t>
      </w:r>
      <w:r>
        <w:tab/>
        <w:t>Objection</w:t>
      </w:r>
      <w:r>
        <w:tab/>
      </w:r>
      <w:r>
        <w:fldChar w:fldCharType="begin"/>
      </w:r>
      <w:r>
        <w:instrText xml:space="preserve"> PAGEREF _Toc97632244 \h </w:instrText>
      </w:r>
      <w:r>
        <w:fldChar w:fldCharType="separate"/>
      </w:r>
      <w:r>
        <w:t>14</w:t>
      </w:r>
      <w:r>
        <w:fldChar w:fldCharType="end"/>
      </w:r>
    </w:p>
    <w:p>
      <w:pPr>
        <w:pStyle w:val="TOC8"/>
        <w:rPr>
          <w:rFonts w:asciiTheme="minorHAnsi" w:eastAsiaTheme="minorEastAsia" w:hAnsiTheme="minorHAnsi" w:cstheme="minorBidi"/>
          <w:szCs w:val="22"/>
        </w:rPr>
      </w:pPr>
      <w:r>
        <w:t>15.</w:t>
      </w:r>
      <w:r>
        <w:tab/>
        <w:t>Determination of objection</w:t>
      </w:r>
      <w:r>
        <w:tab/>
      </w:r>
      <w:r>
        <w:fldChar w:fldCharType="begin"/>
      </w:r>
      <w:r>
        <w:instrText xml:space="preserve"> PAGEREF _Toc97632245 \h </w:instrText>
      </w:r>
      <w:r>
        <w:fldChar w:fldCharType="separate"/>
      </w:r>
      <w:r>
        <w:t>14</w:t>
      </w:r>
      <w:r>
        <w:fldChar w:fldCharType="end"/>
      </w:r>
    </w:p>
    <w:p>
      <w:pPr>
        <w:pStyle w:val="TOC8"/>
        <w:rPr>
          <w:rFonts w:asciiTheme="minorHAnsi" w:eastAsiaTheme="minorEastAsia" w:hAnsiTheme="minorHAnsi" w:cstheme="minorBidi"/>
          <w:szCs w:val="22"/>
        </w:rPr>
      </w:pPr>
      <w:r>
        <w:t>16.</w:t>
      </w:r>
      <w:r>
        <w:tab/>
        <w:t>Review of decision on objection</w:t>
      </w:r>
      <w:r>
        <w:tab/>
      </w:r>
      <w:r>
        <w:fldChar w:fldCharType="begin"/>
      </w:r>
      <w:r>
        <w:instrText xml:space="preserve"> PAGEREF _Toc97632246 \h </w:instrText>
      </w:r>
      <w:r>
        <w:fldChar w:fldCharType="separate"/>
      </w:r>
      <w:r>
        <w:t>14</w:t>
      </w:r>
      <w:r>
        <w:fldChar w:fldCharType="end"/>
      </w:r>
    </w:p>
    <w:p>
      <w:pPr>
        <w:pStyle w:val="TOC8"/>
        <w:rPr>
          <w:rFonts w:asciiTheme="minorHAnsi" w:eastAsiaTheme="minorEastAsia" w:hAnsiTheme="minorHAnsi" w:cstheme="minorBidi"/>
          <w:szCs w:val="22"/>
        </w:rPr>
      </w:pPr>
      <w:r>
        <w:t>17.</w:t>
      </w:r>
      <w:r>
        <w:tab/>
        <w:t>Liability to pay not affected by objection</w:t>
      </w:r>
      <w:r>
        <w:tab/>
      </w:r>
      <w:r>
        <w:fldChar w:fldCharType="begin"/>
      </w:r>
      <w:r>
        <w:instrText xml:space="preserve"> PAGEREF _Toc97632247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Information and records</w:t>
      </w:r>
    </w:p>
    <w:p>
      <w:pPr>
        <w:pStyle w:val="TOC8"/>
        <w:rPr>
          <w:rFonts w:asciiTheme="minorHAnsi" w:eastAsiaTheme="minorEastAsia" w:hAnsiTheme="minorHAnsi" w:cstheme="minorBidi"/>
          <w:szCs w:val="22"/>
        </w:rPr>
      </w:pPr>
      <w:r>
        <w:t>18.</w:t>
      </w:r>
      <w:r>
        <w:tab/>
        <w:t>CEO may require information and records</w:t>
      </w:r>
      <w:r>
        <w:tab/>
      </w:r>
      <w:r>
        <w:fldChar w:fldCharType="begin"/>
      </w:r>
      <w:r>
        <w:instrText xml:space="preserve"> PAGEREF _Toc97632249 \h </w:instrText>
      </w:r>
      <w:r>
        <w:fldChar w:fldCharType="separate"/>
      </w:r>
      <w:r>
        <w:t>15</w:t>
      </w:r>
      <w:r>
        <w:fldChar w:fldCharType="end"/>
      </w:r>
    </w:p>
    <w:p>
      <w:pPr>
        <w:pStyle w:val="TOC8"/>
        <w:rPr>
          <w:rFonts w:asciiTheme="minorHAnsi" w:eastAsiaTheme="minorEastAsia" w:hAnsiTheme="minorHAnsi" w:cstheme="minorBidi"/>
          <w:szCs w:val="22"/>
        </w:rPr>
      </w:pPr>
      <w:r>
        <w:t>19.</w:t>
      </w:r>
      <w:r>
        <w:tab/>
        <w:t>Incriminating information</w:t>
      </w:r>
      <w:r>
        <w:tab/>
      </w:r>
      <w:r>
        <w:fldChar w:fldCharType="begin"/>
      </w:r>
      <w:r>
        <w:instrText xml:space="preserve"> PAGEREF _Toc97632250 \h </w:instrText>
      </w:r>
      <w:r>
        <w:fldChar w:fldCharType="separate"/>
      </w:r>
      <w:r>
        <w:t>16</w:t>
      </w:r>
      <w:r>
        <w:fldChar w:fldCharType="end"/>
      </w:r>
    </w:p>
    <w:p>
      <w:pPr>
        <w:pStyle w:val="TOC8"/>
        <w:rPr>
          <w:rFonts w:asciiTheme="minorHAnsi" w:eastAsiaTheme="minorEastAsia" w:hAnsiTheme="minorHAnsi" w:cstheme="minorBidi"/>
          <w:szCs w:val="22"/>
        </w:rPr>
      </w:pPr>
      <w:r>
        <w:t>20.</w:t>
      </w:r>
      <w:r>
        <w:tab/>
        <w:t>False or misleading information</w:t>
      </w:r>
      <w:r>
        <w:tab/>
      </w:r>
      <w:r>
        <w:fldChar w:fldCharType="begin"/>
      </w:r>
      <w:r>
        <w:instrText xml:space="preserve"> PAGEREF _Toc97632251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21.</w:t>
      </w:r>
      <w:r>
        <w:tab/>
        <w:t>Petroleum and Geothermal Energy Safety Levies Account</w:t>
      </w:r>
      <w:r>
        <w:tab/>
      </w:r>
      <w:r>
        <w:fldChar w:fldCharType="begin"/>
      </w:r>
      <w:r>
        <w:instrText xml:space="preserve"> PAGEREF _Toc97632253 \h </w:instrText>
      </w:r>
      <w:r>
        <w:fldChar w:fldCharType="separate"/>
      </w:r>
      <w:r>
        <w:t>18</w:t>
      </w:r>
      <w:r>
        <w:fldChar w:fldCharType="end"/>
      </w:r>
    </w:p>
    <w:p>
      <w:pPr>
        <w:pStyle w:val="TOC8"/>
        <w:rPr>
          <w:rFonts w:asciiTheme="minorHAnsi" w:eastAsiaTheme="minorEastAsia" w:hAnsiTheme="minorHAnsi" w:cstheme="minorBidi"/>
          <w:szCs w:val="22"/>
        </w:rPr>
      </w:pPr>
      <w:r>
        <w:t>22.</w:t>
      </w:r>
      <w:r>
        <w:tab/>
        <w:t>Delegation</w:t>
      </w:r>
      <w:r>
        <w:tab/>
      </w:r>
      <w:r>
        <w:fldChar w:fldCharType="begin"/>
      </w:r>
      <w:r>
        <w:instrText xml:space="preserve"> PAGEREF _Toc97632254 \h </w:instrText>
      </w:r>
      <w:r>
        <w:fldChar w:fldCharType="separate"/>
      </w:r>
      <w:r>
        <w:t>18</w:t>
      </w:r>
      <w:r>
        <w:fldChar w:fldCharType="end"/>
      </w:r>
    </w:p>
    <w:p>
      <w:pPr>
        <w:pStyle w:val="TOC8"/>
        <w:rPr>
          <w:rFonts w:asciiTheme="minorHAnsi" w:eastAsiaTheme="minorEastAsia" w:hAnsiTheme="minorHAnsi" w:cstheme="minorBidi"/>
          <w:szCs w:val="22"/>
        </w:rPr>
      </w:pPr>
      <w:r>
        <w:t>23.</w:t>
      </w:r>
      <w:r>
        <w:tab/>
        <w:t>Confidentiality</w:t>
      </w:r>
      <w:r>
        <w:tab/>
      </w:r>
      <w:r>
        <w:fldChar w:fldCharType="begin"/>
      </w:r>
      <w:r>
        <w:instrText xml:space="preserve"> PAGEREF _Toc97632255 \h </w:instrText>
      </w:r>
      <w:r>
        <w:fldChar w:fldCharType="separate"/>
      </w:r>
      <w:r>
        <w:t>19</w:t>
      </w:r>
      <w:r>
        <w:fldChar w:fldCharType="end"/>
      </w:r>
    </w:p>
    <w:p>
      <w:pPr>
        <w:pStyle w:val="TOC8"/>
        <w:rPr>
          <w:rFonts w:asciiTheme="minorHAnsi" w:eastAsiaTheme="minorEastAsia" w:hAnsiTheme="minorHAnsi" w:cstheme="minorBidi"/>
          <w:szCs w:val="22"/>
        </w:rPr>
      </w:pPr>
      <w:r>
        <w:t>24.</w:t>
      </w:r>
      <w:r>
        <w:tab/>
        <w:t>Protection from liability</w:t>
      </w:r>
      <w:r>
        <w:tab/>
      </w:r>
      <w:r>
        <w:fldChar w:fldCharType="begin"/>
      </w:r>
      <w:r>
        <w:instrText xml:space="preserve"> PAGEREF _Toc97632256 \h </w:instrText>
      </w:r>
      <w:r>
        <w:fldChar w:fldCharType="separate"/>
      </w:r>
      <w:r>
        <w:t>19</w:t>
      </w:r>
      <w:r>
        <w:fldChar w:fldCharType="end"/>
      </w:r>
    </w:p>
    <w:p>
      <w:pPr>
        <w:pStyle w:val="TOC8"/>
        <w:rPr>
          <w:rFonts w:asciiTheme="minorHAnsi" w:eastAsiaTheme="minorEastAsia" w:hAnsiTheme="minorHAnsi" w:cstheme="minorBidi"/>
          <w:szCs w:val="22"/>
        </w:rPr>
      </w:pPr>
      <w:r>
        <w:t>25.</w:t>
      </w:r>
      <w:r>
        <w:tab/>
        <w:t>Evidentiary value of assessment notice</w:t>
      </w:r>
      <w:r>
        <w:tab/>
      </w:r>
      <w:r>
        <w:fldChar w:fldCharType="begin"/>
      </w:r>
      <w:r>
        <w:instrText xml:space="preserve"> PAGEREF _Toc97632257 \h </w:instrText>
      </w:r>
      <w:r>
        <w:fldChar w:fldCharType="separate"/>
      </w:r>
      <w:r>
        <w:t>20</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_Toc97632258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_Toc97632260 \h </w:instrText>
      </w:r>
      <w:r>
        <w:fldChar w:fldCharType="separate"/>
      </w:r>
      <w:r>
        <w:t>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_Toc97632261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Petroleum and Geothermal Energy Safety Levies Act 2011</w:t>
      </w:r>
    </w:p>
    <w:p>
      <w:pPr>
        <w:pStyle w:val="LongTitle"/>
        <w:suppressLineNumbers/>
      </w:pPr>
      <w:bookmarkStart w:id="3" w:name="BillCited"/>
      <w:bookmarkEnd w:id="3"/>
      <w:r>
        <w:rPr>
          <w:snapToGrid w:val="0"/>
        </w:rPr>
        <w:t xml:space="preserve">An Act to provide for levies in relation to petroleum operations, geothermal energy </w:t>
      </w:r>
      <w:r>
        <w:t xml:space="preserve">operations, pipeline operations and offshore petroleum operations, </w:t>
      </w:r>
      <w:r>
        <w:rPr>
          <w:snapToGrid w:val="0"/>
        </w:rPr>
        <w:t>and for related purposes</w:t>
      </w:r>
      <w:r>
        <w:t>.</w:t>
      </w:r>
    </w:p>
    <w:p>
      <w:pPr>
        <w:pStyle w:val="Footnotelongtitle"/>
      </w:pPr>
      <w:r>
        <w:tab/>
        <w:t>[Long title amended: No. 19 of 2012 s. 4.]</w:t>
      </w:r>
    </w:p>
    <w:p>
      <w:pPr>
        <w:pStyle w:val="Enactment"/>
      </w:pPr>
      <w:r>
        <w:rPr>
          <w:snapToGrid w:val="0"/>
        </w:rPr>
        <w:t>The Parliament of Western Australia enacts as follows:</w:t>
      </w:r>
    </w:p>
    <w:p>
      <w:pPr>
        <w:pStyle w:val="Heading2"/>
      </w:pPr>
      <w:bookmarkStart w:id="4" w:name="_Toc97630243"/>
      <w:bookmarkStart w:id="5" w:name="_Toc97630293"/>
      <w:bookmarkStart w:id="6" w:name="_Toc9763221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97632214"/>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8" w:name="_Toc97632215"/>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97632216"/>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accepted DSMS</w:t>
      </w:r>
      <w:r>
        <w:t xml:space="preserve"> means a DSMS, as defined in the </w:t>
      </w:r>
      <w:r>
        <w:rPr>
          <w:i/>
        </w:rPr>
        <w:t>Petroleum (Submerged Lands) (Diving Safety) Regulations 2007</w:t>
      </w:r>
      <w:r>
        <w:t xml:space="preserve">, that — </w:t>
      </w:r>
    </w:p>
    <w:p>
      <w:pPr>
        <w:pStyle w:val="Defpara"/>
      </w:pPr>
      <w:r>
        <w:tab/>
        <w:t>(a)</w:t>
      </w:r>
      <w:r>
        <w:tab/>
        <w:t xml:space="preserve">has been accepted by the Minister responsible for the administration of the </w:t>
      </w:r>
      <w:r>
        <w:rPr>
          <w:i/>
        </w:rPr>
        <w:t>Petroleum (Submerged Lands) Act 1982</w:t>
      </w:r>
      <w:r>
        <w:t>; and</w:t>
      </w:r>
    </w:p>
    <w:p>
      <w:pPr>
        <w:pStyle w:val="Defpara"/>
      </w:pPr>
      <w:r>
        <w:tab/>
        <w:t>(b)</w:t>
      </w:r>
      <w:r>
        <w:tab/>
        <w:t>is current for the purposes of those regulations;</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diving contractor</w:t>
      </w:r>
      <w:r>
        <w:t xml:space="preserve"> has the meaning given in the </w:t>
      </w:r>
      <w:r>
        <w:rPr>
          <w:i/>
        </w:rPr>
        <w:t>Petroleum (Submerged Lands) (Diving Safety) Regulations 2007</w:t>
      </w:r>
      <w:r>
        <w:t>;</w:t>
      </w:r>
    </w:p>
    <w:p>
      <w:pPr>
        <w:pStyle w:val="Defstart"/>
      </w:pPr>
      <w:r>
        <w:lastRenderedPageBreak/>
        <w:tab/>
      </w:r>
      <w:r>
        <w:rPr>
          <w:rStyle w:val="CharDefText"/>
        </w:rPr>
        <w:t>diving safety management system</w:t>
      </w:r>
      <w:r>
        <w:t xml:space="preserve"> means a DSMS as defined in the </w:t>
      </w:r>
      <w:r>
        <w:rPr>
          <w:i/>
        </w:rPr>
        <w:t>Petroleum (Submerged Lands) (Diving Safety) Regulations 2007</w:t>
      </w:r>
      <w:r>
        <w:t>;</w:t>
      </w:r>
    </w:p>
    <w:p>
      <w:pPr>
        <w:pStyle w:val="Defstart"/>
      </w:pPr>
      <w:r>
        <w:tab/>
      </w:r>
      <w:r>
        <w:rPr>
          <w:rStyle w:val="CharDefText"/>
        </w:rPr>
        <w:t>DSMS levy</w:t>
      </w:r>
      <w:r>
        <w:t xml:space="preserve"> means the levy referred to in section 10G;</w:t>
      </w:r>
    </w:p>
    <w:p>
      <w:pPr>
        <w:pStyle w:val="Defstart"/>
      </w:pPr>
      <w:r>
        <w:tab/>
      </w:r>
      <w:r>
        <w:rPr>
          <w:rStyle w:val="CharDefText"/>
        </w:rPr>
        <w:t>facility</w:t>
      </w:r>
      <w:r>
        <w:t xml:space="preserve"> has the meaning given in the </w:t>
      </w:r>
      <w:r>
        <w:rPr>
          <w:i/>
        </w:rPr>
        <w:t>Petroleum (Submerged Lands) Act 1982</w:t>
      </w:r>
      <w:r>
        <w:t xml:space="preserve"> section 4;</w:t>
      </w:r>
    </w:p>
    <w:p>
      <w:pPr>
        <w:pStyle w:val="Defstart"/>
      </w:pPr>
      <w:r>
        <w:tab/>
      </w:r>
      <w:r>
        <w:rPr>
          <w:rStyle w:val="CharDefText"/>
        </w:rPr>
        <w:t>facility safety case levy</w:t>
      </w:r>
      <w:r>
        <w:t xml:space="preserve"> means the levy referred to in section 10A;</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pPr>
      <w:r>
        <w:tab/>
      </w:r>
      <w:r>
        <w:rPr>
          <w:rStyle w:val="CharDefText"/>
        </w:rPr>
        <w:t>operator</w:t>
      </w:r>
      <w:r>
        <w:t xml:space="preserve"> — </w:t>
      </w:r>
    </w:p>
    <w:p>
      <w:pPr>
        <w:pStyle w:val="Defpara"/>
      </w:pPr>
      <w:r>
        <w:tab/>
        <w:t>(a)</w:t>
      </w:r>
      <w:r>
        <w:tab/>
        <w:t xml:space="preserve">in relation to a petroleum operation or geothermal energy operation, has the same meaning as in the </w:t>
      </w:r>
      <w:r>
        <w:rPr>
          <w:i/>
        </w:rPr>
        <w:t>Petroleum and Geothermal Energy Resources Act 1967</w:t>
      </w:r>
      <w:r>
        <w:t>; or</w:t>
      </w:r>
    </w:p>
    <w:p>
      <w:pPr>
        <w:pStyle w:val="Defpara"/>
      </w:pPr>
      <w:r>
        <w:tab/>
        <w:t>(b)</w:t>
      </w:r>
      <w:r>
        <w:tab/>
        <w:t xml:space="preserve">in relation to a facility, has the meaning given in the </w:t>
      </w:r>
      <w:r>
        <w:rPr>
          <w:i/>
        </w:rPr>
        <w:t xml:space="preserve">Petroleum (Submerged Lands) Act 1982 </w:t>
      </w:r>
      <w:r>
        <w:t>Schedule 5 clause 3;</w:t>
      </w:r>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pPr>
      <w:r>
        <w:tab/>
      </w:r>
      <w:r>
        <w:rPr>
          <w:rStyle w:val="CharDefText"/>
        </w:rPr>
        <w:t>PGERA regulations</w:t>
      </w:r>
      <w:r>
        <w:t xml:space="preserve"> means the </w:t>
      </w:r>
      <w:r>
        <w:rPr>
          <w:i/>
        </w:rPr>
        <w:t>Petroleum and Geothermal Energy Resources (Management of Safety) Regulations 2010</w:t>
      </w:r>
      <w:r>
        <w:t>;</w:t>
      </w:r>
    </w:p>
    <w:p>
      <w:pPr>
        <w:pStyle w:val="Defstart"/>
      </w:pPr>
      <w:r>
        <w:tab/>
      </w:r>
      <w:r>
        <w:rPr>
          <w:rStyle w:val="CharDefText"/>
        </w:rPr>
        <w:t>pipeline</w:t>
      </w:r>
      <w:r>
        <w:t xml:space="preserve"> has the meaning given in the </w:t>
      </w:r>
      <w:r>
        <w:rPr>
          <w:i/>
        </w:rPr>
        <w:t>Petroleum (Submerged Lands) Act 1982</w:t>
      </w:r>
      <w:r>
        <w:t xml:space="preserve"> section 4;</w:t>
      </w:r>
    </w:p>
    <w:p>
      <w:pPr>
        <w:pStyle w:val="Defstart"/>
      </w:pPr>
      <w:r>
        <w:tab/>
      </w:r>
      <w:r>
        <w:rPr>
          <w:rStyle w:val="CharDefText"/>
        </w:rPr>
        <w:t>pipeline licensee</w:t>
      </w:r>
      <w:r>
        <w:t xml:space="preserve">, in relation to a pipeline, has the meaning given in the </w:t>
      </w:r>
      <w:r>
        <w:rPr>
          <w:i/>
        </w:rPr>
        <w:t>Petroleum (Submerged Lands) Act 1982</w:t>
      </w:r>
      <w:r>
        <w:t xml:space="preserve"> section 4;</w:t>
      </w:r>
    </w:p>
    <w:p>
      <w:pPr>
        <w:pStyle w:val="Defstart"/>
      </w:pPr>
      <w:r>
        <w:lastRenderedPageBreak/>
        <w:tab/>
      </w:r>
      <w:r>
        <w:rPr>
          <w:rStyle w:val="CharDefText"/>
        </w:rPr>
        <w:t>pipeline management plan</w:t>
      </w:r>
      <w:r>
        <w:t xml:space="preserve"> has the same meaning as in the </w:t>
      </w:r>
      <w:r>
        <w:rPr>
          <w:i/>
        </w:rPr>
        <w:t>Petroleum (Submerged Lands) (Pipelines) Regulations 2007</w:t>
      </w:r>
      <w:r>
        <w:t>;</w:t>
      </w:r>
    </w:p>
    <w:p>
      <w:pPr>
        <w:pStyle w:val="Defstart"/>
      </w:pPr>
      <w:r>
        <w:tab/>
      </w:r>
      <w:r>
        <w:rPr>
          <w:rStyle w:val="CharDefText"/>
        </w:rPr>
        <w:t>pipeline management plan in force</w:t>
      </w:r>
      <w:r>
        <w:t xml:space="preserve">, in relation to a pipeline, means a pipeline management plan or a revised pipeline management plan — </w:t>
      </w:r>
    </w:p>
    <w:p>
      <w:pPr>
        <w:pStyle w:val="Defpara"/>
      </w:pPr>
      <w:r>
        <w:tab/>
        <w:t>(a)</w:t>
      </w:r>
      <w:r>
        <w:tab/>
        <w:t xml:space="preserve">that has been accepted in relation to the pipeline by the Minister responsible for the administration of the </w:t>
      </w:r>
      <w:r>
        <w:rPr>
          <w:i/>
        </w:rPr>
        <w:t>Petroleum (Submerged Lands) Act 1982</w:t>
      </w:r>
      <w:r>
        <w:t>; and</w:t>
      </w:r>
    </w:p>
    <w:p>
      <w:pPr>
        <w:pStyle w:val="Defpara"/>
      </w:pPr>
      <w:r>
        <w:tab/>
        <w:t>(b)</w:t>
      </w:r>
      <w:r>
        <w:tab/>
        <w:t>the acceptance of which has not been withdrawn;</w:t>
      </w:r>
    </w:p>
    <w:p>
      <w:pPr>
        <w:pStyle w:val="Defstart"/>
      </w:pPr>
      <w:r>
        <w:tab/>
      </w:r>
      <w:r>
        <w:rPr>
          <w:rStyle w:val="CharDefText"/>
        </w:rPr>
        <w:t>pipeline management plan levy</w:t>
      </w:r>
      <w:r>
        <w:t xml:space="preserve"> means the levy referred to in section 10D;</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r>
        <w:rPr>
          <w:i/>
        </w:rPr>
        <w:t>Barrow Island Act 2003</w:t>
      </w:r>
      <w:r>
        <w:t xml:space="preserve"> section 11;</w:t>
      </w:r>
    </w:p>
    <w:p>
      <w:pPr>
        <w:pStyle w:val="Defstart"/>
      </w:pPr>
      <w:r>
        <w:tab/>
      </w:r>
      <w:r>
        <w:rPr>
          <w:rStyle w:val="CharDefText"/>
        </w:rPr>
        <w:t>pipeline safety case levy</w:t>
      </w:r>
      <w:r>
        <w:t xml:space="preserve"> means the levy referred to in section 7;</w:t>
      </w:r>
    </w:p>
    <w:p>
      <w:pPr>
        <w:pStyle w:val="Defstart"/>
      </w:pPr>
      <w:r>
        <w:tab/>
      </w:r>
      <w:r>
        <w:rPr>
          <w:rStyle w:val="CharDefText"/>
        </w:rPr>
        <w:t>PPA regulations</w:t>
      </w:r>
      <w:r>
        <w:t xml:space="preserve"> means the </w:t>
      </w:r>
      <w:r>
        <w:rPr>
          <w:i/>
        </w:rPr>
        <w:t>Petroleum Pipelines (Management of Safety of Pipeline Operations) Regulations 2010</w:t>
      </w:r>
      <w:r>
        <w:t>;</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revised pipeline management plan</w:t>
      </w:r>
      <w:r>
        <w:t xml:space="preserve"> has the same meaning as in the </w:t>
      </w:r>
      <w:r>
        <w:rPr>
          <w:i/>
        </w:rPr>
        <w:t>Petroleum (Submerged Lands) (Pipelines) Regulations 2007</w:t>
      </w:r>
      <w:r>
        <w:t>;</w:t>
      </w:r>
    </w:p>
    <w:p>
      <w:pPr>
        <w:pStyle w:val="Defstart"/>
        <w:keepNext/>
      </w:pPr>
      <w:r>
        <w:lastRenderedPageBreak/>
        <w:tab/>
      </w:r>
      <w:r>
        <w:rPr>
          <w:rStyle w:val="CharDefText"/>
        </w:rPr>
        <w:t>revised safety case</w:t>
      </w:r>
      <w:r>
        <w:t xml:space="preserve"> — </w:t>
      </w:r>
    </w:p>
    <w:p>
      <w:pPr>
        <w:pStyle w:val="Defpara"/>
      </w:pPr>
      <w:r>
        <w:tab/>
        <w:t>(a)</w:t>
      </w:r>
      <w:r>
        <w:tab/>
        <w:t>in relation to a pipeline operation, has the same meaning as in the PPA regulations; or</w:t>
      </w:r>
    </w:p>
    <w:p>
      <w:pPr>
        <w:pStyle w:val="Defpara"/>
      </w:pPr>
      <w:r>
        <w:tab/>
        <w:t>(b)</w:t>
      </w:r>
      <w:r>
        <w:tab/>
        <w:t xml:space="preserve">in relation to a facility, has the same meaning as in the </w:t>
      </w:r>
      <w:r>
        <w:rPr>
          <w:i/>
        </w:rPr>
        <w:t>Petroleum (Submerged Lands) (Management of Safety on Offshore Facilities) Regulations 2007</w:t>
      </w:r>
      <w:r>
        <w:t>;</w:t>
      </w:r>
    </w:p>
    <w:p>
      <w:pPr>
        <w:pStyle w:val="Defstart"/>
      </w:pPr>
      <w:r>
        <w:tab/>
      </w:r>
      <w:r>
        <w:rPr>
          <w:rStyle w:val="CharDefText"/>
        </w:rPr>
        <w:t>revised safety management system</w:t>
      </w:r>
      <w:r>
        <w:t xml:space="preserve"> has the same meaning as in the PGERA regulations;</w:t>
      </w:r>
    </w:p>
    <w:p>
      <w:pPr>
        <w:pStyle w:val="Defstart"/>
      </w:pPr>
      <w:r>
        <w:tab/>
      </w:r>
      <w:r>
        <w:rPr>
          <w:rStyle w:val="CharDefText"/>
        </w:rPr>
        <w:t>safety case</w:t>
      </w:r>
      <w:r>
        <w:t xml:space="preserve"> — </w:t>
      </w:r>
    </w:p>
    <w:p>
      <w:pPr>
        <w:pStyle w:val="Defpara"/>
      </w:pPr>
      <w:r>
        <w:tab/>
        <w:t>(a)</w:t>
      </w:r>
      <w:r>
        <w:tab/>
        <w:t>in relation to a pipeline operation, has the same meaning as in the PPA regulations; or</w:t>
      </w:r>
    </w:p>
    <w:p>
      <w:pPr>
        <w:pStyle w:val="Defpara"/>
      </w:pPr>
      <w:r>
        <w:tab/>
        <w:t>(b)</w:t>
      </w:r>
      <w:r>
        <w:tab/>
        <w:t xml:space="preserve">in relation to a facility, has the same meaning as in the </w:t>
      </w:r>
      <w:r>
        <w:rPr>
          <w:i/>
        </w:rPr>
        <w:t>Petroleum (Submerged Lands) (Management of Safety on Offshore Facilities) Regulations 2007</w:t>
      </w:r>
      <w:r>
        <w:t>;</w:t>
      </w:r>
    </w:p>
    <w:p>
      <w:pPr>
        <w:pStyle w:val="Defstart"/>
      </w:pPr>
      <w:r>
        <w:tab/>
      </w:r>
      <w:r>
        <w:rPr>
          <w:rStyle w:val="CharDefText"/>
        </w:rPr>
        <w:t>safety case in force</w:t>
      </w:r>
      <w:r>
        <w:t xml:space="preserve"> — </w:t>
      </w:r>
    </w:p>
    <w:p>
      <w:pPr>
        <w:pStyle w:val="Defpara"/>
      </w:pPr>
      <w:r>
        <w:tab/>
        <w:t>(a)</w:t>
      </w:r>
      <w:r>
        <w:tab/>
        <w:t xml:space="preserve">in relation to a pipeline operation, means a safety case or revised safety case — </w:t>
      </w:r>
    </w:p>
    <w:p>
      <w:pPr>
        <w:pStyle w:val="Defsubpara"/>
      </w:pPr>
      <w:r>
        <w:tab/>
        <w:t>(i)</w:t>
      </w:r>
      <w:r>
        <w:tab/>
        <w:t xml:space="preserve">that has been accepted in relation to the operation by the Minister responsible for the administration of the </w:t>
      </w:r>
      <w:r>
        <w:rPr>
          <w:i/>
        </w:rPr>
        <w:t>Petroleum Pipelines Act 1969</w:t>
      </w:r>
      <w:r>
        <w:t>; and</w:t>
      </w:r>
    </w:p>
    <w:p>
      <w:pPr>
        <w:pStyle w:val="Defsubpara"/>
      </w:pPr>
      <w:r>
        <w:tab/>
        <w:t>(ii)</w:t>
      </w:r>
      <w:r>
        <w:tab/>
        <w:t>the acceptance of which has not been withdrawn,</w:t>
      </w:r>
    </w:p>
    <w:p>
      <w:pPr>
        <w:pStyle w:val="Defpara"/>
      </w:pPr>
      <w:r>
        <w:tab/>
      </w:r>
      <w:r>
        <w:tab/>
        <w:t>and includes any condition imposed under the PPA regulations in respect of the operation;</w:t>
      </w:r>
    </w:p>
    <w:p>
      <w:pPr>
        <w:pStyle w:val="Defpara"/>
      </w:pPr>
      <w:r>
        <w:tab/>
      </w:r>
      <w:r>
        <w:tab/>
        <w:t>or</w:t>
      </w:r>
    </w:p>
    <w:p>
      <w:pPr>
        <w:pStyle w:val="Defpara"/>
      </w:pPr>
      <w:r>
        <w:tab/>
        <w:t>(b)</w:t>
      </w:r>
      <w:r>
        <w:tab/>
        <w:t xml:space="preserve">in relation to a facility, means a safety case or revised safety case — </w:t>
      </w:r>
    </w:p>
    <w:p>
      <w:pPr>
        <w:pStyle w:val="Defsubpara"/>
      </w:pPr>
      <w:r>
        <w:tab/>
        <w:t>(i)</w:t>
      </w:r>
      <w:r>
        <w:tab/>
        <w:t xml:space="preserve">that has been accepted in relation to the facility by the Minister responsible for the administration of the </w:t>
      </w:r>
      <w:r>
        <w:rPr>
          <w:i/>
        </w:rPr>
        <w:t>Petroleum (Submerged Lands) Act 1982</w:t>
      </w:r>
      <w:r>
        <w:t>; and</w:t>
      </w:r>
    </w:p>
    <w:p>
      <w:pPr>
        <w:pStyle w:val="Defsubpara"/>
      </w:pPr>
      <w:r>
        <w:tab/>
        <w:t>(ii)</w:t>
      </w:r>
      <w:r>
        <w:tab/>
        <w:t>the acceptance of which has not been withdrawn,</w:t>
      </w:r>
    </w:p>
    <w:p>
      <w:pPr>
        <w:pStyle w:val="Defpara"/>
      </w:pPr>
      <w:r>
        <w:tab/>
      </w:r>
      <w:r>
        <w:tab/>
        <w:t xml:space="preserve">and includes any condition imposed under the </w:t>
      </w:r>
      <w:r>
        <w:rPr>
          <w:i/>
        </w:rPr>
        <w:t xml:space="preserve">Petroleum (Submerged Lands) (Management of Safety on Offshore </w:t>
      </w:r>
      <w:r>
        <w:rPr>
          <w:i/>
        </w:rPr>
        <w:lastRenderedPageBreak/>
        <w:t>Facilities) Regulations 2007</w:t>
      </w:r>
      <w:r>
        <w:t xml:space="preserve"> in respect of the facility or activities at the facility;</w:t>
      </w:r>
    </w:p>
    <w:p>
      <w:pPr>
        <w:pStyle w:val="Defstart"/>
      </w:pPr>
      <w:r>
        <w:tab/>
      </w:r>
      <w:r>
        <w:rPr>
          <w:rStyle w:val="CharDefText"/>
        </w:rPr>
        <w:t>safety levy</w:t>
      </w:r>
      <w:r>
        <w:t xml:space="preserve"> means — </w:t>
      </w:r>
    </w:p>
    <w:p>
      <w:pPr>
        <w:pStyle w:val="Defpara"/>
      </w:pPr>
      <w:r>
        <w:tab/>
        <w:t>(a)</w:t>
      </w:r>
      <w:r>
        <w:tab/>
        <w:t>the safety management system levy; or</w:t>
      </w:r>
    </w:p>
    <w:p>
      <w:pPr>
        <w:pStyle w:val="Defpara"/>
      </w:pPr>
      <w:r>
        <w:tab/>
        <w:t>(b)</w:t>
      </w:r>
      <w:r>
        <w:tab/>
        <w:t xml:space="preserve">the pipeline safety case levy; or </w:t>
      </w:r>
    </w:p>
    <w:p>
      <w:pPr>
        <w:pStyle w:val="Defpara"/>
      </w:pPr>
      <w:r>
        <w:tab/>
        <w:t>(c)</w:t>
      </w:r>
      <w:r>
        <w:tab/>
        <w:t>the facility safety case levy; or</w:t>
      </w:r>
    </w:p>
    <w:p>
      <w:pPr>
        <w:pStyle w:val="Defpara"/>
      </w:pPr>
      <w:r>
        <w:tab/>
        <w:t>(d)</w:t>
      </w:r>
      <w:r>
        <w:tab/>
        <w:t>the pipeline management plan levy; or</w:t>
      </w:r>
    </w:p>
    <w:p>
      <w:pPr>
        <w:pStyle w:val="Defpara"/>
      </w:pPr>
      <w:r>
        <w:tab/>
        <w:t>(e)</w:t>
      </w:r>
      <w:r>
        <w:tab/>
        <w:t>the DSMS levy;</w:t>
      </w:r>
    </w:p>
    <w:p>
      <w:pPr>
        <w:pStyle w:val="Defstart"/>
      </w:pPr>
      <w:r>
        <w:tab/>
      </w:r>
      <w:r>
        <w:rPr>
          <w:rStyle w:val="CharDefText"/>
        </w:rPr>
        <w:t>safety management system</w:t>
      </w:r>
      <w:r>
        <w:t xml:space="preserve"> has the same meaning as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Footnotesection"/>
      </w:pPr>
      <w:r>
        <w:tab/>
        <w:t>[Section 3 amended: No. 19 of 2012 s. 5.]</w:t>
      </w:r>
    </w:p>
    <w:p>
      <w:pPr>
        <w:pStyle w:val="Heading2"/>
      </w:pPr>
      <w:bookmarkStart w:id="10" w:name="_Toc97630247"/>
      <w:bookmarkStart w:id="11" w:name="_Toc97630297"/>
      <w:bookmarkStart w:id="12" w:name="_Toc97632217"/>
      <w:r>
        <w:rPr>
          <w:rStyle w:val="CharPartNo"/>
        </w:rPr>
        <w:lastRenderedPageBreak/>
        <w:t>Part 2</w:t>
      </w:r>
      <w:r>
        <w:t> — </w:t>
      </w:r>
      <w:r>
        <w:rPr>
          <w:rStyle w:val="CharPartText"/>
        </w:rPr>
        <w:t>Safety levies</w:t>
      </w:r>
      <w:bookmarkEnd w:id="10"/>
      <w:bookmarkEnd w:id="11"/>
      <w:bookmarkEnd w:id="12"/>
    </w:p>
    <w:p>
      <w:pPr>
        <w:pStyle w:val="Heading3"/>
      </w:pPr>
      <w:bookmarkStart w:id="13" w:name="_Toc97630248"/>
      <w:bookmarkStart w:id="14" w:name="_Toc97630298"/>
      <w:bookmarkStart w:id="15" w:name="_Toc97632218"/>
      <w:r>
        <w:rPr>
          <w:rStyle w:val="CharDivNo"/>
        </w:rPr>
        <w:t>Division 1</w:t>
      </w:r>
      <w:r>
        <w:t> — </w:t>
      </w:r>
      <w:r>
        <w:rPr>
          <w:rStyle w:val="CharDivText"/>
        </w:rPr>
        <w:t>Safety management system levy</w:t>
      </w:r>
      <w:bookmarkEnd w:id="13"/>
      <w:bookmarkEnd w:id="14"/>
      <w:bookmarkEnd w:id="15"/>
    </w:p>
    <w:p>
      <w:pPr>
        <w:pStyle w:val="Heading5"/>
      </w:pPr>
      <w:bookmarkStart w:id="16" w:name="_Toc97632219"/>
      <w:r>
        <w:rPr>
          <w:rStyle w:val="CharSectno"/>
        </w:rPr>
        <w:t>4</w:t>
      </w:r>
      <w:r>
        <w:t>.</w:t>
      </w:r>
      <w:r>
        <w:tab/>
        <w:t>Safety management system levy</w:t>
      </w:r>
      <w:bookmarkEnd w:id="16"/>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4 amended: No. 51 of 2011 s. 4.]</w:t>
      </w:r>
    </w:p>
    <w:p>
      <w:pPr>
        <w:pStyle w:val="Heading5"/>
      </w:pPr>
      <w:bookmarkStart w:id="17" w:name="_Toc97632220"/>
      <w:r>
        <w:rPr>
          <w:rStyle w:val="CharSectno"/>
        </w:rPr>
        <w:t>5</w:t>
      </w:r>
      <w:r>
        <w:t>.</w:t>
      </w:r>
      <w:r>
        <w:tab/>
        <w:t>Liability for payment of safety management system levy</w:t>
      </w:r>
      <w:bookmarkEnd w:id="17"/>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18" w:name="_Toc97632221"/>
      <w:r>
        <w:rPr>
          <w:rStyle w:val="CharSectno"/>
        </w:rPr>
        <w:t>6</w:t>
      </w:r>
      <w:r>
        <w:t>.</w:t>
      </w:r>
      <w:r>
        <w:tab/>
        <w:t>Amount of safety management system levy</w:t>
      </w:r>
      <w:bookmarkEnd w:id="18"/>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19" w:name="_Toc97630252"/>
      <w:bookmarkStart w:id="20" w:name="_Toc97630302"/>
      <w:bookmarkStart w:id="21" w:name="_Toc97632222"/>
      <w:r>
        <w:rPr>
          <w:rStyle w:val="CharDivNo"/>
        </w:rPr>
        <w:lastRenderedPageBreak/>
        <w:t>Division 2</w:t>
      </w:r>
      <w:r>
        <w:t> — </w:t>
      </w:r>
      <w:r>
        <w:rPr>
          <w:rStyle w:val="CharDivText"/>
        </w:rPr>
        <w:t>Pipeline safety case levy</w:t>
      </w:r>
      <w:bookmarkEnd w:id="19"/>
      <w:bookmarkEnd w:id="20"/>
      <w:bookmarkEnd w:id="21"/>
    </w:p>
    <w:p>
      <w:pPr>
        <w:pStyle w:val="Footnoteheading"/>
        <w:keepNext/>
      </w:pPr>
      <w:r>
        <w:tab/>
        <w:t>[Heading amended: No. 19 of 2012 s. 6.]</w:t>
      </w:r>
    </w:p>
    <w:p>
      <w:pPr>
        <w:pStyle w:val="Heading5"/>
      </w:pPr>
      <w:bookmarkStart w:id="22" w:name="_Toc97632223"/>
      <w:r>
        <w:rPr>
          <w:rStyle w:val="CharSectno"/>
        </w:rPr>
        <w:t>7</w:t>
      </w:r>
      <w:r>
        <w:t>.</w:t>
      </w:r>
      <w:r>
        <w:tab/>
      </w:r>
      <w:r>
        <w:rPr>
          <w:bCs/>
        </w:rPr>
        <w:t>Pipeline safety case levy</w:t>
      </w:r>
      <w:bookmarkEnd w:id="22"/>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7 amended: No. 51 of 2011 s. 5.]</w:t>
      </w:r>
    </w:p>
    <w:p>
      <w:pPr>
        <w:pStyle w:val="Heading5"/>
      </w:pPr>
      <w:bookmarkStart w:id="23" w:name="_Toc97632224"/>
      <w:r>
        <w:rPr>
          <w:rStyle w:val="CharSectno"/>
        </w:rPr>
        <w:t>8</w:t>
      </w:r>
      <w:r>
        <w:t>.</w:t>
      </w:r>
      <w:r>
        <w:tab/>
      </w:r>
      <w:r>
        <w:rPr>
          <w:bCs/>
        </w:rPr>
        <w:t>Liability for payment of pipeline safety case levy</w:t>
      </w:r>
      <w:bookmarkEnd w:id="23"/>
    </w:p>
    <w:p>
      <w:pPr>
        <w:pStyle w:val="Subsection"/>
      </w:pPr>
      <w:r>
        <w:tab/>
      </w:r>
      <w:r>
        <w:tab/>
        <w:t>The person liable to pay the pipeline safety case levy in respect of a safety case in force for a pipeline operation is the licensee of the pipeline operation.</w:t>
      </w:r>
    </w:p>
    <w:p>
      <w:pPr>
        <w:pStyle w:val="Footnotesection"/>
      </w:pPr>
      <w:r>
        <w:tab/>
        <w:t>[Section 8 amended: No. 19 of 2012 s. 7.]</w:t>
      </w:r>
    </w:p>
    <w:p>
      <w:pPr>
        <w:pStyle w:val="Heading5"/>
      </w:pPr>
      <w:bookmarkStart w:id="24" w:name="_Toc97632225"/>
      <w:r>
        <w:rPr>
          <w:rStyle w:val="CharSectno"/>
        </w:rPr>
        <w:t>9</w:t>
      </w:r>
      <w:r>
        <w:t>.</w:t>
      </w:r>
      <w:r>
        <w:tab/>
      </w:r>
      <w:r>
        <w:rPr>
          <w:bCs/>
        </w:rPr>
        <w:t>Amount of pipeline safety case levy</w:t>
      </w:r>
      <w:bookmarkEnd w:id="24"/>
    </w:p>
    <w:p>
      <w:pPr>
        <w:pStyle w:val="Subsection"/>
      </w:pPr>
      <w:r>
        <w:tab/>
        <w:t>(1)</w:t>
      </w:r>
      <w:r>
        <w:tab/>
        <w:t>The amount of pipeline safety case levy payable is the amount that is specified in, or worked out in accordance with, the regulations.</w:t>
      </w:r>
    </w:p>
    <w:p>
      <w:pPr>
        <w:pStyle w:val="Subsection"/>
      </w:pPr>
      <w:r>
        <w:tab/>
        <w:t>(2)</w:t>
      </w:r>
      <w:r>
        <w:tab/>
        <w:t>The regulations may specify different amounts of pipeline safety case levy, or different means of working out amounts of pipeline safety case levy, for different classes of safety case.</w:t>
      </w:r>
    </w:p>
    <w:p>
      <w:pPr>
        <w:pStyle w:val="Footnotesection"/>
      </w:pPr>
      <w:r>
        <w:tab/>
        <w:t>[Section 9 amended: No. 19 of 2012 s. 8.]</w:t>
      </w:r>
    </w:p>
    <w:p>
      <w:pPr>
        <w:pStyle w:val="Heading3"/>
      </w:pPr>
      <w:bookmarkStart w:id="25" w:name="_Toc97630256"/>
      <w:bookmarkStart w:id="26" w:name="_Toc97630306"/>
      <w:bookmarkStart w:id="27" w:name="_Toc97632226"/>
      <w:r>
        <w:rPr>
          <w:rStyle w:val="CharDivNo"/>
        </w:rPr>
        <w:lastRenderedPageBreak/>
        <w:t>Division 3</w:t>
      </w:r>
      <w:r>
        <w:t> — </w:t>
      </w:r>
      <w:r>
        <w:rPr>
          <w:rStyle w:val="CharDivText"/>
        </w:rPr>
        <w:t>Facility safety case levy</w:t>
      </w:r>
      <w:bookmarkEnd w:id="25"/>
      <w:bookmarkEnd w:id="26"/>
      <w:bookmarkEnd w:id="27"/>
    </w:p>
    <w:p>
      <w:pPr>
        <w:pStyle w:val="Footnoteheading"/>
        <w:keepNext/>
      </w:pPr>
      <w:r>
        <w:tab/>
        <w:t>[Heading inserted: No. 19 of 2012 s. 9.]</w:t>
      </w:r>
    </w:p>
    <w:p>
      <w:pPr>
        <w:pStyle w:val="Heading5"/>
      </w:pPr>
      <w:bookmarkStart w:id="28" w:name="_Toc97632227"/>
      <w:r>
        <w:rPr>
          <w:rStyle w:val="CharSectno"/>
        </w:rPr>
        <w:t>10A</w:t>
      </w:r>
      <w:r>
        <w:t>.</w:t>
      </w:r>
      <w:r>
        <w:tab/>
        <w:t>Facility safety case levy</w:t>
      </w:r>
      <w:bookmarkEnd w:id="28"/>
    </w:p>
    <w:p>
      <w:pPr>
        <w:pStyle w:val="Subsection"/>
      </w:pPr>
      <w:r>
        <w:tab/>
        <w:t>(1)</w:t>
      </w:r>
      <w:r>
        <w:tab/>
        <w:t>If, for the whole or a part of a levy period, there is a safety case in force for a facility,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10A inserted: No. 19 of 2012 s. 9; amended: No. 20 of 2012 s. 4.]</w:t>
      </w:r>
    </w:p>
    <w:p>
      <w:pPr>
        <w:pStyle w:val="Heading5"/>
      </w:pPr>
      <w:bookmarkStart w:id="29" w:name="_Toc97632228"/>
      <w:r>
        <w:rPr>
          <w:rStyle w:val="CharSectno"/>
        </w:rPr>
        <w:t>10B</w:t>
      </w:r>
      <w:r>
        <w:t>.</w:t>
      </w:r>
      <w:r>
        <w:tab/>
        <w:t>Liability for payment of facility safety case levy</w:t>
      </w:r>
      <w:bookmarkEnd w:id="29"/>
    </w:p>
    <w:p>
      <w:pPr>
        <w:pStyle w:val="Subsection"/>
      </w:pPr>
      <w:r>
        <w:tab/>
      </w:r>
      <w:r>
        <w:tab/>
        <w:t>The person liable to pay the facility safety case levy in respect of a safety case in force for a facility is the operator of the facility.</w:t>
      </w:r>
    </w:p>
    <w:p>
      <w:pPr>
        <w:pStyle w:val="Footnotesection"/>
      </w:pPr>
      <w:r>
        <w:tab/>
        <w:t>[Section 10B inserted: No. 19 of 2012 s. 9.]</w:t>
      </w:r>
    </w:p>
    <w:p>
      <w:pPr>
        <w:pStyle w:val="Heading5"/>
      </w:pPr>
      <w:bookmarkStart w:id="30" w:name="_Toc97632229"/>
      <w:r>
        <w:rPr>
          <w:rStyle w:val="CharSectno"/>
        </w:rPr>
        <w:t>10C</w:t>
      </w:r>
      <w:r>
        <w:t>.</w:t>
      </w:r>
      <w:r>
        <w:tab/>
        <w:t>Amount of facility safety case levy</w:t>
      </w:r>
      <w:bookmarkEnd w:id="30"/>
    </w:p>
    <w:p>
      <w:pPr>
        <w:pStyle w:val="Subsection"/>
      </w:pPr>
      <w:r>
        <w:tab/>
        <w:t>(1)</w:t>
      </w:r>
      <w:r>
        <w:tab/>
        <w:t>The amount of facility safety case levy payable is the amount that is specified in, or worked out in accordance with, the regulations.</w:t>
      </w:r>
    </w:p>
    <w:p>
      <w:pPr>
        <w:pStyle w:val="Subsection"/>
      </w:pPr>
      <w:r>
        <w:tab/>
        <w:t>(2)</w:t>
      </w:r>
      <w:r>
        <w:tab/>
        <w:t>The regulations may specify different amounts of facility safety case levy, or different means of working out amounts of facility safety case levy, for different classes of safety case.</w:t>
      </w:r>
    </w:p>
    <w:p>
      <w:pPr>
        <w:pStyle w:val="Footnotesection"/>
      </w:pPr>
      <w:r>
        <w:tab/>
        <w:t>[Section 10C inserted: No. 19 of 2012 s. 9.]</w:t>
      </w:r>
    </w:p>
    <w:p>
      <w:pPr>
        <w:pStyle w:val="Heading3"/>
      </w:pPr>
      <w:bookmarkStart w:id="31" w:name="_Toc97630260"/>
      <w:bookmarkStart w:id="32" w:name="_Toc97630310"/>
      <w:bookmarkStart w:id="33" w:name="_Toc97632230"/>
      <w:r>
        <w:rPr>
          <w:rStyle w:val="CharDivNo"/>
        </w:rPr>
        <w:lastRenderedPageBreak/>
        <w:t>Division 4</w:t>
      </w:r>
      <w:r>
        <w:t> — </w:t>
      </w:r>
      <w:r>
        <w:rPr>
          <w:rStyle w:val="CharDivText"/>
        </w:rPr>
        <w:t>Pipeline management plan levy</w:t>
      </w:r>
      <w:bookmarkEnd w:id="31"/>
      <w:bookmarkEnd w:id="32"/>
      <w:bookmarkEnd w:id="33"/>
    </w:p>
    <w:p>
      <w:pPr>
        <w:pStyle w:val="Footnoteheading"/>
        <w:keepNext/>
      </w:pPr>
      <w:r>
        <w:tab/>
        <w:t>[Heading inserted: No. 19 of 2012 s. 9.]</w:t>
      </w:r>
    </w:p>
    <w:p>
      <w:pPr>
        <w:pStyle w:val="Heading5"/>
      </w:pPr>
      <w:bookmarkStart w:id="34" w:name="_Toc97632231"/>
      <w:r>
        <w:rPr>
          <w:rStyle w:val="CharSectno"/>
        </w:rPr>
        <w:t>10D</w:t>
      </w:r>
      <w:r>
        <w:t>.</w:t>
      </w:r>
      <w:r>
        <w:tab/>
        <w:t>Pipeline management plan levy</w:t>
      </w:r>
      <w:bookmarkEnd w:id="34"/>
    </w:p>
    <w:p>
      <w:pPr>
        <w:pStyle w:val="Subsection"/>
      </w:pPr>
      <w:r>
        <w:tab/>
        <w:t>(1)</w:t>
      </w:r>
      <w:r>
        <w:tab/>
        <w:t>If, for the whole or a part of a levy period, there is a pipeline management plan in force for a pipeline, a levy is payable in respect of the pipeline management plan.</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10D inserted: No. 19 of 2012 s. 9; amended: No. 20 of 2012 s. 5.]</w:t>
      </w:r>
    </w:p>
    <w:p>
      <w:pPr>
        <w:pStyle w:val="Heading5"/>
      </w:pPr>
      <w:bookmarkStart w:id="35" w:name="_Toc97632232"/>
      <w:r>
        <w:rPr>
          <w:rStyle w:val="CharSectno"/>
        </w:rPr>
        <w:t>10E</w:t>
      </w:r>
      <w:r>
        <w:t>.</w:t>
      </w:r>
      <w:r>
        <w:tab/>
        <w:t>Liability for payment of pipeline management plan levy</w:t>
      </w:r>
      <w:bookmarkEnd w:id="35"/>
    </w:p>
    <w:p>
      <w:pPr>
        <w:pStyle w:val="Subsection"/>
      </w:pPr>
      <w:r>
        <w:tab/>
      </w:r>
      <w:r>
        <w:tab/>
        <w:t>The person liable to pay the pipeline management plan levy in respect of a pipeline management plan in force for a pipeline is the pipeline licensee for the pipeline.</w:t>
      </w:r>
    </w:p>
    <w:p>
      <w:pPr>
        <w:pStyle w:val="Footnotesection"/>
      </w:pPr>
      <w:r>
        <w:tab/>
        <w:t>[Section 10E inserted: No. 19 of 2012 s. 9.]</w:t>
      </w:r>
    </w:p>
    <w:p>
      <w:pPr>
        <w:pStyle w:val="Heading5"/>
      </w:pPr>
      <w:bookmarkStart w:id="36" w:name="_Toc97632233"/>
      <w:r>
        <w:rPr>
          <w:rStyle w:val="CharSectno"/>
        </w:rPr>
        <w:t>10F</w:t>
      </w:r>
      <w:r>
        <w:t>.</w:t>
      </w:r>
      <w:r>
        <w:tab/>
        <w:t>Amount of pipeline management plan levy</w:t>
      </w:r>
      <w:bookmarkEnd w:id="36"/>
    </w:p>
    <w:p>
      <w:pPr>
        <w:pStyle w:val="Subsection"/>
      </w:pPr>
      <w:r>
        <w:tab/>
        <w:t>(1)</w:t>
      </w:r>
      <w:r>
        <w:tab/>
        <w:t>The amount of pipeline management plan levy payable is the amount that is specified in, or worked out in accordance with, the regulations.</w:t>
      </w:r>
    </w:p>
    <w:p>
      <w:pPr>
        <w:pStyle w:val="Subsection"/>
      </w:pPr>
      <w:r>
        <w:tab/>
        <w:t>(2)</w:t>
      </w:r>
      <w:r>
        <w:tab/>
        <w:t>The regulations may specify different amounts of pipeline management plan levy, or different means of working out amounts of pipeline management plan levy, for different classes of pipeline management plan.</w:t>
      </w:r>
    </w:p>
    <w:p>
      <w:pPr>
        <w:pStyle w:val="Footnotesection"/>
      </w:pPr>
      <w:r>
        <w:tab/>
        <w:t>[Section 10F inserted: No. 19 of 2012 s. 9.]</w:t>
      </w:r>
    </w:p>
    <w:p>
      <w:pPr>
        <w:pStyle w:val="Heading3"/>
      </w:pPr>
      <w:bookmarkStart w:id="37" w:name="_Toc97630264"/>
      <w:bookmarkStart w:id="38" w:name="_Toc97630314"/>
      <w:bookmarkStart w:id="39" w:name="_Toc97632234"/>
      <w:r>
        <w:rPr>
          <w:rStyle w:val="CharDivNo"/>
        </w:rPr>
        <w:lastRenderedPageBreak/>
        <w:t>Division 5</w:t>
      </w:r>
      <w:r>
        <w:t> — </w:t>
      </w:r>
      <w:r>
        <w:rPr>
          <w:rStyle w:val="CharDivText"/>
        </w:rPr>
        <w:t>DSMS levy</w:t>
      </w:r>
      <w:bookmarkEnd w:id="37"/>
      <w:bookmarkEnd w:id="38"/>
      <w:bookmarkEnd w:id="39"/>
    </w:p>
    <w:p>
      <w:pPr>
        <w:pStyle w:val="Footnoteheading"/>
        <w:keepNext/>
      </w:pPr>
      <w:r>
        <w:tab/>
        <w:t>[Heading inserted: No. 19 of 2012 s. 9.]</w:t>
      </w:r>
    </w:p>
    <w:p>
      <w:pPr>
        <w:pStyle w:val="Heading5"/>
      </w:pPr>
      <w:bookmarkStart w:id="40" w:name="_Toc97632235"/>
      <w:r>
        <w:rPr>
          <w:rStyle w:val="CharSectno"/>
        </w:rPr>
        <w:t>10G</w:t>
      </w:r>
      <w:r>
        <w:t>.</w:t>
      </w:r>
      <w:r>
        <w:tab/>
        <w:t>DSMS levy</w:t>
      </w:r>
      <w:bookmarkEnd w:id="40"/>
    </w:p>
    <w:p>
      <w:pPr>
        <w:pStyle w:val="Subsection"/>
      </w:pPr>
      <w:r>
        <w:tab/>
        <w:t>(1)</w:t>
      </w:r>
      <w:r>
        <w:tab/>
        <w:t>If, for the whole or a part of a levy period, there is an accepted DSMS, a levy is payable in respect of the accepted DSMS.</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10G inserted: No. 19 of 2012 s. 9; amended: No. 20 of 2012 s. 6.]</w:t>
      </w:r>
    </w:p>
    <w:p>
      <w:pPr>
        <w:pStyle w:val="Heading5"/>
      </w:pPr>
      <w:bookmarkStart w:id="41" w:name="_Toc97632236"/>
      <w:r>
        <w:rPr>
          <w:rStyle w:val="CharSectno"/>
        </w:rPr>
        <w:t>10H</w:t>
      </w:r>
      <w:r>
        <w:t>.</w:t>
      </w:r>
      <w:r>
        <w:tab/>
        <w:t>Liability for payment of DSMS levy</w:t>
      </w:r>
      <w:bookmarkEnd w:id="41"/>
    </w:p>
    <w:p>
      <w:pPr>
        <w:pStyle w:val="Subsection"/>
      </w:pPr>
      <w:r>
        <w:tab/>
      </w:r>
      <w:r>
        <w:tab/>
        <w:t>The person liable to pay the DSMS levy in respect of an accepted DSMS is the diving contractor to whom the accepted DSMS relates.</w:t>
      </w:r>
    </w:p>
    <w:p>
      <w:pPr>
        <w:pStyle w:val="Footnotesection"/>
      </w:pPr>
      <w:r>
        <w:tab/>
        <w:t>[Section 10H inserted: No. 19 of 2012 s. 9.]</w:t>
      </w:r>
    </w:p>
    <w:p>
      <w:pPr>
        <w:pStyle w:val="Heading5"/>
      </w:pPr>
      <w:bookmarkStart w:id="42" w:name="_Toc97632237"/>
      <w:r>
        <w:rPr>
          <w:rStyle w:val="CharSectno"/>
        </w:rPr>
        <w:t>10I</w:t>
      </w:r>
      <w:r>
        <w:t>.</w:t>
      </w:r>
      <w:r>
        <w:tab/>
        <w:t>Amount of DSMS levy</w:t>
      </w:r>
      <w:bookmarkEnd w:id="42"/>
    </w:p>
    <w:p>
      <w:pPr>
        <w:pStyle w:val="Subsection"/>
      </w:pPr>
      <w:r>
        <w:tab/>
        <w:t>(1)</w:t>
      </w:r>
      <w:r>
        <w:tab/>
        <w:t>The amount of DSMS levy payable is the amount that is specified in, or worked out in accordance with, the regulations.</w:t>
      </w:r>
    </w:p>
    <w:p>
      <w:pPr>
        <w:pStyle w:val="Subsection"/>
      </w:pPr>
      <w:r>
        <w:tab/>
        <w:t>(2)</w:t>
      </w:r>
      <w:r>
        <w:tab/>
        <w:t>The regulations may specify different amounts of DSMS levy, or different means of working out amounts of DSMS levy, for different classes of diving safety management system.</w:t>
      </w:r>
    </w:p>
    <w:p>
      <w:pPr>
        <w:pStyle w:val="Footnotesection"/>
      </w:pPr>
      <w:r>
        <w:tab/>
        <w:t>[Section 10I inserted: No. 19 of 2012 s. 9.]</w:t>
      </w:r>
    </w:p>
    <w:p>
      <w:pPr>
        <w:pStyle w:val="Heading2"/>
      </w:pPr>
      <w:bookmarkStart w:id="43" w:name="_Toc97630268"/>
      <w:bookmarkStart w:id="44" w:name="_Toc97630318"/>
      <w:bookmarkStart w:id="45" w:name="_Toc97632238"/>
      <w:r>
        <w:rPr>
          <w:rStyle w:val="CharPartNo"/>
        </w:rPr>
        <w:lastRenderedPageBreak/>
        <w:t>Part 3</w:t>
      </w:r>
      <w:r>
        <w:rPr>
          <w:rStyle w:val="CharDivNo"/>
        </w:rPr>
        <w:t> </w:t>
      </w:r>
      <w:r>
        <w:t>—</w:t>
      </w:r>
      <w:r>
        <w:rPr>
          <w:rStyle w:val="CharDivText"/>
        </w:rPr>
        <w:t> </w:t>
      </w:r>
      <w:r>
        <w:rPr>
          <w:rStyle w:val="CharPartText"/>
        </w:rPr>
        <w:t>Assessment and recovery of safety levies</w:t>
      </w:r>
      <w:bookmarkEnd w:id="43"/>
      <w:bookmarkEnd w:id="44"/>
      <w:bookmarkEnd w:id="45"/>
    </w:p>
    <w:p>
      <w:pPr>
        <w:pStyle w:val="Heading5"/>
      </w:pPr>
      <w:bookmarkStart w:id="46" w:name="_Toc97632239"/>
      <w:r>
        <w:rPr>
          <w:rStyle w:val="CharSectno"/>
        </w:rPr>
        <w:t>10</w:t>
      </w:r>
      <w:r>
        <w:t>.</w:t>
      </w:r>
      <w:r>
        <w:tab/>
        <w:t>Assessment of safety levy</w:t>
      </w:r>
      <w:bookmarkEnd w:id="46"/>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 xml:space="preserve">Petroleum and Geothermal Energy Resources Act 1967, </w:t>
      </w:r>
      <w:r>
        <w:t xml:space="preserve">the </w:t>
      </w:r>
      <w:r>
        <w:rPr>
          <w:i/>
        </w:rPr>
        <w:t>Petroleum Pipelines Act 1969</w:t>
      </w:r>
      <w:r>
        <w:t xml:space="preserve"> or the </w:t>
      </w:r>
      <w:r>
        <w:rPr>
          <w:i/>
        </w:rPr>
        <w:t>Petroleum (Submerged Lands) Act 1982</w:t>
      </w:r>
      <w:r>
        <w:t>.</w:t>
      </w:r>
    </w:p>
    <w:p>
      <w:pPr>
        <w:pStyle w:val="Subsection"/>
      </w:pPr>
      <w:r>
        <w:tab/>
        <w:t>(3)</w:t>
      </w:r>
      <w:r>
        <w:tab/>
        <w:t>Subsection (2) does not limit the material to which the CEO can have regard when making an assessment.</w:t>
      </w:r>
    </w:p>
    <w:p>
      <w:pPr>
        <w:pStyle w:val="Footnotesection"/>
      </w:pPr>
      <w:r>
        <w:tab/>
        <w:t>[Section 10 amended: No. 19 of 2012 s. 10.]</w:t>
      </w:r>
    </w:p>
    <w:p>
      <w:pPr>
        <w:pStyle w:val="Heading5"/>
      </w:pPr>
      <w:bookmarkStart w:id="47" w:name="_Toc97632240"/>
      <w:r>
        <w:rPr>
          <w:rStyle w:val="CharSectno"/>
        </w:rPr>
        <w:t>11</w:t>
      </w:r>
      <w:r>
        <w:t>.</w:t>
      </w:r>
      <w:r>
        <w:tab/>
        <w:t>Payment of safety levy</w:t>
      </w:r>
      <w:bookmarkEnd w:id="47"/>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48" w:name="_Toc97632241"/>
      <w:r>
        <w:rPr>
          <w:rStyle w:val="CharSectno"/>
        </w:rPr>
        <w:t>12</w:t>
      </w:r>
      <w:r>
        <w:t>.</w:t>
      </w:r>
      <w:r>
        <w:tab/>
        <w:t>Penalty for non</w:t>
      </w:r>
      <w:r>
        <w:noBreakHyphen/>
        <w:t>payment of safety levy</w:t>
      </w:r>
      <w:bookmarkEnd w:id="48"/>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49" w:name="_Toc97632242"/>
      <w:r>
        <w:rPr>
          <w:rStyle w:val="CharSectno"/>
        </w:rPr>
        <w:lastRenderedPageBreak/>
        <w:t>13</w:t>
      </w:r>
      <w:r>
        <w:t>.</w:t>
      </w:r>
      <w:r>
        <w:tab/>
        <w:t>Recovery of safety levy and penalty amount</w:t>
      </w:r>
      <w:bookmarkEnd w:id="49"/>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50" w:name="_Toc97630273"/>
      <w:bookmarkStart w:id="51" w:name="_Toc97630323"/>
      <w:bookmarkStart w:id="52" w:name="_Toc97632243"/>
      <w:r>
        <w:rPr>
          <w:rStyle w:val="CharPartNo"/>
        </w:rPr>
        <w:lastRenderedPageBreak/>
        <w:t>Part 4</w:t>
      </w:r>
      <w:r>
        <w:rPr>
          <w:rStyle w:val="CharDivNo"/>
        </w:rPr>
        <w:t> </w:t>
      </w:r>
      <w:r>
        <w:t>—</w:t>
      </w:r>
      <w:r>
        <w:rPr>
          <w:rStyle w:val="CharDivText"/>
        </w:rPr>
        <w:t> </w:t>
      </w:r>
      <w:r>
        <w:rPr>
          <w:rStyle w:val="CharPartText"/>
        </w:rPr>
        <w:t>Objections and review</w:t>
      </w:r>
      <w:bookmarkEnd w:id="50"/>
      <w:bookmarkEnd w:id="51"/>
      <w:bookmarkEnd w:id="52"/>
    </w:p>
    <w:p>
      <w:pPr>
        <w:pStyle w:val="Heading5"/>
      </w:pPr>
      <w:bookmarkStart w:id="53" w:name="_Toc97632244"/>
      <w:r>
        <w:rPr>
          <w:rStyle w:val="CharSectno"/>
        </w:rPr>
        <w:t>14</w:t>
      </w:r>
      <w:r>
        <w:t>.</w:t>
      </w:r>
      <w:r>
        <w:tab/>
        <w:t>Objection</w:t>
      </w:r>
      <w:bookmarkEnd w:id="53"/>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54" w:name="_Toc97632245"/>
      <w:r>
        <w:rPr>
          <w:rStyle w:val="CharSectno"/>
        </w:rPr>
        <w:t>15</w:t>
      </w:r>
      <w:r>
        <w:t>.</w:t>
      </w:r>
      <w:r>
        <w:tab/>
        <w:t>Determination of objection</w:t>
      </w:r>
      <w:bookmarkEnd w:id="54"/>
    </w:p>
    <w:p>
      <w:pPr>
        <w:pStyle w:val="Subsection"/>
      </w:pPr>
      <w:r>
        <w:tab/>
      </w:r>
      <w:r>
        <w:tab/>
        <w:t>The CEO must consider and make a decision on an objection in accordance with the regulations.</w:t>
      </w:r>
    </w:p>
    <w:p>
      <w:pPr>
        <w:pStyle w:val="Heading5"/>
      </w:pPr>
      <w:bookmarkStart w:id="55" w:name="_Toc97632246"/>
      <w:r>
        <w:rPr>
          <w:rStyle w:val="CharSectno"/>
        </w:rPr>
        <w:t>16</w:t>
      </w:r>
      <w:r>
        <w:t>.</w:t>
      </w:r>
      <w:r>
        <w:tab/>
        <w:t>Review of decision on objection</w:t>
      </w:r>
      <w:bookmarkEnd w:id="55"/>
    </w:p>
    <w:p>
      <w:pPr>
        <w:pStyle w:val="Subsection"/>
      </w:pPr>
      <w:r>
        <w:tab/>
      </w:r>
      <w:r>
        <w:tab/>
        <w:t>A person who is dissatisfied with a decision of the CEO on an objection may apply to the State Administrative Tribunal for a review of the decision.</w:t>
      </w:r>
    </w:p>
    <w:p>
      <w:pPr>
        <w:pStyle w:val="Heading5"/>
      </w:pPr>
      <w:bookmarkStart w:id="56" w:name="_Toc97632247"/>
      <w:r>
        <w:rPr>
          <w:rStyle w:val="CharSectno"/>
        </w:rPr>
        <w:t>17</w:t>
      </w:r>
      <w:r>
        <w:t>.</w:t>
      </w:r>
      <w:r>
        <w:tab/>
        <w:t>Liability to pay not affected by objection</w:t>
      </w:r>
      <w:bookmarkEnd w:id="56"/>
    </w:p>
    <w:p>
      <w:pPr>
        <w:pStyle w:val="Subsection"/>
      </w:pPr>
      <w:r>
        <w:tab/>
      </w:r>
      <w:r>
        <w:tab/>
        <w:t>A person’s liability to pay an amount of safety levy, or a penalty amount, is not affected by the making of an objection.</w:t>
      </w:r>
    </w:p>
    <w:p>
      <w:pPr>
        <w:pStyle w:val="Heading2"/>
      </w:pPr>
      <w:bookmarkStart w:id="57" w:name="_Toc97630278"/>
      <w:bookmarkStart w:id="58" w:name="_Toc97630328"/>
      <w:bookmarkStart w:id="59" w:name="_Toc97632248"/>
      <w:r>
        <w:rPr>
          <w:rStyle w:val="CharPartNo"/>
        </w:rPr>
        <w:lastRenderedPageBreak/>
        <w:t>Part 5</w:t>
      </w:r>
      <w:r>
        <w:rPr>
          <w:rStyle w:val="CharDivNo"/>
        </w:rPr>
        <w:t> </w:t>
      </w:r>
      <w:r>
        <w:t>—</w:t>
      </w:r>
      <w:r>
        <w:rPr>
          <w:rStyle w:val="CharDivText"/>
        </w:rPr>
        <w:t> </w:t>
      </w:r>
      <w:r>
        <w:rPr>
          <w:rStyle w:val="CharPartText"/>
        </w:rPr>
        <w:t>Information and records</w:t>
      </w:r>
      <w:bookmarkEnd w:id="57"/>
      <w:bookmarkEnd w:id="58"/>
      <w:bookmarkEnd w:id="59"/>
    </w:p>
    <w:p>
      <w:pPr>
        <w:pStyle w:val="Heading5"/>
      </w:pPr>
      <w:bookmarkStart w:id="60" w:name="_Toc97632249"/>
      <w:r>
        <w:rPr>
          <w:rStyle w:val="CharSectno"/>
        </w:rPr>
        <w:t>18</w:t>
      </w:r>
      <w:r>
        <w:t>.</w:t>
      </w:r>
      <w:r>
        <w:tab/>
        <w:t>CEO may require information and records</w:t>
      </w:r>
      <w:bookmarkEnd w:id="60"/>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lastRenderedPageBreak/>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61" w:name="_Toc97632250"/>
      <w:r>
        <w:rPr>
          <w:rStyle w:val="CharSectno"/>
        </w:rPr>
        <w:t>19</w:t>
      </w:r>
      <w:r>
        <w:t>.</w:t>
      </w:r>
      <w:r>
        <w:tab/>
        <w:t>Incriminating information</w:t>
      </w:r>
      <w:bookmarkEnd w:id="61"/>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62" w:name="_Toc97632251"/>
      <w:r>
        <w:rPr>
          <w:rStyle w:val="CharSectno"/>
        </w:rPr>
        <w:t>20</w:t>
      </w:r>
      <w:r>
        <w:t>.</w:t>
      </w:r>
      <w:r>
        <w:tab/>
        <w:t>False or misleading information</w:t>
      </w:r>
      <w:bookmarkEnd w:id="62"/>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lastRenderedPageBreak/>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63" w:name="_Toc97630282"/>
      <w:bookmarkStart w:id="64" w:name="_Toc97630332"/>
      <w:bookmarkStart w:id="65" w:name="_Toc97632252"/>
      <w:r>
        <w:rPr>
          <w:rStyle w:val="CharPartNo"/>
        </w:rPr>
        <w:lastRenderedPageBreak/>
        <w:t>Part 6</w:t>
      </w:r>
      <w:r>
        <w:rPr>
          <w:rStyle w:val="CharDivNo"/>
        </w:rPr>
        <w:t> </w:t>
      </w:r>
      <w:r>
        <w:t>—</w:t>
      </w:r>
      <w:r>
        <w:rPr>
          <w:rStyle w:val="CharDivText"/>
        </w:rPr>
        <w:t> </w:t>
      </w:r>
      <w:r>
        <w:rPr>
          <w:rStyle w:val="CharPartText"/>
        </w:rPr>
        <w:t>Other matters</w:t>
      </w:r>
      <w:bookmarkEnd w:id="63"/>
      <w:bookmarkEnd w:id="64"/>
      <w:bookmarkEnd w:id="65"/>
    </w:p>
    <w:p>
      <w:pPr>
        <w:pStyle w:val="Heading5"/>
      </w:pPr>
      <w:bookmarkStart w:id="66" w:name="_Toc97632253"/>
      <w:r>
        <w:rPr>
          <w:rStyle w:val="CharSectno"/>
        </w:rPr>
        <w:t>21</w:t>
      </w:r>
      <w:r>
        <w:t>.</w:t>
      </w:r>
      <w:r>
        <w:tab/>
        <w:t>Petroleum and Geothermal Energy Safety Levies Account</w:t>
      </w:r>
      <w:bookmarkEnd w:id="66"/>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OSH law as defined in the </w:t>
      </w:r>
      <w:r>
        <w:rPr>
          <w:i/>
        </w:rPr>
        <w:t>Petroleum and Geothermal Energy Resources Act 1967</w:t>
      </w:r>
      <w:r>
        <w:t xml:space="preserve"> section 5(1);</w:t>
      </w:r>
    </w:p>
    <w:p>
      <w:pPr>
        <w:pStyle w:val="Indenta"/>
        <w:rPr>
          <w:i/>
        </w:rPr>
      </w:pPr>
      <w:r>
        <w:tab/>
        <w:t>(c)</w:t>
      </w:r>
      <w:r>
        <w:tab/>
        <w:t xml:space="preserve">each listed OSH law as defined in the </w:t>
      </w:r>
      <w:r>
        <w:rPr>
          <w:i/>
        </w:rPr>
        <w:t>Petroleum Pipelines Act 1969</w:t>
      </w:r>
      <w:r>
        <w:t xml:space="preserve"> section 4(1);</w:t>
      </w:r>
    </w:p>
    <w:p>
      <w:pPr>
        <w:pStyle w:val="Indenta"/>
      </w:pPr>
      <w:r>
        <w:tab/>
        <w:t>(d)</w:t>
      </w:r>
      <w:r>
        <w:tab/>
        <w:t xml:space="preserve">each listed OSH law as defined in the </w:t>
      </w:r>
      <w:r>
        <w:rPr>
          <w:i/>
        </w:rPr>
        <w:t>Petroleum (Submerged Lands) Act 1982</w:t>
      </w:r>
      <w:r>
        <w:t xml:space="preserve"> section 4.</w:t>
      </w:r>
    </w:p>
    <w:p>
      <w:pPr>
        <w:pStyle w:val="Footnotesection"/>
      </w:pPr>
      <w:r>
        <w:tab/>
        <w:t>[Section 21 amended: No. 19 of 2012 s. 11.]</w:t>
      </w:r>
    </w:p>
    <w:p>
      <w:pPr>
        <w:pStyle w:val="Heading5"/>
      </w:pPr>
      <w:bookmarkStart w:id="67" w:name="_Toc97632254"/>
      <w:r>
        <w:rPr>
          <w:rStyle w:val="CharSectno"/>
        </w:rPr>
        <w:t>22</w:t>
      </w:r>
      <w:r>
        <w:t>.</w:t>
      </w:r>
      <w:r>
        <w:tab/>
        <w:t>Delegation</w:t>
      </w:r>
      <w:bookmarkEnd w:id="67"/>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 xml:space="preserve">A person exercising or performing a power or duty that has been delegated to the person under this section is to be taken to do so </w:t>
      </w:r>
      <w:r>
        <w:lastRenderedPageBreak/>
        <w:t>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68" w:name="_Toc97632255"/>
      <w:r>
        <w:rPr>
          <w:rStyle w:val="CharSectno"/>
        </w:rPr>
        <w:t>23</w:t>
      </w:r>
      <w:r>
        <w:t>.</w:t>
      </w:r>
      <w:r>
        <w:tab/>
        <w:t>Confidentiality</w:t>
      </w:r>
      <w:bookmarkEnd w:id="68"/>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69" w:name="_Toc97632256"/>
      <w:r>
        <w:rPr>
          <w:rStyle w:val="CharSectno"/>
        </w:rPr>
        <w:t>24</w:t>
      </w:r>
      <w:r>
        <w:t>.</w:t>
      </w:r>
      <w:r>
        <w:tab/>
        <w:t>Protection from liability</w:t>
      </w:r>
      <w:bookmarkEnd w:id="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lastRenderedPageBreak/>
        <w:tab/>
        <w:t>(4)</w:t>
      </w:r>
      <w:r>
        <w:tab/>
        <w:t>In this section a reference to the doing of anything includes a reference to the omission to do anything.</w:t>
      </w:r>
    </w:p>
    <w:p>
      <w:pPr>
        <w:pStyle w:val="Heading5"/>
      </w:pPr>
      <w:bookmarkStart w:id="70" w:name="_Toc97632257"/>
      <w:r>
        <w:rPr>
          <w:rStyle w:val="CharSectno"/>
        </w:rPr>
        <w:t>25</w:t>
      </w:r>
      <w:r>
        <w:t>.</w:t>
      </w:r>
      <w:r>
        <w:tab/>
        <w:t>Evidentiary value of assessment notice</w:t>
      </w:r>
      <w:bookmarkEnd w:id="70"/>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71" w:name="_Toc97632258"/>
      <w:r>
        <w:rPr>
          <w:rStyle w:val="CharSectno"/>
        </w:rPr>
        <w:t>26</w:t>
      </w:r>
      <w:r>
        <w:t>.</w:t>
      </w:r>
      <w:r>
        <w:tab/>
        <w:t>Regulations</w:t>
      </w:r>
      <w:bookmarkEnd w:id="71"/>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 safety cases, pipeline management plans and diving safety management systems; and</w:t>
      </w:r>
    </w:p>
    <w:p>
      <w:pPr>
        <w:pStyle w:val="Indenta"/>
      </w:pPr>
      <w:r>
        <w:tab/>
        <w:t>(c)</w:t>
      </w:r>
      <w:r>
        <w:tab/>
        <w:t xml:space="preserve">without limiting paragraph (b), authorise or require the CEO to determine the classification of a safety management system, safety case, pipeline management plan or diving safety management system for the purposes of assessing the amount of safety levy payable in respect of the safety management system, safety case, </w:t>
      </w:r>
      <w:r>
        <w:lastRenderedPageBreak/>
        <w:t>pipeline management plan or diving safety management system, as the case requires;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pStyle w:val="Footnotesection"/>
      </w:pPr>
      <w:r>
        <w:tab/>
        <w:t>[Section 26 amended: No. 19 of 2012 s. 12.]</w:t>
      </w:r>
    </w:p>
    <w:p>
      <w:pPr>
        <w:sectPr>
          <w:headerReference w:type="even" r:id="rId20"/>
          <w:headerReference w:type="default" r:id="rId21"/>
          <w:headerReference w:type="first" r:id="rId22"/>
          <w:pgSz w:w="11907" w:h="16840" w:code="9"/>
          <w:pgMar w:top="2376" w:right="2404" w:bottom="3544" w:left="2404" w:header="720" w:footer="3379" w:gutter="0"/>
          <w:pgNumType w:start="1"/>
          <w:cols w:space="720"/>
          <w:noEndnote/>
          <w:titlePg/>
          <w:docGrid w:linePitch="326"/>
        </w:sectPr>
      </w:pPr>
    </w:p>
    <w:p>
      <w:pPr>
        <w:pStyle w:val="nHeading2"/>
      </w:pPr>
      <w:bookmarkStart w:id="72" w:name="_Toc97630289"/>
      <w:bookmarkStart w:id="73" w:name="_Toc97630339"/>
      <w:bookmarkStart w:id="74" w:name="_Toc97632259"/>
      <w:r>
        <w:lastRenderedPageBreak/>
        <w:t>Notes</w:t>
      </w:r>
      <w:bookmarkEnd w:id="72"/>
      <w:bookmarkEnd w:id="73"/>
      <w:bookmarkEnd w:id="74"/>
    </w:p>
    <w:p>
      <w:pPr>
        <w:pStyle w:val="nStatement"/>
      </w:pPr>
      <w:r>
        <w:t xml:space="preserve">This is a compilation of the </w:t>
      </w:r>
      <w:r>
        <w:rPr>
          <w:i/>
          <w:noProof/>
        </w:rPr>
        <w:t>Petroleum and Geothermal Energy Safety Levies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5" w:name="_Toc97632260"/>
      <w:r>
        <w:t>Compilation table</w:t>
      </w:r>
      <w:bookmarkEnd w:id="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247"/>
        <w:gridCol w:w="2552"/>
      </w:tblGrid>
      <w:tr>
        <w:trPr>
          <w:tblHeader/>
        </w:trPr>
        <w:tc>
          <w:tcPr>
            <w:tcW w:w="2268" w:type="dxa"/>
          </w:tcPr>
          <w:p>
            <w:pPr>
              <w:pStyle w:val="nTable"/>
              <w:spacing w:after="40"/>
              <w:rPr>
                <w:b/>
              </w:rPr>
            </w:pPr>
            <w:r>
              <w:rPr>
                <w:b/>
              </w:rPr>
              <w:t>Short title</w:t>
            </w:r>
          </w:p>
        </w:tc>
        <w:tc>
          <w:tcPr>
            <w:tcW w:w="1021" w:type="dxa"/>
          </w:tcPr>
          <w:p>
            <w:pPr>
              <w:pStyle w:val="nTable"/>
              <w:spacing w:after="40"/>
              <w:rPr>
                <w:b/>
              </w:rPr>
            </w:pPr>
            <w:r>
              <w:rPr>
                <w:b/>
              </w:rPr>
              <w:t>Number and year</w:t>
            </w:r>
          </w:p>
        </w:tc>
        <w:tc>
          <w:tcPr>
            <w:tcW w:w="1247"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Petroleum and Geothermal Energy Safety Levies Act 2011</w:t>
            </w:r>
          </w:p>
        </w:tc>
        <w:tc>
          <w:tcPr>
            <w:tcW w:w="1021" w:type="dxa"/>
            <w:tcBorders>
              <w:bottom w:val="nil"/>
            </w:tcBorders>
          </w:tcPr>
          <w:p>
            <w:pPr>
              <w:pStyle w:val="nTable"/>
              <w:spacing w:after="40"/>
            </w:pPr>
            <w:r>
              <w:t>50 of 2011</w:t>
            </w:r>
          </w:p>
        </w:tc>
        <w:tc>
          <w:tcPr>
            <w:tcW w:w="1247" w:type="dxa"/>
            <w:tcBorders>
              <w:bottom w:val="nil"/>
            </w:tcBorders>
          </w:tcPr>
          <w:p>
            <w:pPr>
              <w:pStyle w:val="nTable"/>
              <w:spacing w:after="40"/>
            </w:pPr>
            <w:r>
              <w:t>11 Nov 2011</w:t>
            </w:r>
          </w:p>
        </w:tc>
        <w:tc>
          <w:tcPr>
            <w:tcW w:w="2552" w:type="dxa"/>
            <w:tcBorders>
              <w:bottom w:val="nil"/>
            </w:tcBorders>
          </w:tcPr>
          <w:p>
            <w:pPr>
              <w:pStyle w:val="nTable"/>
              <w:spacing w:after="40"/>
            </w:pPr>
            <w:r>
              <w:t>s. 1 and 2: 11 Nov 2011 (see s. 2(a));</w:t>
            </w:r>
            <w:r>
              <w:br/>
              <w:t xml:space="preserve">Act other than s. 1 and 2: 1 Jan 2012 (see s. 2(b)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2011</w:t>
            </w:r>
          </w:p>
        </w:tc>
        <w:tc>
          <w:tcPr>
            <w:tcW w:w="1021" w:type="dxa"/>
            <w:tcBorders>
              <w:top w:val="nil"/>
              <w:bottom w:val="nil"/>
            </w:tcBorders>
          </w:tcPr>
          <w:p>
            <w:pPr>
              <w:pStyle w:val="nTable"/>
              <w:spacing w:after="40"/>
            </w:pPr>
            <w:r>
              <w:t>51 of 2011</w:t>
            </w:r>
          </w:p>
        </w:tc>
        <w:tc>
          <w:tcPr>
            <w:tcW w:w="1247" w:type="dxa"/>
            <w:tcBorders>
              <w:top w:val="nil"/>
              <w:bottom w:val="nil"/>
            </w:tcBorders>
          </w:tcPr>
          <w:p>
            <w:pPr>
              <w:pStyle w:val="nTable"/>
              <w:spacing w:after="40"/>
            </w:pPr>
            <w:r>
              <w:t>11 Nov 2011</w:t>
            </w:r>
          </w:p>
        </w:tc>
        <w:tc>
          <w:tcPr>
            <w:tcW w:w="2552" w:type="dxa"/>
            <w:tcBorders>
              <w:top w:val="nil"/>
              <w:bottom w:val="nil"/>
            </w:tcBorders>
          </w:tcPr>
          <w:p>
            <w:pPr>
              <w:pStyle w:val="nTable"/>
              <w:spacing w:after="40"/>
            </w:pPr>
            <w:r>
              <w:t>s. 1 and 2: 11 Nov 2011 (see s. 2(a));</w:t>
            </w:r>
            <w:r>
              <w:br/>
              <w:t>s. 3</w:t>
            </w:r>
            <w:r>
              <w:noBreakHyphen/>
              <w:t>5: 1 Jan 2012 (see s. 2(b)</w:t>
            </w:r>
            <w:r>
              <w:noBreakHyphen/>
              <w:t xml:space="preserve">(d) and </w:t>
            </w:r>
            <w:r>
              <w:rPr>
                <w:i/>
              </w:rPr>
              <w:t>Gazette</w:t>
            </w:r>
            <w:r>
              <w:t xml:space="preserve"> 30 Dec 2011 p. 5573)</w:t>
            </w:r>
          </w:p>
        </w:tc>
      </w:tr>
      <w:tr>
        <w:tc>
          <w:tcPr>
            <w:tcW w:w="2268" w:type="dxa"/>
            <w:tcBorders>
              <w:top w:val="nil"/>
              <w:bottom w:val="nil"/>
            </w:tcBorders>
          </w:tcPr>
          <w:p>
            <w:pPr>
              <w:pStyle w:val="nTable"/>
              <w:spacing w:after="40"/>
              <w:rPr>
                <w:i/>
                <w:noProof/>
                <w:snapToGrid w:val="0"/>
              </w:rPr>
            </w:pPr>
            <w:r>
              <w:rPr>
                <w:i/>
                <w:noProof/>
                <w:snapToGrid w:val="0"/>
              </w:rPr>
              <w:t>Petroleum and Geothermal Energy Safety Levies Amendment Act 2012</w:t>
            </w:r>
          </w:p>
        </w:tc>
        <w:tc>
          <w:tcPr>
            <w:tcW w:w="1021" w:type="dxa"/>
            <w:tcBorders>
              <w:top w:val="nil"/>
              <w:bottom w:val="nil"/>
            </w:tcBorders>
          </w:tcPr>
          <w:p>
            <w:pPr>
              <w:pStyle w:val="nTable"/>
              <w:spacing w:after="40"/>
            </w:pPr>
            <w:r>
              <w:rPr>
                <w:snapToGrid w:val="0"/>
              </w:rPr>
              <w:t>19 of 2012</w:t>
            </w:r>
          </w:p>
        </w:tc>
        <w:tc>
          <w:tcPr>
            <w:tcW w:w="1247" w:type="dxa"/>
            <w:tcBorders>
              <w:top w:val="nil"/>
              <w:bottom w:val="nil"/>
            </w:tcBorders>
          </w:tcPr>
          <w:p>
            <w:pPr>
              <w:pStyle w:val="nTable"/>
              <w:spacing w:after="40"/>
            </w:pPr>
            <w:r>
              <w:t>3 Jul 2012</w:t>
            </w:r>
          </w:p>
        </w:tc>
        <w:tc>
          <w:tcPr>
            <w:tcW w:w="2552" w:type="dxa"/>
            <w:tcBorders>
              <w:top w:val="nil"/>
              <w:bottom w:val="nil"/>
            </w:tcBorders>
          </w:tcPr>
          <w:p>
            <w:pPr>
              <w:pStyle w:val="nTable"/>
              <w:spacing w:after="40"/>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r>
        <w:tc>
          <w:tcPr>
            <w:tcW w:w="2268" w:type="dxa"/>
            <w:tcBorders>
              <w:top w:val="nil"/>
              <w:bottom w:val="single" w:sz="4" w:space="0" w:color="auto"/>
              <w:right w:val="nil"/>
            </w:tcBorders>
          </w:tcPr>
          <w:p>
            <w:pPr>
              <w:pStyle w:val="nTable"/>
              <w:spacing w:after="40"/>
              <w:rPr>
                <w:i/>
                <w:noProof/>
                <w:snapToGrid w:val="0"/>
              </w:rPr>
            </w:pPr>
            <w:r>
              <w:rPr>
                <w:i/>
                <w:noProof/>
                <w:snapToGrid w:val="0"/>
              </w:rPr>
              <w:t>Petroleum and Geothermal Energy Safety Levies Amendment Act (No. 2) 2012</w:t>
            </w:r>
          </w:p>
        </w:tc>
        <w:tc>
          <w:tcPr>
            <w:tcW w:w="1021" w:type="dxa"/>
            <w:tcBorders>
              <w:top w:val="nil"/>
              <w:left w:val="nil"/>
              <w:bottom w:val="single" w:sz="4" w:space="0" w:color="auto"/>
              <w:right w:val="nil"/>
            </w:tcBorders>
          </w:tcPr>
          <w:p>
            <w:pPr>
              <w:pStyle w:val="nTable"/>
              <w:spacing w:after="40"/>
              <w:rPr>
                <w:snapToGrid w:val="0"/>
              </w:rPr>
            </w:pPr>
            <w:r>
              <w:rPr>
                <w:snapToGrid w:val="0"/>
              </w:rPr>
              <w:t>20 of 2012</w:t>
            </w:r>
          </w:p>
        </w:tc>
        <w:tc>
          <w:tcPr>
            <w:tcW w:w="1247" w:type="dxa"/>
            <w:tcBorders>
              <w:top w:val="nil"/>
              <w:left w:val="nil"/>
              <w:bottom w:val="single" w:sz="4" w:space="0" w:color="auto"/>
              <w:right w:val="nil"/>
            </w:tcBorders>
          </w:tcPr>
          <w:p>
            <w:pPr>
              <w:pStyle w:val="nTable"/>
              <w:spacing w:after="40"/>
            </w:pPr>
            <w:r>
              <w:t>3 Jul 2012</w:t>
            </w:r>
          </w:p>
        </w:tc>
        <w:tc>
          <w:tcPr>
            <w:tcW w:w="2552" w:type="dxa"/>
            <w:tcBorders>
              <w:top w:val="nil"/>
              <w:left w:val="nil"/>
              <w:bottom w:val="single" w:sz="4" w:space="0" w:color="auto"/>
            </w:tcBorders>
          </w:tcPr>
          <w:p>
            <w:pPr>
              <w:pStyle w:val="nTable"/>
              <w:spacing w:after="40"/>
              <w:rPr>
                <w:snapToGrid w:val="0"/>
              </w:rPr>
            </w:pPr>
            <w:r>
              <w:rPr>
                <w:snapToGrid w:val="0"/>
              </w:rPr>
              <w:t>s. 1 and 2: 3 Jul 2012 (see s. 2(a));</w:t>
            </w:r>
            <w:r>
              <w:rPr>
                <w:snapToGrid w:val="0"/>
              </w:rPr>
              <w:br/>
              <w:t xml:space="preserve">Act other than s. 1 and 2: 1 Oct 2012 (see s. 2(b) and </w:t>
            </w:r>
            <w:r>
              <w:rPr>
                <w:i/>
                <w:snapToGrid w:val="0"/>
              </w:rPr>
              <w:t>Gazette</w:t>
            </w:r>
            <w:r>
              <w:rPr>
                <w:snapToGrid w:val="0"/>
              </w:rPr>
              <w:t xml:space="preserve"> 28 Sep 2012 p. 4647)</w:t>
            </w:r>
          </w:p>
        </w:tc>
      </w:tr>
    </w:tbl>
    <w:p>
      <w:pPr>
        <w:pStyle w:val="nHeading3"/>
      </w:pPr>
      <w:bookmarkStart w:id="76" w:name="_Toc97632261"/>
      <w:r>
        <w:lastRenderedPageBreak/>
        <w:t>Uncommenced provisions table</w:t>
      </w:r>
      <w:bookmarkEnd w:id="7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247"/>
        <w:gridCol w:w="2552"/>
      </w:tblGrid>
      <w:tr>
        <w:trPr>
          <w:tblHeader/>
        </w:trPr>
        <w:tc>
          <w:tcPr>
            <w:tcW w:w="2268" w:type="dxa"/>
          </w:tcPr>
          <w:p>
            <w:pPr>
              <w:pStyle w:val="nTable"/>
              <w:keepNext/>
              <w:spacing w:after="40"/>
              <w:rPr>
                <w:b/>
              </w:rPr>
            </w:pPr>
            <w:r>
              <w:rPr>
                <w:b/>
              </w:rPr>
              <w:t>Short title</w:t>
            </w:r>
          </w:p>
        </w:tc>
        <w:tc>
          <w:tcPr>
            <w:tcW w:w="1021" w:type="dxa"/>
          </w:tcPr>
          <w:p>
            <w:pPr>
              <w:pStyle w:val="nTable"/>
              <w:keepNext/>
              <w:spacing w:after="40"/>
              <w:rPr>
                <w:b/>
              </w:rPr>
            </w:pPr>
            <w:r>
              <w:rPr>
                <w:b/>
              </w:rPr>
              <w:t>Number and year</w:t>
            </w:r>
          </w:p>
        </w:tc>
        <w:tc>
          <w:tcPr>
            <w:tcW w:w="1247"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tblHeader/>
        </w:trPr>
        <w:tc>
          <w:tcPr>
            <w:tcW w:w="2268" w:type="dxa"/>
            <w:tcBorders>
              <w:bottom w:val="nil"/>
            </w:tcBorders>
          </w:tcPr>
          <w:p>
            <w:pPr>
              <w:pStyle w:val="nTable"/>
              <w:keepNext/>
              <w:spacing w:after="40"/>
              <w:rPr>
                <w:b/>
              </w:rPr>
            </w:pPr>
            <w:r>
              <w:rPr>
                <w:i/>
              </w:rPr>
              <w:t>Work Health and Safety Act 2020</w:t>
            </w:r>
            <w:r>
              <w:t xml:space="preserve"> Pt. 15 Div. 3 Subdiv. 2</w:t>
            </w:r>
          </w:p>
        </w:tc>
        <w:tc>
          <w:tcPr>
            <w:tcW w:w="1021" w:type="dxa"/>
            <w:tcBorders>
              <w:bottom w:val="nil"/>
            </w:tcBorders>
          </w:tcPr>
          <w:p>
            <w:pPr>
              <w:pStyle w:val="nTable"/>
              <w:keepNext/>
              <w:spacing w:after="40"/>
              <w:rPr>
                <w:b/>
              </w:rPr>
            </w:pPr>
            <w:r>
              <w:t>36 of 2020</w:t>
            </w:r>
          </w:p>
        </w:tc>
        <w:tc>
          <w:tcPr>
            <w:tcW w:w="1247" w:type="dxa"/>
            <w:tcBorders>
              <w:bottom w:val="nil"/>
            </w:tcBorders>
          </w:tcPr>
          <w:p>
            <w:pPr>
              <w:pStyle w:val="nTable"/>
              <w:keepNext/>
              <w:spacing w:after="40"/>
              <w:rPr>
                <w:b/>
              </w:rPr>
            </w:pPr>
            <w:r>
              <w:t>10 Nov 2020</w:t>
            </w:r>
          </w:p>
        </w:tc>
        <w:tc>
          <w:tcPr>
            <w:tcW w:w="2552" w:type="dxa"/>
            <w:tcBorders>
              <w:bottom w:val="nil"/>
            </w:tcBorders>
          </w:tcPr>
          <w:p>
            <w:pPr>
              <w:pStyle w:val="nTable"/>
              <w:keepNext/>
              <w:spacing w:after="40"/>
              <w:rPr>
                <w:b/>
              </w:rPr>
            </w:pPr>
            <w:r>
              <w:rPr>
                <w:snapToGrid w:val="0"/>
              </w:rPr>
              <w:t>31 Mar 2022 (see s. 2(1)(c) and SL 2022/18 cl. 2)</w:t>
            </w:r>
          </w:p>
        </w:tc>
      </w:tr>
      <w:tr>
        <w:tc>
          <w:tcPr>
            <w:tcW w:w="2268" w:type="dxa"/>
            <w:tcBorders>
              <w:top w:val="nil"/>
            </w:tcBorders>
          </w:tcPr>
          <w:p>
            <w:pPr>
              <w:pStyle w:val="nTable"/>
              <w:keepNext/>
              <w:spacing w:after="40"/>
            </w:pPr>
            <w:r>
              <w:rPr>
                <w:i/>
              </w:rPr>
              <w:t>Safety Levies Amendment Act 2020</w:t>
            </w:r>
            <w:r>
              <w:t xml:space="preserve"> Pt. 3</w:t>
            </w:r>
          </w:p>
        </w:tc>
        <w:tc>
          <w:tcPr>
            <w:tcW w:w="1021" w:type="dxa"/>
            <w:tcBorders>
              <w:top w:val="nil"/>
            </w:tcBorders>
          </w:tcPr>
          <w:p>
            <w:pPr>
              <w:pStyle w:val="nTable"/>
              <w:keepNext/>
              <w:spacing w:after="40"/>
            </w:pPr>
            <w:r>
              <w:t>37 of 2020</w:t>
            </w:r>
          </w:p>
        </w:tc>
        <w:tc>
          <w:tcPr>
            <w:tcW w:w="1247" w:type="dxa"/>
            <w:tcBorders>
              <w:top w:val="nil"/>
            </w:tcBorders>
          </w:tcPr>
          <w:p>
            <w:pPr>
              <w:pStyle w:val="nTable"/>
              <w:keepNext/>
              <w:spacing w:after="40"/>
            </w:pPr>
            <w:r>
              <w:t>10 Nov 2020</w:t>
            </w:r>
          </w:p>
        </w:tc>
        <w:tc>
          <w:tcPr>
            <w:tcW w:w="2552" w:type="dxa"/>
            <w:tcBorders>
              <w:top w:val="nil"/>
            </w:tcBorders>
          </w:tcPr>
          <w:p>
            <w:pPr>
              <w:pStyle w:val="nTable"/>
              <w:keepNext/>
              <w:spacing w:after="40"/>
            </w:pPr>
            <w:r>
              <w:rPr>
                <w:snapToGrid w:val="0"/>
              </w:rPr>
              <w:t>31 Mar 2022 (see s. 2(1)(b)</w:t>
            </w:r>
            <w:r>
              <w:t xml:space="preserve"> and SL 2022/18 cl. 2</w:t>
            </w:r>
            <w:r>
              <w:rPr>
                <w:snapToGrid w:val="0"/>
              </w:rPr>
              <w:t>)</w:t>
            </w:r>
          </w:p>
        </w:tc>
      </w:tr>
    </w:tbl>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rPr>
          <w:sz w:val="28"/>
        </w:rPr>
      </w:pPr>
      <w:bookmarkStart w:id="78" w:name="_Toc97630292"/>
      <w:bookmarkStart w:id="79" w:name="_Toc97630342"/>
      <w:bookmarkStart w:id="80" w:name="_Toc97632262"/>
      <w:r>
        <w:rPr>
          <w:sz w:val="28"/>
        </w:rPr>
        <w:lastRenderedPageBreak/>
        <w:t>Defined terms</w:t>
      </w:r>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DSMS</w:t>
      </w:r>
      <w:r>
        <w:tab/>
        <w:t>3</w:t>
      </w:r>
    </w:p>
    <w:p>
      <w:pPr>
        <w:pStyle w:val="DefinedTerms"/>
      </w:pPr>
      <w:r>
        <w:t>Account</w:t>
      </w:r>
      <w:r>
        <w:tab/>
        <w:t>21(1)</w:t>
      </w:r>
    </w:p>
    <w:p>
      <w:pPr>
        <w:pStyle w:val="DefinedTerms"/>
      </w:pPr>
      <w:r>
        <w:t>assessment</w:t>
      </w:r>
      <w:r>
        <w:tab/>
        <w:t>3</w:t>
      </w:r>
    </w:p>
    <w:p>
      <w:pPr>
        <w:pStyle w:val="DefinedTerms"/>
      </w:pPr>
      <w:r>
        <w:t>assessment notice</w:t>
      </w:r>
      <w:r>
        <w:tab/>
        <w:t>3</w:t>
      </w:r>
    </w:p>
    <w:p>
      <w:pPr>
        <w:pStyle w:val="DefinedTerms"/>
      </w:pPr>
      <w:r>
        <w:t>CEO</w:t>
      </w:r>
      <w:r>
        <w:tab/>
        <w:t>3</w:t>
      </w:r>
    </w:p>
    <w:p>
      <w:pPr>
        <w:pStyle w:val="DefinedTerms"/>
      </w:pPr>
      <w:r>
        <w:t>department</w:t>
      </w:r>
      <w:r>
        <w:tab/>
        <w:t>3</w:t>
      </w:r>
    </w:p>
    <w:p>
      <w:pPr>
        <w:pStyle w:val="DefinedTerms"/>
      </w:pPr>
      <w:r>
        <w:t>diving contractor</w:t>
      </w:r>
      <w:r>
        <w:tab/>
        <w:t>3</w:t>
      </w:r>
    </w:p>
    <w:p>
      <w:pPr>
        <w:pStyle w:val="DefinedTerms"/>
      </w:pPr>
      <w:r>
        <w:t>diving safety management system</w:t>
      </w:r>
      <w:r>
        <w:tab/>
        <w:t>3</w:t>
      </w:r>
    </w:p>
    <w:p>
      <w:pPr>
        <w:pStyle w:val="DefinedTerms"/>
      </w:pPr>
      <w:r>
        <w:t>DSMS levy</w:t>
      </w:r>
      <w:r>
        <w:tab/>
        <w:t>3</w:t>
      </w:r>
    </w:p>
    <w:p>
      <w:pPr>
        <w:pStyle w:val="DefinedTerms"/>
      </w:pPr>
      <w:r>
        <w:t>facility</w:t>
      </w:r>
      <w:r>
        <w:tab/>
        <w:t>3</w:t>
      </w:r>
    </w:p>
    <w:p>
      <w:pPr>
        <w:pStyle w:val="DefinedTerms"/>
      </w:pPr>
      <w:r>
        <w:t>facility safety case levy</w:t>
      </w:r>
      <w:r>
        <w:tab/>
        <w:t>3</w:t>
      </w:r>
    </w:p>
    <w:p>
      <w:pPr>
        <w:pStyle w:val="DefinedTerms"/>
      </w:pPr>
      <w:r>
        <w:t>geothermal energy operation</w:t>
      </w:r>
      <w:r>
        <w:tab/>
        <w:t>3</w:t>
      </w:r>
    </w:p>
    <w:p>
      <w:pPr>
        <w:pStyle w:val="DefinedTerms"/>
      </w:pPr>
      <w:r>
        <w:t>levy period</w:t>
      </w:r>
      <w:r>
        <w:tab/>
        <w:t>3</w:t>
      </w:r>
    </w:p>
    <w:p>
      <w:pPr>
        <w:pStyle w:val="DefinedTerms"/>
      </w:pPr>
      <w:r>
        <w:t>licensee</w:t>
      </w:r>
      <w:r>
        <w:tab/>
        <w:t>3</w:t>
      </w:r>
    </w:p>
    <w:p>
      <w:pPr>
        <w:pStyle w:val="DefinedTerms"/>
      </w:pPr>
      <w:r>
        <w:t>objection</w:t>
      </w:r>
      <w:r>
        <w:tab/>
        <w:t>3</w:t>
      </w:r>
    </w:p>
    <w:p>
      <w:pPr>
        <w:pStyle w:val="DefinedTerms"/>
      </w:pPr>
      <w:r>
        <w:t>operator</w:t>
      </w:r>
      <w:r>
        <w:tab/>
        <w:t>3</w:t>
      </w:r>
    </w:p>
    <w:p>
      <w:pPr>
        <w:pStyle w:val="DefinedTerms"/>
      </w:pPr>
      <w:r>
        <w:t>penalty amount</w:t>
      </w:r>
      <w:r>
        <w:tab/>
        <w:t>3</w:t>
      </w:r>
    </w:p>
    <w:p>
      <w:pPr>
        <w:pStyle w:val="DefinedTerms"/>
      </w:pPr>
      <w:r>
        <w:t>petroleum operation</w:t>
      </w:r>
      <w:r>
        <w:tab/>
        <w:t>3</w:t>
      </w:r>
    </w:p>
    <w:p>
      <w:pPr>
        <w:pStyle w:val="DefinedTerms"/>
      </w:pPr>
      <w:r>
        <w:t>PGERA regulations</w:t>
      </w:r>
      <w:r>
        <w:tab/>
        <w:t>3</w:t>
      </w:r>
    </w:p>
    <w:p>
      <w:pPr>
        <w:pStyle w:val="DefinedTerms"/>
      </w:pPr>
      <w:r>
        <w:t>pipeline</w:t>
      </w:r>
      <w:r>
        <w:tab/>
        <w:t>3</w:t>
      </w:r>
    </w:p>
    <w:p>
      <w:pPr>
        <w:pStyle w:val="DefinedTerms"/>
      </w:pPr>
      <w:r>
        <w:t>pipeline licensee</w:t>
      </w:r>
      <w:r>
        <w:tab/>
        <w:t>3</w:t>
      </w:r>
    </w:p>
    <w:p>
      <w:pPr>
        <w:pStyle w:val="DefinedTerms"/>
      </w:pPr>
      <w:r>
        <w:t>pipeline management plan</w:t>
      </w:r>
      <w:r>
        <w:tab/>
        <w:t>3</w:t>
      </w:r>
    </w:p>
    <w:p>
      <w:pPr>
        <w:pStyle w:val="DefinedTerms"/>
      </w:pPr>
      <w:r>
        <w:t>pipeline management plan in force</w:t>
      </w:r>
      <w:r>
        <w:tab/>
        <w:t>3</w:t>
      </w:r>
    </w:p>
    <w:p>
      <w:pPr>
        <w:pStyle w:val="DefinedTerms"/>
      </w:pPr>
      <w:r>
        <w:t>pipeline management plan levy</w:t>
      </w:r>
      <w:r>
        <w:tab/>
        <w:t>3</w:t>
      </w:r>
    </w:p>
    <w:p>
      <w:pPr>
        <w:pStyle w:val="DefinedTerms"/>
      </w:pPr>
      <w:r>
        <w:t>pipeline operation</w:t>
      </w:r>
      <w:r>
        <w:tab/>
        <w:t>3</w:t>
      </w:r>
    </w:p>
    <w:p>
      <w:pPr>
        <w:pStyle w:val="DefinedTerms"/>
      </w:pPr>
      <w:r>
        <w:t>pipeline safety case levy</w:t>
      </w:r>
      <w:r>
        <w:tab/>
        <w:t>3</w:t>
      </w:r>
    </w:p>
    <w:p>
      <w:pPr>
        <w:pStyle w:val="DefinedTerms"/>
      </w:pPr>
      <w:r>
        <w:t>PPA regulations</w:t>
      </w:r>
      <w:r>
        <w:tab/>
        <w:t>3</w:t>
      </w:r>
    </w:p>
    <w:p>
      <w:pPr>
        <w:pStyle w:val="DefinedTerms"/>
      </w:pPr>
      <w:r>
        <w:t>prescribed</w:t>
      </w:r>
      <w:r>
        <w:tab/>
        <w:t>3</w:t>
      </w:r>
    </w:p>
    <w:p>
      <w:pPr>
        <w:pStyle w:val="DefinedTerms"/>
      </w:pPr>
      <w:r>
        <w:t>reassessment</w:t>
      </w:r>
      <w:r>
        <w:tab/>
        <w:t>3</w:t>
      </w:r>
    </w:p>
    <w:p>
      <w:pPr>
        <w:pStyle w:val="DefinedTerms"/>
      </w:pPr>
      <w:r>
        <w:t>record</w:t>
      </w:r>
      <w:r>
        <w:tab/>
        <w:t>3</w:t>
      </w:r>
    </w:p>
    <w:p>
      <w:pPr>
        <w:pStyle w:val="DefinedTerms"/>
      </w:pPr>
      <w:r>
        <w:t>revised pipeline management plan</w:t>
      </w:r>
      <w:r>
        <w:tab/>
        <w:t>3</w:t>
      </w:r>
    </w:p>
    <w:p>
      <w:pPr>
        <w:pStyle w:val="DefinedTerms"/>
      </w:pPr>
      <w:r>
        <w:t>revised safety case</w:t>
      </w:r>
      <w:r>
        <w:tab/>
        <w:t>3</w:t>
      </w:r>
    </w:p>
    <w:p>
      <w:pPr>
        <w:pStyle w:val="DefinedTerms"/>
      </w:pPr>
      <w:r>
        <w:t>revised safety management system</w:t>
      </w:r>
      <w:r>
        <w:tab/>
        <w:t>3</w:t>
      </w:r>
    </w:p>
    <w:p>
      <w:pPr>
        <w:pStyle w:val="DefinedTerms"/>
      </w:pPr>
      <w:r>
        <w:t>safety case</w:t>
      </w:r>
      <w:r>
        <w:tab/>
        <w:t>3</w:t>
      </w:r>
    </w:p>
    <w:p>
      <w:pPr>
        <w:pStyle w:val="DefinedTerms"/>
      </w:pPr>
      <w:r>
        <w:t>safety case in force</w:t>
      </w:r>
      <w:r>
        <w:tab/>
        <w:t>3</w:t>
      </w:r>
    </w:p>
    <w:p>
      <w:pPr>
        <w:pStyle w:val="DefinedTerms"/>
      </w:pPr>
      <w:r>
        <w:t>safety levy</w:t>
      </w:r>
      <w:r>
        <w:tab/>
        <w:t>3</w:t>
      </w:r>
    </w:p>
    <w:p>
      <w:pPr>
        <w:pStyle w:val="DefinedTerms"/>
      </w:pPr>
      <w:r>
        <w:t>safety management system</w:t>
      </w:r>
      <w:r>
        <w:tab/>
        <w:t>3</w:t>
      </w:r>
    </w:p>
    <w:p>
      <w:pPr>
        <w:pStyle w:val="DefinedTerms"/>
      </w:pPr>
      <w:r>
        <w:t>safety management system in force</w:t>
      </w:r>
      <w:r>
        <w:tab/>
        <w:t>3</w:t>
      </w:r>
    </w:p>
    <w:p>
      <w:pPr>
        <w:pStyle w:val="DefinedTerms"/>
        <w:sectPr>
          <w:headerReference w:type="even" r:id="rId25"/>
          <w:headerReference w:type="default" r:id="rId26"/>
          <w:pgSz w:w="11907" w:h="16840" w:code="9"/>
          <w:pgMar w:top="2381" w:right="2409" w:bottom="3543" w:left="2409" w:header="720" w:footer="3380" w:gutter="0"/>
          <w:cols w:space="720"/>
          <w:noEndnote/>
          <w:docGrid w:linePitch="326"/>
        </w:sectPr>
      </w:pPr>
      <w:r>
        <w:t>safety management system levy</w:t>
      </w:r>
      <w:r>
        <w:tab/>
        <w:t>3</w:t>
      </w: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rPr>
        <w:jc w:val="center"/>
      </w:trP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Safety Levies Act 2011</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44"/>
    <w:docVar w:name="WAFER_20140115162159" w:val="RemoveTocBookmarks,RemoveUnusedBookmarks,RemoveLanguageTags,UsedStyles,ResetPageSize,UpdateArrangement"/>
    <w:docVar w:name="WAFER_20140115162159_GUID" w:val="558c0853-cdfe-4b88-95d0-ab95a1f94c11"/>
    <w:docVar w:name="WAFER_20140115162536" w:val="RemoveTocBookmarks,RunningHeaders"/>
    <w:docVar w:name="WAFER_20140115162536_GUID" w:val="45d96e27-82ba-4a67-83d2-1b413979234b"/>
    <w:docVar w:name="WAFER_20150709161151" w:val="ResetPageSize,UpdateArrangement,UpdateNTable"/>
    <w:docVar w:name="WAFER_20150709161151_GUID" w:val="5d6d1ce4-a87d-4695-983b-02f80f276f39"/>
    <w:docVar w:name="WAFER_20151109112415" w:val="UpdateStyles,UsedStyles"/>
    <w:docVar w:name="WAFER_20151109112415_GUID" w:val="083a23a5-6ed0-4159-ad9a-5c251908e3a3"/>
    <w:docVar w:name="WAFER_20201109145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45446_GUID" w:val="14e1b9b9-de68-42be-9301-058224f1f7d8"/>
    <w:docVar w:name="WAFER_20220308104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44_GUID" w:val="1db86573-e84f-4864-af20-30127a7e91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83AB38-BB7E-4994-ABC0-72D252A9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5184</Words>
  <Characters>24987</Characters>
  <Application>Microsoft Office Word</Application>
  <DocSecurity>0</DocSecurity>
  <Lines>757</Lines>
  <Paragraphs>538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2011 - 00-e0-01</dc:title>
  <dc:subject/>
  <dc:creator/>
  <cp:keywords/>
  <dc:description/>
  <cp:lastModifiedBy>Master Repository Process</cp:lastModifiedBy>
  <cp:revision>4</cp:revision>
  <cp:lastPrinted>2011-11-14T01:25:00Z</cp:lastPrinted>
  <dcterms:created xsi:type="dcterms:W3CDTF">2022-03-11T06:43:00Z</dcterms:created>
  <dcterms:modified xsi:type="dcterms:W3CDTF">2022-03-11T06:43:00Z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DocumentType">
    <vt:lpwstr>Act</vt:lpwstr>
  </property>
  <property fmtid="{D5CDD505-2E9C-101B-9397-08002B2CF9AE}" pid="4" name="AsAtDate">
    <vt:lpwstr>10 Nov 2020</vt:lpwstr>
  </property>
  <property fmtid="{D5CDD505-2E9C-101B-9397-08002B2CF9AE}" pid="5" name="Suffix">
    <vt:lpwstr>00-e0-01</vt:lpwstr>
  </property>
  <property fmtid="{D5CDD505-2E9C-101B-9397-08002B2CF9AE}" pid="6" name="CommencementDate">
    <vt:lpwstr>20201110</vt:lpwstr>
  </property>
</Properties>
</file>