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_Toc97625987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_Toc97625988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Schedule 1</w:t>
      </w:r>
      <w:r>
        <w:tab/>
      </w:r>
      <w:r>
        <w:fldChar w:fldCharType="begin"/>
      </w:r>
      <w:r>
        <w:instrText xml:space="preserve"> PAGEREF _Toc97625989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cases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_Toc97625992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cases</w:t>
      </w:r>
    </w:p>
    <w:p>
      <w:pPr>
        <w:pStyle w:val="TOC8"/>
        <w:rPr>
          <w:rFonts w:asciiTheme="minorHAnsi" w:eastAsiaTheme="minorEastAsia" w:hAnsiTheme="minorHAnsi" w:cstheme="minorBidi"/>
          <w:szCs w:val="22"/>
        </w:rPr>
      </w:pPr>
      <w:r>
        <w:t>5.</w:t>
      </w:r>
      <w:r>
        <w:tab/>
        <w:t>Safety case required for pipeline operation</w:t>
      </w:r>
      <w:r>
        <w:tab/>
      </w:r>
      <w:r>
        <w:fldChar w:fldCharType="begin"/>
      </w:r>
      <w:r>
        <w:instrText xml:space="preserve"> PAGEREF _Toc97625994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_Toc97625995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case</w:t>
      </w:r>
      <w:r>
        <w:tab/>
      </w:r>
      <w:r>
        <w:fldChar w:fldCharType="begin"/>
      </w:r>
      <w:r>
        <w:instrText xml:space="preserve"> PAGEREF _Toc97625996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case</w:t>
      </w:r>
      <w:r>
        <w:tab/>
      </w:r>
      <w:r>
        <w:fldChar w:fldCharType="begin"/>
      </w:r>
      <w:r>
        <w:instrText xml:space="preserve"> PAGEREF _Toc97625997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cases</w:t>
      </w:r>
      <w:r>
        <w:tab/>
      </w:r>
      <w:r>
        <w:fldChar w:fldCharType="begin"/>
      </w:r>
      <w:r>
        <w:instrText xml:space="preserve"> PAGEREF _Toc97625998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10.</w:t>
      </w:r>
      <w:r>
        <w:tab/>
        <w:t>Pipeline operation description, formal safety assessment and safety management system</w:t>
      </w:r>
      <w:r>
        <w:tab/>
      </w:r>
      <w:r>
        <w:fldChar w:fldCharType="begin"/>
      </w:r>
      <w:r>
        <w:instrText xml:space="preserve"> PAGEREF _Toc97626001 \h </w:instrText>
      </w:r>
      <w:r>
        <w:fldChar w:fldCharType="separate"/>
      </w:r>
      <w:r>
        <w:t>4</w:t>
      </w:r>
      <w:r>
        <w:fldChar w:fldCharType="end"/>
      </w:r>
    </w:p>
    <w:p>
      <w:pPr>
        <w:pStyle w:val="TOC8"/>
        <w:rPr>
          <w:rFonts w:asciiTheme="minorHAnsi" w:eastAsiaTheme="minorEastAsia" w:hAnsiTheme="minorHAnsi" w:cstheme="minorBidi"/>
          <w:szCs w:val="22"/>
        </w:rPr>
      </w:pPr>
      <w:r>
        <w:t>11.</w:t>
      </w:r>
      <w:r>
        <w:tab/>
        <w:t>Implementation and improvement of the safety management system</w:t>
      </w:r>
      <w:r>
        <w:tab/>
      </w:r>
      <w:r>
        <w:fldChar w:fldCharType="begin"/>
      </w:r>
      <w:r>
        <w:instrText xml:space="preserve"> PAGEREF _Toc97626002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12.</w:t>
      </w:r>
      <w:r>
        <w:tab/>
        <w:t>Standards to be applied</w:t>
      </w:r>
      <w:r>
        <w:tab/>
      </w:r>
      <w:r>
        <w:fldChar w:fldCharType="begin"/>
      </w:r>
      <w:r>
        <w:instrText xml:space="preserve"> PAGEREF _Toc97626004 \h </w:instrText>
      </w:r>
      <w:r>
        <w:fldChar w:fldCharType="separate"/>
      </w:r>
      <w:r>
        <w:t>7</w:t>
      </w:r>
      <w:r>
        <w:fldChar w:fldCharType="end"/>
      </w:r>
    </w:p>
    <w:p>
      <w:pPr>
        <w:pStyle w:val="TOC8"/>
        <w:rPr>
          <w:rFonts w:asciiTheme="minorHAnsi" w:eastAsiaTheme="minorEastAsia" w:hAnsiTheme="minorHAnsi" w:cstheme="minorBidi"/>
          <w:szCs w:val="22"/>
        </w:rPr>
      </w:pPr>
      <w:r>
        <w:t>13.</w:t>
      </w:r>
      <w:r>
        <w:tab/>
        <w:t>Chain of responsibility</w:t>
      </w:r>
      <w:r>
        <w:tab/>
      </w:r>
      <w:r>
        <w:fldChar w:fldCharType="begin"/>
      </w:r>
      <w:r>
        <w:instrText xml:space="preserve"> PAGEREF _Toc97626005 \h </w:instrText>
      </w:r>
      <w:r>
        <w:fldChar w:fldCharType="separate"/>
      </w:r>
      <w:r>
        <w:t>7</w:t>
      </w:r>
      <w:r>
        <w:fldChar w:fldCharType="end"/>
      </w:r>
    </w:p>
    <w:p>
      <w:pPr>
        <w:pStyle w:val="TOC8"/>
        <w:rPr>
          <w:rFonts w:asciiTheme="minorHAnsi" w:eastAsiaTheme="minorEastAsia" w:hAnsiTheme="minorHAnsi" w:cstheme="minorBidi"/>
          <w:szCs w:val="22"/>
        </w:rPr>
      </w:pPr>
      <w:r>
        <w:t>14.</w:t>
      </w:r>
      <w:r>
        <w:tab/>
        <w:t>Competence of members of the workforce</w:t>
      </w:r>
      <w:r>
        <w:tab/>
      </w:r>
      <w:r>
        <w:fldChar w:fldCharType="begin"/>
      </w:r>
      <w:r>
        <w:instrText xml:space="preserve"> PAGEREF _Toc97626006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tab/>
        <w:t>Permit to work system for safe performance of work</w:t>
      </w:r>
      <w:r>
        <w:tab/>
      </w:r>
      <w:r>
        <w:fldChar w:fldCharType="begin"/>
      </w:r>
      <w:r>
        <w:instrText xml:space="preserve"> PAGEREF _Toc97626007 \h </w:instrText>
      </w:r>
      <w:r>
        <w:fldChar w:fldCharType="separate"/>
      </w:r>
      <w:r>
        <w:t>8</w:t>
      </w:r>
      <w:r>
        <w:fldChar w:fldCharType="end"/>
      </w:r>
    </w:p>
    <w:p>
      <w:pPr>
        <w:pStyle w:val="TOC8"/>
        <w:rPr>
          <w:rFonts w:asciiTheme="minorHAnsi" w:eastAsiaTheme="minorEastAsia" w:hAnsiTheme="minorHAnsi" w:cstheme="minorBidi"/>
          <w:szCs w:val="22"/>
        </w:rPr>
      </w:pPr>
      <w:r>
        <w:t>16.</w:t>
      </w:r>
      <w:r>
        <w:tab/>
        <w:t>Involvement of members of the workforce</w:t>
      </w:r>
      <w:r>
        <w:tab/>
      </w:r>
      <w:r>
        <w:fldChar w:fldCharType="begin"/>
      </w:r>
      <w:r>
        <w:instrText xml:space="preserve"> PAGEREF _Toc97626008 \h </w:instrText>
      </w:r>
      <w:r>
        <w:fldChar w:fldCharType="separate"/>
      </w:r>
      <w:r>
        <w:t>8</w:t>
      </w:r>
      <w:r>
        <w:fldChar w:fldCharType="end"/>
      </w:r>
    </w:p>
    <w:p>
      <w:pPr>
        <w:pStyle w:val="TOC8"/>
        <w:rPr>
          <w:rFonts w:asciiTheme="minorHAnsi" w:eastAsiaTheme="minorEastAsia" w:hAnsiTheme="minorHAnsi" w:cstheme="minorBidi"/>
          <w:szCs w:val="22"/>
        </w:rPr>
      </w:pPr>
      <w:r>
        <w:t>17.</w:t>
      </w:r>
      <w:r>
        <w:tab/>
        <w:t>Machinery and equipment</w:t>
      </w:r>
      <w:r>
        <w:tab/>
      </w:r>
      <w:r>
        <w:fldChar w:fldCharType="begin"/>
      </w:r>
      <w:r>
        <w:instrText xml:space="preserve"> PAGEREF _Toc97626009 \h </w:instrText>
      </w:r>
      <w:r>
        <w:fldChar w:fldCharType="separate"/>
      </w:r>
      <w:r>
        <w:t>9</w:t>
      </w:r>
      <w:r>
        <w:fldChar w:fldCharType="end"/>
      </w:r>
    </w:p>
    <w:p>
      <w:pPr>
        <w:pStyle w:val="TOC8"/>
        <w:rPr>
          <w:rFonts w:asciiTheme="minorHAnsi" w:eastAsiaTheme="minorEastAsia" w:hAnsiTheme="minorHAnsi" w:cstheme="minorBidi"/>
          <w:szCs w:val="22"/>
        </w:rPr>
      </w:pPr>
      <w:r>
        <w:t>18.</w:t>
      </w:r>
      <w:r>
        <w:tab/>
        <w:t>Structural integrity etc.</w:t>
      </w:r>
      <w:r>
        <w:tab/>
      </w:r>
      <w:r>
        <w:fldChar w:fldCharType="begin"/>
      </w:r>
      <w:r>
        <w:instrText xml:space="preserve"> PAGEREF _Toc97626010 \h </w:instrText>
      </w:r>
      <w:r>
        <w:fldChar w:fldCharType="separate"/>
      </w:r>
      <w:r>
        <w:t>10</w:t>
      </w:r>
      <w:r>
        <w:fldChar w:fldCharType="end"/>
      </w:r>
    </w:p>
    <w:p>
      <w:pPr>
        <w:pStyle w:val="TOC8"/>
        <w:rPr>
          <w:rFonts w:asciiTheme="minorHAnsi" w:eastAsiaTheme="minorEastAsia" w:hAnsiTheme="minorHAnsi" w:cstheme="minorBidi"/>
          <w:szCs w:val="22"/>
        </w:rPr>
      </w:pPr>
      <w:r>
        <w:t>19.</w:t>
      </w:r>
      <w:r>
        <w:tab/>
        <w:t>Drugs and intoxicants</w:t>
      </w:r>
      <w:r>
        <w:tab/>
      </w:r>
      <w:r>
        <w:fldChar w:fldCharType="begin"/>
      </w:r>
      <w:r>
        <w:instrText xml:space="preserve"> PAGEREF _Toc97626011 \h </w:instrText>
      </w:r>
      <w:r>
        <w:fldChar w:fldCharType="separate"/>
      </w:r>
      <w:r>
        <w:t>10</w:t>
      </w:r>
      <w:r>
        <w:fldChar w:fldCharType="end"/>
      </w:r>
    </w:p>
    <w:p>
      <w:pPr>
        <w:pStyle w:val="TOC8"/>
        <w:rPr>
          <w:rFonts w:asciiTheme="minorHAnsi" w:eastAsiaTheme="minorEastAsia" w:hAnsiTheme="minorHAnsi" w:cstheme="minorBidi"/>
          <w:szCs w:val="22"/>
        </w:rPr>
      </w:pPr>
      <w:r>
        <w:t>20.</w:t>
      </w:r>
      <w:r>
        <w:tab/>
        <w:t>Reports during construction of a pipeline</w:t>
      </w:r>
      <w:r>
        <w:tab/>
      </w:r>
      <w:r>
        <w:fldChar w:fldCharType="begin"/>
      </w:r>
      <w:r>
        <w:instrText xml:space="preserve"> PAGEREF _Toc97626012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21.</w:t>
      </w:r>
      <w:r>
        <w:tab/>
        <w:t>Fire and explosion risk analysis</w:t>
      </w:r>
      <w:r>
        <w:tab/>
      </w:r>
      <w:r>
        <w:fldChar w:fldCharType="begin"/>
      </w:r>
      <w:r>
        <w:instrText xml:space="preserve"> PAGEREF _Toc97626014 \h </w:instrText>
      </w:r>
      <w:r>
        <w:fldChar w:fldCharType="separate"/>
      </w:r>
      <w:r>
        <w:t>11</w:t>
      </w:r>
      <w:r>
        <w:fldChar w:fldCharType="end"/>
      </w:r>
    </w:p>
    <w:p>
      <w:pPr>
        <w:pStyle w:val="TOC8"/>
        <w:rPr>
          <w:rFonts w:asciiTheme="minorHAnsi" w:eastAsiaTheme="minorEastAsia" w:hAnsiTheme="minorHAnsi" w:cstheme="minorBidi"/>
          <w:szCs w:val="22"/>
        </w:rPr>
      </w:pPr>
      <w:r>
        <w:t>22.</w:t>
      </w:r>
      <w:r>
        <w:tab/>
        <w:t>Emergency communications systems</w:t>
      </w:r>
      <w:r>
        <w:tab/>
      </w:r>
      <w:r>
        <w:fldChar w:fldCharType="begin"/>
      </w:r>
      <w:r>
        <w:instrText xml:space="preserve"> PAGEREF _Toc97626015 \h </w:instrText>
      </w:r>
      <w:r>
        <w:fldChar w:fldCharType="separate"/>
      </w:r>
      <w:r>
        <w:t>12</w:t>
      </w:r>
      <w:r>
        <w:fldChar w:fldCharType="end"/>
      </w:r>
    </w:p>
    <w:p>
      <w:pPr>
        <w:pStyle w:val="TOC8"/>
        <w:rPr>
          <w:rFonts w:asciiTheme="minorHAnsi" w:eastAsiaTheme="minorEastAsia" w:hAnsiTheme="minorHAnsi" w:cstheme="minorBidi"/>
          <w:szCs w:val="22"/>
        </w:rPr>
      </w:pPr>
      <w:r>
        <w:t>23.</w:t>
      </w:r>
      <w:r>
        <w:tab/>
        <w:t>Emergency control systems</w:t>
      </w:r>
      <w:r>
        <w:tab/>
      </w:r>
      <w:r>
        <w:fldChar w:fldCharType="begin"/>
      </w:r>
      <w:r>
        <w:instrText xml:space="preserve"> PAGEREF _Toc97626016 \h </w:instrText>
      </w:r>
      <w:r>
        <w:fldChar w:fldCharType="separate"/>
      </w:r>
      <w:r>
        <w:t>12</w:t>
      </w:r>
      <w:r>
        <w:fldChar w:fldCharType="end"/>
      </w:r>
    </w:p>
    <w:p>
      <w:pPr>
        <w:pStyle w:val="TOC8"/>
        <w:rPr>
          <w:rFonts w:asciiTheme="minorHAnsi" w:eastAsiaTheme="minorEastAsia" w:hAnsiTheme="minorHAnsi" w:cstheme="minorBidi"/>
          <w:szCs w:val="22"/>
        </w:rPr>
      </w:pPr>
      <w:r>
        <w:t>24.</w:t>
      </w:r>
      <w:r>
        <w:tab/>
        <w:t>Emergency preparedness and response plan</w:t>
      </w:r>
      <w:r>
        <w:tab/>
      </w:r>
      <w:r>
        <w:fldChar w:fldCharType="begin"/>
      </w:r>
      <w:r>
        <w:instrText xml:space="preserve"> PAGEREF _Toc97626017 \h </w:instrText>
      </w:r>
      <w:r>
        <w:fldChar w:fldCharType="separate"/>
      </w:r>
      <w:r>
        <w:t>12</w:t>
      </w:r>
      <w:r>
        <w:fldChar w:fldCharType="end"/>
      </w:r>
    </w:p>
    <w:p>
      <w:pPr>
        <w:pStyle w:val="TOC8"/>
        <w:rPr>
          <w:rFonts w:asciiTheme="minorHAnsi" w:eastAsiaTheme="minorEastAsia" w:hAnsiTheme="minorHAnsi" w:cstheme="minorBidi"/>
          <w:szCs w:val="22"/>
        </w:rPr>
      </w:pPr>
      <w:r>
        <w:t>25.</w:t>
      </w:r>
      <w:r>
        <w:tab/>
        <w:t>Pipelines connected to other pipelines, facilities</w:t>
      </w:r>
      <w:r>
        <w:tab/>
      </w:r>
      <w:r>
        <w:fldChar w:fldCharType="begin"/>
      </w:r>
      <w:r>
        <w:instrText xml:space="preserve"> PAGEREF _Toc97626018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_Toc97626020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cases</w:t>
      </w:r>
    </w:p>
    <w:p>
      <w:pPr>
        <w:pStyle w:val="TOC8"/>
        <w:rPr>
          <w:rFonts w:asciiTheme="minorHAnsi" w:eastAsiaTheme="minorEastAsia" w:hAnsiTheme="minorHAnsi" w:cstheme="minorBidi"/>
          <w:szCs w:val="22"/>
        </w:rPr>
      </w:pPr>
      <w:r>
        <w:t>27.</w:t>
      </w:r>
      <w:r>
        <w:tab/>
        <w:t>Safety case to be submitted to Minister</w:t>
      </w:r>
      <w:r>
        <w:tab/>
      </w:r>
      <w:r>
        <w:fldChar w:fldCharType="begin"/>
      </w:r>
      <w:r>
        <w:instrText xml:space="preserve"> PAGEREF _Toc97626022 \h </w:instrText>
      </w:r>
      <w:r>
        <w:fldChar w:fldCharType="separate"/>
      </w:r>
      <w:r>
        <w:t>15</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_Toc97626023 \h </w:instrText>
      </w:r>
      <w:r>
        <w:fldChar w:fldCharType="separate"/>
      </w:r>
      <w:r>
        <w:t>15</w:t>
      </w:r>
      <w:r>
        <w:fldChar w:fldCharType="end"/>
      </w:r>
    </w:p>
    <w:p>
      <w:pPr>
        <w:pStyle w:val="TOC8"/>
        <w:rPr>
          <w:rFonts w:asciiTheme="minorHAnsi" w:eastAsiaTheme="minorEastAsia" w:hAnsiTheme="minorHAnsi" w:cstheme="minorBidi"/>
          <w:szCs w:val="22"/>
        </w:rPr>
      </w:pPr>
      <w:r>
        <w:t>29.</w:t>
      </w:r>
      <w:r>
        <w:tab/>
        <w:t>Acceptance or rejection of a safety case</w:t>
      </w:r>
      <w:r>
        <w:tab/>
      </w:r>
      <w:r>
        <w:fldChar w:fldCharType="begin"/>
      </w:r>
      <w:r>
        <w:instrText xml:space="preserve"> PAGEREF _Toc97626024 \h </w:instrText>
      </w:r>
      <w:r>
        <w:fldChar w:fldCharType="separate"/>
      </w:r>
      <w:r>
        <w:t>16</w:t>
      </w:r>
      <w:r>
        <w:fldChar w:fldCharType="end"/>
      </w:r>
    </w:p>
    <w:p>
      <w:pPr>
        <w:pStyle w:val="TOC8"/>
        <w:rPr>
          <w:rFonts w:asciiTheme="minorHAnsi" w:eastAsiaTheme="minorEastAsia" w:hAnsiTheme="minorHAnsi" w:cstheme="minorBidi"/>
          <w:szCs w:val="22"/>
        </w:rPr>
      </w:pPr>
      <w:r>
        <w:t>30.</w:t>
      </w:r>
      <w:r>
        <w:tab/>
        <w:t>Notice of decision on safety case</w:t>
      </w:r>
      <w:r>
        <w:tab/>
      </w:r>
      <w:r>
        <w:fldChar w:fldCharType="begin"/>
      </w:r>
      <w:r>
        <w:instrText xml:space="preserve"> PAGEREF _Toc97626025 \h </w:instrText>
      </w:r>
      <w:r>
        <w:fldChar w:fldCharType="separate"/>
      </w:r>
      <w:r>
        <w:t>17</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case requirements</w:t>
      </w:r>
      <w:r>
        <w:tab/>
      </w:r>
      <w:r>
        <w:fldChar w:fldCharType="begin"/>
      </w:r>
      <w:r>
        <w:instrText xml:space="preserve"> PAGEREF _Toc97626026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cases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_Toc97626028 \h </w:instrText>
      </w:r>
      <w:r>
        <w:fldChar w:fldCharType="separate"/>
      </w:r>
      <w:r>
        <w:t>18</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_Toc97626029 \h </w:instrText>
      </w:r>
      <w:r>
        <w:fldChar w:fldCharType="separate"/>
      </w:r>
      <w:r>
        <w:t>19</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_Toc97626030 \h </w:instrText>
      </w:r>
      <w:r>
        <w:fldChar w:fldCharType="separate"/>
      </w:r>
      <w:r>
        <w:t>20</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_Toc97626031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case</w:t>
      </w:r>
      <w:r>
        <w:tab/>
      </w:r>
      <w:r>
        <w:fldChar w:fldCharType="begin"/>
      </w:r>
      <w:r>
        <w:instrText xml:space="preserve"> PAGEREF _Toc97626032 \h </w:instrText>
      </w:r>
      <w:r>
        <w:fldChar w:fldCharType="separate"/>
      </w:r>
      <w:r>
        <w:t>21</w:t>
      </w:r>
      <w:r>
        <w:fldChar w:fldCharType="end"/>
      </w:r>
    </w:p>
    <w:p>
      <w:pPr>
        <w:pStyle w:val="TOC8"/>
        <w:rPr>
          <w:rFonts w:asciiTheme="minorHAnsi" w:eastAsiaTheme="minorEastAsia" w:hAnsiTheme="minorHAnsi" w:cstheme="minorBidi"/>
          <w:szCs w:val="22"/>
        </w:rPr>
      </w:pPr>
      <w:r>
        <w:t>37.</w:t>
      </w:r>
      <w:r>
        <w:tab/>
        <w:t>Notice of decision on revised safety case</w:t>
      </w:r>
      <w:r>
        <w:tab/>
      </w:r>
      <w:r>
        <w:fldChar w:fldCharType="begin"/>
      </w:r>
      <w:r>
        <w:instrText xml:space="preserve"> PAGEREF _Toc97626033 \h </w:instrText>
      </w:r>
      <w:r>
        <w:fldChar w:fldCharType="separate"/>
      </w:r>
      <w:r>
        <w:t>22</w:t>
      </w:r>
      <w:r>
        <w:fldChar w:fldCharType="end"/>
      </w:r>
    </w:p>
    <w:p>
      <w:pPr>
        <w:pStyle w:val="TOC8"/>
        <w:rPr>
          <w:rFonts w:asciiTheme="minorHAnsi" w:eastAsiaTheme="minorEastAsia" w:hAnsiTheme="minorHAnsi" w:cstheme="minorBidi"/>
          <w:szCs w:val="22"/>
        </w:rPr>
      </w:pPr>
      <w:r>
        <w:t>38.</w:t>
      </w:r>
      <w:r>
        <w:tab/>
        <w:t>Effect of rejection of revised safety case</w:t>
      </w:r>
      <w:r>
        <w:tab/>
      </w:r>
      <w:r>
        <w:fldChar w:fldCharType="begin"/>
      </w:r>
      <w:r>
        <w:instrText xml:space="preserve"> PAGEREF _Toc97626034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case</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_Toc97626036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_Toc97626037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Validation</w:t>
      </w:r>
    </w:p>
    <w:p>
      <w:pPr>
        <w:pStyle w:val="TOC8"/>
        <w:rPr>
          <w:rFonts w:asciiTheme="minorHAnsi" w:eastAsiaTheme="minorEastAsia" w:hAnsiTheme="minorHAnsi" w:cstheme="minorBidi"/>
          <w:szCs w:val="22"/>
        </w:rPr>
      </w:pPr>
      <w:r>
        <w:t>41.</w:t>
      </w:r>
      <w:r>
        <w:tab/>
        <w:t>Validation of proposed or existing pipeline operations</w:t>
      </w:r>
      <w:r>
        <w:tab/>
      </w:r>
      <w:r>
        <w:fldChar w:fldCharType="begin"/>
      </w:r>
      <w:r>
        <w:instrText xml:space="preserve"> PAGEREF _Toc97626039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pipeline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_Toc97626041 \h </w:instrText>
      </w:r>
      <w:r>
        <w:fldChar w:fldCharType="separate"/>
      </w:r>
      <w:r>
        <w:t>26</w:t>
      </w:r>
      <w:r>
        <w:fldChar w:fldCharType="end"/>
      </w:r>
    </w:p>
    <w:p>
      <w:pPr>
        <w:pStyle w:val="TOC8"/>
        <w:rPr>
          <w:rFonts w:asciiTheme="minorHAnsi" w:eastAsiaTheme="minorEastAsia" w:hAnsiTheme="minorHAnsi" w:cstheme="minorBidi"/>
          <w:szCs w:val="22"/>
        </w:rPr>
      </w:pPr>
      <w:r>
        <w:t>43.</w:t>
      </w:r>
      <w:r>
        <w:tab/>
        <w:t>Period of incapacity for work caused by accident arising from pipeline operation</w:t>
      </w:r>
      <w:r>
        <w:tab/>
      </w:r>
      <w:r>
        <w:fldChar w:fldCharType="begin"/>
      </w:r>
      <w:r>
        <w:instrText xml:space="preserve"> PAGEREF _Toc97626042 \h </w:instrText>
      </w:r>
      <w:r>
        <w:fldChar w:fldCharType="separate"/>
      </w:r>
      <w:r>
        <w:t>27</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_Toc97626043 \h </w:instrText>
      </w:r>
      <w:r>
        <w:fldChar w:fldCharType="separate"/>
      </w:r>
      <w:r>
        <w:t>27</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_Toc97626044 \h </w:instrText>
      </w:r>
      <w:r>
        <w:fldChar w:fldCharType="separate"/>
      </w:r>
      <w:r>
        <w:t>27</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_Toc97626045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_Toc97626047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_Toc97626049 \h </w:instrText>
      </w:r>
      <w:r>
        <w:fldChar w:fldCharType="separate"/>
      </w:r>
      <w:r>
        <w:t>31</w:t>
      </w:r>
      <w:r>
        <w:fldChar w:fldCharType="end"/>
      </w:r>
    </w:p>
    <w:p>
      <w:pPr>
        <w:pStyle w:val="TOC8"/>
        <w:rPr>
          <w:rFonts w:asciiTheme="minorHAnsi" w:eastAsiaTheme="minorEastAsia" w:hAnsiTheme="minorHAnsi" w:cstheme="minorBidi"/>
          <w:szCs w:val="22"/>
        </w:rPr>
      </w:pPr>
      <w:r>
        <w:t>49.</w:t>
      </w:r>
      <w:r>
        <w:tab/>
        <w:t>Certain pre</w:t>
      </w:r>
      <w:r>
        <w:noBreakHyphen/>
        <w:t>amendment safety cases remain in force</w:t>
      </w:r>
      <w:r>
        <w:tab/>
      </w:r>
      <w:r>
        <w:fldChar w:fldCharType="begin"/>
      </w:r>
      <w:r>
        <w:instrText xml:space="preserve"> PAGEREF _Toc97626050 \h </w:instrText>
      </w:r>
      <w:r>
        <w:fldChar w:fldCharType="separate"/>
      </w:r>
      <w:r>
        <w:t>31</w:t>
      </w:r>
      <w:r>
        <w:fldChar w:fldCharType="end"/>
      </w:r>
    </w:p>
    <w:p>
      <w:pPr>
        <w:pStyle w:val="TOC8"/>
        <w:rPr>
          <w:rFonts w:asciiTheme="minorHAnsi" w:eastAsiaTheme="minorEastAsia" w:hAnsiTheme="minorHAnsi" w:cstheme="minorBidi"/>
          <w:szCs w:val="22"/>
        </w:rPr>
      </w:pPr>
      <w:r>
        <w:t>50.</w:t>
      </w:r>
      <w:r>
        <w:tab/>
        <w:t>Pre</w:t>
      </w:r>
      <w:r>
        <w:noBreakHyphen/>
        <w:t>amendment safety case submitted before commencement day</w:t>
      </w:r>
      <w:r>
        <w:tab/>
      </w:r>
      <w:r>
        <w:fldChar w:fldCharType="begin"/>
      </w:r>
      <w:r>
        <w:instrText xml:space="preserve"> PAGEREF _Toc97626051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_Toc97626053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_Toc97626054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3" w:name="_Toc97287096"/>
      <w:bookmarkStart w:id="4" w:name="_Toc97287188"/>
      <w:bookmarkStart w:id="5" w:name="_Toc976259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25987"/>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Pipelines (Management of Safety of Pipeline Operations) Regulations 2010</w:t>
      </w:r>
      <w:r>
        <w:t>.</w:t>
      </w:r>
    </w:p>
    <w:p>
      <w:pPr>
        <w:pStyle w:val="Heading5"/>
        <w:rPr>
          <w:spacing w:val="-2"/>
        </w:rPr>
      </w:pPr>
      <w:bookmarkStart w:id="8" w:name="_Toc9762598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9" w:name="_Toc97625989"/>
      <w:r>
        <w:rPr>
          <w:rStyle w:val="CharSectno"/>
        </w:rPr>
        <w:t>3</w:t>
      </w:r>
      <w:r>
        <w:t>.</w:t>
      </w:r>
      <w:r>
        <w:tab/>
        <w:t>Term used: Schedule 1</w:t>
      </w:r>
      <w:bookmarkEnd w:id="9"/>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10" w:name="_Toc97287100"/>
      <w:bookmarkStart w:id="11" w:name="_Toc97287192"/>
      <w:bookmarkStart w:id="12" w:name="_Toc97625990"/>
      <w:r>
        <w:rPr>
          <w:rStyle w:val="CharPartNo"/>
        </w:rPr>
        <w:lastRenderedPageBreak/>
        <w:t>Part 2</w:t>
      </w:r>
      <w:r>
        <w:t> — </w:t>
      </w:r>
      <w:r>
        <w:rPr>
          <w:rStyle w:val="CharPartText"/>
        </w:rPr>
        <w:t>Safety cases</w:t>
      </w:r>
      <w:bookmarkEnd w:id="10"/>
      <w:bookmarkEnd w:id="11"/>
      <w:bookmarkEnd w:id="12"/>
    </w:p>
    <w:p>
      <w:pPr>
        <w:pStyle w:val="Heading3"/>
      </w:pPr>
      <w:bookmarkStart w:id="13" w:name="_Toc97287101"/>
      <w:bookmarkStart w:id="14" w:name="_Toc97287193"/>
      <w:bookmarkStart w:id="15" w:name="_Toc97625991"/>
      <w:r>
        <w:rPr>
          <w:rStyle w:val="CharDivNo"/>
        </w:rPr>
        <w:t>Division 1</w:t>
      </w:r>
      <w:r>
        <w:t> — </w:t>
      </w:r>
      <w:r>
        <w:rPr>
          <w:rStyle w:val="CharDivText"/>
        </w:rPr>
        <w:t>Terms used</w:t>
      </w:r>
      <w:bookmarkEnd w:id="13"/>
      <w:bookmarkEnd w:id="14"/>
      <w:bookmarkEnd w:id="15"/>
    </w:p>
    <w:p>
      <w:pPr>
        <w:pStyle w:val="Heading5"/>
      </w:pPr>
      <w:bookmarkStart w:id="16" w:name="_Toc97625992"/>
      <w:r>
        <w:rPr>
          <w:rStyle w:val="CharSectno"/>
        </w:rPr>
        <w:t>4</w:t>
      </w:r>
      <w:r>
        <w:t>.</w:t>
      </w:r>
      <w:r>
        <w:tab/>
        <w:t>Terms used</w:t>
      </w:r>
      <w:bookmarkEnd w:id="16"/>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17" w:name="_Toc97287103"/>
      <w:bookmarkStart w:id="18" w:name="_Toc97287195"/>
      <w:bookmarkStart w:id="19" w:name="_Toc97625993"/>
      <w:r>
        <w:rPr>
          <w:rStyle w:val="CharDivNo"/>
        </w:rPr>
        <w:lastRenderedPageBreak/>
        <w:t>Division 2</w:t>
      </w:r>
      <w:r>
        <w:t> — </w:t>
      </w:r>
      <w:r>
        <w:rPr>
          <w:rStyle w:val="CharDivText"/>
        </w:rPr>
        <w:t>Duties as to safety cases</w:t>
      </w:r>
      <w:bookmarkEnd w:id="17"/>
      <w:bookmarkEnd w:id="18"/>
      <w:bookmarkEnd w:id="19"/>
    </w:p>
    <w:p>
      <w:pPr>
        <w:pStyle w:val="Heading5"/>
      </w:pPr>
      <w:bookmarkStart w:id="20" w:name="_Toc97625994"/>
      <w:r>
        <w:rPr>
          <w:rStyle w:val="CharSectno"/>
        </w:rPr>
        <w:t>5</w:t>
      </w:r>
      <w:r>
        <w:t>.</w:t>
      </w:r>
      <w:r>
        <w:tab/>
        <w:t>Safety case required for pipeline operation</w:t>
      </w:r>
      <w:bookmarkEnd w:id="20"/>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21" w:name="_Toc97625995"/>
      <w:r>
        <w:rPr>
          <w:rStyle w:val="CharSectno"/>
        </w:rPr>
        <w:t>6</w:t>
      </w:r>
      <w:r>
        <w:t>.</w:t>
      </w:r>
      <w:r>
        <w:tab/>
        <w:t>New or increased risks</w:t>
      </w:r>
      <w:bookmarkEnd w:id="21"/>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22" w:name="_Toc97625996"/>
      <w:r>
        <w:rPr>
          <w:rStyle w:val="CharSectno"/>
        </w:rPr>
        <w:t>7</w:t>
      </w:r>
      <w:r>
        <w:t>.</w:t>
      </w:r>
      <w:r>
        <w:tab/>
        <w:t>Compliance with safety case</w:t>
      </w:r>
      <w:bookmarkEnd w:id="22"/>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23" w:name="_Toc97625997"/>
      <w:r>
        <w:rPr>
          <w:rStyle w:val="CharSectno"/>
        </w:rPr>
        <w:t>8</w:t>
      </w:r>
      <w:r>
        <w:t>.</w:t>
      </w:r>
      <w:r>
        <w:tab/>
        <w:t>Other protected persons to comply with safety case</w:t>
      </w:r>
      <w:bookmarkEnd w:id="23"/>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24" w:name="_Toc97625998"/>
      <w:r>
        <w:rPr>
          <w:rStyle w:val="CharSectno"/>
        </w:rPr>
        <w:lastRenderedPageBreak/>
        <w:t>9</w:t>
      </w:r>
      <w:r>
        <w:t>.</w:t>
      </w:r>
      <w:r>
        <w:tab/>
        <w:t>Maintaining records for safety cases</w:t>
      </w:r>
      <w:bookmarkEnd w:id="24"/>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25" w:name="_Toc97287109"/>
      <w:bookmarkStart w:id="26" w:name="_Toc97287201"/>
      <w:bookmarkStart w:id="27" w:name="_Toc97625999"/>
      <w:r>
        <w:rPr>
          <w:rStyle w:val="CharDivNo"/>
        </w:rPr>
        <w:t>Division 3</w:t>
      </w:r>
      <w:r>
        <w:t> — </w:t>
      </w:r>
      <w:r>
        <w:rPr>
          <w:rStyle w:val="CharDivText"/>
        </w:rPr>
        <w:t>Contents of safety cases</w:t>
      </w:r>
      <w:bookmarkEnd w:id="25"/>
      <w:bookmarkEnd w:id="26"/>
      <w:bookmarkEnd w:id="27"/>
    </w:p>
    <w:p>
      <w:pPr>
        <w:pStyle w:val="Heading4"/>
      </w:pPr>
      <w:bookmarkStart w:id="28" w:name="_Toc97287110"/>
      <w:bookmarkStart w:id="29" w:name="_Toc97287202"/>
      <w:bookmarkStart w:id="30" w:name="_Toc97626000"/>
      <w:r>
        <w:t>Subdivision 1 — Contents of a safety case</w:t>
      </w:r>
      <w:bookmarkEnd w:id="28"/>
      <w:bookmarkEnd w:id="29"/>
      <w:bookmarkEnd w:id="30"/>
    </w:p>
    <w:p>
      <w:pPr>
        <w:pStyle w:val="Heading5"/>
      </w:pPr>
      <w:bookmarkStart w:id="31" w:name="_Toc97626001"/>
      <w:r>
        <w:rPr>
          <w:rStyle w:val="CharSectno"/>
        </w:rPr>
        <w:t>10</w:t>
      </w:r>
      <w:r>
        <w:t>.</w:t>
      </w:r>
      <w:r>
        <w:tab/>
        <w:t>Pipeline operation description, formal safety assessment and safety management system</w:t>
      </w:r>
      <w:bookmarkEnd w:id="31"/>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lastRenderedPageBreak/>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lastRenderedPageBreak/>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32" w:name="_Toc97626002"/>
      <w:r>
        <w:rPr>
          <w:rStyle w:val="CharSectno"/>
        </w:rPr>
        <w:t>11</w:t>
      </w:r>
      <w:r>
        <w:t>.</w:t>
      </w:r>
      <w:r>
        <w:tab/>
        <w:t>Implementation and improvement of the safety management system</w:t>
      </w:r>
      <w:bookmarkEnd w:id="32"/>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lastRenderedPageBreak/>
        <w:tab/>
        <w:t>(b)</w:t>
      </w:r>
      <w:r>
        <w:tab/>
        <w:t>ongoing and systematic identification of deficiencies in the safety management system.</w:t>
      </w:r>
    </w:p>
    <w:p>
      <w:pPr>
        <w:pStyle w:val="Heading4"/>
      </w:pPr>
      <w:bookmarkStart w:id="33" w:name="_Toc97287113"/>
      <w:bookmarkStart w:id="34" w:name="_Toc97287205"/>
      <w:bookmarkStart w:id="35" w:name="_Toc97626003"/>
      <w:r>
        <w:t>Subdivision 2 — Safety measures</w:t>
      </w:r>
      <w:bookmarkEnd w:id="33"/>
      <w:bookmarkEnd w:id="34"/>
      <w:bookmarkEnd w:id="35"/>
    </w:p>
    <w:p>
      <w:pPr>
        <w:pStyle w:val="Heading5"/>
      </w:pPr>
      <w:bookmarkStart w:id="36" w:name="_Toc97626004"/>
      <w:r>
        <w:rPr>
          <w:rStyle w:val="CharSectno"/>
        </w:rPr>
        <w:t>12</w:t>
      </w:r>
      <w:r>
        <w:t>.</w:t>
      </w:r>
      <w:r>
        <w:tab/>
        <w:t>Standards to be applied</w:t>
      </w:r>
      <w:bookmarkEnd w:id="36"/>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37" w:name="_Toc97626005"/>
      <w:r>
        <w:rPr>
          <w:rStyle w:val="CharSectno"/>
        </w:rPr>
        <w:t>13</w:t>
      </w:r>
      <w:r>
        <w:t>.</w:t>
      </w:r>
      <w:r>
        <w:tab/>
        <w:t>Chain of responsibility</w:t>
      </w:r>
      <w:bookmarkEnd w:id="37"/>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lastRenderedPageBreak/>
        <w:tab/>
        <w:t>(c)</w:t>
      </w:r>
      <w:r>
        <w:tab/>
        <w:t>the identity of the persons who hold each office or position, and the chain of responsibility can, at all times, be readily ascertained by any person engaged in the operation.</w:t>
      </w:r>
    </w:p>
    <w:p>
      <w:pPr>
        <w:pStyle w:val="Heading5"/>
      </w:pPr>
      <w:bookmarkStart w:id="38" w:name="_Toc97626006"/>
      <w:r>
        <w:rPr>
          <w:rStyle w:val="CharSectno"/>
        </w:rPr>
        <w:t>14</w:t>
      </w:r>
      <w:r>
        <w:t>.</w:t>
      </w:r>
      <w:r>
        <w:tab/>
        <w:t>Competence of members of the workforce</w:t>
      </w:r>
      <w:bookmarkEnd w:id="38"/>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39" w:name="_Toc97626007"/>
      <w:r>
        <w:rPr>
          <w:rStyle w:val="CharSectno"/>
        </w:rPr>
        <w:t>15</w:t>
      </w:r>
      <w:r>
        <w:t>.</w:t>
      </w:r>
      <w:r>
        <w:tab/>
        <w:t>Permit to work system for safe performance of work</w:t>
      </w:r>
      <w:bookmarkEnd w:id="39"/>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40" w:name="_Toc97626008"/>
      <w:r>
        <w:rPr>
          <w:rStyle w:val="CharSectno"/>
        </w:rPr>
        <w:t>16</w:t>
      </w:r>
      <w:r>
        <w:t>.</w:t>
      </w:r>
      <w:r>
        <w:tab/>
        <w:t>Involvement of members of the workforce</w:t>
      </w:r>
      <w:bookmarkEnd w:id="40"/>
    </w:p>
    <w:p>
      <w:pPr>
        <w:pStyle w:val="Subsection"/>
      </w:pPr>
      <w:r>
        <w:tab/>
        <w:t>(1)</w:t>
      </w:r>
      <w:r>
        <w:tab/>
        <w:t xml:space="preserve">A licensee for a pipeline operation must demonstrate to the Minister, to the reasonable satisfaction of the Minister, that — </w:t>
      </w:r>
    </w:p>
    <w:p>
      <w:pPr>
        <w:pStyle w:val="Indenta"/>
      </w:pPr>
      <w:r>
        <w:lastRenderedPageBreak/>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41" w:name="_Toc97626009"/>
      <w:r>
        <w:rPr>
          <w:rStyle w:val="CharSectno"/>
        </w:rPr>
        <w:t>17</w:t>
      </w:r>
      <w:r>
        <w:t>.</w:t>
      </w:r>
      <w:r>
        <w:tab/>
        <w:t>Machinery and equipment</w:t>
      </w:r>
      <w:bookmarkEnd w:id="41"/>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42" w:name="_Toc97626010"/>
      <w:r>
        <w:rPr>
          <w:rStyle w:val="CharSectno"/>
        </w:rPr>
        <w:lastRenderedPageBreak/>
        <w:t>18</w:t>
      </w:r>
      <w:r>
        <w:t>.</w:t>
      </w:r>
      <w:r>
        <w:tab/>
        <w:t>Structural integrity etc.</w:t>
      </w:r>
      <w:bookmarkEnd w:id="42"/>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43" w:name="_Toc97626011"/>
      <w:r>
        <w:rPr>
          <w:rStyle w:val="CharSectno"/>
        </w:rPr>
        <w:t>19</w:t>
      </w:r>
      <w:r>
        <w:t>.</w:t>
      </w:r>
      <w:r>
        <w:tab/>
        <w:t>Drugs and intoxicants</w:t>
      </w:r>
      <w:bookmarkEnd w:id="4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19 amended: Gazette 10 Jan 2017 p. 219.]</w:t>
      </w:r>
    </w:p>
    <w:p>
      <w:pPr>
        <w:pStyle w:val="Heading5"/>
      </w:pPr>
      <w:bookmarkStart w:id="44" w:name="_Toc97626012"/>
      <w:r>
        <w:rPr>
          <w:rStyle w:val="CharSectno"/>
        </w:rPr>
        <w:lastRenderedPageBreak/>
        <w:t>20</w:t>
      </w:r>
      <w:r>
        <w:t>.</w:t>
      </w:r>
      <w:r>
        <w:tab/>
        <w:t>Reports during construction of a pipeline</w:t>
      </w:r>
      <w:bookmarkEnd w:id="44"/>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45" w:name="_Toc97287123"/>
      <w:bookmarkStart w:id="46" w:name="_Toc97287215"/>
      <w:bookmarkStart w:id="47" w:name="_Toc97626013"/>
      <w:r>
        <w:t>Subdivision 3 — Emergencies</w:t>
      </w:r>
      <w:bookmarkEnd w:id="45"/>
      <w:bookmarkEnd w:id="46"/>
      <w:bookmarkEnd w:id="47"/>
    </w:p>
    <w:p>
      <w:pPr>
        <w:pStyle w:val="Heading5"/>
      </w:pPr>
      <w:bookmarkStart w:id="48" w:name="_Toc97626014"/>
      <w:r>
        <w:rPr>
          <w:rStyle w:val="CharSectno"/>
        </w:rPr>
        <w:t>21</w:t>
      </w:r>
      <w:r>
        <w:t>.</w:t>
      </w:r>
      <w:r>
        <w:tab/>
        <w:t>Fire and explosion risk analysis</w:t>
      </w:r>
      <w:bookmarkEnd w:id="48"/>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pPr>
      <w:r>
        <w:tab/>
        <w:t>(e)</w:t>
      </w:r>
      <w:r>
        <w:tab/>
        <w:t xml:space="preserve">consider a range of means of isolating and safely storing hazardous substances, such as fuel, explosives and </w:t>
      </w:r>
      <w:r>
        <w:lastRenderedPageBreak/>
        <w:t>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49" w:name="_Toc97626015"/>
      <w:r>
        <w:rPr>
          <w:rStyle w:val="CharSectno"/>
        </w:rPr>
        <w:t>22</w:t>
      </w:r>
      <w:r>
        <w:t>.</w:t>
      </w:r>
      <w:r>
        <w:tab/>
        <w:t>Emergency communications systems</w:t>
      </w:r>
      <w:bookmarkEnd w:id="49"/>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50" w:name="_Toc97626016"/>
      <w:r>
        <w:rPr>
          <w:rStyle w:val="CharSectno"/>
        </w:rPr>
        <w:t>23</w:t>
      </w:r>
      <w:r>
        <w:t>.</w:t>
      </w:r>
      <w:r>
        <w:tab/>
        <w:t>Emergency control systems</w:t>
      </w:r>
      <w:bookmarkEnd w:id="50"/>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51" w:name="_Toc97626017"/>
      <w:r>
        <w:rPr>
          <w:rStyle w:val="CharSectno"/>
        </w:rPr>
        <w:t>24</w:t>
      </w:r>
      <w:r>
        <w:t>.</w:t>
      </w:r>
      <w:r>
        <w:tab/>
        <w:t>Emergency preparedness and response plan</w:t>
      </w:r>
      <w:bookmarkEnd w:id="51"/>
    </w:p>
    <w:p>
      <w:pPr>
        <w:pStyle w:val="Subsection"/>
      </w:pPr>
      <w:r>
        <w:tab/>
        <w:t>(1)</w:t>
      </w:r>
      <w:r>
        <w:tab/>
        <w:t xml:space="preserve">The safety case for a pipeline operation must — </w:t>
      </w:r>
    </w:p>
    <w:p>
      <w:pPr>
        <w:pStyle w:val="Indenta"/>
      </w:pPr>
      <w:r>
        <w:lastRenderedPageBreak/>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52" w:name="_Toc97626018"/>
      <w:r>
        <w:rPr>
          <w:rStyle w:val="CharSectno"/>
        </w:rPr>
        <w:t>25</w:t>
      </w:r>
      <w:r>
        <w:t>.</w:t>
      </w:r>
      <w:r>
        <w:tab/>
        <w:t>Pipelines connected to other pipelines, facilities</w:t>
      </w:r>
      <w:bookmarkEnd w:id="52"/>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lastRenderedPageBreak/>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53" w:name="_Toc97287129"/>
      <w:bookmarkStart w:id="54" w:name="_Toc97287221"/>
      <w:bookmarkStart w:id="55" w:name="_Toc97626019"/>
      <w:r>
        <w:t>Subdivision 4 — Record keeping</w:t>
      </w:r>
      <w:bookmarkEnd w:id="53"/>
      <w:bookmarkEnd w:id="54"/>
      <w:bookmarkEnd w:id="55"/>
    </w:p>
    <w:p>
      <w:pPr>
        <w:pStyle w:val="Heading5"/>
      </w:pPr>
      <w:bookmarkStart w:id="56" w:name="_Toc97626020"/>
      <w:r>
        <w:rPr>
          <w:rStyle w:val="CharSectno"/>
        </w:rPr>
        <w:t>26</w:t>
      </w:r>
      <w:r>
        <w:t>.</w:t>
      </w:r>
      <w:r>
        <w:tab/>
        <w:t>Arrangements for records</w:t>
      </w:r>
      <w:bookmarkEnd w:id="56"/>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lastRenderedPageBreak/>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57" w:name="_Toc97287131"/>
      <w:bookmarkStart w:id="58" w:name="_Toc97287223"/>
      <w:bookmarkStart w:id="59" w:name="_Toc97626021"/>
      <w:r>
        <w:rPr>
          <w:rStyle w:val="CharDivNo"/>
        </w:rPr>
        <w:t>Division 4</w:t>
      </w:r>
      <w:r>
        <w:t> — </w:t>
      </w:r>
      <w:r>
        <w:rPr>
          <w:rStyle w:val="CharDivText"/>
        </w:rPr>
        <w:t>Submission and acceptance of safety cases</w:t>
      </w:r>
      <w:bookmarkEnd w:id="57"/>
      <w:bookmarkEnd w:id="58"/>
      <w:bookmarkEnd w:id="59"/>
    </w:p>
    <w:p>
      <w:pPr>
        <w:pStyle w:val="Heading5"/>
      </w:pPr>
      <w:bookmarkStart w:id="60" w:name="_Toc97626022"/>
      <w:r>
        <w:rPr>
          <w:rStyle w:val="CharSectno"/>
        </w:rPr>
        <w:t>27</w:t>
      </w:r>
      <w:r>
        <w:t>.</w:t>
      </w:r>
      <w:r>
        <w:tab/>
        <w:t>Safety case to be submitted to Minister</w:t>
      </w:r>
      <w:bookmarkEnd w:id="60"/>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61" w:name="_Toc97626023"/>
      <w:r>
        <w:rPr>
          <w:rStyle w:val="CharSectno"/>
        </w:rPr>
        <w:t>28</w:t>
      </w:r>
      <w:r>
        <w:t>.</w:t>
      </w:r>
      <w:r>
        <w:tab/>
        <w:t>Minister may request more information</w:t>
      </w:r>
      <w:bookmarkEnd w:id="61"/>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lastRenderedPageBreak/>
        <w:tab/>
        <w:t>(b)</w:t>
      </w:r>
      <w:r>
        <w:tab/>
        <w:t>the Minister must have regard to the information as if it had been so included.</w:t>
      </w:r>
    </w:p>
    <w:p>
      <w:pPr>
        <w:pStyle w:val="Heading5"/>
      </w:pPr>
      <w:bookmarkStart w:id="62" w:name="_Toc97626024"/>
      <w:r>
        <w:rPr>
          <w:rStyle w:val="CharSectno"/>
        </w:rPr>
        <w:t>29</w:t>
      </w:r>
      <w:r>
        <w:t>.</w:t>
      </w:r>
      <w:r>
        <w:tab/>
        <w:t>Acceptance or rejection of a safety case</w:t>
      </w:r>
      <w:bookmarkEnd w:id="62"/>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lastRenderedPageBreak/>
        <w:tab/>
        <w:t>(5)</w:t>
      </w:r>
      <w:r>
        <w:tab/>
        <w:t>When accepting a safety case for a pipeline operation, the Minister may impose conditions on the acceptance in respect of the operation.</w:t>
      </w:r>
    </w:p>
    <w:p>
      <w:pPr>
        <w:pStyle w:val="Heading5"/>
      </w:pPr>
      <w:bookmarkStart w:id="63" w:name="_Toc97626025"/>
      <w:r>
        <w:rPr>
          <w:rStyle w:val="CharSectno"/>
        </w:rPr>
        <w:t>30</w:t>
      </w:r>
      <w:r>
        <w:t>.</w:t>
      </w:r>
      <w:r>
        <w:tab/>
        <w:t>Notice of decision on safety case</w:t>
      </w:r>
      <w:bookmarkEnd w:id="63"/>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64" w:name="_Toc97626026"/>
      <w:r>
        <w:rPr>
          <w:rStyle w:val="CharSectno"/>
        </w:rPr>
        <w:t>31</w:t>
      </w:r>
      <w:r>
        <w:t>.</w:t>
      </w:r>
      <w:r>
        <w:tab/>
        <w:t>Consent to undertake operations in a manner different from safety case requirements</w:t>
      </w:r>
      <w:bookmarkEnd w:id="64"/>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lastRenderedPageBreak/>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65" w:name="_Toc97287137"/>
      <w:bookmarkStart w:id="66" w:name="_Toc97287229"/>
      <w:bookmarkStart w:id="67" w:name="_Toc97626027"/>
      <w:r>
        <w:rPr>
          <w:rStyle w:val="CharDivNo"/>
        </w:rPr>
        <w:t>Division 5</w:t>
      </w:r>
      <w:r>
        <w:t> — </w:t>
      </w:r>
      <w:r>
        <w:rPr>
          <w:rStyle w:val="CharDivText"/>
        </w:rPr>
        <w:t>Revision of safety cases</w:t>
      </w:r>
      <w:bookmarkEnd w:id="65"/>
      <w:bookmarkEnd w:id="66"/>
      <w:bookmarkEnd w:id="67"/>
    </w:p>
    <w:p>
      <w:pPr>
        <w:pStyle w:val="Heading5"/>
      </w:pPr>
      <w:bookmarkStart w:id="68" w:name="_Toc97626028"/>
      <w:r>
        <w:rPr>
          <w:rStyle w:val="CharSectno"/>
        </w:rPr>
        <w:t>32</w:t>
      </w:r>
      <w:r>
        <w:t>.</w:t>
      </w:r>
      <w:r>
        <w:tab/>
        <w:t>Revision because of a change of circumstances or operations</w:t>
      </w:r>
      <w:bookmarkEnd w:id="68"/>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lastRenderedPageBreak/>
        <w:tab/>
        <w:t>(2)</w:t>
      </w:r>
      <w:r>
        <w:tab/>
        <w:t>If the Minister agrees, a licensee for a pipeline operation may submit a revised safety case under subregulation (1) in the form of a revision of part of the safety case in force for the operation.</w:t>
      </w:r>
    </w:p>
    <w:p>
      <w:pPr>
        <w:pStyle w:val="Heading5"/>
      </w:pPr>
      <w:bookmarkStart w:id="69" w:name="_Toc97626029"/>
      <w:r>
        <w:rPr>
          <w:rStyle w:val="CharSectno"/>
        </w:rPr>
        <w:t>33</w:t>
      </w:r>
      <w:r>
        <w:t>.</w:t>
      </w:r>
      <w:r>
        <w:tab/>
        <w:t>Revision on Minister’s request</w:t>
      </w:r>
      <w:bookmarkEnd w:id="69"/>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lastRenderedPageBreak/>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70" w:name="_Toc97626030"/>
      <w:r>
        <w:rPr>
          <w:rStyle w:val="CharSectno"/>
        </w:rPr>
        <w:t>34</w:t>
      </w:r>
      <w:r>
        <w:t>.</w:t>
      </w:r>
      <w:r>
        <w:tab/>
        <w:t>Revision every 5 years</w:t>
      </w:r>
      <w:bookmarkEnd w:id="70"/>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71" w:name="_Toc97626031"/>
      <w:r>
        <w:rPr>
          <w:rStyle w:val="CharSectno"/>
        </w:rPr>
        <w:t>35</w:t>
      </w:r>
      <w:r>
        <w:t>.</w:t>
      </w:r>
      <w:r>
        <w:tab/>
        <w:t>Minister may request more information</w:t>
      </w:r>
      <w:bookmarkEnd w:id="71"/>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lastRenderedPageBreak/>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72" w:name="_Toc97626032"/>
      <w:r>
        <w:rPr>
          <w:rStyle w:val="CharSectno"/>
        </w:rPr>
        <w:t>36</w:t>
      </w:r>
      <w:r>
        <w:t>.</w:t>
      </w:r>
      <w:r>
        <w:tab/>
        <w:t>Acceptance or rejection of revised safety case</w:t>
      </w:r>
      <w:bookmarkEnd w:id="72"/>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lastRenderedPageBreak/>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73" w:name="_Toc97626033"/>
      <w:r>
        <w:rPr>
          <w:rStyle w:val="CharSectno"/>
        </w:rPr>
        <w:t>37</w:t>
      </w:r>
      <w:r>
        <w:t>.</w:t>
      </w:r>
      <w:r>
        <w:tab/>
        <w:t>Notice of decision on revised safety case</w:t>
      </w:r>
      <w:bookmarkEnd w:id="73"/>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 xml:space="preserve">that the Minister is unable to make a decision about the revised safety case within the period of 30 days, and set </w:t>
      </w:r>
      <w:r>
        <w:lastRenderedPageBreak/>
        <w:t>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74" w:name="_Toc97626034"/>
      <w:r>
        <w:rPr>
          <w:rStyle w:val="CharSectno"/>
        </w:rPr>
        <w:t>38</w:t>
      </w:r>
      <w:r>
        <w:t>.</w:t>
      </w:r>
      <w:r>
        <w:tab/>
        <w:t>Effect of rejection of revised safety case</w:t>
      </w:r>
      <w:bookmarkEnd w:id="74"/>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75" w:name="_Toc97287145"/>
      <w:bookmarkStart w:id="76" w:name="_Toc97287237"/>
      <w:bookmarkStart w:id="77" w:name="_Toc97626035"/>
      <w:r>
        <w:rPr>
          <w:rStyle w:val="CharDivNo"/>
        </w:rPr>
        <w:t>Division 6</w:t>
      </w:r>
      <w:r>
        <w:t> — </w:t>
      </w:r>
      <w:r>
        <w:rPr>
          <w:rStyle w:val="CharDivText"/>
        </w:rPr>
        <w:t>Withdrawal of acceptance of a safety case</w:t>
      </w:r>
      <w:bookmarkEnd w:id="75"/>
      <w:bookmarkEnd w:id="76"/>
      <w:bookmarkEnd w:id="77"/>
    </w:p>
    <w:p>
      <w:pPr>
        <w:pStyle w:val="Heading5"/>
      </w:pPr>
      <w:bookmarkStart w:id="78" w:name="_Toc97626036"/>
      <w:r>
        <w:rPr>
          <w:rStyle w:val="CharSectno"/>
        </w:rPr>
        <w:t>39</w:t>
      </w:r>
      <w:r>
        <w:t>.</w:t>
      </w:r>
      <w:r>
        <w:tab/>
        <w:t>Grounds for withdrawal of acceptance</w:t>
      </w:r>
      <w:bookmarkEnd w:id="78"/>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79" w:name="_Toc97626037"/>
      <w:r>
        <w:rPr>
          <w:rStyle w:val="CharSectno"/>
        </w:rPr>
        <w:t>40</w:t>
      </w:r>
      <w:r>
        <w:t>.</w:t>
      </w:r>
      <w:r>
        <w:tab/>
        <w:t>Notice before withdrawal of acceptance</w:t>
      </w:r>
      <w:bookmarkEnd w:id="79"/>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lastRenderedPageBreak/>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80" w:name="_Toc97287148"/>
      <w:bookmarkStart w:id="81" w:name="_Toc97287240"/>
      <w:bookmarkStart w:id="82" w:name="_Toc97626038"/>
      <w:r>
        <w:rPr>
          <w:rStyle w:val="CharDivNo"/>
        </w:rPr>
        <w:t>Division 7</w:t>
      </w:r>
      <w:r>
        <w:t> — </w:t>
      </w:r>
      <w:r>
        <w:rPr>
          <w:rStyle w:val="CharDivText"/>
        </w:rPr>
        <w:t>Validation</w:t>
      </w:r>
      <w:bookmarkEnd w:id="80"/>
      <w:bookmarkEnd w:id="81"/>
      <w:bookmarkEnd w:id="82"/>
    </w:p>
    <w:p>
      <w:pPr>
        <w:pStyle w:val="Heading5"/>
      </w:pPr>
      <w:bookmarkStart w:id="83" w:name="_Toc97626039"/>
      <w:r>
        <w:rPr>
          <w:rStyle w:val="CharSectno"/>
        </w:rPr>
        <w:t>41</w:t>
      </w:r>
      <w:r>
        <w:t>.</w:t>
      </w:r>
      <w:r>
        <w:tab/>
        <w:t>Validation of proposed or existing pipeline operations</w:t>
      </w:r>
      <w:bookmarkEnd w:id="83"/>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lastRenderedPageBreak/>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84" w:name="_Toc97287150"/>
      <w:bookmarkStart w:id="85" w:name="_Toc97287242"/>
      <w:bookmarkStart w:id="86" w:name="_Toc97626040"/>
      <w:r>
        <w:rPr>
          <w:rStyle w:val="CharPartNo"/>
        </w:rPr>
        <w:lastRenderedPageBreak/>
        <w:t>Part 3</w:t>
      </w:r>
      <w:r>
        <w:rPr>
          <w:rStyle w:val="CharDivNo"/>
        </w:rPr>
        <w:t> </w:t>
      </w:r>
      <w:r>
        <w:t>—</w:t>
      </w:r>
      <w:r>
        <w:rPr>
          <w:rStyle w:val="CharDivText"/>
        </w:rPr>
        <w:t> </w:t>
      </w:r>
      <w:r>
        <w:rPr>
          <w:rStyle w:val="CharPartText"/>
        </w:rPr>
        <w:t>Accidents and dangerous occurrences arising from pipeline operations</w:t>
      </w:r>
      <w:bookmarkEnd w:id="84"/>
      <w:bookmarkEnd w:id="85"/>
      <w:bookmarkEnd w:id="86"/>
    </w:p>
    <w:p>
      <w:pPr>
        <w:pStyle w:val="Heading5"/>
      </w:pPr>
      <w:bookmarkStart w:id="87" w:name="_Toc97626041"/>
      <w:r>
        <w:rPr>
          <w:rStyle w:val="CharSectno"/>
        </w:rPr>
        <w:t>42</w:t>
      </w:r>
      <w:r>
        <w:t>.</w:t>
      </w:r>
      <w:r>
        <w:tab/>
        <w:t>Dangerous occurrence</w:t>
      </w:r>
      <w:bookmarkEnd w:id="87"/>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88" w:name="_Toc97626042"/>
      <w:r>
        <w:rPr>
          <w:rStyle w:val="CharSectno"/>
        </w:rPr>
        <w:lastRenderedPageBreak/>
        <w:t>43</w:t>
      </w:r>
      <w:r>
        <w:t>.</w:t>
      </w:r>
      <w:r>
        <w:tab/>
        <w:t>Period of incapacity for work caused by accident arising from pipeline operation</w:t>
      </w:r>
      <w:bookmarkEnd w:id="88"/>
    </w:p>
    <w:p>
      <w:pPr>
        <w:pStyle w:val="Subsection"/>
      </w:pPr>
      <w:r>
        <w:tab/>
      </w:r>
      <w:r>
        <w:tab/>
        <w:t>For the purposes of Schedule 1 clause 70(1)(b) the period prescribed in relation to an accident arising from a pipeline operation is one or more days.</w:t>
      </w:r>
    </w:p>
    <w:p>
      <w:pPr>
        <w:pStyle w:val="Heading5"/>
      </w:pPr>
      <w:bookmarkStart w:id="89" w:name="_Toc97626043"/>
      <w:r>
        <w:rPr>
          <w:rStyle w:val="CharSectno"/>
        </w:rPr>
        <w:t>44</w:t>
      </w:r>
      <w:r>
        <w:t>.</w:t>
      </w:r>
      <w:r>
        <w:tab/>
        <w:t>Notices of accidents and dangerous occurrences</w:t>
      </w:r>
      <w:bookmarkEnd w:id="89"/>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90" w:name="_Toc97626044"/>
      <w:r>
        <w:rPr>
          <w:rStyle w:val="CharSectno"/>
        </w:rPr>
        <w:t>45</w:t>
      </w:r>
      <w:r>
        <w:t>.</w:t>
      </w:r>
      <w:r>
        <w:tab/>
        <w:t>Reports of accidents and dangerous occurrences</w:t>
      </w:r>
      <w:bookmarkEnd w:id="90"/>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lastRenderedPageBreak/>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91" w:name="_Toc97626045"/>
      <w:r>
        <w:rPr>
          <w:rStyle w:val="CharSectno"/>
        </w:rPr>
        <w:t>46</w:t>
      </w:r>
      <w:r>
        <w:t>.</w:t>
      </w:r>
      <w:r>
        <w:tab/>
        <w:t>Interference with accident sites</w:t>
      </w:r>
      <w:bookmarkEnd w:id="91"/>
    </w:p>
    <w:p>
      <w:pPr>
        <w:pStyle w:val="Subsection"/>
      </w:pPr>
      <w:r>
        <w:tab/>
        <w:t>(1)</w:t>
      </w:r>
      <w:r>
        <w:tab/>
        <w:t xml:space="preserve">A person must not interfere with a site before an inspector has finished inspecting the site if there had occurred at the site, </w:t>
      </w:r>
      <w:r>
        <w:lastRenderedPageBreak/>
        <w:t>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92" w:name="_Toc97287156"/>
      <w:bookmarkStart w:id="93" w:name="_Toc97287248"/>
      <w:bookmarkStart w:id="94" w:name="_Toc97626046"/>
      <w:r>
        <w:rPr>
          <w:rStyle w:val="CharPartNo"/>
        </w:rPr>
        <w:lastRenderedPageBreak/>
        <w:t>Part 4</w:t>
      </w:r>
      <w:r>
        <w:rPr>
          <w:rStyle w:val="CharDivNo"/>
        </w:rPr>
        <w:t> </w:t>
      </w:r>
      <w:r>
        <w:t>—</w:t>
      </w:r>
      <w:r>
        <w:rPr>
          <w:rStyle w:val="CharDivText"/>
        </w:rPr>
        <w:t> </w:t>
      </w:r>
      <w:r>
        <w:rPr>
          <w:rStyle w:val="CharPartText"/>
        </w:rPr>
        <w:t>Miscellaneous</w:t>
      </w:r>
      <w:bookmarkEnd w:id="92"/>
      <w:bookmarkEnd w:id="93"/>
      <w:bookmarkEnd w:id="94"/>
    </w:p>
    <w:p>
      <w:pPr>
        <w:pStyle w:val="Heading5"/>
      </w:pPr>
      <w:bookmarkStart w:id="95" w:name="_Toc97626047"/>
      <w:r>
        <w:rPr>
          <w:rStyle w:val="CharSectno"/>
        </w:rPr>
        <w:t>47</w:t>
      </w:r>
      <w:r>
        <w:t>.</w:t>
      </w:r>
      <w:r>
        <w:tab/>
        <w:t>Details in applications or submissions</w:t>
      </w:r>
      <w:bookmarkEnd w:id="95"/>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96" w:name="_Toc97287158"/>
      <w:bookmarkStart w:id="97" w:name="_Toc97287250"/>
      <w:bookmarkStart w:id="98" w:name="_Toc97626048"/>
      <w:r>
        <w:rPr>
          <w:rStyle w:val="CharPartNo"/>
        </w:rPr>
        <w:lastRenderedPageBreak/>
        <w:t>Part 5</w:t>
      </w:r>
      <w:r>
        <w:rPr>
          <w:rStyle w:val="CharDivNo"/>
        </w:rPr>
        <w:t> </w:t>
      </w:r>
      <w:r>
        <w:t>—</w:t>
      </w:r>
      <w:r>
        <w:rPr>
          <w:rStyle w:val="CharDivText"/>
        </w:rPr>
        <w:t> </w:t>
      </w:r>
      <w:r>
        <w:rPr>
          <w:rStyle w:val="CharPartText"/>
        </w:rPr>
        <w:t>Transitional provisions</w:t>
      </w:r>
      <w:bookmarkEnd w:id="96"/>
      <w:bookmarkEnd w:id="97"/>
      <w:bookmarkEnd w:id="98"/>
    </w:p>
    <w:p>
      <w:pPr>
        <w:pStyle w:val="Heading5"/>
      </w:pPr>
      <w:bookmarkStart w:id="99" w:name="_Toc97626049"/>
      <w:r>
        <w:rPr>
          <w:rStyle w:val="CharSectno"/>
        </w:rPr>
        <w:t>48</w:t>
      </w:r>
      <w:r>
        <w:t>.</w:t>
      </w:r>
      <w:r>
        <w:tab/>
        <w:t>Terms used</w:t>
      </w:r>
      <w:bookmarkEnd w:id="99"/>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00" w:name="_Toc97626050"/>
      <w:r>
        <w:rPr>
          <w:rStyle w:val="CharSectno"/>
        </w:rPr>
        <w:t>49</w:t>
      </w:r>
      <w:r>
        <w:t>.</w:t>
      </w:r>
      <w:r>
        <w:tab/>
        <w:t>Certain pre</w:t>
      </w:r>
      <w:r>
        <w:noBreakHyphen/>
        <w:t>amendment safety cases remain in force</w:t>
      </w:r>
      <w:bookmarkEnd w:id="100"/>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01" w:name="_Toc97626051"/>
      <w:r>
        <w:rPr>
          <w:rStyle w:val="CharSectno"/>
        </w:rPr>
        <w:t>50</w:t>
      </w:r>
      <w:r>
        <w:t>.</w:t>
      </w:r>
      <w:r>
        <w:tab/>
        <w:t>Pre</w:t>
      </w:r>
      <w:r>
        <w:noBreakHyphen/>
        <w:t>amendment safety case submitted before commencement day</w:t>
      </w:r>
      <w:bookmarkEnd w:id="101"/>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 xml:space="preserve">amendment safety case is to be taken to be submitted under regulation 27 as a safety case for the </w:t>
      </w:r>
      <w:r>
        <w:lastRenderedPageBreak/>
        <w:t>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2" w:name="_Toc97287162"/>
      <w:bookmarkStart w:id="103" w:name="_Toc97287254"/>
      <w:bookmarkStart w:id="104" w:name="_Toc97626052"/>
      <w:r>
        <w:lastRenderedPageBreak/>
        <w:t>Notes</w:t>
      </w:r>
      <w:bookmarkEnd w:id="102"/>
      <w:bookmarkEnd w:id="103"/>
      <w:bookmarkEnd w:id="104"/>
    </w:p>
    <w:p>
      <w:pPr>
        <w:pStyle w:val="nStatement"/>
      </w:pPr>
      <w:r>
        <w:t xml:space="preserve">This is a compilation of the </w:t>
      </w:r>
      <w:r>
        <w:rPr>
          <w:i/>
          <w:noProof/>
        </w:rPr>
        <w:t>Petroleum Pipelines (Management of Safety of Pipeline Operations) Regulations 2010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5" w:name="_Toc97626053"/>
      <w:r>
        <w:t>Compilation table</w:t>
      </w:r>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(Management of Safety of Pipeline Operations) Regulations 2010</w:t>
            </w:r>
          </w:p>
        </w:tc>
        <w:tc>
          <w:tcPr>
            <w:tcW w:w="1276" w:type="dxa"/>
            <w:tcBorders>
              <w:bottom w:val="nil"/>
            </w:tcBorders>
          </w:tcPr>
          <w:p>
            <w:pPr>
              <w:pStyle w:val="nTable"/>
              <w:spacing w:after="40"/>
            </w:pPr>
            <w:r>
              <w:t>14 May 2010 p. 1921</w:t>
            </w:r>
            <w:r>
              <w:noBreakHyphen/>
              <w:t>58</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7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pPr>
      <w:bookmarkStart w:id="106" w:name="_Toc97626054"/>
      <w:r>
        <w:t>Uncommenced provisions table</w:t>
      </w:r>
      <w:bookmarkEnd w:id="10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s. 347(1) assented to 10 Nov 2020</w:t>
            </w:r>
          </w:p>
        </w:tc>
        <w:tc>
          <w:tcPr>
            <w:tcW w:w="2693" w:type="dxa"/>
          </w:tcPr>
          <w:p>
            <w:pPr>
              <w:pStyle w:val="nTable"/>
              <w:spacing w:after="40"/>
            </w:pPr>
            <w:r>
              <w:t>31 Mar 2022 (see s. 2(1)(c) and SL 2022/18 cl. 2)</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rPr>
          <w:sz w:val="28"/>
        </w:rPr>
      </w:pPr>
      <w:bookmarkStart w:id="108" w:name="_Toc97287165"/>
      <w:bookmarkStart w:id="109" w:name="_Toc97287257"/>
      <w:bookmarkStart w:id="110" w:name="_Toc97626055"/>
      <w:r>
        <w:rPr>
          <w:sz w:val="28"/>
        </w:rPr>
        <w:lastRenderedPageBreak/>
        <w:t>Defined terms</w:t>
      </w:r>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19(1)</w:t>
      </w:r>
    </w:p>
    <w:p>
      <w:pPr>
        <w:pStyle w:val="DefinedTerms"/>
      </w:pPr>
      <w:r>
        <w:t>Director</w:t>
      </w:r>
      <w:r>
        <w:tab/>
        <w:t>48</w:t>
      </w:r>
    </w:p>
    <w:p>
      <w:pPr>
        <w:pStyle w:val="DefinedTerms"/>
      </w:pPr>
      <w:r>
        <w:t>emergency</w:t>
      </w:r>
      <w:r>
        <w:tab/>
        <w:t>4</w:t>
      </w:r>
    </w:p>
    <w:p>
      <w:pPr>
        <w:pStyle w:val="DefinedTerms"/>
      </w:pPr>
      <w:r>
        <w:t>intoxicant</w:t>
      </w:r>
      <w:r>
        <w:tab/>
        <w:t>19(1)</w:t>
      </w:r>
    </w:p>
    <w:p>
      <w:pPr>
        <w:pStyle w:val="DefinedTerms"/>
      </w:pPr>
      <w:r>
        <w:t>major accident event</w:t>
      </w:r>
      <w:r>
        <w:tab/>
        <w:t>4</w:t>
      </w:r>
    </w:p>
    <w:p>
      <w:pPr>
        <w:pStyle w:val="DefinedTerms"/>
      </w:pPr>
      <w:r>
        <w:t>members of the workforce</w:t>
      </w:r>
      <w:r>
        <w:tab/>
        <w:t>16(2)</w:t>
      </w:r>
    </w:p>
    <w:p>
      <w:pPr>
        <w:pStyle w:val="DefinedTerms"/>
      </w:pPr>
      <w:r>
        <w:t>pipeline operation</w:t>
      </w:r>
      <w:r>
        <w:tab/>
        <w:t>4</w:t>
      </w:r>
    </w:p>
    <w:p>
      <w:pPr>
        <w:pStyle w:val="DefinedTerms"/>
      </w:pPr>
      <w:r>
        <w:t>pre</w:t>
      </w:r>
      <w:r>
        <w:noBreakHyphen/>
        <w:t>amendment safety case</w:t>
      </w:r>
      <w:r>
        <w:tab/>
        <w:t>48</w:t>
      </w:r>
    </w:p>
    <w:p>
      <w:pPr>
        <w:pStyle w:val="DefinedTerms"/>
      </w:pPr>
      <w:r>
        <w:t>revise</w:t>
      </w:r>
      <w:r>
        <w:tab/>
        <w:t>4</w:t>
      </w:r>
    </w:p>
    <w:p>
      <w:pPr>
        <w:pStyle w:val="DefinedTerms"/>
      </w:pPr>
      <w:r>
        <w:t>revision notice</w:t>
      </w:r>
      <w:r>
        <w:tab/>
        <w:t>33(1)</w:t>
      </w:r>
    </w:p>
    <w:p>
      <w:pPr>
        <w:pStyle w:val="DefinedTerms"/>
      </w:pPr>
      <w:r>
        <w:t>safety case in force</w:t>
      </w:r>
      <w:r>
        <w:tab/>
        <w:t>4</w:t>
      </w:r>
    </w:p>
    <w:p>
      <w:pPr>
        <w:pStyle w:val="DefinedTerms"/>
      </w:pPr>
      <w:r>
        <w:t>safety management system</w:t>
      </w:r>
      <w:r>
        <w:tab/>
        <w:t>4</w:t>
      </w:r>
    </w:p>
    <w:p>
      <w:pPr>
        <w:pStyle w:val="DefinedTerms"/>
      </w:pPr>
      <w:r>
        <w:t>Schedule 1</w:t>
      </w:r>
      <w:r>
        <w:tab/>
        <w:t>3</w:t>
      </w:r>
    </w:p>
    <w:p>
      <w:pPr>
        <w:pStyle w:val="DefinedTerms"/>
      </w:pPr>
      <w:r>
        <w:t>therapeutic use</w:t>
      </w:r>
      <w:r>
        <w:tab/>
        <w:t>19(1)</w:t>
      </w:r>
    </w:p>
    <w:p/>
    <w:p>
      <w:pPr>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4801"/>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 w:name="WAFER_2020110916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54_GUID" w:val="f165a5d7-b3da-42a9-be83-f42bcb2a37ad"/>
    <w:docVar w:name="WAFER_20220304114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01_GUID" w:val="bc8b782a-32f7-4369-91b5-81a42cd9a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8224</Words>
  <Characters>41043</Characters>
  <Application>Microsoft Office Word</Application>
  <DocSecurity>0</DocSecurity>
  <Lines>1140</Lines>
  <Paragraphs>665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2010 - 00-d0-01</dc:title>
  <dc:subject/>
  <dc:creator/>
  <cp:keywords/>
  <dc:description/>
  <cp:lastModifiedBy>Master Repository Process</cp:lastModifiedBy>
  <cp:revision>4</cp:revision>
  <cp:lastPrinted>2010-04-21T08:56:00Z</cp:lastPrinted>
  <dcterms:created xsi:type="dcterms:W3CDTF">2022-03-11T06:44:00Z</dcterms:created>
  <dcterms:modified xsi:type="dcterms:W3CDTF">2022-03-11T06:44:00Z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AsAtDate">
    <vt:lpwstr>10 Nov 2020</vt:lpwstr>
  </property>
  <property fmtid="{D5CDD505-2E9C-101B-9397-08002B2CF9AE}" pid="6" name="Suffix">
    <vt:lpwstr>00-d0-01</vt:lpwstr>
  </property>
  <property fmtid="{D5CDD505-2E9C-101B-9397-08002B2CF9AE}" pid="7" name="CommencementDate">
    <vt:lpwstr>20201110</vt:lpwstr>
  </property>
</Properties>
</file>