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Settlement Agents Regulations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Regulations 1982</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 xml:space="preserve">. </w:t>
      </w:r>
      <w:r>
        <w:rPr>
          <w:snapToGrid w:val="0"/>
          <w:szCs w:val="24"/>
        </w:rPr>
        <w:tab/>
        <w:t>Citation</w:t>
      </w:r>
      <w:r>
        <w:tab/>
      </w:r>
      <w:r>
        <w:fldChar w:fldCharType="begin"/>
      </w:r>
      <w:r>
        <w:instrText xml:space="preserve"> PAGEREF _Toc138146229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Interpretation</w:t>
      </w:r>
      <w:r>
        <w:tab/>
      </w:r>
      <w:r>
        <w:fldChar w:fldCharType="begin"/>
      </w:r>
      <w:r>
        <w:instrText xml:space="preserve"> PAGEREF _Toc138146230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Common seal</w:t>
      </w:r>
      <w:r>
        <w:tab/>
      </w:r>
      <w:r>
        <w:fldChar w:fldCharType="begin"/>
      </w:r>
      <w:r>
        <w:instrText xml:space="preserve"> PAGEREF _Toc138146231 \h </w:instrText>
      </w:r>
      <w:r>
        <w:fldChar w:fldCharType="separate"/>
      </w:r>
      <w:r>
        <w:t>1</w:t>
      </w:r>
      <w:r>
        <w:fldChar w:fldCharType="end"/>
      </w:r>
    </w:p>
    <w:p>
      <w:pPr>
        <w:pStyle w:val="TOC8"/>
        <w:rPr>
          <w:sz w:val="24"/>
          <w:szCs w:val="24"/>
        </w:rPr>
      </w:pPr>
      <w:r>
        <w:rPr>
          <w:szCs w:val="24"/>
        </w:rPr>
        <w:t>4</w:t>
      </w:r>
      <w:r>
        <w:rPr>
          <w:snapToGrid w:val="0"/>
          <w:szCs w:val="24"/>
        </w:rPr>
        <w:t xml:space="preserve">. </w:t>
      </w:r>
      <w:r>
        <w:rPr>
          <w:snapToGrid w:val="0"/>
          <w:szCs w:val="24"/>
        </w:rPr>
        <w:tab/>
        <w:t>Fees</w:t>
      </w:r>
      <w:r>
        <w:tab/>
      </w:r>
      <w:r>
        <w:fldChar w:fldCharType="begin"/>
      </w:r>
      <w:r>
        <w:instrText xml:space="preserve"> PAGEREF _Toc138146232 \h </w:instrText>
      </w:r>
      <w:r>
        <w:fldChar w:fldCharType="separate"/>
      </w:r>
      <w:r>
        <w:t>2</w:t>
      </w:r>
      <w:r>
        <w:fldChar w:fldCharType="end"/>
      </w:r>
    </w:p>
    <w:p>
      <w:pPr>
        <w:pStyle w:val="TOC8"/>
        <w:rPr>
          <w:sz w:val="24"/>
          <w:szCs w:val="24"/>
        </w:rPr>
      </w:pPr>
      <w:r>
        <w:rPr>
          <w:szCs w:val="24"/>
        </w:rPr>
        <w:t>4A</w:t>
      </w:r>
      <w:r>
        <w:rPr>
          <w:snapToGrid w:val="0"/>
          <w:szCs w:val="24"/>
        </w:rPr>
        <w:t xml:space="preserve">. </w:t>
      </w:r>
      <w:r>
        <w:rPr>
          <w:snapToGrid w:val="0"/>
          <w:szCs w:val="24"/>
        </w:rPr>
        <w:tab/>
        <w:t>Holding fee</w:t>
      </w:r>
      <w:r>
        <w:tab/>
      </w:r>
      <w:r>
        <w:fldChar w:fldCharType="begin"/>
      </w:r>
      <w:r>
        <w:instrText xml:space="preserve"> PAGEREF _Toc138146233 \h </w:instrText>
      </w:r>
      <w:r>
        <w:fldChar w:fldCharType="separate"/>
      </w:r>
      <w:r>
        <w:t>2</w:t>
      </w:r>
      <w:r>
        <w:fldChar w:fldCharType="end"/>
      </w:r>
    </w:p>
    <w:p>
      <w:pPr>
        <w:pStyle w:val="TOC8"/>
        <w:rPr>
          <w:sz w:val="24"/>
          <w:szCs w:val="24"/>
        </w:rPr>
      </w:pPr>
      <w:r>
        <w:rPr>
          <w:szCs w:val="24"/>
        </w:rPr>
        <w:t>5</w:t>
      </w:r>
      <w:r>
        <w:rPr>
          <w:snapToGrid w:val="0"/>
          <w:szCs w:val="24"/>
        </w:rPr>
        <w:t xml:space="preserve">. </w:t>
      </w:r>
      <w:r>
        <w:rPr>
          <w:snapToGrid w:val="0"/>
          <w:szCs w:val="24"/>
        </w:rPr>
        <w:tab/>
        <w:t>Publication of notice of application</w:t>
      </w:r>
      <w:r>
        <w:tab/>
      </w:r>
      <w:r>
        <w:fldChar w:fldCharType="begin"/>
      </w:r>
      <w:r>
        <w:instrText xml:space="preserve"> PAGEREF _Toc138146234 \h </w:instrText>
      </w:r>
      <w:r>
        <w:fldChar w:fldCharType="separate"/>
      </w:r>
      <w:r>
        <w:t>3</w:t>
      </w:r>
      <w:r>
        <w:fldChar w:fldCharType="end"/>
      </w:r>
    </w:p>
    <w:p>
      <w:pPr>
        <w:pStyle w:val="TOC8"/>
        <w:rPr>
          <w:sz w:val="24"/>
          <w:szCs w:val="24"/>
        </w:rPr>
      </w:pPr>
      <w:r>
        <w:rPr>
          <w:szCs w:val="24"/>
        </w:rPr>
        <w:t>6.</w:t>
      </w:r>
      <w:r>
        <w:rPr>
          <w:szCs w:val="24"/>
        </w:rPr>
        <w:tab/>
        <w:t>Examinations</w:t>
      </w:r>
      <w:r>
        <w:tab/>
      </w:r>
      <w:r>
        <w:fldChar w:fldCharType="begin"/>
      </w:r>
      <w:r>
        <w:instrText xml:space="preserve"> PAGEREF _Toc138146235 \h </w:instrText>
      </w:r>
      <w:r>
        <w:fldChar w:fldCharType="separate"/>
      </w:r>
      <w:r>
        <w:t>3</w:t>
      </w:r>
      <w:r>
        <w:fldChar w:fldCharType="end"/>
      </w:r>
    </w:p>
    <w:p>
      <w:pPr>
        <w:pStyle w:val="TOC8"/>
        <w:rPr>
          <w:sz w:val="24"/>
          <w:szCs w:val="24"/>
        </w:rPr>
      </w:pPr>
      <w:r>
        <w:rPr>
          <w:szCs w:val="24"/>
        </w:rPr>
        <w:t>6AA</w:t>
      </w:r>
      <w:r>
        <w:rPr>
          <w:snapToGrid w:val="0"/>
          <w:szCs w:val="24"/>
        </w:rPr>
        <w:t>.</w:t>
      </w:r>
      <w:r>
        <w:rPr>
          <w:snapToGrid w:val="0"/>
          <w:szCs w:val="24"/>
        </w:rPr>
        <w:tab/>
        <w:t>Information to be included in agent’s authority to act</w:t>
      </w:r>
      <w:r>
        <w:tab/>
      </w:r>
      <w:r>
        <w:fldChar w:fldCharType="begin"/>
      </w:r>
      <w:r>
        <w:instrText xml:space="preserve"> PAGEREF _Toc138146236 \h </w:instrText>
      </w:r>
      <w:r>
        <w:fldChar w:fldCharType="separate"/>
      </w:r>
      <w:r>
        <w:t>4</w:t>
      </w:r>
      <w:r>
        <w:fldChar w:fldCharType="end"/>
      </w:r>
    </w:p>
    <w:p>
      <w:pPr>
        <w:pStyle w:val="TOC8"/>
        <w:rPr>
          <w:sz w:val="24"/>
          <w:szCs w:val="24"/>
        </w:rPr>
      </w:pPr>
      <w:r>
        <w:rPr>
          <w:szCs w:val="24"/>
        </w:rPr>
        <w:t>6A</w:t>
      </w:r>
      <w:r>
        <w:rPr>
          <w:snapToGrid w:val="0"/>
          <w:szCs w:val="24"/>
        </w:rPr>
        <w:t xml:space="preserve">. </w:t>
      </w:r>
      <w:r>
        <w:rPr>
          <w:snapToGrid w:val="0"/>
          <w:szCs w:val="24"/>
        </w:rPr>
        <w:tab/>
        <w:t>Definition of “authorised financial institution” — prescribed classes</w:t>
      </w:r>
      <w:r>
        <w:tab/>
      </w:r>
      <w:r>
        <w:fldChar w:fldCharType="begin"/>
      </w:r>
      <w:r>
        <w:instrText xml:space="preserve"> PAGEREF _Toc138146237 \h </w:instrText>
      </w:r>
      <w:r>
        <w:fldChar w:fldCharType="separate"/>
      </w:r>
      <w:r>
        <w:t>4</w:t>
      </w:r>
      <w:r>
        <w:fldChar w:fldCharType="end"/>
      </w:r>
    </w:p>
    <w:p>
      <w:pPr>
        <w:pStyle w:val="TOC8"/>
        <w:rPr>
          <w:sz w:val="24"/>
          <w:szCs w:val="24"/>
        </w:rPr>
      </w:pPr>
      <w:r>
        <w:rPr>
          <w:szCs w:val="24"/>
        </w:rPr>
        <w:t>6B</w:t>
      </w:r>
      <w:r>
        <w:rPr>
          <w:snapToGrid w:val="0"/>
          <w:szCs w:val="24"/>
        </w:rPr>
        <w:t xml:space="preserve">. </w:t>
      </w:r>
      <w:r>
        <w:rPr>
          <w:snapToGrid w:val="0"/>
          <w:szCs w:val="24"/>
        </w:rPr>
        <w:tab/>
        <w:t>Designation of trust accounts</w:t>
      </w:r>
      <w:r>
        <w:tab/>
      </w:r>
      <w:r>
        <w:fldChar w:fldCharType="begin"/>
      </w:r>
      <w:r>
        <w:instrText xml:space="preserve"> PAGEREF _Toc138146238 \h </w:instrText>
      </w:r>
      <w:r>
        <w:fldChar w:fldCharType="separate"/>
      </w:r>
      <w:r>
        <w:t>5</w:t>
      </w:r>
      <w:r>
        <w:fldChar w:fldCharType="end"/>
      </w:r>
    </w:p>
    <w:p>
      <w:pPr>
        <w:pStyle w:val="TOC8"/>
        <w:rPr>
          <w:sz w:val="24"/>
          <w:szCs w:val="24"/>
        </w:rPr>
      </w:pPr>
      <w:r>
        <w:rPr>
          <w:szCs w:val="24"/>
        </w:rPr>
        <w:t>6C</w:t>
      </w:r>
      <w:r>
        <w:rPr>
          <w:snapToGrid w:val="0"/>
          <w:szCs w:val="24"/>
        </w:rPr>
        <w:t xml:space="preserve">. </w:t>
      </w:r>
      <w:r>
        <w:rPr>
          <w:snapToGrid w:val="0"/>
          <w:szCs w:val="24"/>
        </w:rPr>
        <w:tab/>
        <w:t>Prescribed requirements for separate accounts</w:t>
      </w:r>
      <w:r>
        <w:tab/>
      </w:r>
      <w:r>
        <w:fldChar w:fldCharType="begin"/>
      </w:r>
      <w:r>
        <w:instrText xml:space="preserve"> PAGEREF _Toc138146239 \h </w:instrText>
      </w:r>
      <w:r>
        <w:fldChar w:fldCharType="separate"/>
      </w:r>
      <w:r>
        <w:t>5</w:t>
      </w:r>
      <w:r>
        <w:fldChar w:fldCharType="end"/>
      </w:r>
    </w:p>
    <w:p>
      <w:pPr>
        <w:pStyle w:val="TOC8"/>
        <w:rPr>
          <w:sz w:val="24"/>
          <w:szCs w:val="24"/>
        </w:rPr>
      </w:pPr>
      <w:r>
        <w:rPr>
          <w:szCs w:val="24"/>
        </w:rPr>
        <w:t>6D</w:t>
      </w:r>
      <w:r>
        <w:rPr>
          <w:snapToGrid w:val="0"/>
          <w:szCs w:val="24"/>
        </w:rPr>
        <w:t xml:space="preserve">. </w:t>
      </w:r>
      <w:r>
        <w:rPr>
          <w:snapToGrid w:val="0"/>
          <w:szCs w:val="24"/>
        </w:rPr>
        <w:tab/>
        <w:t>Interest payable on trust accounts</w:t>
      </w:r>
      <w:r>
        <w:tab/>
      </w:r>
      <w:r>
        <w:fldChar w:fldCharType="begin"/>
      </w:r>
      <w:r>
        <w:instrText xml:space="preserve"> PAGEREF _Toc138146240 \h </w:instrText>
      </w:r>
      <w:r>
        <w:fldChar w:fldCharType="separate"/>
      </w:r>
      <w:r>
        <w:t>6</w:t>
      </w:r>
      <w:r>
        <w:fldChar w:fldCharType="end"/>
      </w:r>
    </w:p>
    <w:p>
      <w:pPr>
        <w:pStyle w:val="TOC8"/>
        <w:rPr>
          <w:sz w:val="24"/>
          <w:szCs w:val="24"/>
        </w:rPr>
      </w:pPr>
      <w:r>
        <w:rPr>
          <w:szCs w:val="24"/>
        </w:rPr>
        <w:t xml:space="preserve">6E. </w:t>
      </w:r>
      <w:r>
        <w:rPr>
          <w:szCs w:val="24"/>
        </w:rPr>
        <w:tab/>
        <w:t>Content of receipts</w:t>
      </w:r>
      <w:r>
        <w:tab/>
      </w:r>
      <w:r>
        <w:fldChar w:fldCharType="begin"/>
      </w:r>
      <w:r>
        <w:instrText xml:space="preserve"> PAGEREF _Toc138146241 \h </w:instrText>
      </w:r>
      <w:r>
        <w:fldChar w:fldCharType="separate"/>
      </w:r>
      <w:r>
        <w:t>6</w:t>
      </w:r>
      <w:r>
        <w:fldChar w:fldCharType="end"/>
      </w:r>
    </w:p>
    <w:p>
      <w:pPr>
        <w:pStyle w:val="TOC8"/>
        <w:rPr>
          <w:sz w:val="24"/>
          <w:szCs w:val="24"/>
        </w:rPr>
      </w:pPr>
      <w:r>
        <w:rPr>
          <w:szCs w:val="24"/>
        </w:rPr>
        <w:t>6F</w:t>
      </w:r>
      <w:r>
        <w:rPr>
          <w:snapToGrid w:val="0"/>
          <w:szCs w:val="24"/>
        </w:rPr>
        <w:t xml:space="preserve">. </w:t>
      </w:r>
      <w:r>
        <w:rPr>
          <w:snapToGrid w:val="0"/>
          <w:szCs w:val="24"/>
        </w:rPr>
        <w:tab/>
        <w:t>Records under section 50(1)(b)</w:t>
      </w:r>
      <w:r>
        <w:tab/>
      </w:r>
      <w:r>
        <w:fldChar w:fldCharType="begin"/>
      </w:r>
      <w:r>
        <w:instrText xml:space="preserve"> PAGEREF _Toc138146242 \h </w:instrText>
      </w:r>
      <w:r>
        <w:fldChar w:fldCharType="separate"/>
      </w:r>
      <w:r>
        <w:t>7</w:t>
      </w:r>
      <w:r>
        <w:fldChar w:fldCharType="end"/>
      </w:r>
    </w:p>
    <w:p>
      <w:pPr>
        <w:pStyle w:val="TOC8"/>
        <w:rPr>
          <w:sz w:val="24"/>
          <w:szCs w:val="24"/>
        </w:rPr>
      </w:pPr>
      <w:r>
        <w:rPr>
          <w:szCs w:val="24"/>
        </w:rPr>
        <w:t>7</w:t>
      </w:r>
      <w:r>
        <w:rPr>
          <w:snapToGrid w:val="0"/>
          <w:szCs w:val="24"/>
        </w:rPr>
        <w:t xml:space="preserve">. </w:t>
      </w:r>
      <w:r>
        <w:rPr>
          <w:snapToGrid w:val="0"/>
          <w:szCs w:val="24"/>
        </w:rPr>
        <w:tab/>
        <w:t>Particulars to be included in registers</w:t>
      </w:r>
      <w:r>
        <w:tab/>
      </w:r>
      <w:r>
        <w:fldChar w:fldCharType="begin"/>
      </w:r>
      <w:r>
        <w:instrText xml:space="preserve"> PAGEREF _Toc138146243 \h </w:instrText>
      </w:r>
      <w:r>
        <w:fldChar w:fldCharType="separate"/>
      </w:r>
      <w:r>
        <w:t>7</w:t>
      </w:r>
      <w:r>
        <w:fldChar w:fldCharType="end"/>
      </w:r>
    </w:p>
    <w:p>
      <w:pPr>
        <w:pStyle w:val="TOC8"/>
        <w:rPr>
          <w:sz w:val="24"/>
          <w:szCs w:val="24"/>
        </w:rPr>
      </w:pPr>
      <w:r>
        <w:rPr>
          <w:szCs w:val="24"/>
        </w:rPr>
        <w:t>8</w:t>
      </w:r>
      <w:r>
        <w:rPr>
          <w:snapToGrid w:val="0"/>
          <w:szCs w:val="24"/>
        </w:rPr>
        <w:t xml:space="preserve">. </w:t>
      </w:r>
      <w:r>
        <w:rPr>
          <w:snapToGrid w:val="0"/>
          <w:szCs w:val="24"/>
        </w:rPr>
        <w:tab/>
        <w:t>Recovery of fees, fines and costs</w:t>
      </w:r>
      <w:r>
        <w:tab/>
      </w:r>
      <w:r>
        <w:fldChar w:fldCharType="begin"/>
      </w:r>
      <w:r>
        <w:instrText xml:space="preserve"> PAGEREF _Toc138146244 \h </w:instrText>
      </w:r>
      <w:r>
        <w:fldChar w:fldCharType="separate"/>
      </w:r>
      <w:r>
        <w:t>9</w:t>
      </w:r>
      <w:r>
        <w:fldChar w:fldCharType="end"/>
      </w:r>
    </w:p>
    <w:p>
      <w:pPr>
        <w:pStyle w:val="TOC8"/>
        <w:rPr>
          <w:sz w:val="24"/>
          <w:szCs w:val="24"/>
        </w:rPr>
      </w:pPr>
      <w:r>
        <w:rPr>
          <w:szCs w:val="24"/>
        </w:rPr>
        <w:t>9</w:t>
      </w:r>
      <w:r>
        <w:rPr>
          <w:snapToGrid w:val="0"/>
          <w:szCs w:val="24"/>
        </w:rPr>
        <w:t xml:space="preserve">. </w:t>
      </w:r>
      <w:r>
        <w:rPr>
          <w:snapToGrid w:val="0"/>
          <w:szCs w:val="24"/>
        </w:rPr>
        <w:tab/>
        <w:t>Application of Board Interest Account</w:t>
      </w:r>
      <w:r>
        <w:tab/>
      </w:r>
      <w:r>
        <w:fldChar w:fldCharType="begin"/>
      </w:r>
      <w:r>
        <w:instrText xml:space="preserve"> PAGEREF _Toc138146245 \h </w:instrText>
      </w:r>
      <w:r>
        <w:fldChar w:fldCharType="separate"/>
      </w:r>
      <w:r>
        <w:t>9</w:t>
      </w:r>
      <w:r>
        <w:fldChar w:fldCharType="end"/>
      </w:r>
    </w:p>
    <w:p>
      <w:pPr>
        <w:pStyle w:val="TOC8"/>
        <w:rPr>
          <w:sz w:val="24"/>
          <w:szCs w:val="24"/>
        </w:rPr>
      </w:pPr>
      <w:r>
        <w:rPr>
          <w:szCs w:val="24"/>
        </w:rPr>
        <w:t>10</w:t>
      </w:r>
      <w:r>
        <w:rPr>
          <w:snapToGrid w:val="0"/>
          <w:szCs w:val="24"/>
        </w:rPr>
        <w:t xml:space="preserve">. </w:t>
      </w:r>
      <w:r>
        <w:rPr>
          <w:snapToGrid w:val="0"/>
          <w:szCs w:val="24"/>
        </w:rPr>
        <w:tab/>
        <w:t>Claims against the Fund</w:t>
      </w:r>
      <w:r>
        <w:tab/>
      </w:r>
      <w:r>
        <w:fldChar w:fldCharType="begin"/>
      </w:r>
      <w:r>
        <w:instrText xml:space="preserve"> PAGEREF _Toc138146246 \h </w:instrText>
      </w:r>
      <w:r>
        <w:fldChar w:fldCharType="separate"/>
      </w:r>
      <w:r>
        <w:t>10</w:t>
      </w:r>
      <w:r>
        <w:fldChar w:fldCharType="end"/>
      </w:r>
    </w:p>
    <w:p>
      <w:pPr>
        <w:pStyle w:val="TOC8"/>
        <w:rPr>
          <w:sz w:val="24"/>
          <w:szCs w:val="24"/>
        </w:rPr>
      </w:pPr>
      <w:r>
        <w:rPr>
          <w:szCs w:val="24"/>
        </w:rPr>
        <w:t>11</w:t>
      </w:r>
      <w:r>
        <w:rPr>
          <w:snapToGrid w:val="0"/>
          <w:szCs w:val="24"/>
        </w:rPr>
        <w:t xml:space="preserve">. </w:t>
      </w:r>
      <w:r>
        <w:rPr>
          <w:snapToGrid w:val="0"/>
          <w:szCs w:val="24"/>
        </w:rPr>
        <w:tab/>
        <w:t>Documents that a real estate settlement agent may draw etc.</w:t>
      </w:r>
      <w:r>
        <w:tab/>
      </w:r>
      <w:r>
        <w:fldChar w:fldCharType="begin"/>
      </w:r>
      <w:r>
        <w:instrText xml:space="preserve"> PAGEREF _Toc138146247 \h </w:instrText>
      </w:r>
      <w:r>
        <w:fldChar w:fldCharType="separate"/>
      </w:r>
      <w:r>
        <w:t>10</w:t>
      </w:r>
      <w:r>
        <w:fldChar w:fldCharType="end"/>
      </w:r>
    </w:p>
    <w:p>
      <w:pPr>
        <w:pStyle w:val="TOC8"/>
        <w:rPr>
          <w:sz w:val="24"/>
          <w:szCs w:val="24"/>
        </w:rPr>
      </w:pPr>
      <w:r>
        <w:rPr>
          <w:szCs w:val="24"/>
        </w:rPr>
        <w:t>12</w:t>
      </w:r>
      <w:r>
        <w:rPr>
          <w:snapToGrid w:val="0"/>
          <w:szCs w:val="24"/>
        </w:rPr>
        <w:t xml:space="preserve">. </w:t>
      </w:r>
      <w:r>
        <w:rPr>
          <w:snapToGrid w:val="0"/>
          <w:szCs w:val="24"/>
        </w:rPr>
        <w:tab/>
        <w:t>Documents that a business settlement agent may draw etc.</w:t>
      </w:r>
      <w:r>
        <w:tab/>
      </w:r>
      <w:r>
        <w:fldChar w:fldCharType="begin"/>
      </w:r>
      <w:r>
        <w:instrText xml:space="preserve"> PAGEREF _Toc138146248 \h </w:instrText>
      </w:r>
      <w:r>
        <w:fldChar w:fldCharType="separate"/>
      </w:r>
      <w:r>
        <w:t>10</w:t>
      </w:r>
      <w:r>
        <w:fldChar w:fldCharType="end"/>
      </w:r>
    </w:p>
    <w:p>
      <w:pPr>
        <w:pStyle w:val="TOC8"/>
        <w:rPr>
          <w:sz w:val="24"/>
          <w:szCs w:val="24"/>
        </w:rPr>
      </w:pPr>
      <w:r>
        <w:rPr>
          <w:szCs w:val="24"/>
        </w:rPr>
        <w:t>12A</w:t>
      </w:r>
      <w:r>
        <w:rPr>
          <w:snapToGrid w:val="0"/>
          <w:szCs w:val="24"/>
        </w:rPr>
        <w:t xml:space="preserve">. </w:t>
      </w:r>
      <w:r>
        <w:rPr>
          <w:snapToGrid w:val="0"/>
          <w:szCs w:val="24"/>
        </w:rPr>
        <w:tab/>
        <w:t>Power of attorney</w:t>
      </w:r>
      <w:r>
        <w:tab/>
      </w:r>
      <w:r>
        <w:fldChar w:fldCharType="begin"/>
      </w:r>
      <w:r>
        <w:instrText xml:space="preserve"> PAGEREF _Toc138146249 \h </w:instrText>
      </w:r>
      <w:r>
        <w:fldChar w:fldCharType="separate"/>
      </w:r>
      <w:r>
        <w:t>11</w:t>
      </w:r>
      <w:r>
        <w:fldChar w:fldCharType="end"/>
      </w:r>
    </w:p>
    <w:p>
      <w:pPr>
        <w:pStyle w:val="TOC8"/>
        <w:rPr>
          <w:sz w:val="24"/>
          <w:szCs w:val="24"/>
        </w:rPr>
      </w:pPr>
      <w:r>
        <w:rPr>
          <w:szCs w:val="24"/>
        </w:rPr>
        <w:t>13</w:t>
      </w:r>
      <w:r>
        <w:rPr>
          <w:snapToGrid w:val="0"/>
          <w:szCs w:val="24"/>
        </w:rPr>
        <w:t xml:space="preserve">. </w:t>
      </w:r>
      <w:r>
        <w:rPr>
          <w:snapToGrid w:val="0"/>
          <w:szCs w:val="24"/>
        </w:rPr>
        <w:tab/>
        <w:t>Warning notice by certain exempted persons</w:t>
      </w:r>
      <w:r>
        <w:tab/>
      </w:r>
      <w:r>
        <w:fldChar w:fldCharType="begin"/>
      </w:r>
      <w:r>
        <w:instrText xml:space="preserve"> PAGEREF _Toc138146250 \h </w:instrText>
      </w:r>
      <w:r>
        <w:fldChar w:fldCharType="separate"/>
      </w:r>
      <w:r>
        <w:t>11</w:t>
      </w:r>
      <w:r>
        <w:fldChar w:fldCharType="end"/>
      </w:r>
    </w:p>
    <w:p>
      <w:pPr>
        <w:pStyle w:val="TOC8"/>
        <w:rPr>
          <w:sz w:val="24"/>
          <w:szCs w:val="24"/>
        </w:rPr>
      </w:pPr>
      <w:r>
        <w:rPr>
          <w:szCs w:val="24"/>
        </w:rPr>
        <w:t>14</w:t>
      </w:r>
      <w:r>
        <w:rPr>
          <w:snapToGrid w:val="0"/>
          <w:szCs w:val="24"/>
        </w:rPr>
        <w:t xml:space="preserve">. </w:t>
      </w:r>
      <w:r>
        <w:rPr>
          <w:snapToGrid w:val="0"/>
          <w:szCs w:val="24"/>
        </w:rPr>
        <w:tab/>
        <w:t>Absence of licensee</w:t>
      </w:r>
      <w:r>
        <w:tab/>
      </w:r>
      <w:r>
        <w:fldChar w:fldCharType="begin"/>
      </w:r>
      <w:r>
        <w:instrText xml:space="preserve"> PAGEREF _Toc138146251 \h </w:instrText>
      </w:r>
      <w:r>
        <w:fldChar w:fldCharType="separate"/>
      </w:r>
      <w:r>
        <w:t>11</w:t>
      </w:r>
      <w:r>
        <w:fldChar w:fldCharType="end"/>
      </w:r>
    </w:p>
    <w:p>
      <w:pPr>
        <w:pStyle w:val="TOC2"/>
        <w:tabs>
          <w:tab w:val="right" w:leader="dot" w:pos="7086"/>
        </w:tabs>
        <w:rPr>
          <w:b w:val="0"/>
          <w:sz w:val="24"/>
          <w:szCs w:val="24"/>
        </w:rPr>
      </w:pPr>
      <w:r>
        <w:rPr>
          <w:szCs w:val="28"/>
        </w:rPr>
        <w:t>Schedule 1 — Prescribed fees</w:t>
      </w:r>
    </w:p>
    <w:p>
      <w:pPr>
        <w:pStyle w:val="TOC2"/>
        <w:tabs>
          <w:tab w:val="right" w:leader="dot" w:pos="7086"/>
        </w:tabs>
        <w:rPr>
          <w:b w:val="0"/>
          <w:sz w:val="24"/>
          <w:szCs w:val="24"/>
        </w:rPr>
      </w:pPr>
      <w:r>
        <w:rPr>
          <w:szCs w:val="28"/>
        </w:rPr>
        <w:t>Schedule 2 — Notice under section 26A or 26B of the Act</w:t>
      </w:r>
    </w:p>
    <w:p>
      <w:pPr>
        <w:pStyle w:val="TOC2"/>
        <w:tabs>
          <w:tab w:val="right" w:leader="dot" w:pos="7086"/>
        </w:tabs>
        <w:rPr>
          <w:b w:val="0"/>
          <w:sz w:val="24"/>
          <w:szCs w:val="24"/>
        </w:rPr>
      </w:pPr>
      <w:r>
        <w:rPr>
          <w:szCs w:val="28"/>
        </w:rPr>
        <w:t>Schedule 3 — Documents that a real estate settlement agent may draw or prepare</w:t>
      </w:r>
    </w:p>
    <w:p>
      <w:pPr>
        <w:pStyle w:val="TOC4"/>
        <w:tabs>
          <w:tab w:val="right" w:leader="dot" w:pos="7086"/>
        </w:tabs>
        <w:rPr>
          <w:b w:val="0"/>
          <w:sz w:val="24"/>
          <w:szCs w:val="24"/>
        </w:rPr>
      </w:pPr>
      <w:r>
        <w:rPr>
          <w:snapToGrid w:val="0"/>
          <w:szCs w:val="24"/>
        </w:rPr>
        <w:t>Part A — Offer and acceptance</w:t>
      </w:r>
    </w:p>
    <w:p>
      <w:pPr>
        <w:pStyle w:val="TOC4"/>
        <w:tabs>
          <w:tab w:val="right" w:leader="dot" w:pos="7086"/>
        </w:tabs>
        <w:rPr>
          <w:b w:val="0"/>
          <w:sz w:val="24"/>
          <w:szCs w:val="24"/>
        </w:rPr>
      </w:pPr>
      <w:r>
        <w:rPr>
          <w:snapToGrid w:val="0"/>
          <w:szCs w:val="24"/>
        </w:rPr>
        <w:t>Part B — Requisitions on title</w:t>
      </w:r>
    </w:p>
    <w:p>
      <w:pPr>
        <w:pStyle w:val="TOC4"/>
        <w:tabs>
          <w:tab w:val="right" w:leader="dot" w:pos="7086"/>
        </w:tabs>
        <w:rPr>
          <w:b w:val="0"/>
          <w:sz w:val="24"/>
          <w:szCs w:val="24"/>
        </w:rPr>
      </w:pPr>
      <w:r>
        <w:rPr>
          <w:snapToGrid w:val="0"/>
          <w:szCs w:val="24"/>
        </w:rPr>
        <w:t>Part C — Documents for registration or lodgement</w:t>
      </w:r>
    </w:p>
    <w:p>
      <w:pPr>
        <w:pStyle w:val="TOC2"/>
        <w:tabs>
          <w:tab w:val="right" w:leader="dot" w:pos="7086"/>
        </w:tabs>
        <w:rPr>
          <w:b w:val="0"/>
          <w:sz w:val="24"/>
          <w:szCs w:val="24"/>
        </w:rPr>
      </w:pPr>
      <w:r>
        <w:rPr>
          <w:szCs w:val="28"/>
        </w:rPr>
        <w:t>Schedule 4 — Documents that a business settlement agent may draw or prepare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_Toc138146260 \h </w:instrText>
      </w:r>
      <w:r>
        <w:fldChar w:fldCharType="separate"/>
      </w:r>
      <w:r>
        <w:t>22</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Settlement Agents Act 1981</w:t>
      </w:r>
    </w:p>
    <w:p>
      <w:pPr>
        <w:pStyle w:val="NameofActReg"/>
      </w:pPr>
      <w:r>
        <w:t>Settlement Agents Regulations 1982</w:t>
      </w:r>
    </w:p>
    <w:p>
      <w:pPr>
        <w:pStyle w:val="Heading5"/>
        <w:rPr>
          <w:snapToGrid w:val="0"/>
        </w:rPr>
      </w:pPr>
      <w:bookmarkStart w:id="1" w:name="_Toc491510189"/>
      <w:bookmarkStart w:id="2" w:name="_Toc101066015"/>
      <w:bookmarkStart w:id="3" w:name="_Toc138146229"/>
      <w:r>
        <w:rPr>
          <w:rStyle w:val="CharSectno"/>
        </w:rPr>
        <w:t>1</w:t>
      </w:r>
      <w:r>
        <w:rPr>
          <w:snapToGrid w:val="0"/>
        </w:rPr>
        <w:t xml:space="preserve">. </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4" w:name="_Toc491510190"/>
      <w:bookmarkStart w:id="5" w:name="_Toc101066016"/>
      <w:bookmarkStart w:id="6" w:name="_Toc138146230"/>
      <w:r>
        <w:rPr>
          <w:rStyle w:val="CharSectno"/>
        </w:rPr>
        <w:t>2</w:t>
      </w:r>
      <w:r>
        <w:rPr>
          <w:snapToGrid w:val="0"/>
        </w:rPr>
        <w:t xml:space="preserve">. </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record</w:t>
      </w:r>
      <w:r>
        <w:rPr>
          <w:b/>
        </w:rPr>
        <w:t>”</w:t>
      </w:r>
      <w:r>
        <w:t xml:space="preserve"> means a record under section 50(1)(b) of the Act;</w:t>
      </w:r>
    </w:p>
    <w:p>
      <w:pPr>
        <w:pStyle w:val="Defstart"/>
      </w:pPr>
      <w:r>
        <w:rPr>
          <w:b/>
        </w:rPr>
        <w:tab/>
        <w:t>“</w:t>
      </w:r>
      <w:r>
        <w:rPr>
          <w:rStyle w:val="CharDefText"/>
        </w:rPr>
        <w:t>register</w:t>
      </w:r>
      <w:r>
        <w:rPr>
          <w:b/>
        </w:rPr>
        <w:t>”</w:t>
      </w:r>
      <w:r>
        <w:t xml:space="preserve"> means the register referred to in regulation 7(b);</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2 inserted in Gazette 25 Jun 1996 p. 2925</w:t>
      </w:r>
      <w:r>
        <w:noBreakHyphen/>
        <w:t xml:space="preserve">6.] </w:t>
      </w:r>
    </w:p>
    <w:p>
      <w:pPr>
        <w:pStyle w:val="Heading5"/>
        <w:rPr>
          <w:snapToGrid w:val="0"/>
        </w:rPr>
      </w:pPr>
      <w:bookmarkStart w:id="7" w:name="_Toc491510191"/>
      <w:bookmarkStart w:id="8" w:name="_Toc101066017"/>
      <w:bookmarkStart w:id="9" w:name="_Toc138146231"/>
      <w:r>
        <w:rPr>
          <w:rStyle w:val="CharSectno"/>
        </w:rPr>
        <w:t>3</w:t>
      </w:r>
      <w:r>
        <w:rPr>
          <w:snapToGrid w:val="0"/>
        </w:rPr>
        <w:t xml:space="preserve">. </w:t>
      </w:r>
      <w:r>
        <w:rPr>
          <w:snapToGrid w:val="0"/>
        </w:rPr>
        <w:tab/>
        <w:t>Common seal</w:t>
      </w:r>
      <w:bookmarkEnd w:id="7"/>
      <w:bookmarkEnd w:id="8"/>
      <w:bookmarkEnd w:id="9"/>
      <w:r>
        <w:rPr>
          <w:snapToGrid w:val="0"/>
        </w:rPr>
        <w:t xml:space="preserve"> </w:t>
      </w:r>
    </w:p>
    <w:p>
      <w:pPr>
        <w:pStyle w:val="Subsection"/>
        <w:rPr>
          <w:snapToGrid w:val="0"/>
        </w:rPr>
      </w:pPr>
      <w:r>
        <w:rPr>
          <w:snapToGrid w:val="0"/>
        </w:rPr>
        <w:tab/>
        <w:t>(1)</w:t>
      </w:r>
      <w:r>
        <w:rPr>
          <w:snapToGrid w:val="0"/>
        </w:rPr>
        <w:tab/>
        <w:t>The common seal of the Board shall be circular in form inscribed with the words “Settlement Agents Supervisory Board” around its circumference and “Common Seal” in its centre.</w:t>
      </w:r>
    </w:p>
    <w:p>
      <w:pPr>
        <w:pStyle w:val="Subsection"/>
        <w:rPr>
          <w:snapToGrid w:val="0"/>
        </w:rPr>
      </w:pPr>
      <w:r>
        <w:rPr>
          <w:snapToGrid w:val="0"/>
        </w:rPr>
        <w:tab/>
        <w:t>(2)</w:t>
      </w:r>
      <w:r>
        <w:rPr>
          <w:snapToGrid w:val="0"/>
        </w:rPr>
        <w:tab/>
        <w:t>The common seal of the Board shall be kept in safe custody and shall not be applied to any document except pursuant to a resolution of the Board.</w:t>
      </w:r>
    </w:p>
    <w:p>
      <w:pPr>
        <w:pStyle w:val="Subsection"/>
        <w:rPr>
          <w:snapToGrid w:val="0"/>
        </w:rPr>
      </w:pPr>
      <w:r>
        <w:rPr>
          <w:snapToGrid w:val="0"/>
        </w:rPr>
        <w:tab/>
        <w:t>(3)</w:t>
      </w:r>
      <w:r>
        <w:rPr>
          <w:snapToGrid w:val="0"/>
        </w:rPr>
        <w:tab/>
        <w:t>The common seal is to be affixed by the Registrar or by such other officer approved by the Board.</w:t>
      </w:r>
    </w:p>
    <w:p>
      <w:pPr>
        <w:pStyle w:val="Heading5"/>
        <w:rPr>
          <w:snapToGrid w:val="0"/>
        </w:rPr>
      </w:pPr>
      <w:bookmarkStart w:id="10" w:name="_Toc491510192"/>
      <w:bookmarkStart w:id="11" w:name="_Toc101066018"/>
      <w:bookmarkStart w:id="12" w:name="_Toc138146232"/>
      <w:r>
        <w:rPr>
          <w:rStyle w:val="CharSectno"/>
        </w:rPr>
        <w:t>4</w:t>
      </w:r>
      <w:r>
        <w:rPr>
          <w:snapToGrid w:val="0"/>
        </w:rPr>
        <w:t xml:space="preserve">. </w:t>
      </w:r>
      <w:r>
        <w:rPr>
          <w:snapToGrid w:val="0"/>
        </w:rPr>
        <w:tab/>
        <w:t>Fees</w:t>
      </w:r>
      <w:bookmarkEnd w:id="10"/>
      <w:bookmarkEnd w:id="11"/>
      <w:bookmarkEnd w:id="12"/>
      <w:r>
        <w:rPr>
          <w:snapToGrid w:val="0"/>
        </w:rPr>
        <w:t xml:space="preserve"> </w:t>
      </w:r>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 xml:space="preserve">4; 23 May 1997 p. 2420.] </w:t>
      </w:r>
    </w:p>
    <w:p>
      <w:pPr>
        <w:pStyle w:val="Heading5"/>
        <w:rPr>
          <w:snapToGrid w:val="0"/>
        </w:rPr>
      </w:pPr>
      <w:bookmarkStart w:id="13" w:name="_Toc491510193"/>
      <w:bookmarkStart w:id="14" w:name="_Toc101066019"/>
      <w:bookmarkStart w:id="15" w:name="_Toc138146233"/>
      <w:r>
        <w:rPr>
          <w:rStyle w:val="CharSectno"/>
        </w:rPr>
        <w:t>4A</w:t>
      </w:r>
      <w:r>
        <w:rPr>
          <w:snapToGrid w:val="0"/>
        </w:rPr>
        <w:t xml:space="preserve">. </w:t>
      </w:r>
      <w:r>
        <w:rPr>
          <w:snapToGrid w:val="0"/>
        </w:rPr>
        <w:tab/>
        <w:t>Holding fee</w:t>
      </w:r>
      <w:bookmarkEnd w:id="13"/>
      <w:bookmarkEnd w:id="14"/>
      <w:bookmarkEnd w:id="1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holding fee</w:t>
      </w:r>
      <w:r>
        <w:rPr>
          <w:b/>
        </w:rPr>
        <w:t>”</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The Board may refund to a licensee —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 xml:space="preserve">2; amended in Gazette 23 May 1997 p. 2420.] </w:t>
      </w:r>
    </w:p>
    <w:p>
      <w:pPr>
        <w:pStyle w:val="Heading5"/>
        <w:rPr>
          <w:snapToGrid w:val="0"/>
        </w:rPr>
      </w:pPr>
      <w:bookmarkStart w:id="16" w:name="_Toc491510194"/>
      <w:bookmarkStart w:id="17" w:name="_Toc101066020"/>
      <w:bookmarkStart w:id="18" w:name="_Toc138146234"/>
      <w:r>
        <w:rPr>
          <w:rStyle w:val="CharSectno"/>
        </w:rPr>
        <w:t>5</w:t>
      </w:r>
      <w:r>
        <w:rPr>
          <w:snapToGrid w:val="0"/>
        </w:rPr>
        <w:t xml:space="preserve">. </w:t>
      </w:r>
      <w:r>
        <w:rPr>
          <w:snapToGrid w:val="0"/>
        </w:rPr>
        <w:tab/>
        <w:t>Publication of notice of application</w:t>
      </w:r>
      <w:bookmarkEnd w:id="16"/>
      <w:bookmarkEnd w:id="17"/>
      <w:bookmarkEnd w:id="18"/>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 xml:space="preserve">shall be published by the applicant in an issue of a newspaper known as </w:t>
      </w:r>
      <w:r>
        <w:rPr>
          <w:i/>
          <w:snapToGrid w:val="0"/>
        </w:rPr>
        <w:t>The West Australian</w:t>
      </w:r>
      <w:r>
        <w:rPr>
          <w:snapToGrid w:val="0"/>
        </w:rPr>
        <w:t xml:space="preserve"> not less than 14 days before the day fixed for the hearing of the application.</w:t>
      </w:r>
    </w:p>
    <w:p>
      <w:pPr>
        <w:pStyle w:val="Subsection"/>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pPr>
      <w:bookmarkStart w:id="19" w:name="_Toc101066021"/>
      <w:bookmarkStart w:id="20" w:name="_Toc138146235"/>
      <w:bookmarkStart w:id="21" w:name="_Toc491510196"/>
      <w:r>
        <w:rPr>
          <w:rStyle w:val="CharSectno"/>
        </w:rPr>
        <w:t>6</w:t>
      </w:r>
      <w:r>
        <w:t>.</w:t>
      </w:r>
      <w:r>
        <w:tab/>
        <w:t>Examinations</w:t>
      </w:r>
      <w:bookmarkEnd w:id="19"/>
      <w:bookmarkEnd w:id="20"/>
    </w:p>
    <w:p>
      <w:pPr>
        <w:pStyle w:val="Subsection"/>
      </w:pPr>
      <w:r>
        <w:tab/>
        <w:t>(1)</w:t>
      </w:r>
      <w:r>
        <w:tab/>
        <w:t xml:space="preserve">For the purposes of Schedule 1 clause 1(1)(a) of the Act the prescribed examinations are the examinations required to be passed to complete the following units — </w:t>
      </w:r>
    </w:p>
    <w:p>
      <w:pPr>
        <w:pStyle w:val="Indenta"/>
      </w:pPr>
      <w:r>
        <w:tab/>
        <w:t>(a)</w:t>
      </w:r>
      <w:r>
        <w:tab/>
        <w:t xml:space="preserve">FNBCNV01A: Take instructions in relation to a transaction or FNSCONV501A: Take instructions in relation to a transaction; </w:t>
      </w:r>
    </w:p>
    <w:p>
      <w:pPr>
        <w:pStyle w:val="Indenta"/>
      </w:pPr>
      <w:r>
        <w:tab/>
        <w:t>(b)</w:t>
      </w:r>
      <w:r>
        <w:tab/>
        <w:t xml:space="preserve">FNBCNV02A: Obtain and analyse all information for the transaction or FNSCONV601A: Obtain and analyse all information for the transaction; </w:t>
      </w:r>
    </w:p>
    <w:p>
      <w:pPr>
        <w:pStyle w:val="Indenta"/>
      </w:pPr>
      <w:r>
        <w:tab/>
        <w:t>(c)</w:t>
      </w:r>
      <w:r>
        <w:tab/>
        <w:t xml:space="preserve">FNBCNV03A: Liaise with clients, other professionals and third parties or FNSICCUS501A: Develop and nurture relationships, with clients other professionals and third parties; </w:t>
      </w:r>
    </w:p>
    <w:p>
      <w:pPr>
        <w:pStyle w:val="Indenta"/>
      </w:pPr>
      <w:r>
        <w:tab/>
        <w:t>(d)</w:t>
      </w:r>
      <w:r>
        <w:tab/>
        <w:t xml:space="preserve">FNBCNV04A: Negotiate to achieve goals and manage disputes or FNSICORG603A: Negotiate to achieve goals and manage disputes; </w:t>
      </w:r>
    </w:p>
    <w:p>
      <w:pPr>
        <w:pStyle w:val="Indenta"/>
      </w:pPr>
      <w:r>
        <w:tab/>
        <w:t>(e)</w:t>
      </w:r>
      <w:r>
        <w:tab/>
        <w:t xml:space="preserve">FNBCNV05A: Prepare and/or analyse and execute documents or FNSCONV502A: Prepare and/or analyse and execute documents; </w:t>
      </w:r>
    </w:p>
    <w:p>
      <w:pPr>
        <w:pStyle w:val="Indenta"/>
      </w:pPr>
      <w:r>
        <w:tab/>
        <w:t>(f)</w:t>
      </w:r>
      <w:r>
        <w:tab/>
        <w:t xml:space="preserve">FNBCNV06A: Establish, manage and administer trust accounts or FNSCONV503A: Establish, manage and administer trust accounts; </w:t>
      </w:r>
    </w:p>
    <w:p>
      <w:pPr>
        <w:pStyle w:val="Indenta"/>
      </w:pPr>
      <w:r>
        <w:tab/>
        <w:t>(g)</w:t>
      </w:r>
      <w:r>
        <w:tab/>
        <w:t>FNBCNV07A: Finalise transactions or FNSCONV504A: Finalise conveyancing transactions.</w:t>
      </w:r>
    </w:p>
    <w:p>
      <w:pPr>
        <w:pStyle w:val="Subsection"/>
        <w:keepNext/>
        <w:keepLines/>
      </w:pPr>
      <w:r>
        <w:tab/>
        <w:t>(2)</w:t>
      </w:r>
      <w:r>
        <w:tab/>
        <w:t xml:space="preserve">The prescribed examinations for the purposes of clause 2(1)(a) of Schedule 1 to the Act are — </w:t>
      </w:r>
    </w:p>
    <w:p>
      <w:pPr>
        <w:pStyle w:val="Indenta"/>
      </w:pPr>
      <w:r>
        <w:tab/>
        <w:t>(a)</w:t>
      </w:r>
      <w:r>
        <w:tab/>
        <w:t xml:space="preserve">the examinations prescribed by subregulation (1); and </w:t>
      </w:r>
    </w:p>
    <w:p>
      <w:pPr>
        <w:pStyle w:val="Indenta"/>
      </w:pPr>
      <w:r>
        <w:tab/>
        <w:t>(b)</w:t>
      </w:r>
      <w:r>
        <w:tab/>
        <w:t>the examinations required to be passed to complete a unit covering the settlement of business transactions.</w:t>
      </w:r>
    </w:p>
    <w:p>
      <w:pPr>
        <w:pStyle w:val="Subsection"/>
      </w:pPr>
      <w:r>
        <w:tab/>
        <w:t>(3)</w:t>
      </w:r>
      <w:r>
        <w:tab/>
        <w:t xml:space="preserve">In this regulation — </w:t>
      </w:r>
    </w:p>
    <w:p>
      <w:pPr>
        <w:pStyle w:val="Defstart"/>
      </w:pPr>
      <w:r>
        <w:rPr>
          <w:b/>
        </w:rPr>
        <w:tab/>
        <w:t>“</w:t>
      </w:r>
      <w:r>
        <w:rPr>
          <w:rStyle w:val="CharDefText"/>
        </w:rPr>
        <w:t>public training provider</w:t>
      </w:r>
      <w:r>
        <w:rPr>
          <w:b/>
        </w:rPr>
        <w:t>”</w:t>
      </w:r>
      <w:r>
        <w:t xml:space="preserve"> and </w:t>
      </w:r>
      <w:r>
        <w:rPr>
          <w:b/>
        </w:rPr>
        <w:t>“</w:t>
      </w:r>
      <w:r>
        <w:rPr>
          <w:rStyle w:val="CharDefText"/>
        </w:rPr>
        <w:t>registered training provider</w:t>
      </w:r>
      <w:r>
        <w:rPr>
          <w:b/>
        </w:rPr>
        <w:t xml:space="preserve">” </w:t>
      </w:r>
      <w:r>
        <w:t xml:space="preserve">have the same meanings as they have in the </w:t>
      </w:r>
      <w:r>
        <w:rPr>
          <w:i/>
        </w:rPr>
        <w:t>Vocational Education and Training Act 1996</w:t>
      </w:r>
      <w:r>
        <w:t xml:space="preserve">; </w:t>
      </w:r>
    </w:p>
    <w:p>
      <w:pPr>
        <w:pStyle w:val="Defstart"/>
      </w:pPr>
      <w:r>
        <w:rPr>
          <w:b/>
        </w:rPr>
        <w:tab/>
        <w:t>“</w:t>
      </w:r>
      <w:r>
        <w:rPr>
          <w:rStyle w:val="CharDefText"/>
        </w:rPr>
        <w:t>unit</w:t>
      </w:r>
      <w:r>
        <w:rPr>
          <w:b/>
        </w:rPr>
        <w: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w:t>
      </w:r>
    </w:p>
    <w:p>
      <w:pPr>
        <w:pStyle w:val="Heading5"/>
      </w:pPr>
      <w:bookmarkStart w:id="22" w:name="_Toc101066022"/>
      <w:bookmarkStart w:id="23" w:name="_Toc138146236"/>
      <w:r>
        <w:rPr>
          <w:rStyle w:val="CharSectno"/>
        </w:rPr>
        <w:t>6AA</w:t>
      </w:r>
      <w:r>
        <w:rPr>
          <w:snapToGrid w:val="0"/>
        </w:rPr>
        <w:t>.</w:t>
      </w:r>
      <w:r>
        <w:rPr>
          <w:snapToGrid w:val="0"/>
        </w:rPr>
        <w:tab/>
        <w:t>Information to be included in agent’s authority to act</w:t>
      </w:r>
      <w:bookmarkEnd w:id="21"/>
      <w:bookmarkEnd w:id="22"/>
      <w:bookmarkEnd w:id="23"/>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24" w:name="_Toc491510197"/>
      <w:bookmarkStart w:id="25" w:name="_Toc101066023"/>
      <w:bookmarkStart w:id="26" w:name="_Toc138146237"/>
      <w:r>
        <w:rPr>
          <w:rStyle w:val="CharSectno"/>
        </w:rPr>
        <w:t>6A</w:t>
      </w:r>
      <w:r>
        <w:rPr>
          <w:snapToGrid w:val="0"/>
        </w:rPr>
        <w:t xml:space="preserve">. </w:t>
      </w:r>
      <w:r>
        <w:rPr>
          <w:snapToGrid w:val="0"/>
        </w:rPr>
        <w:tab/>
        <w:t>Definition of “authorised financial institution” — prescribed classes</w:t>
      </w:r>
      <w:bookmarkEnd w:id="24"/>
      <w:bookmarkEnd w:id="25"/>
      <w:bookmarkEnd w:id="26"/>
      <w:r>
        <w:rPr>
          <w:snapToGrid w:val="0"/>
        </w:rPr>
        <w:t xml:space="preserve"> </w:t>
      </w:r>
    </w:p>
    <w:p>
      <w:pPr>
        <w:pStyle w:val="Subsection"/>
        <w:rPr>
          <w:snapToGrid w:val="0"/>
        </w:rPr>
      </w:pPr>
      <w:r>
        <w:rPr>
          <w:snapToGrid w:val="0"/>
        </w:rPr>
        <w:tab/>
      </w:r>
      <w:r>
        <w:rPr>
          <w:snapToGrid w:val="0"/>
        </w:rPr>
        <w:tab/>
        <w:t>For the purposes of the definition of “authorised financial institution” in section 48 of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6A inserted in Gazette 25 Jun 1996 p. 2926.] </w:t>
      </w:r>
    </w:p>
    <w:p>
      <w:pPr>
        <w:pStyle w:val="Heading5"/>
        <w:rPr>
          <w:snapToGrid w:val="0"/>
        </w:rPr>
      </w:pPr>
      <w:bookmarkStart w:id="27" w:name="_Toc491510198"/>
      <w:bookmarkStart w:id="28" w:name="_Toc101066024"/>
      <w:bookmarkStart w:id="29" w:name="_Toc138146238"/>
      <w:r>
        <w:rPr>
          <w:rStyle w:val="CharSectno"/>
        </w:rPr>
        <w:t>6B</w:t>
      </w:r>
      <w:r>
        <w:rPr>
          <w:snapToGrid w:val="0"/>
        </w:rPr>
        <w:t xml:space="preserve">. </w:t>
      </w:r>
      <w:r>
        <w:rPr>
          <w:snapToGrid w:val="0"/>
        </w:rPr>
        <w:tab/>
        <w:t>Designation of trust accounts</w:t>
      </w:r>
      <w:bookmarkEnd w:id="27"/>
      <w:bookmarkEnd w:id="28"/>
      <w:bookmarkEnd w:id="29"/>
      <w:r>
        <w:rPr>
          <w:snapToGrid w:val="0"/>
        </w:rPr>
        <w:t xml:space="preserve"> </w:t>
      </w:r>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 </w:t>
      </w:r>
    </w:p>
    <w:p>
      <w:pPr>
        <w:pStyle w:val="Indenta"/>
        <w:rPr>
          <w:snapToGrid w:val="0"/>
        </w:rPr>
      </w:pPr>
      <w:r>
        <w:rPr>
          <w:snapToGrid w:val="0"/>
        </w:rPr>
        <w:tab/>
        <w:t>(a)</w:t>
      </w:r>
      <w:r>
        <w:rPr>
          <w:snapToGrid w:val="0"/>
        </w:rPr>
        <w:tab/>
        <w:t>the description “SA Trust Account”;</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 </w:t>
      </w:r>
    </w:p>
    <w:p>
      <w:pPr>
        <w:pStyle w:val="Indenta"/>
        <w:rPr>
          <w:snapToGrid w:val="0"/>
        </w:rPr>
      </w:pPr>
      <w:r>
        <w:rPr>
          <w:snapToGrid w:val="0"/>
        </w:rPr>
        <w:tab/>
        <w:t>(a)</w:t>
      </w:r>
      <w:r>
        <w:rPr>
          <w:snapToGrid w:val="0"/>
        </w:rPr>
        <w:tab/>
        <w:t>the description “SA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 xml:space="preserve">[Regulation 6B inserted in Gazette 25 Jun 1996 p. 2926.] </w:t>
      </w:r>
    </w:p>
    <w:p>
      <w:pPr>
        <w:pStyle w:val="Heading5"/>
        <w:rPr>
          <w:snapToGrid w:val="0"/>
        </w:rPr>
      </w:pPr>
      <w:bookmarkStart w:id="30" w:name="_Toc491510199"/>
      <w:bookmarkStart w:id="31" w:name="_Toc101066025"/>
      <w:bookmarkStart w:id="32" w:name="_Toc138146239"/>
      <w:r>
        <w:rPr>
          <w:rStyle w:val="CharSectno"/>
        </w:rPr>
        <w:t>6C</w:t>
      </w:r>
      <w:r>
        <w:rPr>
          <w:snapToGrid w:val="0"/>
        </w:rPr>
        <w:t xml:space="preserve">. </w:t>
      </w:r>
      <w:r>
        <w:rPr>
          <w:snapToGrid w:val="0"/>
        </w:rPr>
        <w:tab/>
        <w:t>Prescribed requirements for separate accounts</w:t>
      </w:r>
      <w:bookmarkEnd w:id="30"/>
      <w:bookmarkEnd w:id="31"/>
      <w:bookmarkEnd w:id="32"/>
      <w:r>
        <w:rPr>
          <w:snapToGrid w:val="0"/>
        </w:rPr>
        <w:t xml:space="preserve"> </w:t>
      </w:r>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 xml:space="preserve">[Regulation 6C inserted in Gazette 25 Jun 1996 p. 2926.] </w:t>
      </w:r>
    </w:p>
    <w:p>
      <w:pPr>
        <w:pStyle w:val="Heading5"/>
        <w:rPr>
          <w:snapToGrid w:val="0"/>
        </w:rPr>
      </w:pPr>
      <w:bookmarkStart w:id="33" w:name="_Toc491510200"/>
      <w:bookmarkStart w:id="34" w:name="_Toc101066026"/>
      <w:bookmarkStart w:id="35" w:name="_Toc138146240"/>
      <w:r>
        <w:rPr>
          <w:rStyle w:val="CharSectno"/>
        </w:rPr>
        <w:t>6D</w:t>
      </w:r>
      <w:r>
        <w:rPr>
          <w:snapToGrid w:val="0"/>
        </w:rPr>
        <w:t xml:space="preserve">. </w:t>
      </w:r>
      <w:r>
        <w:rPr>
          <w:snapToGrid w:val="0"/>
        </w:rPr>
        <w:tab/>
        <w:t>Interest payable on trust accounts</w:t>
      </w:r>
      <w:bookmarkEnd w:id="33"/>
      <w:bookmarkEnd w:id="34"/>
      <w:bookmarkEnd w:id="35"/>
      <w:r>
        <w:rPr>
          <w:snapToGrid w:val="0"/>
        </w:rPr>
        <w:t xml:space="preserve"> </w:t>
      </w:r>
    </w:p>
    <w:p>
      <w:pPr>
        <w:pStyle w:val="Subsection"/>
        <w:rPr>
          <w:snapToGrid w:val="0"/>
        </w:rPr>
      </w:pPr>
      <w:r>
        <w:rPr>
          <w:snapToGrid w:val="0"/>
        </w:rPr>
        <w:tab/>
        <w:t>(1)</w:t>
      </w:r>
      <w:r>
        <w:rPr>
          <w:snapToGrid w:val="0"/>
        </w:rPr>
        <w:tab/>
        <w:t>For the purposes of section 49B(1) of the Act, interest on the balance of a trust account is to be paid —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 </w:t>
      </w:r>
    </w:p>
    <w:p>
      <w:pPr>
        <w:pStyle w:val="Defstart"/>
      </w:pPr>
      <w:r>
        <w:rPr>
          <w:b/>
        </w:rPr>
        <w:tab/>
        <w:t>“</w:t>
      </w:r>
      <w:r>
        <w:rPr>
          <w:rStyle w:val="CharDefText"/>
        </w:rPr>
        <w:t>relevant bank accepted bills rate</w:t>
      </w:r>
      <w:r>
        <w:rPr>
          <w:b/>
        </w:rPr>
        <w:t>”</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 xml:space="preserve">7.] </w:t>
      </w:r>
    </w:p>
    <w:p>
      <w:pPr>
        <w:pStyle w:val="Heading5"/>
      </w:pPr>
      <w:bookmarkStart w:id="36" w:name="_Toc491510201"/>
      <w:bookmarkStart w:id="37" w:name="_Toc101066027"/>
      <w:bookmarkStart w:id="38" w:name="_Toc138146241"/>
      <w:r>
        <w:rPr>
          <w:rStyle w:val="CharSectno"/>
        </w:rPr>
        <w:t>6E</w:t>
      </w:r>
      <w:r>
        <w:t xml:space="preserve">. </w:t>
      </w:r>
      <w:r>
        <w:tab/>
        <w:t>Content of receipts</w:t>
      </w:r>
      <w:bookmarkEnd w:id="36"/>
      <w:bookmarkEnd w:id="37"/>
      <w:bookmarkEnd w:id="38"/>
    </w:p>
    <w:p>
      <w:pPr>
        <w:pStyle w:val="Subsection"/>
      </w:pPr>
      <w:r>
        <w:tab/>
      </w:r>
      <w:r>
        <w:tab/>
        <w:t>A receipt given under section 50(1)(a) of the Act shall contain the following information — </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keepNext/>
        <w:keepLines/>
      </w:pPr>
      <w:r>
        <w:tab/>
        <w:t>(g)</w:t>
      </w:r>
      <w:r>
        <w:tab/>
        <w:t>if the receipt is hand</w:t>
      </w:r>
      <w:r>
        <w:noBreakHyphen/>
        <w:t>written, the name of the person receiving the money evidenced by the signature of that person.</w:t>
      </w:r>
    </w:p>
    <w:p>
      <w:pPr>
        <w:pStyle w:val="Footnotesection"/>
      </w:pPr>
      <w:r>
        <w:tab/>
        <w:t xml:space="preserve">[Regulation 6E inserted in Gazette 25 Jun 1996 p. 2927.] </w:t>
      </w:r>
    </w:p>
    <w:p>
      <w:pPr>
        <w:pStyle w:val="Heading5"/>
        <w:rPr>
          <w:snapToGrid w:val="0"/>
        </w:rPr>
      </w:pPr>
      <w:bookmarkStart w:id="39" w:name="_Toc491510202"/>
      <w:bookmarkStart w:id="40" w:name="_Toc101066028"/>
      <w:bookmarkStart w:id="41" w:name="_Toc138146242"/>
      <w:r>
        <w:rPr>
          <w:rStyle w:val="CharSectno"/>
        </w:rPr>
        <w:t>6F</w:t>
      </w:r>
      <w:r>
        <w:rPr>
          <w:snapToGrid w:val="0"/>
        </w:rPr>
        <w:t xml:space="preserve">. </w:t>
      </w:r>
      <w:r>
        <w:rPr>
          <w:snapToGrid w:val="0"/>
        </w:rPr>
        <w:tab/>
        <w:t>Records under section 50(1)(b)</w:t>
      </w:r>
      <w:bookmarkEnd w:id="39"/>
      <w:bookmarkEnd w:id="40"/>
      <w:bookmarkEnd w:id="41"/>
      <w:r>
        <w:rPr>
          <w:snapToGrid w:val="0"/>
        </w:rPr>
        <w:t xml:space="preserve"> </w:t>
      </w:r>
    </w:p>
    <w:p>
      <w:pPr>
        <w:pStyle w:val="Subsection"/>
        <w:rPr>
          <w:snapToGrid w:val="0"/>
        </w:rPr>
      </w:pPr>
      <w:r>
        <w:rPr>
          <w:snapToGrid w:val="0"/>
        </w:rPr>
        <w:tab/>
        <w:t>(1)</w:t>
      </w:r>
      <w:r>
        <w:rPr>
          <w:snapToGrid w:val="0"/>
        </w:rPr>
        <w:tab/>
        <w:t>A record shall be —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6E(b), (c), (d), (e) and (f) and, for that purpose, the reference in regulation 6E(b) to “receipt” is to be read as a reference to “record”.</w:t>
      </w:r>
    </w:p>
    <w:p>
      <w:pPr>
        <w:pStyle w:val="Footnotesection"/>
      </w:pPr>
      <w:r>
        <w:tab/>
        <w:t xml:space="preserve">[Regulation 6F inserted in Gazette 25 Jun 1996 p. 2927.] </w:t>
      </w:r>
    </w:p>
    <w:p>
      <w:pPr>
        <w:pStyle w:val="Heading5"/>
        <w:rPr>
          <w:snapToGrid w:val="0"/>
        </w:rPr>
      </w:pPr>
      <w:bookmarkStart w:id="42" w:name="_Toc491510203"/>
      <w:bookmarkStart w:id="43" w:name="_Toc101066029"/>
      <w:bookmarkStart w:id="44" w:name="_Toc138146243"/>
      <w:r>
        <w:rPr>
          <w:rStyle w:val="CharSectno"/>
        </w:rPr>
        <w:t>7</w:t>
      </w:r>
      <w:r>
        <w:rPr>
          <w:snapToGrid w:val="0"/>
        </w:rPr>
        <w:t xml:space="preserve">. </w:t>
      </w:r>
      <w:r>
        <w:rPr>
          <w:snapToGrid w:val="0"/>
        </w:rPr>
        <w:tab/>
        <w:t>Particulars to be included in registers</w:t>
      </w:r>
      <w:bookmarkEnd w:id="42"/>
      <w:bookmarkEnd w:id="43"/>
      <w:bookmarkEnd w:id="44"/>
      <w:r>
        <w:rPr>
          <w:snapToGrid w:val="0"/>
        </w:rPr>
        <w:t xml:space="preserve"> </w:t>
      </w:r>
    </w:p>
    <w:p>
      <w:pPr>
        <w:pStyle w:val="Subsection"/>
        <w:rPr>
          <w:snapToGrid w:val="0"/>
        </w:rPr>
      </w:pPr>
      <w:r>
        <w:rPr>
          <w:snapToGrid w:val="0"/>
        </w:rPr>
        <w:tab/>
      </w:r>
      <w:r>
        <w:rPr>
          <w:snapToGrid w:val="0"/>
        </w:rPr>
        <w:tab/>
        <w:t>The particulars to be recorded, pursuant to section 110(2) of the Act, by the Registrar — </w:t>
      </w:r>
    </w:p>
    <w:p>
      <w:pPr>
        <w:pStyle w:val="Indenta"/>
        <w:rPr>
          <w:snapToGrid w:val="0"/>
        </w:rPr>
      </w:pPr>
      <w:r>
        <w:rPr>
          <w:snapToGrid w:val="0"/>
        </w:rPr>
        <w:tab/>
        <w:t>(a)</w:t>
      </w:r>
      <w:r>
        <w:rPr>
          <w:snapToGrid w:val="0"/>
        </w:rPr>
        <w:tab/>
        <w:t>in the register of licensees are, in respect of each licensee —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where a claim has been made or sustained against the Fund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 settlement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the situation of every registered branch office of the holder and the name and licence numbers of each branch manager;</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(viii)</w:t>
      </w:r>
      <w:r>
        <w:rPr>
          <w:snapToGrid w:val="0"/>
        </w:rPr>
        <w:tab/>
        <w:t>the licence number and the date on which the licence held by the holder of the certificate was granted;</w:t>
      </w:r>
    </w:p>
    <w:p>
      <w:pPr>
        <w:pStyle w:val="Indenti"/>
        <w:rPr>
          <w:snapToGrid w:val="0"/>
        </w:rPr>
      </w:pPr>
      <w:r>
        <w:rPr>
          <w:snapToGrid w:val="0"/>
        </w:rPr>
        <w:tab/>
        <w:t>(ix)</w:t>
      </w:r>
      <w:r>
        <w:rPr>
          <w:snapToGrid w:val="0"/>
        </w:rPr>
        <w:tab/>
        <w:t>whether the holder is licensed as a real estate settlement agent, business settlement agent or both;</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Heading5"/>
        <w:rPr>
          <w:snapToGrid w:val="0"/>
        </w:rPr>
      </w:pPr>
      <w:bookmarkStart w:id="45" w:name="_Toc491510204"/>
      <w:bookmarkStart w:id="46" w:name="_Toc101066030"/>
      <w:bookmarkStart w:id="47" w:name="_Toc138146244"/>
      <w:r>
        <w:rPr>
          <w:rStyle w:val="CharSectno"/>
        </w:rPr>
        <w:t>8</w:t>
      </w:r>
      <w:r>
        <w:rPr>
          <w:snapToGrid w:val="0"/>
        </w:rPr>
        <w:t xml:space="preserve">. </w:t>
      </w:r>
      <w:r>
        <w:rPr>
          <w:snapToGrid w:val="0"/>
        </w:rPr>
        <w:tab/>
        <w:t>Recovery of fees, fines and costs</w:t>
      </w:r>
      <w:bookmarkEnd w:id="45"/>
      <w:bookmarkEnd w:id="46"/>
      <w:bookmarkEnd w:id="47"/>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may be sued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r>
        <w:tab/>
        <w:t>[Regulation 8 amended in Gazette 30 Dec 2004 p. 6927.]</w:t>
      </w:r>
    </w:p>
    <w:p>
      <w:pPr>
        <w:pStyle w:val="Heading5"/>
        <w:rPr>
          <w:snapToGrid w:val="0"/>
        </w:rPr>
      </w:pPr>
      <w:bookmarkStart w:id="48" w:name="_Toc491510205"/>
      <w:bookmarkStart w:id="49" w:name="_Toc101066031"/>
      <w:bookmarkStart w:id="50" w:name="_Toc138146245"/>
      <w:r>
        <w:rPr>
          <w:rStyle w:val="CharSectno"/>
        </w:rPr>
        <w:t>9</w:t>
      </w:r>
      <w:r>
        <w:rPr>
          <w:snapToGrid w:val="0"/>
        </w:rPr>
        <w:t xml:space="preserve">. </w:t>
      </w:r>
      <w:r>
        <w:rPr>
          <w:snapToGrid w:val="0"/>
        </w:rPr>
        <w:tab/>
        <w:t>Application of Board Interest Account</w:t>
      </w:r>
      <w:bookmarkEnd w:id="48"/>
      <w:bookmarkEnd w:id="49"/>
      <w:bookmarkEnd w:id="50"/>
      <w:r>
        <w:rPr>
          <w:snapToGrid w:val="0"/>
        </w:rPr>
        <w:t xml:space="preserve"> </w:t>
      </w:r>
    </w:p>
    <w:p>
      <w:pPr>
        <w:pStyle w:val="Subsection"/>
        <w:rPr>
          <w:snapToGrid w:val="0"/>
        </w:rPr>
      </w:pPr>
      <w:r>
        <w:rPr>
          <w:snapToGrid w:val="0"/>
        </w:rPr>
        <w:tab/>
      </w:r>
      <w:r>
        <w:rPr>
          <w:snapToGrid w:val="0"/>
        </w:rPr>
        <w:tab/>
        <w:t>For the purposes of section 105 of the Act — </w:t>
      </w:r>
    </w:p>
    <w:p>
      <w:pPr>
        <w:pStyle w:val="Indenta"/>
        <w:rPr>
          <w:snapToGrid w:val="0"/>
        </w:rPr>
      </w:pPr>
      <w:r>
        <w:rPr>
          <w:snapToGrid w:val="0"/>
        </w:rPr>
        <w:tab/>
        <w:t>(a)</w:t>
      </w:r>
      <w:r>
        <w:rPr>
          <w:snapToGrid w:val="0"/>
        </w:rPr>
        <w:tab/>
        <w:t>moneys standing to the credit of the Account are to be applied monthly before the end of each month; and</w:t>
      </w:r>
    </w:p>
    <w:p>
      <w:pPr>
        <w:pStyle w:val="Indenta"/>
        <w:rPr>
          <w:snapToGrid w:val="0"/>
        </w:rPr>
      </w:pPr>
      <w:r>
        <w:rPr>
          <w:snapToGrid w:val="0"/>
        </w:rPr>
        <w:tab/>
        <w:t>(b)</w:t>
      </w:r>
      <w:r>
        <w:rPr>
          <w:snapToGrid w:val="0"/>
        </w:rPr>
        <w:tab/>
        <w:t>the following proportions are prescribed — </w:t>
      </w:r>
    </w:p>
    <w:p>
      <w:pPr>
        <w:pStyle w:val="Indenti"/>
        <w:rPr>
          <w:snapToGrid w:val="0"/>
        </w:rPr>
      </w:pPr>
      <w:r>
        <w:rPr>
          <w:snapToGrid w:val="0"/>
        </w:rPr>
        <w:tab/>
        <w:t>(i)</w:t>
      </w:r>
      <w:r>
        <w:rPr>
          <w:snapToGrid w:val="0"/>
        </w:rPr>
        <w:tab/>
        <w:t>25% to the Fidelity Fund; and</w:t>
      </w:r>
    </w:p>
    <w:p>
      <w:pPr>
        <w:pStyle w:val="Indenti"/>
        <w:rPr>
          <w:snapToGrid w:val="0"/>
        </w:rPr>
      </w:pPr>
      <w:r>
        <w:rPr>
          <w:snapToGrid w:val="0"/>
        </w:rPr>
        <w:tab/>
        <w:t>(ii)</w:t>
      </w:r>
      <w:r>
        <w:rPr>
          <w:snapToGrid w:val="0"/>
        </w:rPr>
        <w:tab/>
        <w:t>75% to the General Purpose Fund.</w:t>
      </w:r>
    </w:p>
    <w:p>
      <w:pPr>
        <w:pStyle w:val="Footnotesection"/>
      </w:pPr>
      <w:r>
        <w:tab/>
        <w:t>[Regulation 9 inserted as regulation 11 in Gazette 25 Jun 1996 p. 2927</w:t>
      </w:r>
      <w:r>
        <w:noBreakHyphen/>
        <w:t xml:space="preserve">8; renumbered as regulation 9 in Gazette 30 Aug 1996 p. 4322; amended in Gazette 6 Apr 2004 p. 1131.] </w:t>
      </w:r>
    </w:p>
    <w:p>
      <w:pPr>
        <w:pStyle w:val="Heading5"/>
        <w:rPr>
          <w:snapToGrid w:val="0"/>
        </w:rPr>
      </w:pPr>
      <w:bookmarkStart w:id="51" w:name="_Toc491510206"/>
      <w:bookmarkStart w:id="52" w:name="_Toc101066032"/>
      <w:bookmarkStart w:id="53" w:name="_Toc138146246"/>
      <w:r>
        <w:rPr>
          <w:rStyle w:val="CharSectno"/>
        </w:rPr>
        <w:t>10</w:t>
      </w:r>
      <w:r>
        <w:rPr>
          <w:snapToGrid w:val="0"/>
        </w:rPr>
        <w:t xml:space="preserve">. </w:t>
      </w:r>
      <w:r>
        <w:rPr>
          <w:snapToGrid w:val="0"/>
        </w:rPr>
        <w:tab/>
        <w:t>Claims against the Fund</w:t>
      </w:r>
      <w:bookmarkEnd w:id="51"/>
      <w:bookmarkEnd w:id="52"/>
      <w:bookmarkEnd w:id="53"/>
      <w:r>
        <w:rPr>
          <w:snapToGrid w:val="0"/>
        </w:rPr>
        <w:t xml:space="preserve"> </w:t>
      </w:r>
    </w:p>
    <w:p>
      <w:pPr>
        <w:pStyle w:val="Subsection"/>
        <w:rPr>
          <w:snapToGrid w:val="0"/>
        </w:rPr>
      </w:pPr>
      <w:r>
        <w:rPr>
          <w:snapToGrid w:val="0"/>
        </w:rPr>
        <w:tab/>
      </w:r>
      <w:r>
        <w:rPr>
          <w:snapToGrid w:val="0"/>
        </w:rPr>
        <w:tab/>
        <w:t>A claim against the Fidelity Guarantee Fund shall be made in writing and be verified by a statutory declaration made by a person who deposes to the facts therein set out of his own knowledge.</w:t>
      </w:r>
    </w:p>
    <w:p>
      <w:pPr>
        <w:pStyle w:val="Heading5"/>
        <w:rPr>
          <w:snapToGrid w:val="0"/>
        </w:rPr>
      </w:pPr>
      <w:bookmarkStart w:id="54" w:name="_Toc491510207"/>
      <w:bookmarkStart w:id="55" w:name="_Toc101066033"/>
      <w:bookmarkStart w:id="56" w:name="_Toc138146247"/>
      <w:r>
        <w:rPr>
          <w:rStyle w:val="CharSectno"/>
        </w:rPr>
        <w:t>11</w:t>
      </w:r>
      <w:r>
        <w:rPr>
          <w:snapToGrid w:val="0"/>
        </w:rPr>
        <w:t xml:space="preserve">. </w:t>
      </w:r>
      <w:r>
        <w:rPr>
          <w:snapToGrid w:val="0"/>
        </w:rPr>
        <w:tab/>
        <w:t>Documents that a real estate settlement agent may draw etc.</w:t>
      </w:r>
      <w:bookmarkEnd w:id="54"/>
      <w:bookmarkEnd w:id="55"/>
      <w:bookmarkEnd w:id="56"/>
      <w:r>
        <w:rPr>
          <w:snapToGrid w:val="0"/>
        </w:rPr>
        <w:t xml:space="preserve"> </w:t>
      </w:r>
    </w:p>
    <w:p>
      <w:pPr>
        <w:pStyle w:val="Subsection"/>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pPr>
      <w:r>
        <w:tab/>
        <w:t>[Regulation 11 inserted in Gazette 23 May 1997 p. 2420.]</w:t>
      </w:r>
    </w:p>
    <w:p>
      <w:pPr>
        <w:pStyle w:val="Heading5"/>
        <w:rPr>
          <w:snapToGrid w:val="0"/>
        </w:rPr>
      </w:pPr>
      <w:bookmarkStart w:id="57" w:name="_Toc491510208"/>
      <w:bookmarkStart w:id="58" w:name="_Toc101066034"/>
      <w:bookmarkStart w:id="59" w:name="_Toc138146248"/>
      <w:r>
        <w:rPr>
          <w:rStyle w:val="CharSectno"/>
        </w:rPr>
        <w:t>12</w:t>
      </w:r>
      <w:r>
        <w:rPr>
          <w:snapToGrid w:val="0"/>
        </w:rPr>
        <w:t xml:space="preserve">. </w:t>
      </w:r>
      <w:r>
        <w:rPr>
          <w:snapToGrid w:val="0"/>
        </w:rPr>
        <w:tab/>
        <w:t>Documents that a business settlement agent may draw etc.</w:t>
      </w:r>
      <w:bookmarkEnd w:id="57"/>
      <w:bookmarkEnd w:id="58"/>
      <w:bookmarkEnd w:id="59"/>
      <w:r>
        <w:rPr>
          <w:snapToGrid w:val="0"/>
        </w:rPr>
        <w:t xml:space="preserve"> </w:t>
      </w:r>
    </w:p>
    <w:p>
      <w:pPr>
        <w:pStyle w:val="Subsection"/>
        <w:rPr>
          <w:snapToGrid w:val="0"/>
        </w:rPr>
      </w:pPr>
      <w:r>
        <w:rPr>
          <w:snapToGrid w:val="0"/>
        </w:rPr>
        <w:tab/>
      </w:r>
      <w:r>
        <w:rPr>
          <w:snapToGrid w:val="0"/>
        </w:rPr>
        <w:tab/>
        <w:t>For the purposes of clause 2(fa) of Schedule 2 to the Act any document set out in Schedule 4 is prescribed.</w:t>
      </w:r>
    </w:p>
    <w:p>
      <w:pPr>
        <w:pStyle w:val="Footnotesection"/>
      </w:pPr>
      <w:r>
        <w:tab/>
        <w:t>[Regulation 12 inserted in Gazette 23 May 1997 p. 2420.]</w:t>
      </w:r>
    </w:p>
    <w:p>
      <w:pPr>
        <w:pStyle w:val="Heading5"/>
        <w:rPr>
          <w:snapToGrid w:val="0"/>
        </w:rPr>
      </w:pPr>
      <w:bookmarkStart w:id="60" w:name="_Toc491510209"/>
      <w:bookmarkStart w:id="61" w:name="_Toc101066035"/>
      <w:bookmarkStart w:id="62" w:name="_Toc138146249"/>
      <w:r>
        <w:rPr>
          <w:rStyle w:val="CharSectno"/>
        </w:rPr>
        <w:t>12A</w:t>
      </w:r>
      <w:r>
        <w:rPr>
          <w:snapToGrid w:val="0"/>
        </w:rPr>
        <w:t xml:space="preserve">. </w:t>
      </w:r>
      <w:r>
        <w:rPr>
          <w:snapToGrid w:val="0"/>
        </w:rPr>
        <w:tab/>
        <w:t>Power of attorney</w:t>
      </w:r>
      <w:bookmarkEnd w:id="60"/>
      <w:bookmarkEnd w:id="61"/>
      <w:bookmarkEnd w:id="62"/>
      <w:r>
        <w:rPr>
          <w:snapToGrid w:val="0"/>
        </w:rPr>
        <w:t xml:space="preserve"> </w:t>
      </w:r>
    </w:p>
    <w:p>
      <w:pPr>
        <w:pStyle w:val="Subsection"/>
        <w:rPr>
          <w:snapToGrid w:val="0"/>
        </w:rPr>
      </w:pPr>
      <w:r>
        <w:rPr>
          <w:snapToGrid w:val="0"/>
        </w:rPr>
        <w:tab/>
      </w:r>
      <w:r>
        <w:rPr>
          <w:snapToGrid w:val="0"/>
        </w:rPr>
        <w:tab/>
        <w:t xml:space="preserve">The power of attorney prescribed for the purposes of paragraph (1)(h) of clause 1 of Schedule 2 of the Act is a power of attorney in the form set forth in the Nineteenth Schedule of the </w:t>
      </w:r>
      <w:r>
        <w:rPr>
          <w:i/>
          <w:snapToGrid w:val="0"/>
        </w:rPr>
        <w:t>Transfer of Land Act 1893</w:t>
      </w:r>
      <w:r>
        <w:rPr>
          <w:snapToGrid w:val="0"/>
        </w:rPr>
        <w:t>.</w:t>
      </w:r>
    </w:p>
    <w:p>
      <w:pPr>
        <w:pStyle w:val="Footnotesection"/>
      </w:pPr>
      <w:r>
        <w:tab/>
        <w:t xml:space="preserve">[Regulation 12A inserted in Gazette 30 Mar 1984 p. 910.] </w:t>
      </w:r>
    </w:p>
    <w:p>
      <w:pPr>
        <w:pStyle w:val="Heading5"/>
        <w:rPr>
          <w:snapToGrid w:val="0"/>
        </w:rPr>
      </w:pPr>
      <w:bookmarkStart w:id="63" w:name="_Toc491510210"/>
      <w:bookmarkStart w:id="64" w:name="_Toc101066036"/>
      <w:bookmarkStart w:id="65" w:name="_Toc138146250"/>
      <w:r>
        <w:rPr>
          <w:rStyle w:val="CharSectno"/>
        </w:rPr>
        <w:t>13</w:t>
      </w:r>
      <w:r>
        <w:rPr>
          <w:snapToGrid w:val="0"/>
        </w:rPr>
        <w:t xml:space="preserve">. </w:t>
      </w:r>
      <w:r>
        <w:rPr>
          <w:snapToGrid w:val="0"/>
        </w:rPr>
        <w:tab/>
        <w:t>Warning notice by certain exempted persons</w:t>
      </w:r>
      <w:bookmarkEnd w:id="63"/>
      <w:bookmarkEnd w:id="64"/>
      <w:bookmarkEnd w:id="65"/>
      <w:r>
        <w:rPr>
          <w:snapToGrid w:val="0"/>
        </w:rPr>
        <w:t xml:space="preserve"> </w:t>
      </w:r>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 xml:space="preserve">[Regulation 13 inserted in Gazette 29 Oct 1982 p. 4323; amended in Gazette 23 May 1997 p. 2420.] </w:t>
      </w:r>
    </w:p>
    <w:p>
      <w:pPr>
        <w:pStyle w:val="Heading5"/>
        <w:rPr>
          <w:snapToGrid w:val="0"/>
        </w:rPr>
      </w:pPr>
      <w:bookmarkStart w:id="66" w:name="_Toc491510211"/>
      <w:bookmarkStart w:id="67" w:name="_Toc101066037"/>
      <w:bookmarkStart w:id="68" w:name="_Toc138146251"/>
      <w:r>
        <w:rPr>
          <w:rStyle w:val="CharSectno"/>
        </w:rPr>
        <w:t>14</w:t>
      </w:r>
      <w:r>
        <w:rPr>
          <w:snapToGrid w:val="0"/>
        </w:rPr>
        <w:t xml:space="preserve">. </w:t>
      </w:r>
      <w:r>
        <w:rPr>
          <w:snapToGrid w:val="0"/>
        </w:rPr>
        <w:tab/>
        <w:t>Absence of licensee</w:t>
      </w:r>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 Board,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rPr>
          <w:snapToGrid w:val="0"/>
        </w:rPr>
      </w:pPr>
      <w:r>
        <w:rPr>
          <w:snapToGrid w:val="0"/>
        </w:rPr>
        <w:tab/>
        <w:t>(3)</w:t>
      </w:r>
      <w:r>
        <w:rPr>
          <w:snapToGrid w:val="0"/>
        </w:rPr>
        <w:tab/>
        <w:t>The Board may refuse to grant approval under subregulation (1) — </w:t>
      </w:r>
    </w:p>
    <w:p>
      <w:pPr>
        <w:pStyle w:val="Indenta"/>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Board that at the date of closure he will have carried out all his obligations under the Act or the code of conduct; or</w:t>
      </w:r>
    </w:p>
    <w:p>
      <w:pPr>
        <w:pStyle w:val="Indenta"/>
        <w:rPr>
          <w:snapToGrid w:val="0"/>
        </w:rPr>
      </w:pPr>
      <w:r>
        <w:rPr>
          <w:snapToGrid w:val="0"/>
        </w:rPr>
        <w:tab/>
        <w:t>(b)</w:t>
      </w:r>
      <w:r>
        <w:rPr>
          <w:snapToGrid w:val="0"/>
        </w:rPr>
        <w:tab/>
        <w:t>where the business is to be conducted by another person, if the Board does not consider that person is suitable to conduct that business.</w:t>
      </w:r>
    </w:p>
    <w:p>
      <w:pPr>
        <w:pStyle w:val="Subsection"/>
        <w:rPr>
          <w:snapToGrid w:val="0"/>
        </w:rPr>
      </w:pPr>
      <w:r>
        <w:rPr>
          <w:snapToGrid w:val="0"/>
        </w:rPr>
        <w:tab/>
        <w:t>(4)</w:t>
      </w:r>
      <w:r>
        <w:rPr>
          <w:snapToGrid w:val="0"/>
        </w:rPr>
        <w:tab/>
        <w:t xml:space="preserve">A person who, pursuant to an approval granted by the Board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pPr>
      <w:r>
        <w:tab/>
        <w:t xml:space="preserve">[Regulation 14 inserted in Gazette 30 Mar 1984 p. 910; Erratum in Gazette 6 Apr 1984 p. 998.]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9" w:name="_Toc101066038"/>
      <w:bookmarkStart w:id="70" w:name="_Toc138142115"/>
      <w:bookmarkStart w:id="71" w:name="_Toc138144260"/>
      <w:bookmarkStart w:id="72" w:name="_Toc138146252"/>
      <w:r>
        <w:rPr>
          <w:rStyle w:val="CharSchNo"/>
        </w:rPr>
        <w:t>Schedule 1</w:t>
      </w:r>
      <w:r>
        <w:t> — </w:t>
      </w:r>
      <w:r>
        <w:rPr>
          <w:rStyle w:val="CharSchText"/>
        </w:rPr>
        <w:t>Prescribed fees</w:t>
      </w:r>
      <w:bookmarkEnd w:id="69"/>
      <w:bookmarkEnd w:id="70"/>
      <w:bookmarkEnd w:id="71"/>
      <w:bookmarkEnd w:id="72"/>
    </w:p>
    <w:p>
      <w:pPr>
        <w:pStyle w:val="yShoulderClause"/>
        <w:spacing w:after="80"/>
        <w:rPr>
          <w:snapToGrid w:val="0"/>
        </w:rPr>
      </w:pPr>
      <w:r>
        <w:rPr>
          <w:snapToGrid w:val="0"/>
        </w:rPr>
        <w:t>[Regs. 4 and 4A]</w:t>
      </w:r>
    </w:p>
    <w:tbl>
      <w:tblPr>
        <w:tblW w:w="7088" w:type="dxa"/>
        <w:tblInd w:w="57" w:type="dxa"/>
        <w:tblLayout w:type="fixed"/>
        <w:tblCellMar>
          <w:left w:w="57" w:type="dxa"/>
          <w:right w:w="57" w:type="dxa"/>
        </w:tblCellMar>
        <w:tblLook w:val="0000" w:firstRow="0" w:lastRow="0" w:firstColumn="0" w:lastColumn="0" w:noHBand="0" w:noVBand="0"/>
      </w:tblPr>
      <w:tblGrid>
        <w:gridCol w:w="5954"/>
        <w:gridCol w:w="1134"/>
      </w:tblGrid>
      <w:tr>
        <w:tc>
          <w:tcPr>
            <w:tcW w:w="5954" w:type="dxa"/>
          </w:tcPr>
          <w:p>
            <w:pPr>
              <w:pStyle w:val="yTable"/>
            </w:pPr>
          </w:p>
        </w:tc>
        <w:tc>
          <w:tcPr>
            <w:tcW w:w="1134" w:type="dxa"/>
            <w:vAlign w:val="bottom"/>
          </w:tcPr>
          <w:p>
            <w:pPr>
              <w:pStyle w:val="yTable"/>
              <w:jc w:val="center"/>
            </w:pPr>
            <w:r>
              <w:t>$</w:t>
            </w:r>
          </w:p>
        </w:tc>
      </w:tr>
      <w:tr>
        <w:tc>
          <w:tcPr>
            <w:tcW w:w="5954" w:type="dxa"/>
          </w:tcPr>
          <w:p>
            <w:pPr>
              <w:pStyle w:val="yTable"/>
              <w:tabs>
                <w:tab w:val="right" w:leader="dot" w:pos="7087"/>
              </w:tabs>
              <w:ind w:left="567" w:hanging="567"/>
            </w:pPr>
            <w:r>
              <w:t>1.</w:t>
            </w:r>
            <w:r>
              <w:tab/>
              <w:t>Grant of licence to a natural person (including triennial certificate) .............................................................................</w:t>
            </w:r>
          </w:p>
        </w:tc>
        <w:tc>
          <w:tcPr>
            <w:tcW w:w="1134" w:type="dxa"/>
            <w:vAlign w:val="bottom"/>
          </w:tcPr>
          <w:p>
            <w:pPr>
              <w:pStyle w:val="yTable"/>
              <w:jc w:val="center"/>
            </w:pPr>
            <w:r>
              <w:t>333</w:t>
            </w:r>
          </w:p>
        </w:tc>
      </w:tr>
      <w:tr>
        <w:tc>
          <w:tcPr>
            <w:tcW w:w="5954" w:type="dxa"/>
          </w:tcPr>
          <w:p>
            <w:pPr>
              <w:pStyle w:val="yTable"/>
              <w:tabs>
                <w:tab w:val="right" w:leader="dot" w:pos="7087"/>
              </w:tabs>
              <w:ind w:left="567" w:hanging="567"/>
            </w:pPr>
            <w:r>
              <w:t>2.</w:t>
            </w:r>
            <w:r>
              <w:tab/>
              <w:t>Grant of licence to a firm (including triennial certificate) ...</w:t>
            </w:r>
          </w:p>
        </w:tc>
        <w:tc>
          <w:tcPr>
            <w:tcW w:w="1134" w:type="dxa"/>
            <w:vAlign w:val="bottom"/>
          </w:tcPr>
          <w:p>
            <w:pPr>
              <w:pStyle w:val="yTable"/>
              <w:jc w:val="center"/>
            </w:pPr>
            <w:r>
              <w:t>333</w:t>
            </w:r>
          </w:p>
        </w:tc>
      </w:tr>
      <w:tr>
        <w:tc>
          <w:tcPr>
            <w:tcW w:w="5954" w:type="dxa"/>
          </w:tcPr>
          <w:p>
            <w:pPr>
              <w:pStyle w:val="yTable"/>
              <w:tabs>
                <w:tab w:val="right" w:leader="dot" w:pos="7087"/>
              </w:tabs>
              <w:ind w:left="567" w:hanging="567"/>
            </w:pPr>
            <w:r>
              <w:t>3.</w:t>
            </w:r>
            <w:r>
              <w:tab/>
              <w:t>Grant of licence to a body corporate (including triennial certificate) ............................................................................</w:t>
            </w:r>
          </w:p>
        </w:tc>
        <w:tc>
          <w:tcPr>
            <w:tcW w:w="1134" w:type="dxa"/>
            <w:vAlign w:val="bottom"/>
          </w:tcPr>
          <w:p>
            <w:pPr>
              <w:pStyle w:val="yTable"/>
              <w:jc w:val="center"/>
            </w:pPr>
            <w:r>
              <w:t>333</w:t>
            </w:r>
          </w:p>
        </w:tc>
      </w:tr>
      <w:tr>
        <w:tc>
          <w:tcPr>
            <w:tcW w:w="5954" w:type="dxa"/>
          </w:tcPr>
          <w:p>
            <w:pPr>
              <w:pStyle w:val="yTable"/>
              <w:tabs>
                <w:tab w:val="right" w:leader="dot" w:pos="7087"/>
              </w:tabs>
              <w:ind w:left="567" w:hanging="567"/>
            </w:pPr>
            <w:r>
              <w:t>4.</w:t>
            </w:r>
            <w:r>
              <w:tab/>
              <w:t>Renewal of triennial certificate ............................................</w:t>
            </w:r>
          </w:p>
        </w:tc>
        <w:tc>
          <w:tcPr>
            <w:tcW w:w="1134" w:type="dxa"/>
            <w:vAlign w:val="bottom"/>
          </w:tcPr>
          <w:p>
            <w:pPr>
              <w:pStyle w:val="yTable"/>
              <w:jc w:val="center"/>
            </w:pPr>
            <w:r>
              <w:t>297</w:t>
            </w:r>
          </w:p>
        </w:tc>
      </w:tr>
      <w:tr>
        <w:tc>
          <w:tcPr>
            <w:tcW w:w="5954" w:type="dxa"/>
          </w:tcPr>
          <w:p>
            <w:pPr>
              <w:pStyle w:val="yTable"/>
              <w:tabs>
                <w:tab w:val="right" w:leader="dot" w:pos="7087"/>
              </w:tabs>
              <w:ind w:left="567" w:hanging="567"/>
            </w:pPr>
            <w:r>
              <w:t>5.</w:t>
            </w:r>
            <w:r>
              <w:tab/>
              <w:t>Inspection of register ............................................................</w:t>
            </w:r>
          </w:p>
        </w:tc>
        <w:tc>
          <w:tcPr>
            <w:tcW w:w="1134" w:type="dxa"/>
            <w:vAlign w:val="bottom"/>
          </w:tcPr>
          <w:p>
            <w:pPr>
              <w:pStyle w:val="yTable"/>
              <w:jc w:val="center"/>
            </w:pPr>
            <w:r>
              <w:t>10</w:t>
            </w:r>
          </w:p>
        </w:tc>
      </w:tr>
      <w:tr>
        <w:tc>
          <w:tcPr>
            <w:tcW w:w="5954" w:type="dxa"/>
          </w:tcPr>
          <w:p>
            <w:pPr>
              <w:pStyle w:val="yTable"/>
              <w:ind w:left="567" w:hanging="567"/>
            </w:pPr>
            <w:r>
              <w:t>6.</w:t>
            </w:r>
            <w:r>
              <w:tab/>
              <w:t>Certificate as to an individual registration — </w:t>
            </w:r>
          </w:p>
        </w:tc>
        <w:tc>
          <w:tcPr>
            <w:tcW w:w="1134" w:type="dxa"/>
            <w:vAlign w:val="bottom"/>
          </w:tcPr>
          <w:p>
            <w:pPr>
              <w:pStyle w:val="yTable"/>
              <w:jc w:val="center"/>
            </w:pPr>
          </w:p>
        </w:tc>
      </w:tr>
      <w:tr>
        <w:tc>
          <w:tcPr>
            <w:tcW w:w="5954" w:type="dxa"/>
          </w:tcPr>
          <w:p>
            <w:pPr>
              <w:pStyle w:val="yTable"/>
              <w:tabs>
                <w:tab w:val="right" w:leader="dot" w:pos="7087"/>
              </w:tabs>
              <w:ind w:left="567" w:hanging="567"/>
            </w:pPr>
            <w:r>
              <w:tab/>
            </w:r>
            <w:r>
              <w:t> </w:t>
            </w:r>
            <w:r>
              <w:t> </w:t>
            </w:r>
            <w:r>
              <w:t>first page .......................................................................</w:t>
            </w:r>
          </w:p>
        </w:tc>
        <w:tc>
          <w:tcPr>
            <w:tcW w:w="1134" w:type="dxa"/>
            <w:vAlign w:val="bottom"/>
          </w:tcPr>
          <w:p>
            <w:pPr>
              <w:pStyle w:val="yTable"/>
              <w:jc w:val="center"/>
            </w:pPr>
            <w:r>
              <w:t>10</w:t>
            </w:r>
          </w:p>
        </w:tc>
      </w:tr>
      <w:tr>
        <w:tc>
          <w:tcPr>
            <w:tcW w:w="5954" w:type="dxa"/>
          </w:tcPr>
          <w:p>
            <w:pPr>
              <w:pStyle w:val="yTable"/>
              <w:tabs>
                <w:tab w:val="right" w:leader="dot" w:pos="7087"/>
              </w:tabs>
              <w:ind w:left="567" w:hanging="567"/>
            </w:pPr>
            <w:r>
              <w:tab/>
            </w:r>
            <w:r>
              <w:t> </w:t>
            </w:r>
            <w:r>
              <w:t> </w:t>
            </w:r>
            <w:r>
              <w:t>each subsequent page ...................................................</w:t>
            </w:r>
          </w:p>
        </w:tc>
        <w:tc>
          <w:tcPr>
            <w:tcW w:w="1134" w:type="dxa"/>
            <w:vAlign w:val="bottom"/>
          </w:tcPr>
          <w:p>
            <w:pPr>
              <w:pStyle w:val="yTable"/>
              <w:jc w:val="center"/>
            </w:pPr>
            <w:r>
              <w:t>2</w:t>
            </w:r>
          </w:p>
        </w:tc>
      </w:tr>
      <w:tr>
        <w:tc>
          <w:tcPr>
            <w:tcW w:w="5954" w:type="dxa"/>
          </w:tcPr>
          <w:p>
            <w:pPr>
              <w:pStyle w:val="yTable"/>
              <w:tabs>
                <w:tab w:val="right" w:leader="dot" w:pos="7087"/>
              </w:tabs>
              <w:ind w:left="567" w:hanging="567"/>
            </w:pPr>
            <w:r>
              <w:t>7.</w:t>
            </w:r>
            <w:r>
              <w:tab/>
              <w:t>Certificate as to all registrations in register .........................</w:t>
            </w:r>
          </w:p>
        </w:tc>
        <w:tc>
          <w:tcPr>
            <w:tcW w:w="1134" w:type="dxa"/>
            <w:vAlign w:val="bottom"/>
          </w:tcPr>
          <w:p>
            <w:pPr>
              <w:pStyle w:val="yTable"/>
              <w:jc w:val="center"/>
            </w:pPr>
            <w:r>
              <w:t>122</w:t>
            </w:r>
          </w:p>
        </w:tc>
      </w:tr>
      <w:tr>
        <w:tc>
          <w:tcPr>
            <w:tcW w:w="5954" w:type="dxa"/>
          </w:tcPr>
          <w:p>
            <w:pPr>
              <w:pStyle w:val="yTable"/>
              <w:tabs>
                <w:tab w:val="right" w:leader="dot" w:pos="7087"/>
              </w:tabs>
              <w:ind w:left="567" w:hanging="567"/>
            </w:pPr>
            <w:r>
              <w:t>8.</w:t>
            </w:r>
            <w:r>
              <w:tab/>
              <w:t>For the purposes of section 30(3a) ....................................... (the holding fee)</w:t>
            </w:r>
          </w:p>
        </w:tc>
        <w:tc>
          <w:tcPr>
            <w:tcW w:w="1134" w:type="dxa"/>
          </w:tcPr>
          <w:p>
            <w:pPr>
              <w:pStyle w:val="yTable"/>
              <w:jc w:val="center"/>
            </w:pPr>
            <w:r>
              <w:t>150</w:t>
            </w:r>
          </w:p>
        </w:tc>
      </w:tr>
    </w:tbl>
    <w:p>
      <w:pPr>
        <w:pStyle w:val="yFootnotesection"/>
      </w:pPr>
      <w:r>
        <w:tab/>
        <w:t>[Schedule 1 inserted in Gazette 30 Nov 1993 p. 6407</w:t>
      </w:r>
      <w:r>
        <w:noBreakHyphen/>
        <w:t xml:space="preserve">8; amended in Gazette 2 Aug 1996 p. 3732; 23 May 1997 p. 2421.] </w:t>
      </w:r>
    </w:p>
    <w:p>
      <w:pPr>
        <w:pStyle w:val="yScheduleHeading"/>
        <w:rPr>
          <w:b w:val="0"/>
        </w:rPr>
      </w:pPr>
      <w:bookmarkStart w:id="73" w:name="_Toc101066039"/>
      <w:bookmarkStart w:id="74" w:name="_Toc138142116"/>
      <w:bookmarkStart w:id="75" w:name="_Toc138144261"/>
      <w:bookmarkStart w:id="76" w:name="_Toc138146253"/>
      <w:r>
        <w:rPr>
          <w:rStyle w:val="CharSchNo"/>
        </w:rPr>
        <w:t>Schedule 2</w:t>
      </w:r>
      <w:r>
        <w:t> — </w:t>
      </w:r>
      <w:r>
        <w:rPr>
          <w:rStyle w:val="CharSchText"/>
        </w:rPr>
        <w:t>Notice under section 26A or 26B of the Act</w:t>
      </w:r>
      <w:bookmarkEnd w:id="73"/>
      <w:bookmarkEnd w:id="74"/>
      <w:bookmarkEnd w:id="75"/>
      <w:bookmarkEnd w:id="76"/>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Fund” or to the protection of the Settlement Agents Act generally in respect of the settlement.</w:t>
      </w:r>
    </w:p>
    <w:p>
      <w:pPr>
        <w:pStyle w:val="yFootnotesection"/>
      </w:pPr>
      <w:r>
        <w:tab/>
        <w:t>[Schedule 2 inserted in Gazette 29 Oct 1982 p. 4323</w:t>
      </w:r>
      <w:r>
        <w:noBreakHyphen/>
        <w:t xml:space="preserve">4; amended in Gazette 23 May 1997 p. 2421.] </w:t>
      </w:r>
    </w:p>
    <w:p>
      <w:pPr>
        <w:pStyle w:val="yScheduleHeading"/>
      </w:pPr>
      <w:bookmarkStart w:id="77" w:name="_Toc101066040"/>
      <w:bookmarkStart w:id="78" w:name="_Toc138142117"/>
      <w:bookmarkStart w:id="79" w:name="_Toc138144262"/>
      <w:bookmarkStart w:id="80" w:name="_Toc138146254"/>
      <w:r>
        <w:rPr>
          <w:rStyle w:val="CharSchNo"/>
        </w:rPr>
        <w:t>Schedule 3</w:t>
      </w:r>
      <w:r>
        <w:t> — </w:t>
      </w:r>
      <w:r>
        <w:rPr>
          <w:rStyle w:val="CharSchText"/>
        </w:rPr>
        <w:t>Documents that a real estate settlement agent may draw or prepare</w:t>
      </w:r>
      <w:bookmarkEnd w:id="77"/>
      <w:bookmarkEnd w:id="78"/>
      <w:bookmarkEnd w:id="79"/>
      <w:bookmarkEnd w:id="80"/>
    </w:p>
    <w:p>
      <w:pPr>
        <w:pStyle w:val="yFootnoteheading"/>
      </w:pPr>
      <w:r>
        <w:tab/>
        <w:t xml:space="preserve">[Heading inserted in Gazette 23 May 1997 p. 2421.] </w:t>
      </w:r>
    </w:p>
    <w:p>
      <w:pPr>
        <w:pStyle w:val="yShoulderClause"/>
        <w:rPr>
          <w:snapToGrid w:val="0"/>
        </w:rPr>
      </w:pPr>
      <w:r>
        <w:rPr>
          <w:snapToGrid w:val="0"/>
        </w:rPr>
        <w:t>[Reg. 11]</w:t>
      </w:r>
    </w:p>
    <w:p>
      <w:pPr>
        <w:pStyle w:val="yHeading3"/>
        <w:rPr>
          <w:snapToGrid w:val="0"/>
        </w:rPr>
      </w:pPr>
      <w:bookmarkStart w:id="81" w:name="_Toc101066041"/>
      <w:bookmarkStart w:id="82" w:name="_Toc138142118"/>
      <w:bookmarkStart w:id="83" w:name="_Toc138144263"/>
      <w:bookmarkStart w:id="84" w:name="_Toc138146255"/>
      <w:r>
        <w:rPr>
          <w:snapToGrid w:val="0"/>
        </w:rPr>
        <w:t>Part A — Offer and acceptance</w:t>
      </w:r>
      <w:bookmarkEnd w:id="81"/>
      <w:bookmarkEnd w:id="82"/>
      <w:bookmarkEnd w:id="83"/>
      <w:bookmarkEnd w:id="84"/>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 xml:space="preserve">[Part A inserted in Gazette 23 May 1997 p. 2421.] </w:t>
      </w:r>
    </w:p>
    <w:p>
      <w:pPr>
        <w:pStyle w:val="yHeading3"/>
        <w:rPr>
          <w:snapToGrid w:val="0"/>
        </w:rPr>
      </w:pPr>
      <w:bookmarkStart w:id="85" w:name="_Toc101066042"/>
      <w:bookmarkStart w:id="86" w:name="_Toc138142119"/>
      <w:bookmarkStart w:id="87" w:name="_Toc138144264"/>
      <w:bookmarkStart w:id="88" w:name="_Toc138146256"/>
      <w:r>
        <w:rPr>
          <w:snapToGrid w:val="0"/>
        </w:rPr>
        <w:t>Part B — Requisitions on title</w:t>
      </w:r>
      <w:bookmarkEnd w:id="85"/>
      <w:bookmarkEnd w:id="86"/>
      <w:bookmarkEnd w:id="87"/>
      <w:bookmarkEnd w:id="88"/>
    </w:p>
    <w:p>
      <w:pPr>
        <w:pStyle w:val="yMiscellaneousBody"/>
        <w:ind w:left="567" w:hanging="567"/>
        <w:rPr>
          <w:snapToGrid w:val="0"/>
        </w:rPr>
      </w:pPr>
      <w:r>
        <w:rPr>
          <w:snapToGrid w:val="0"/>
        </w:rPr>
        <w:t>1.</w:t>
      </w:r>
      <w:r>
        <w:rPr>
          <w:snapToGrid w:val="0"/>
        </w:rPr>
        <w:tab/>
        <w:t>Is the certificate or certificates of title to the land the subject of any dealing or dealings at the Land Titles Office? If so, please provide true copies of all documents lodged at the Land Titles Office 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rPr>
          <w:snapToGrid w:val="0"/>
        </w:rPr>
      </w:pPr>
      <w:r>
        <w:rPr>
          <w:snapToGrid w:val="0"/>
        </w:rPr>
        <w:t>(g)</w:t>
      </w:r>
      <w:r>
        <w:rPr>
          <w:snapToGrid w:val="0"/>
        </w:rPr>
        <w:tab/>
      </w:r>
      <w:r>
        <w:rPr>
          <w:i/>
          <w:snapToGrid w:val="0"/>
        </w:rPr>
        <w:t>Metropolitan Water Supply, Sewerage, and Drainage Act 1909</w:t>
      </w:r>
      <w:r>
        <w:rPr>
          <w:snapToGrid w:val="0"/>
        </w:rP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Land Titles Office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w:t>
      </w:r>
    </w:p>
    <w:p>
      <w:pPr>
        <w:pStyle w:val="yHeading3"/>
        <w:rPr>
          <w:b w:val="0"/>
          <w:snapToGrid w:val="0"/>
        </w:rPr>
      </w:pPr>
      <w:bookmarkStart w:id="89" w:name="_Toc101066043"/>
      <w:bookmarkStart w:id="90" w:name="_Toc138142120"/>
      <w:bookmarkStart w:id="91" w:name="_Toc138144265"/>
      <w:bookmarkStart w:id="92" w:name="_Toc138146257"/>
      <w:r>
        <w:rPr>
          <w:snapToGrid w:val="0"/>
        </w:rPr>
        <w:t>Part C — Documents for registration or lodgement</w:t>
      </w:r>
      <w:bookmarkEnd w:id="89"/>
      <w:bookmarkEnd w:id="90"/>
      <w:bookmarkEnd w:id="91"/>
      <w:bookmarkEnd w:id="92"/>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5954" w:type="dxa"/>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
              <w:rPr>
                <w:b/>
                <w:bCs/>
              </w:rPr>
            </w:pPr>
            <w:r>
              <w:rPr>
                <w:b/>
                <w:bCs/>
              </w:rPr>
              <w:t>Provision</w:t>
            </w:r>
          </w:p>
        </w:tc>
        <w:tc>
          <w:tcPr>
            <w:tcW w:w="4678" w:type="dxa"/>
          </w:tcPr>
          <w:p>
            <w:pPr>
              <w:pStyle w:val="yTable"/>
              <w:rPr>
                <w:b/>
                <w:bCs/>
              </w:rPr>
            </w:pPr>
            <w:r>
              <w:rPr>
                <w:b/>
                <w:bCs/>
              </w:rPr>
              <w:t>Description of document</w:t>
            </w:r>
          </w:p>
        </w:tc>
      </w:tr>
      <w:tr>
        <w:tc>
          <w:tcPr>
            <w:tcW w:w="1276" w:type="dxa"/>
          </w:tcPr>
          <w:p>
            <w:pPr>
              <w:pStyle w:val="yTable"/>
            </w:pPr>
            <w:r>
              <w:t>ss. 4</w:t>
            </w:r>
            <w:r>
              <w:noBreakHyphen/>
              <w:t>5B</w:t>
            </w:r>
          </w:p>
        </w:tc>
        <w:tc>
          <w:tcPr>
            <w:tcW w:w="4678" w:type="dxa"/>
          </w:tcPr>
          <w:p>
            <w:pPr>
              <w:pStyle w:val="yTable"/>
            </w:pPr>
            <w:r>
              <w:t>Application for registration of a strata plan or a survey</w:t>
            </w:r>
            <w:r>
              <w:noBreakHyphen/>
              <w:t>strata plan</w:t>
            </w:r>
          </w:p>
        </w:tc>
      </w:tr>
      <w:tr>
        <w:tc>
          <w:tcPr>
            <w:tcW w:w="1276" w:type="dxa"/>
          </w:tcPr>
          <w:p>
            <w:pPr>
              <w:pStyle w:val="yTable"/>
            </w:pPr>
            <w:r>
              <w:t>s. 69C</w:t>
            </w:r>
          </w:p>
        </w:tc>
        <w:tc>
          <w:tcPr>
            <w:tcW w:w="4678" w:type="dxa"/>
          </w:tcPr>
          <w:p>
            <w:pPr>
              <w:pStyle w:val="yTable"/>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5954" w:type="dxa"/>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rPr>
                <w:b/>
                <w:bCs/>
              </w:rPr>
            </w:pPr>
            <w:r>
              <w:rPr>
                <w:b/>
                <w:bCs/>
              </w:rPr>
              <w:t>Form</w:t>
            </w:r>
          </w:p>
        </w:tc>
        <w:tc>
          <w:tcPr>
            <w:tcW w:w="4678" w:type="dxa"/>
          </w:tcPr>
          <w:p>
            <w:pPr>
              <w:pStyle w:val="yTable"/>
              <w:rPr>
                <w:b/>
                <w:bCs/>
              </w:rPr>
            </w:pPr>
            <w:r>
              <w:rPr>
                <w:b/>
                <w:bCs/>
              </w:rPr>
              <w:t>Description of form</w:t>
            </w:r>
          </w:p>
        </w:tc>
      </w:tr>
      <w:tr>
        <w:trPr>
          <w:cantSplit/>
        </w:trPr>
        <w:tc>
          <w:tcPr>
            <w:tcW w:w="1276" w:type="dxa"/>
          </w:tcPr>
          <w:p>
            <w:pPr>
              <w:pStyle w:val="yTable"/>
            </w:pPr>
            <w:r>
              <w:t>10</w:t>
            </w:r>
          </w:p>
        </w:tc>
        <w:tc>
          <w:tcPr>
            <w:tcW w:w="4678" w:type="dxa"/>
          </w:tcPr>
          <w:p>
            <w:pPr>
              <w:pStyle w:val="yTable"/>
            </w:pPr>
            <w:r>
              <w:t>Certificate of Strata Company Consenting to Conversion of Common Property</w:t>
            </w:r>
          </w:p>
        </w:tc>
      </w:tr>
      <w:tr>
        <w:trPr>
          <w:cantSplit/>
        </w:trPr>
        <w:tc>
          <w:tcPr>
            <w:tcW w:w="1276" w:type="dxa"/>
          </w:tcPr>
          <w:p>
            <w:pPr>
              <w:pStyle w:val="yTable"/>
            </w:pPr>
            <w:r>
              <w:t>11</w:t>
            </w:r>
          </w:p>
        </w:tc>
        <w:tc>
          <w:tcPr>
            <w:tcW w:w="4678" w:type="dxa"/>
          </w:tcPr>
          <w:p>
            <w:pPr>
              <w:pStyle w:val="yTable"/>
            </w:pPr>
            <w:r>
              <w:t>Certificate of Consent by Strata Company to Amended Schedule of Unit Entitlement</w:t>
            </w:r>
          </w:p>
        </w:tc>
      </w:tr>
      <w:tr>
        <w:trPr>
          <w:cantSplit/>
        </w:trPr>
        <w:tc>
          <w:tcPr>
            <w:tcW w:w="1276" w:type="dxa"/>
          </w:tcPr>
          <w:p>
            <w:pPr>
              <w:pStyle w:val="yTable"/>
            </w:pPr>
            <w:r>
              <w:t>12</w:t>
            </w:r>
          </w:p>
        </w:tc>
        <w:tc>
          <w:tcPr>
            <w:tcW w:w="4678" w:type="dxa"/>
          </w:tcPr>
          <w:p>
            <w:pPr>
              <w:pStyle w:val="yTable"/>
            </w:pPr>
            <w:r>
              <w:t>Certificate of Strata Company Authorising Application to State Administrative Tribunal</w:t>
            </w:r>
          </w:p>
        </w:tc>
      </w:tr>
      <w:tr>
        <w:trPr>
          <w:cantSplit/>
        </w:trPr>
        <w:tc>
          <w:tcPr>
            <w:tcW w:w="1276" w:type="dxa"/>
          </w:tcPr>
          <w:p>
            <w:pPr>
              <w:pStyle w:val="yTable"/>
            </w:pPr>
            <w:r>
              <w:t>13</w:t>
            </w:r>
          </w:p>
        </w:tc>
        <w:tc>
          <w:tcPr>
            <w:tcW w:w="4678" w:type="dxa"/>
          </w:tcPr>
          <w:p>
            <w:pPr>
              <w:pStyle w:val="yTable"/>
            </w:pPr>
            <w:r>
              <w:t>Certificate of Strata Company Authorising Acceptance of Transfer or Lease</w:t>
            </w:r>
          </w:p>
        </w:tc>
      </w:tr>
      <w:tr>
        <w:trPr>
          <w:cantSplit/>
        </w:trPr>
        <w:tc>
          <w:tcPr>
            <w:tcW w:w="1276" w:type="dxa"/>
          </w:tcPr>
          <w:p>
            <w:pPr>
              <w:pStyle w:val="yTable"/>
            </w:pPr>
            <w:r>
              <w:t>14</w:t>
            </w:r>
          </w:p>
        </w:tc>
        <w:tc>
          <w:tcPr>
            <w:tcW w:w="4678" w:type="dxa"/>
          </w:tcPr>
          <w:p>
            <w:pPr>
              <w:pStyle w:val="yTable"/>
            </w:pPr>
            <w:r>
              <w:t>Certificate of Resolution and Consents to Transfer or Lease, Easement or Restrictive Covenant</w:t>
            </w:r>
          </w:p>
        </w:tc>
      </w:tr>
      <w:tr>
        <w:trPr>
          <w:cantSplit/>
        </w:trPr>
        <w:tc>
          <w:tcPr>
            <w:tcW w:w="1276" w:type="dxa"/>
          </w:tcPr>
          <w:p>
            <w:pPr>
              <w:pStyle w:val="yTable"/>
            </w:pPr>
            <w:r>
              <w:t>15</w:t>
            </w:r>
          </w:p>
        </w:tc>
        <w:tc>
          <w:tcPr>
            <w:tcW w:w="4678" w:type="dxa"/>
          </w:tcPr>
          <w:p>
            <w:pPr>
              <w:pStyle w:val="yTable"/>
            </w:pPr>
            <w:r>
              <w:t>Notification of Resolution of Termination of Scheme</w:t>
            </w:r>
          </w:p>
        </w:tc>
      </w:tr>
      <w:tr>
        <w:trPr>
          <w:cantSplit/>
        </w:trPr>
        <w:tc>
          <w:tcPr>
            <w:tcW w:w="1276" w:type="dxa"/>
          </w:tcPr>
          <w:p>
            <w:pPr>
              <w:pStyle w:val="yTable"/>
            </w:pPr>
            <w:r>
              <w:t>16</w:t>
            </w:r>
          </w:p>
        </w:tc>
        <w:tc>
          <w:tcPr>
            <w:tcW w:w="4678" w:type="dxa"/>
          </w:tcPr>
          <w:p>
            <w:pPr>
              <w:pStyle w:val="yTable"/>
            </w:pPr>
            <w:r>
              <w:t>Notice of Change of Address for Service of Notices</w:t>
            </w:r>
          </w:p>
        </w:tc>
      </w:tr>
      <w:tr>
        <w:trPr>
          <w:cantSplit/>
        </w:trPr>
        <w:tc>
          <w:tcPr>
            <w:tcW w:w="1276" w:type="dxa"/>
          </w:tcPr>
          <w:p>
            <w:pPr>
              <w:pStyle w:val="yTable"/>
            </w:pPr>
            <w:r>
              <w:t>17</w:t>
            </w:r>
          </w:p>
        </w:tc>
        <w:tc>
          <w:tcPr>
            <w:tcW w:w="4678" w:type="dxa"/>
          </w:tcPr>
          <w:p>
            <w:pPr>
              <w:pStyle w:val="yTable"/>
            </w:pPr>
            <w:r>
              <w:t>Notice of Change of Name of Scheme and Change of Address for Service of Notices</w:t>
            </w:r>
          </w:p>
        </w:tc>
      </w:tr>
      <w:tr>
        <w:trPr>
          <w:cantSplit/>
        </w:trPr>
        <w:tc>
          <w:tcPr>
            <w:tcW w:w="1276" w:type="dxa"/>
          </w:tcPr>
          <w:p>
            <w:pPr>
              <w:pStyle w:val="yTable"/>
            </w:pPr>
            <w:r>
              <w:t>19</w:t>
            </w:r>
          </w:p>
        </w:tc>
        <w:tc>
          <w:tcPr>
            <w:tcW w:w="4678" w:type="dxa"/>
          </w:tcPr>
          <w:p>
            <w:pPr>
              <w:pStyle w:val="yTable"/>
            </w:pPr>
            <w:r>
              <w:t>Notice of Resolution to Vary, Remove or Add a Restriction;</w:t>
            </w:r>
          </w:p>
        </w:tc>
      </w:tr>
      <w:tr>
        <w:trPr>
          <w:cantSplit/>
        </w:trPr>
        <w:tc>
          <w:tcPr>
            <w:tcW w:w="1276" w:type="dxa"/>
          </w:tcPr>
          <w:p>
            <w:pPr>
              <w:pStyle w:val="yTable"/>
            </w:pPr>
            <w:r>
              <w:t>20</w:t>
            </w:r>
          </w:p>
        </w:tc>
        <w:tc>
          <w:tcPr>
            <w:tcW w:w="4678" w:type="dxa"/>
          </w:tcPr>
          <w:p>
            <w:pPr>
              <w:pStyle w:val="yTable"/>
            </w:pPr>
            <w:r>
              <w:t>Application for Re</w:t>
            </w:r>
            <w:r>
              <w:noBreakHyphen/>
              <w:t>subdivision by Strata Company</w:t>
            </w:r>
          </w:p>
        </w:tc>
      </w:tr>
      <w:tr>
        <w:trPr>
          <w:cantSplit/>
        </w:trPr>
        <w:tc>
          <w:tcPr>
            <w:tcW w:w="1276" w:type="dxa"/>
          </w:tcPr>
          <w:p>
            <w:pPr>
              <w:pStyle w:val="yTable"/>
            </w:pPr>
            <w:r>
              <w:t>21</w:t>
            </w:r>
          </w:p>
        </w:tc>
        <w:tc>
          <w:tcPr>
            <w:tcW w:w="4678" w:type="dxa"/>
          </w:tcPr>
          <w:p>
            <w:pPr>
              <w:pStyle w:val="yTable"/>
            </w:pPr>
            <w:r>
              <w:t>Notice of Amendment, Repeal or Addition of By</w:t>
            </w:r>
            <w:r>
              <w:noBreakHyphen/>
              <w:t>law</w:t>
            </w:r>
          </w:p>
        </w:tc>
      </w:tr>
      <w:tr>
        <w:trPr>
          <w:cantSplit/>
        </w:trPr>
        <w:tc>
          <w:tcPr>
            <w:tcW w:w="1276" w:type="dxa"/>
          </w:tcPr>
          <w:p>
            <w:pPr>
              <w:pStyle w:val="yTable"/>
            </w:pPr>
            <w:r>
              <w:t>22</w:t>
            </w:r>
          </w:p>
        </w:tc>
        <w:tc>
          <w:tcPr>
            <w:tcW w:w="4678" w:type="dxa"/>
          </w:tcPr>
          <w:p>
            <w:pPr>
              <w:pStyle w:val="yTable"/>
            </w:pPr>
            <w:r>
              <w:t>Disposition on Subdivision</w:t>
            </w:r>
          </w:p>
        </w:tc>
      </w:tr>
      <w:tr>
        <w:trPr>
          <w:cantSplit/>
        </w:trPr>
        <w:tc>
          <w:tcPr>
            <w:tcW w:w="1276" w:type="dxa"/>
          </w:tcPr>
          <w:p>
            <w:pPr>
              <w:pStyle w:val="yTable"/>
            </w:pPr>
            <w:r>
              <w:t>23</w:t>
            </w:r>
          </w:p>
        </w:tc>
        <w:tc>
          <w:tcPr>
            <w:tcW w:w="4678" w:type="dxa"/>
          </w:tcPr>
          <w:p>
            <w:pPr>
              <w:pStyle w:val="yTable"/>
            </w:pPr>
            <w:r>
              <w:t>Disposition on Re</w:t>
            </w:r>
            <w:r>
              <w:noBreakHyphen/>
              <w:t>subdivision</w:t>
            </w:r>
          </w:p>
        </w:tc>
      </w:tr>
      <w:tr>
        <w:trPr>
          <w:cantSplit/>
        </w:trPr>
        <w:tc>
          <w:tcPr>
            <w:tcW w:w="1276" w:type="dxa"/>
          </w:tcPr>
          <w:p>
            <w:pPr>
              <w:pStyle w:val="yTable"/>
            </w:pPr>
            <w:r>
              <w:t>24</w:t>
            </w:r>
          </w:p>
        </w:tc>
        <w:tc>
          <w:tcPr>
            <w:tcW w:w="4678" w:type="dxa"/>
          </w:tcPr>
          <w:p>
            <w:pPr>
              <w:pStyle w:val="yTable"/>
            </w:pPr>
            <w:r>
              <w:t>Application to Western Australian Planning Commission for Approval to Strata Plan</w:t>
            </w:r>
          </w:p>
        </w:tc>
      </w:tr>
      <w:tr>
        <w:trPr>
          <w:cantSplit/>
        </w:trPr>
        <w:tc>
          <w:tcPr>
            <w:tcW w:w="1276" w:type="dxa"/>
          </w:tcPr>
          <w:p>
            <w:pPr>
              <w:pStyle w:val="yTable"/>
            </w:pPr>
            <w:r>
              <w:t>28</w:t>
            </w:r>
          </w:p>
        </w:tc>
        <w:tc>
          <w:tcPr>
            <w:tcW w:w="4678" w:type="dxa"/>
          </w:tcPr>
          <w:p>
            <w:pPr>
              <w:pStyle w:val="yTable"/>
            </w:pPr>
            <w:r>
              <w:t>Disclosure Statement</w:t>
            </w:r>
          </w:p>
        </w:tc>
      </w:tr>
      <w:tr>
        <w:trPr>
          <w:cantSplit/>
        </w:trPr>
        <w:tc>
          <w:tcPr>
            <w:tcW w:w="1276" w:type="dxa"/>
          </w:tcPr>
          <w:p>
            <w:pPr>
              <w:pStyle w:val="yTable"/>
            </w:pPr>
            <w:r>
              <w:t>30</w:t>
            </w:r>
          </w:p>
        </w:tc>
        <w:tc>
          <w:tcPr>
            <w:tcW w:w="4678" w:type="dxa"/>
          </w:tcPr>
          <w:p>
            <w:pPr>
              <w:pStyle w:val="yTable"/>
            </w:pPr>
            <w:r>
              <w:t>Notice of Resolution of Merger of Buildings</w:t>
            </w:r>
          </w:p>
        </w:tc>
      </w:tr>
      <w:tr>
        <w:trPr>
          <w:cantSplit/>
        </w:trPr>
        <w:tc>
          <w:tcPr>
            <w:tcW w:w="1276" w:type="dxa"/>
          </w:tcPr>
          <w:p>
            <w:pPr>
              <w:pStyle w:val="yTable"/>
            </w:pPr>
            <w:r>
              <w:t>39</w:t>
            </w:r>
          </w:p>
        </w:tc>
        <w:tc>
          <w:tcPr>
            <w:tcW w:w="4678" w:type="dxa"/>
          </w:tcPr>
          <w:p>
            <w:pPr>
              <w:pStyle w:val="yTable"/>
            </w:pPr>
            <w:r>
              <w:t>Disposition on Merger of Land or Conversion to a Survey</w:t>
            </w:r>
            <w:r>
              <w:noBreakHyphen/>
              <w:t>Strata Scheme</w:t>
            </w:r>
          </w:p>
        </w:tc>
      </w:tr>
      <w:tr>
        <w:trPr>
          <w:cantSplit/>
        </w:trPr>
        <w:tc>
          <w:tcPr>
            <w:tcW w:w="1276" w:type="dxa"/>
          </w:tcPr>
          <w:p>
            <w:pPr>
              <w:pStyle w:val="yTable"/>
            </w:pPr>
            <w:r>
              <w:t>40</w:t>
            </w:r>
          </w:p>
        </w:tc>
        <w:tc>
          <w:tcPr>
            <w:tcW w:w="4678" w:type="dxa"/>
          </w:tcPr>
          <w:p>
            <w:pPr>
              <w:pStyle w:val="yTable"/>
            </w:pPr>
            <w:r>
              <w:t>Notice of Objection to Change of Fencing Provisions</w:t>
            </w:r>
          </w:p>
        </w:tc>
      </w:tr>
      <w:tr>
        <w:trPr>
          <w:cantSplit/>
        </w:trPr>
        <w:tc>
          <w:tcPr>
            <w:tcW w:w="1276" w:type="dxa"/>
          </w:tcPr>
          <w:p>
            <w:pPr>
              <w:pStyle w:val="yTable"/>
            </w:pPr>
            <w:r>
              <w:t>41</w:t>
            </w:r>
          </w:p>
        </w:tc>
        <w:tc>
          <w:tcPr>
            <w:tcW w:w="4678" w:type="dxa"/>
          </w:tcPr>
          <w:p>
            <w:pPr>
              <w:pStyle w:val="yTable"/>
            </w:pPr>
            <w:r>
              <w:t>Notice of Termination of Insurance Order.</w:t>
            </w:r>
          </w:p>
        </w:tc>
      </w:tr>
    </w:tbl>
    <w:p>
      <w:pPr>
        <w:pStyle w:val="yMiscellaneousBody"/>
        <w:ind w:left="567" w:hanging="567"/>
      </w:pPr>
      <w:r>
        <w:t>2.</w:t>
      </w:r>
      <w:r>
        <w:tab/>
        <w:t xml:space="preserve">Under or for the purposes of the </w:t>
      </w:r>
      <w:r>
        <w:rPr>
          <w:i/>
        </w:rPr>
        <w:t>Transfer of Land Act 1893</w:t>
      </w:r>
      <w:r>
        <w:t> — </w:t>
      </w:r>
    </w:p>
    <w:p>
      <w:pPr>
        <w:pStyle w:val="yMiscellaneousBody"/>
        <w:ind w:left="1134" w:hanging="567"/>
      </w:pPr>
      <w:r>
        <w:t>(a)</w:t>
      </w:r>
      <w:r>
        <w:tab/>
        <w:t>these documents under these provisions of that Act for the purposes described:</w:t>
      </w:r>
    </w:p>
    <w:tbl>
      <w:tblPr>
        <w:tblW w:w="5954" w:type="dxa"/>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keepNext/>
              <w:keepLines/>
              <w:rPr>
                <w:b/>
                <w:bCs/>
              </w:rPr>
            </w:pPr>
            <w:r>
              <w:rPr>
                <w:b/>
                <w:bCs/>
              </w:rPr>
              <w:t>Provision</w:t>
            </w:r>
          </w:p>
        </w:tc>
        <w:tc>
          <w:tcPr>
            <w:tcW w:w="4678" w:type="dxa"/>
          </w:tcPr>
          <w:p>
            <w:pPr>
              <w:pStyle w:val="yTable"/>
              <w:keepNext/>
              <w:keepLines/>
              <w:rPr>
                <w:b/>
                <w:bCs/>
              </w:rPr>
            </w:pPr>
            <w:r>
              <w:rPr>
                <w:b/>
                <w:bCs/>
              </w:rPr>
              <w:t>Description of document and purpose</w:t>
            </w:r>
          </w:p>
        </w:tc>
      </w:tr>
      <w:tr>
        <w:trPr>
          <w:cantSplit/>
        </w:trPr>
        <w:tc>
          <w:tcPr>
            <w:tcW w:w="1276" w:type="dxa"/>
          </w:tcPr>
          <w:p>
            <w:pPr>
              <w:pStyle w:val="yTable"/>
            </w:pPr>
            <w:r>
              <w:t>s. 48B</w:t>
            </w:r>
          </w:p>
        </w:tc>
        <w:tc>
          <w:tcPr>
            <w:tcW w:w="4678" w:type="dxa"/>
          </w:tcPr>
          <w:p>
            <w:pPr>
              <w:pStyle w:val="yTable"/>
            </w:pPr>
            <w:r>
              <w:t>Request in relation to the issue of duplicate certificate of title</w:t>
            </w:r>
          </w:p>
        </w:tc>
      </w:tr>
      <w:tr>
        <w:trPr>
          <w:cantSplit/>
        </w:trPr>
        <w:tc>
          <w:tcPr>
            <w:tcW w:w="1276" w:type="dxa"/>
          </w:tcPr>
          <w:p>
            <w:pPr>
              <w:pStyle w:val="yTable"/>
            </w:pPr>
            <w:r>
              <w:t>s. 59</w:t>
            </w:r>
          </w:p>
        </w:tc>
        <w:tc>
          <w:tcPr>
            <w:tcW w:w="4678" w:type="dxa"/>
          </w:tcPr>
          <w:p>
            <w:pPr>
              <w:pStyle w:val="yTable"/>
            </w:pPr>
            <w:r>
              <w:t>Application to remove notation as to legal disability</w:t>
            </w:r>
          </w:p>
        </w:tc>
      </w:tr>
      <w:tr>
        <w:trPr>
          <w:cantSplit/>
        </w:trPr>
        <w:tc>
          <w:tcPr>
            <w:tcW w:w="1276" w:type="dxa"/>
          </w:tcPr>
          <w:p>
            <w:pPr>
              <w:pStyle w:val="yTable"/>
            </w:pPr>
            <w:r>
              <w:t>s. 71</w:t>
            </w:r>
          </w:p>
        </w:tc>
        <w:tc>
          <w:tcPr>
            <w:tcW w:w="4678" w:type="dxa"/>
          </w:tcPr>
          <w:p>
            <w:pPr>
              <w:pStyle w:val="yTable"/>
            </w:pPr>
            <w:r>
              <w:t>Application for a consolidated certificate of title</w:t>
            </w:r>
          </w:p>
        </w:tc>
      </w:tr>
      <w:tr>
        <w:trPr>
          <w:cantSplit/>
        </w:trPr>
        <w:tc>
          <w:tcPr>
            <w:tcW w:w="1276" w:type="dxa"/>
          </w:tcPr>
          <w:p>
            <w:pPr>
              <w:pStyle w:val="yTable"/>
            </w:pPr>
            <w:r>
              <w:t>s. 71A</w:t>
            </w:r>
          </w:p>
        </w:tc>
        <w:tc>
          <w:tcPr>
            <w:tcW w:w="4678" w:type="dxa"/>
          </w:tcPr>
          <w:p>
            <w:pPr>
              <w:pStyle w:val="yTable"/>
            </w:pPr>
            <w:r>
              <w:t>Application for a certificate of title for the balance of land in a certificate of title</w:t>
            </w:r>
          </w:p>
        </w:tc>
      </w:tr>
      <w:tr>
        <w:trPr>
          <w:cantSplit/>
        </w:trPr>
        <w:tc>
          <w:tcPr>
            <w:tcW w:w="1276" w:type="dxa"/>
          </w:tcPr>
          <w:p>
            <w:pPr>
              <w:pStyle w:val="yTable"/>
            </w:pPr>
            <w:r>
              <w:t>s. 74B</w:t>
            </w:r>
          </w:p>
        </w:tc>
        <w:tc>
          <w:tcPr>
            <w:tcW w:w="4678" w:type="dxa"/>
          </w:tcPr>
          <w:p>
            <w:pPr>
              <w:pStyle w:val="yTable"/>
            </w:pPr>
            <w:r>
              <w:t>Application for a new duplicate certificate of title</w:t>
            </w:r>
          </w:p>
        </w:tc>
      </w:tr>
      <w:tr>
        <w:trPr>
          <w:cantSplit/>
        </w:trPr>
        <w:tc>
          <w:tcPr>
            <w:tcW w:w="1276" w:type="dxa"/>
          </w:tcPr>
          <w:p>
            <w:pPr>
              <w:pStyle w:val="yTable"/>
            </w:pPr>
            <w:r>
              <w:t>s. 75</w:t>
            </w:r>
          </w:p>
        </w:tc>
        <w:tc>
          <w:tcPr>
            <w:tcW w:w="4678" w:type="dxa"/>
          </w:tcPr>
          <w:p>
            <w:pPr>
              <w:pStyle w:val="yTable"/>
            </w:pPr>
            <w:r>
              <w:t>Application for a replacement duplicate certificate of title</w:t>
            </w:r>
          </w:p>
        </w:tc>
      </w:tr>
      <w:tr>
        <w:trPr>
          <w:cantSplit/>
        </w:trPr>
        <w:tc>
          <w:tcPr>
            <w:tcW w:w="1276" w:type="dxa"/>
          </w:tcPr>
          <w:p>
            <w:pPr>
              <w:pStyle w:val="yTable"/>
            </w:pPr>
            <w:r>
              <w:t>s. 82</w:t>
            </w:r>
          </w:p>
        </w:tc>
        <w:tc>
          <w:tcPr>
            <w:tcW w:w="4678" w:type="dxa"/>
          </w:tcPr>
          <w:p>
            <w:pPr>
              <w:pStyle w:val="yTable"/>
            </w:pPr>
            <w:r>
              <w:t>Transfer</w:t>
            </w:r>
          </w:p>
        </w:tc>
      </w:tr>
      <w:tr>
        <w:trPr>
          <w:cantSplit/>
        </w:trPr>
        <w:tc>
          <w:tcPr>
            <w:tcW w:w="1276" w:type="dxa"/>
          </w:tcPr>
          <w:p>
            <w:pPr>
              <w:pStyle w:val="yTable"/>
            </w:pPr>
            <w:r>
              <w:t>s. 84</w:t>
            </w:r>
          </w:p>
        </w:tc>
        <w:tc>
          <w:tcPr>
            <w:tcW w:w="4678" w:type="dxa"/>
          </w:tcPr>
          <w:p>
            <w:pPr>
              <w:pStyle w:val="yTable"/>
            </w:pPr>
            <w:r>
              <w:t>Transfer</w:t>
            </w:r>
          </w:p>
        </w:tc>
      </w:tr>
      <w:tr>
        <w:trPr>
          <w:cantSplit/>
        </w:trPr>
        <w:tc>
          <w:tcPr>
            <w:tcW w:w="1276" w:type="dxa"/>
          </w:tcPr>
          <w:p>
            <w:pPr>
              <w:pStyle w:val="yTable"/>
            </w:pPr>
            <w:r>
              <w:t>s. 129BB</w:t>
            </w:r>
          </w:p>
        </w:tc>
        <w:tc>
          <w:tcPr>
            <w:tcW w:w="4678" w:type="dxa"/>
          </w:tcPr>
          <w:p>
            <w:pPr>
              <w:pStyle w:val="yTable"/>
            </w:pPr>
            <w:r>
              <w:t>Application for discharge or modification of restrictive covenant</w:t>
            </w:r>
          </w:p>
        </w:tc>
      </w:tr>
      <w:tr>
        <w:trPr>
          <w:cantSplit/>
        </w:trPr>
        <w:tc>
          <w:tcPr>
            <w:tcW w:w="1276" w:type="dxa"/>
          </w:tcPr>
          <w:p>
            <w:pPr>
              <w:pStyle w:val="yTable"/>
            </w:pPr>
            <w:r>
              <w:t>s. 136J</w:t>
            </w:r>
          </w:p>
        </w:tc>
        <w:tc>
          <w:tcPr>
            <w:tcW w:w="4678" w:type="dxa"/>
          </w:tcPr>
          <w:p>
            <w:pPr>
              <w:pStyle w:val="yTable"/>
            </w:pPr>
            <w:r>
              <w:t>Application for discharge or modification of restrictive covenant</w:t>
            </w:r>
          </w:p>
        </w:tc>
      </w:tr>
      <w:tr>
        <w:trPr>
          <w:cantSplit/>
        </w:trPr>
        <w:tc>
          <w:tcPr>
            <w:tcW w:w="1276" w:type="dxa"/>
          </w:tcPr>
          <w:p>
            <w:pPr>
              <w:pStyle w:val="yTable"/>
            </w:pPr>
            <w:r>
              <w:t>s. 137</w:t>
            </w:r>
          </w:p>
        </w:tc>
        <w:tc>
          <w:tcPr>
            <w:tcW w:w="4678" w:type="dxa"/>
          </w:tcPr>
          <w:p>
            <w:pPr>
              <w:pStyle w:val="yTable"/>
            </w:pPr>
            <w:r>
              <w:t>Caveat to protect the interest of a purchaser or mortgagee for whom the licensee is acting</w:t>
            </w:r>
          </w:p>
        </w:tc>
      </w:tr>
      <w:tr>
        <w:trPr>
          <w:cantSplit/>
        </w:trPr>
        <w:tc>
          <w:tcPr>
            <w:tcW w:w="1276" w:type="dxa"/>
          </w:tcPr>
          <w:p>
            <w:pPr>
              <w:pStyle w:val="yTable"/>
            </w:pPr>
            <w:r>
              <w:t>s. 138B</w:t>
            </w:r>
          </w:p>
        </w:tc>
        <w:tc>
          <w:tcPr>
            <w:tcW w:w="4678" w:type="dxa"/>
          </w:tcPr>
          <w:p>
            <w:pPr>
              <w:pStyle w:val="yTable"/>
            </w:pPr>
            <w:r>
              <w:t>Application to have notice sent to caveator</w:t>
            </w:r>
          </w:p>
        </w:tc>
      </w:tr>
      <w:tr>
        <w:trPr>
          <w:cantSplit/>
        </w:trPr>
        <w:tc>
          <w:tcPr>
            <w:tcW w:w="1276" w:type="dxa"/>
          </w:tcPr>
          <w:p>
            <w:pPr>
              <w:pStyle w:val="yTable"/>
            </w:pPr>
            <w:r>
              <w:t>s. 146</w:t>
            </w:r>
          </w:p>
        </w:tc>
        <w:tc>
          <w:tcPr>
            <w:tcW w:w="4678" w:type="dxa"/>
          </w:tcPr>
          <w:p>
            <w:pPr>
              <w:pStyle w:val="yTable"/>
            </w:pPr>
            <w:r>
              <w:t>Application for search certificate</w:t>
            </w:r>
          </w:p>
        </w:tc>
      </w:tr>
      <w:tr>
        <w:trPr>
          <w:cantSplit/>
        </w:trPr>
        <w:tc>
          <w:tcPr>
            <w:tcW w:w="1276" w:type="dxa"/>
          </w:tcPr>
          <w:p>
            <w:pPr>
              <w:pStyle w:val="yTable"/>
            </w:pPr>
            <w:r>
              <w:t>s. 148</w:t>
            </w:r>
          </w:p>
        </w:tc>
        <w:tc>
          <w:tcPr>
            <w:tcW w:w="4678" w:type="dxa"/>
          </w:tcPr>
          <w:p>
            <w:pPr>
              <w:pStyle w:val="yTable"/>
            </w:pPr>
            <w:r>
              <w:t>Application for stay of registration</w:t>
            </w:r>
          </w:p>
        </w:tc>
      </w:tr>
      <w:tr>
        <w:trPr>
          <w:cantSplit/>
        </w:trPr>
        <w:tc>
          <w:tcPr>
            <w:tcW w:w="1276" w:type="dxa"/>
          </w:tcPr>
          <w:p>
            <w:pPr>
              <w:pStyle w:val="yTable"/>
            </w:pPr>
            <w:r>
              <w:t>s. 166</w:t>
            </w:r>
          </w:p>
        </w:tc>
        <w:tc>
          <w:tcPr>
            <w:tcW w:w="4678" w:type="dxa"/>
          </w:tcPr>
          <w:p>
            <w:pPr>
              <w:pStyle w:val="yTable"/>
            </w:pPr>
            <w:r>
              <w:t>Application for new certificates of title on a subdivision of land that is held in fee simple</w:t>
            </w:r>
          </w:p>
        </w:tc>
      </w:tr>
      <w:tr>
        <w:trPr>
          <w:cantSplit/>
        </w:trPr>
        <w:tc>
          <w:tcPr>
            <w:tcW w:w="1276" w:type="dxa"/>
          </w:tcPr>
          <w:p>
            <w:pPr>
              <w:pStyle w:val="yTable"/>
            </w:pPr>
            <w:r>
              <w:t>s. 219</w:t>
            </w:r>
          </w:p>
        </w:tc>
        <w:tc>
          <w:tcPr>
            <w:tcW w:w="4678" w:type="dxa"/>
          </w:tcPr>
          <w:p>
            <w:pPr>
              <w:pStyle w:val="yTable"/>
            </w:pPr>
            <w:r>
              <w:t>Application on a transmission</w:t>
            </w:r>
          </w:p>
        </w:tc>
      </w:tr>
      <w:tr>
        <w:trPr>
          <w:cantSplit/>
        </w:trPr>
        <w:tc>
          <w:tcPr>
            <w:tcW w:w="1276" w:type="dxa"/>
          </w:tcPr>
          <w:p>
            <w:pPr>
              <w:pStyle w:val="yTable"/>
            </w:pPr>
            <w:r>
              <w:t>s. 221</w:t>
            </w:r>
          </w:p>
        </w:tc>
        <w:tc>
          <w:tcPr>
            <w:tcW w:w="4678" w:type="dxa"/>
          </w:tcPr>
          <w:p>
            <w:pPr>
              <w:pStyle w:val="yTable"/>
            </w:pPr>
            <w:r>
              <w:t>Application by remainderman on a transmission</w:t>
            </w:r>
          </w:p>
        </w:tc>
      </w:tr>
      <w:tr>
        <w:trPr>
          <w:cantSplit/>
        </w:trPr>
        <w:tc>
          <w:tcPr>
            <w:tcW w:w="1276" w:type="dxa"/>
          </w:tcPr>
          <w:p>
            <w:pPr>
              <w:pStyle w:val="yTable"/>
            </w:pPr>
            <w:r>
              <w:t>s. 227</w:t>
            </w:r>
          </w:p>
        </w:tc>
        <w:tc>
          <w:tcPr>
            <w:tcW w:w="4678" w:type="dxa"/>
          </w:tcPr>
          <w:p>
            <w:pPr>
              <w:pStyle w:val="yTable"/>
            </w:pPr>
            <w:r>
              <w:t>Application by the survivor of joint proprietors</w:t>
            </w:r>
          </w:p>
        </w:tc>
      </w:tr>
      <w:tr>
        <w:trPr>
          <w:cantSplit/>
        </w:trPr>
        <w:tc>
          <w:tcPr>
            <w:tcW w:w="1276" w:type="dxa"/>
          </w:tcPr>
          <w:p>
            <w:pPr>
              <w:pStyle w:val="yTable"/>
            </w:pPr>
            <w:r>
              <w:t>s. 240A</w:t>
            </w:r>
          </w:p>
        </w:tc>
        <w:tc>
          <w:tcPr>
            <w:tcW w:w="4678" w:type="dxa"/>
          </w:tcPr>
          <w:p>
            <w:pPr>
              <w:pStyle w:val="yTable"/>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 </w:t>
      </w:r>
    </w:p>
    <w:p>
      <w:pPr>
        <w:pStyle w:val="yMiscellaneousBody"/>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w:t>
      </w:r>
    </w:p>
    <w:p>
      <w:pPr>
        <w:pStyle w:val="yMiscellaneousBody"/>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rPr>
          <w:snapToGrid w:val="0"/>
        </w:rPr>
      </w:pPr>
      <w:r>
        <w:rPr>
          <w:snapToGrid w:val="0"/>
        </w:rPr>
        <w:t>(d)</w:t>
      </w:r>
      <w:r>
        <w:rPr>
          <w:snapToGrid w:val="0"/>
        </w:rPr>
        <w:tab/>
        <w:t xml:space="preserve">a notice under section 67B of the </w:t>
      </w:r>
      <w:r>
        <w:rPr>
          <w:i/>
          <w:snapToGrid w:val="0"/>
        </w:rPr>
        <w:t>Water Agencies (Powers) Act 1984</w:t>
      </w:r>
      <w:r>
        <w:rPr>
          <w:snapToGrid w:val="0"/>
        </w:rPr>
        <w:t>, to be provided by the Water Corporation, directing that section 67B of that Act cease to apply to specified land;</w:t>
      </w:r>
    </w:p>
    <w:p>
      <w:pPr>
        <w:pStyle w:val="yMiscellaneousBody"/>
        <w:keepNext/>
        <w:keepLines/>
        <w:ind w:left="1134" w:hanging="567"/>
        <w:rPr>
          <w:snapToGrid w:val="0"/>
        </w:rPr>
      </w:pPr>
      <w:r>
        <w:rPr>
          <w:snapToGrid w:val="0"/>
        </w:rPr>
        <w:t>(e)</w:t>
      </w:r>
      <w:r>
        <w:rPr>
          <w:snapToGrid w:val="0"/>
        </w:rPr>
        <w:tab/>
        <w:t xml:space="preserve">a notice under section 62D of the </w:t>
      </w:r>
      <w:r>
        <w:rPr>
          <w:i/>
          <w:snapToGrid w:val="0"/>
        </w:rPr>
        <w:t>Water Boards Act 1904</w:t>
      </w:r>
      <w:r>
        <w:rPr>
          <w:snapToGrid w:val="0"/>
        </w:rPr>
        <w:t>, to be provided by a Water Board, directing that section 62B of that Act cease to apply to specified land.</w:t>
      </w:r>
    </w:p>
    <w:p>
      <w:pPr>
        <w:pStyle w:val="yFootnotesection"/>
      </w:pPr>
      <w:r>
        <w:tab/>
        <w:t>[Part C inserted in Gazette 23 May 1997 p. 2422</w:t>
      </w:r>
      <w:r>
        <w:noBreakHyphen/>
        <w:t xml:space="preserve">4; amended in Gazette 30 Dec 2004 p. 6927.] </w:t>
      </w:r>
    </w:p>
    <w:p>
      <w:pPr>
        <w:pStyle w:val="yScheduleHeading"/>
      </w:pPr>
      <w:bookmarkStart w:id="93" w:name="_Toc101066044"/>
      <w:bookmarkStart w:id="94" w:name="_Toc138142121"/>
      <w:bookmarkStart w:id="95" w:name="_Toc138144266"/>
      <w:bookmarkStart w:id="96" w:name="_Toc138146258"/>
      <w:r>
        <w:rPr>
          <w:rStyle w:val="CharSchNo"/>
        </w:rPr>
        <w:t>Schedule 4</w:t>
      </w:r>
      <w:r>
        <w:t> — </w:t>
      </w:r>
      <w:r>
        <w:rPr>
          <w:rStyle w:val="CharSchText"/>
        </w:rPr>
        <w:t>Documents that a business settlement agent may draw or prepare</w:t>
      </w:r>
      <w:bookmarkEnd w:id="93"/>
      <w:bookmarkEnd w:id="94"/>
      <w:bookmarkEnd w:id="95"/>
      <w:bookmarkEnd w:id="96"/>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rPr>
        <w:t>.</w:t>
      </w:r>
    </w:p>
    <w:p>
      <w:pPr>
        <w:pStyle w:val="yFootnotesection"/>
      </w:pPr>
      <w:r>
        <w:tab/>
        <w:t xml:space="preserve">[Schedule 4 inserted in Gazette 23 May 1997 p. 2424.]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2"/>
      </w:pPr>
      <w:bookmarkStart w:id="97" w:name="_Toc68942056"/>
      <w:bookmarkStart w:id="98" w:name="_Toc68942116"/>
      <w:bookmarkStart w:id="99" w:name="_Toc68942144"/>
      <w:bookmarkStart w:id="100" w:name="_Toc74987654"/>
      <w:bookmarkStart w:id="101" w:name="_Toc92797386"/>
      <w:bookmarkStart w:id="102" w:name="_Toc93114867"/>
      <w:bookmarkStart w:id="103" w:name="_Toc93998404"/>
      <w:bookmarkStart w:id="104" w:name="_Toc94065826"/>
      <w:bookmarkStart w:id="105" w:name="_Toc97449073"/>
      <w:bookmarkStart w:id="106" w:name="_Toc97449105"/>
      <w:bookmarkStart w:id="107" w:name="_Toc97452629"/>
      <w:bookmarkStart w:id="108" w:name="_Toc98048630"/>
      <w:bookmarkStart w:id="109" w:name="_Toc98146852"/>
      <w:bookmarkStart w:id="110" w:name="_Toc98146937"/>
      <w:bookmarkStart w:id="111" w:name="_Toc101066045"/>
      <w:bookmarkStart w:id="112" w:name="_Toc138142122"/>
      <w:bookmarkStart w:id="113" w:name="_Toc138144267"/>
      <w:bookmarkStart w:id="114" w:name="_Toc138146259"/>
      <w:r>
        <w:t>Notes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5" w:name="_Toc101066046"/>
      <w:bookmarkStart w:id="116" w:name="_Toc138146260"/>
      <w:r>
        <w:rPr>
          <w:snapToGrid w:val="0"/>
        </w:rPr>
        <w:t>Compilation table</w:t>
      </w:r>
      <w:bookmarkEnd w:id="115"/>
      <w:bookmarkEnd w:id="11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iCs/>
                <w:sz w:val="19"/>
                <w:szCs w:val="18"/>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i/>
                <w:iCs/>
                <w:sz w:val="19"/>
                <w:szCs w:val="18"/>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30 Mar 1984 p. 910</w:t>
            </w:r>
            <w:r>
              <w:rPr>
                <w:sz w:val="19"/>
                <w:szCs w:val="18"/>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i/>
                <w:iCs/>
                <w:sz w:val="19"/>
                <w:szCs w:val="18"/>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sz w:val="19"/>
                <w:szCs w:val="18"/>
              </w:rPr>
              <w:fldChar w:fldCharType="begin"/>
            </w:r>
            <w:r>
              <w:rPr>
                <w:sz w:val="19"/>
                <w:szCs w:val="18"/>
              </w:rPr>
              <w:instrText>ADVANCE \D 2.80</w:instrText>
            </w:r>
            <w:r>
              <w:rPr>
                <w:sz w:val="19"/>
                <w:szCs w:val="18"/>
              </w:rPr>
              <w:fldChar w:fldCharType="end"/>
            </w:r>
            <w:r>
              <w:rPr>
                <w:i/>
                <w:iCs/>
                <w:sz w:val="19"/>
                <w:szCs w:val="18"/>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i/>
                <w:iCs/>
                <w:sz w:val="19"/>
                <w:szCs w:val="18"/>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sz w:val="19"/>
                <w:szCs w:val="18"/>
              </w:rPr>
              <w:fldChar w:fldCharType="begin"/>
            </w:r>
            <w:r>
              <w:rPr>
                <w:sz w:val="19"/>
                <w:szCs w:val="18"/>
              </w:rPr>
              <w:instrText>ADVANCE \D 2.80</w:instrText>
            </w:r>
            <w:r>
              <w:rPr>
                <w:sz w:val="19"/>
                <w:szCs w:val="18"/>
              </w:rPr>
              <w:fldChar w:fldCharType="end"/>
            </w:r>
            <w:r>
              <w:rPr>
                <w:i/>
                <w:iCs/>
                <w:sz w:val="19"/>
                <w:szCs w:val="18"/>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i/>
                <w:iCs/>
                <w:sz w:val="19"/>
                <w:szCs w:val="18"/>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25 Nov 1988 p. 4761</w:t>
            </w:r>
            <w:r>
              <w:rPr>
                <w:sz w:val="19"/>
                <w:szCs w:val="18"/>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sz w:val="19"/>
                <w:szCs w:val="18"/>
              </w:rPr>
              <w:fldChar w:fldCharType="begin"/>
            </w:r>
            <w:r>
              <w:rPr>
                <w:sz w:val="19"/>
                <w:szCs w:val="18"/>
              </w:rPr>
              <w:instrText>ADVANCE \D 2.80</w:instrText>
            </w:r>
            <w:r>
              <w:rPr>
                <w:sz w:val="19"/>
                <w:szCs w:val="18"/>
              </w:rPr>
              <w:fldChar w:fldCharType="end"/>
            </w:r>
            <w:r>
              <w:rPr>
                <w:i/>
                <w:iCs/>
                <w:sz w:val="19"/>
                <w:szCs w:val="18"/>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i/>
                <w:iCs/>
                <w:sz w:val="19"/>
                <w:szCs w:val="18"/>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szCs w:val="18"/>
              </w:rPr>
            </w:pPr>
            <w:r>
              <w:rPr>
                <w:i/>
                <w:iCs/>
                <w:sz w:val="19"/>
                <w:szCs w:val="18"/>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i/>
                <w:iCs/>
                <w:sz w:val="19"/>
                <w:szCs w:val="18"/>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i/>
                <w:iCs/>
                <w:sz w:val="19"/>
                <w:szCs w:val="18"/>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b/>
                <w:bCs/>
                <w:sz w:val="19"/>
                <w:szCs w:val="18"/>
              </w:rPr>
              <w:t xml:space="preserve">Reprint of the </w:t>
            </w:r>
            <w:r>
              <w:rPr>
                <w:b/>
                <w:bCs/>
                <w:i/>
                <w:sz w:val="19"/>
              </w:rPr>
              <w:t>Settlement Agents Regulations 1982</w:t>
            </w:r>
            <w:r>
              <w:rPr>
                <w:b/>
                <w:bCs/>
                <w:sz w:val="19"/>
                <w:szCs w:val="18"/>
              </w:rPr>
              <w:t xml:space="preserve"> as at 9 Apr 1996</w:t>
            </w:r>
            <w:r>
              <w:rPr>
                <w:sz w:val="19"/>
                <w:szCs w:val="18"/>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iCs/>
                <w:sz w:val="19"/>
                <w:vertAlign w:val="superscript"/>
              </w:rPr>
              <w:t> 2</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b/>
                <w:bCs/>
                <w:sz w:val="19"/>
                <w:szCs w:val="18"/>
              </w:rPr>
              <w:t xml:space="preserve">Reprint of the </w:t>
            </w:r>
            <w:r>
              <w:rPr>
                <w:b/>
                <w:bCs/>
                <w:i/>
                <w:sz w:val="19"/>
              </w:rPr>
              <w:t>Settlement Agents Regulations 1982</w:t>
            </w:r>
            <w:r>
              <w:rPr>
                <w:b/>
                <w:bCs/>
                <w:sz w:val="19"/>
                <w:szCs w:val="18"/>
              </w:rPr>
              <w:t xml:space="preserve"> as at 12 Dec 1997</w:t>
            </w:r>
            <w:r>
              <w:rPr>
                <w:sz w:val="19"/>
                <w:szCs w:val="18"/>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iCs/>
                <w:sz w:val="19"/>
                <w:vertAlign w:val="superscript"/>
              </w:rPr>
            </w:pPr>
            <w:r>
              <w:rPr>
                <w:i/>
                <w:sz w:val="19"/>
              </w:rPr>
              <w:t>Settlement Agents Amendment Regulations (No. 2) 2004</w:t>
            </w:r>
            <w:r>
              <w:rPr>
                <w:iCs/>
                <w:sz w:val="19"/>
                <w:vertAlign w:val="superscript"/>
              </w:rPr>
              <w:t> 3</w:t>
            </w:r>
          </w:p>
        </w:tc>
        <w:tc>
          <w:tcPr>
            <w:tcW w:w="1276" w:type="dxa"/>
          </w:tcPr>
          <w:p>
            <w:pPr>
              <w:pStyle w:val="nTable"/>
              <w:spacing w:after="40"/>
              <w:rPr>
                <w:sz w:val="19"/>
              </w:rPr>
            </w:pPr>
            <w:r>
              <w:rPr>
                <w:sz w:val="19"/>
              </w:rPr>
              <w:t>15 Jun 2004 p. 2024</w:t>
            </w:r>
            <w:r>
              <w:rPr>
                <w:sz w:val="19"/>
              </w:rPr>
              <w:noBreakHyphen/>
              <w:t>6</w:t>
            </w:r>
            <w:r>
              <w:rPr>
                <w:sz w:val="19"/>
              </w:rPr>
              <w:br/>
              <w:t xml:space="preserve">(as amended in </w:t>
            </w:r>
            <w:r>
              <w:rPr>
                <w:i/>
                <w:iCs/>
                <w:sz w:val="19"/>
              </w:rPr>
              <w:t xml:space="preserve">Gazette </w:t>
            </w:r>
            <w:r>
              <w:rPr>
                <w:sz w:val="19"/>
              </w:rPr>
              <w:t xml:space="preserve">21 Jan 2005 p. 258 and </w:t>
            </w:r>
            <w:r>
              <w:rPr>
                <w:i/>
                <w:iCs/>
                <w:sz w:val="19"/>
              </w:rPr>
              <w:t>Gazette</w:t>
            </w:r>
            <w:r>
              <w:rPr>
                <w:sz w:val="19"/>
              </w:rPr>
              <w:t xml:space="preserve"> 16 Jun 2006 p. 2122y)</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szCs w:val="18"/>
              </w:rPr>
              <w:t xml:space="preserve">Reprint 3: The </w:t>
            </w:r>
            <w:r>
              <w:rPr>
                <w:b/>
                <w:bCs/>
                <w:i/>
                <w:sz w:val="19"/>
              </w:rPr>
              <w:t>Settlement Agents Regulations 1982</w:t>
            </w:r>
            <w:r>
              <w:rPr>
                <w:b/>
                <w:bCs/>
                <w:sz w:val="19"/>
                <w:szCs w:val="18"/>
              </w:rPr>
              <w:t xml:space="preserve"> as at 18 Mar 2005</w:t>
            </w:r>
            <w:r>
              <w:rPr>
                <w:sz w:val="19"/>
                <w:szCs w:val="18"/>
              </w:rPr>
              <w:t xml:space="preserve"> (includes amendments listed above)</w:t>
            </w:r>
          </w:p>
        </w:tc>
      </w:tr>
      <w:tr>
        <w:trPr>
          <w:cantSplit/>
        </w:trPr>
        <w:tc>
          <w:tcPr>
            <w:tcW w:w="3118" w:type="dxa"/>
            <w:tcBorders>
              <w:bottom w:val="single" w:sz="4" w:space="0" w:color="auto"/>
            </w:tcBorders>
          </w:tcPr>
          <w:p>
            <w:pPr>
              <w:pStyle w:val="nTable"/>
              <w:spacing w:after="40"/>
              <w:rPr>
                <w:i/>
                <w:sz w:val="19"/>
              </w:rPr>
            </w:pPr>
            <w:r>
              <w:rPr>
                <w:i/>
                <w:sz w:val="19"/>
              </w:rPr>
              <w:t>Settlement Agents Amendment Regulations (No. 2) 2006</w:t>
            </w:r>
          </w:p>
        </w:tc>
        <w:tc>
          <w:tcPr>
            <w:tcW w:w="1276" w:type="dxa"/>
            <w:tcBorders>
              <w:bottom w:val="single" w:sz="4" w:space="0" w:color="auto"/>
            </w:tcBorders>
          </w:tcPr>
          <w:p>
            <w:pPr>
              <w:pStyle w:val="nTable"/>
              <w:spacing w:after="40"/>
              <w:rPr>
                <w:sz w:val="19"/>
              </w:rPr>
            </w:pPr>
            <w:r>
              <w:rPr>
                <w:sz w:val="19"/>
              </w:rPr>
              <w:t>16 Jun 2006 p. 2121-2</w:t>
            </w:r>
          </w:p>
        </w:tc>
        <w:tc>
          <w:tcPr>
            <w:tcW w:w="2693" w:type="dxa"/>
            <w:tcBorders>
              <w:bottom w:val="single" w:sz="4" w:space="0" w:color="auto"/>
            </w:tcBorders>
          </w:tcPr>
          <w:p>
            <w:pPr>
              <w:pStyle w:val="nTable"/>
              <w:spacing w:after="40"/>
              <w:rPr>
                <w:sz w:val="19"/>
              </w:rPr>
            </w:pPr>
            <w:r>
              <w:rPr>
                <w:sz w:val="19"/>
              </w:rPr>
              <w:t>16 Jun 2006</w:t>
            </w:r>
          </w:p>
        </w:tc>
      </w:tr>
    </w:tbl>
    <w:p>
      <w:pPr>
        <w:pStyle w:val="nSubsection"/>
      </w:pPr>
      <w:r>
        <w:rPr>
          <w:vertAlign w:val="superscript"/>
        </w:rPr>
        <w:t>2</w:t>
      </w:r>
      <w:r>
        <w:tab/>
        <w:t xml:space="preserve">These regulations are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pPr>
      <w:r>
        <w:rPr>
          <w:vertAlign w:val="superscript"/>
        </w:rPr>
        <w:t>3</w:t>
      </w:r>
      <w:r>
        <w:tab/>
        <w:t xml:space="preserve">The </w:t>
      </w:r>
      <w:r>
        <w:rPr>
          <w:i/>
        </w:rPr>
        <w:t>Settlement Agents Amendment Regulations (No. 2) 2004</w:t>
      </w:r>
      <w:r>
        <w:t xml:space="preserve"> r. 4 (as amended in </w:t>
      </w:r>
      <w:r>
        <w:rPr>
          <w:i/>
          <w:iCs/>
        </w:rPr>
        <w:t>Gazette</w:t>
      </w:r>
      <w:r>
        <w:t xml:space="preserve"> 21 Jan 2004 p. 258 and 16 Jun 2006 p. 2122) reads as follows:</w:t>
      </w:r>
    </w:p>
    <w:p>
      <w:pPr>
        <w:pStyle w:val="MiscOpen"/>
      </w:pPr>
      <w:r>
        <w:t>“</w:t>
      </w:r>
    </w:p>
    <w:p>
      <w:pPr>
        <w:pStyle w:val="nzHeading5"/>
      </w:pPr>
      <w:r>
        <w:rPr>
          <w:rStyle w:val="CharSectno"/>
        </w:rPr>
        <w:t>4</w:t>
      </w:r>
      <w:r>
        <w:t>.</w:t>
      </w:r>
      <w:r>
        <w:tab/>
        <w:t>Transitional</w:t>
      </w:r>
    </w:p>
    <w:p>
      <w:pPr>
        <w:pStyle w:val="nzSubsection"/>
      </w:pPr>
      <w:r>
        <w:tab/>
      </w:r>
      <w:r>
        <w:tab/>
        <w:t xml:space="preserve">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xml:space="preserve">) of —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iCs/>
        </w:rPr>
      </w:pPr>
      <w:r>
        <w:rPr>
          <w:i/>
          <w:iCs/>
        </w:rPr>
        <w:tab/>
        <w:t>[Regulation 4 amended in Gazette 21 Jan 2005 p. 258; 16 Jun 2006 p. 2122.]</w:t>
      </w:r>
    </w:p>
    <w:p>
      <w:pPr>
        <w:pStyle w:val="MiscClose"/>
      </w:pPr>
      <w:r>
        <w:t>”.</w:t>
      </w:r>
    </w:p>
    <w:p/>
    <w:p>
      <w:pPr>
        <w:sectPr>
          <w:headerReference w:type="even" r:id="rId29"/>
          <w:headerReference w:type="defaul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vAlign w:val="bottom"/>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separate"/>
          </w:r>
          <w:r>
            <w:rPr>
              <w:b w:val="0"/>
              <w:bCs/>
              <w:noProof/>
            </w:rPr>
            <w:t>Prescribed fees</w:t>
          </w:r>
          <w:r>
            <w:rPr>
              <w:b w:val="0"/>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t>Prescribed fees</w: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Settlement Agents Regulations 1982</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Settlement Agents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5CED2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FC686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EA1A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B286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3C24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62AD0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0CE7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EF667C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4A36CC"/>
    <w:lvl w:ilvl="0">
      <w:start w:val="1"/>
      <w:numFmt w:val="decimal"/>
      <w:pStyle w:val="ListNumber"/>
      <w:lvlText w:val="%1."/>
      <w:lvlJc w:val="left"/>
      <w:pPr>
        <w:tabs>
          <w:tab w:val="num" w:pos="360"/>
        </w:tabs>
        <w:ind w:left="360" w:hanging="360"/>
      </w:pPr>
    </w:lvl>
  </w:abstractNum>
  <w:abstractNum w:abstractNumId="9">
    <w:nsid w:val="FFFFFF89"/>
    <w:multiLevelType w:val="singleLevel"/>
    <w:tmpl w:val="F1828A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9D413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1068F6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5545</Words>
  <Characters>26954</Characters>
  <Application>Microsoft Office Word</Application>
  <DocSecurity>0</DocSecurity>
  <Lines>869</Lines>
  <Paragraphs>560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1982 - 03-b0-03</dc:title>
  <dc:subject/>
  <dc:creator/>
  <cp:keywords/>
  <dc:description/>
  <cp:lastModifiedBy>svcMRProcess</cp:lastModifiedBy>
  <cp:revision>4</cp:revision>
  <cp:lastPrinted>2005-03-15T01:08:00Z</cp:lastPrinted>
  <dcterms:created xsi:type="dcterms:W3CDTF">2018-09-15T22:29:00Z</dcterms:created>
  <dcterms:modified xsi:type="dcterms:W3CDTF">2018-09-15T22:29:00Z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CommencementDate">
    <vt:lpwstr>20060616</vt:lpwstr>
  </property>
  <property fmtid="{D5CDD505-2E9C-101B-9397-08002B2CF9AE}" pid="4" name="DocumentType">
    <vt:lpwstr>Reg</vt:lpwstr>
  </property>
  <property fmtid="{D5CDD505-2E9C-101B-9397-08002B2CF9AE}" pid="5" name="OwlsUID">
    <vt:i4>4771</vt:i4>
  </property>
  <property fmtid="{D5CDD505-2E9C-101B-9397-08002B2CF9AE}" pid="6" name="ReprintNo">
    <vt:lpwstr>3</vt:lpwstr>
  </property>
  <property fmtid="{D5CDD505-2E9C-101B-9397-08002B2CF9AE}" pid="7" name="AsAtDate">
    <vt:lpwstr>16 Jun 2006</vt:lpwstr>
  </property>
  <property fmtid="{D5CDD505-2E9C-101B-9397-08002B2CF9AE}" pid="8" name="Suffix">
    <vt:lpwstr>03-b0-03</vt:lpwstr>
  </property>
</Properties>
</file>