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_Toc138146229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w:t>
      </w:r>
      <w:r>
        <w:tab/>
      </w:r>
      <w:r>
        <w:fldChar w:fldCharType="begin"/>
      </w:r>
      <w:r>
        <w:instrText xml:space="preserve"> PAGEREF _Toc138146230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Common seal</w:t>
      </w:r>
      <w:r>
        <w:tab/>
      </w:r>
      <w:r>
        <w:fldChar w:fldCharType="begin"/>
      </w:r>
      <w:r>
        <w:instrText xml:space="preserve"> PAGEREF _Toc138146231 \h </w:instrText>
      </w:r>
      <w:r>
        <w:fldChar w:fldCharType="separate"/>
      </w:r>
      <w:r>
        <w:t>1</w:t>
      </w:r>
      <w:r>
        <w:fldChar w:fldCharType="end"/>
      </w:r>
    </w:p>
    <w:p>
      <w:pPr>
        <w:pStyle w:val="TOC8"/>
        <w:rPr>
          <w:sz w:val="24"/>
          <w:szCs w:val="24"/>
        </w:rPr>
      </w:pPr>
      <w:r>
        <w:rPr>
          <w:szCs w:val="24"/>
        </w:rPr>
        <w:t>4</w:t>
      </w:r>
      <w:r>
        <w:rPr>
          <w:snapToGrid w:val="0"/>
          <w:szCs w:val="24"/>
        </w:rPr>
        <w:t xml:space="preserve">. </w:t>
      </w:r>
      <w:r>
        <w:rPr>
          <w:snapToGrid w:val="0"/>
          <w:szCs w:val="24"/>
        </w:rPr>
        <w:tab/>
        <w:t>Fees</w:t>
      </w:r>
      <w:r>
        <w:tab/>
      </w:r>
      <w:r>
        <w:fldChar w:fldCharType="begin"/>
      </w:r>
      <w:r>
        <w:instrText xml:space="preserve"> PAGEREF _Toc138146232 \h </w:instrText>
      </w:r>
      <w:r>
        <w:fldChar w:fldCharType="separate"/>
      </w:r>
      <w:r>
        <w:t>2</w:t>
      </w:r>
      <w:r>
        <w:fldChar w:fldCharType="end"/>
      </w:r>
    </w:p>
    <w:p>
      <w:pPr>
        <w:pStyle w:val="TOC8"/>
        <w:rPr>
          <w:sz w:val="24"/>
          <w:szCs w:val="24"/>
        </w:rPr>
      </w:pPr>
      <w:r>
        <w:rPr>
          <w:szCs w:val="24"/>
        </w:rPr>
        <w:t>4A</w:t>
      </w:r>
      <w:r>
        <w:rPr>
          <w:snapToGrid w:val="0"/>
          <w:szCs w:val="24"/>
        </w:rPr>
        <w:t xml:space="preserve">. </w:t>
      </w:r>
      <w:r>
        <w:rPr>
          <w:snapToGrid w:val="0"/>
          <w:szCs w:val="24"/>
        </w:rPr>
        <w:tab/>
        <w:t>Holding fee</w:t>
      </w:r>
      <w:r>
        <w:tab/>
      </w:r>
      <w:r>
        <w:fldChar w:fldCharType="begin"/>
      </w:r>
      <w:r>
        <w:instrText xml:space="preserve"> PAGEREF _Toc138146233 \h </w:instrText>
      </w:r>
      <w:r>
        <w:fldChar w:fldCharType="separate"/>
      </w:r>
      <w:r>
        <w:t>2</w:t>
      </w:r>
      <w:r>
        <w:fldChar w:fldCharType="end"/>
      </w:r>
    </w:p>
    <w:p>
      <w:pPr>
        <w:pStyle w:val="TOC8"/>
        <w:rPr>
          <w:sz w:val="24"/>
          <w:szCs w:val="24"/>
        </w:rPr>
      </w:pPr>
      <w:r>
        <w:rPr>
          <w:szCs w:val="24"/>
        </w:rPr>
        <w:t>5</w:t>
      </w:r>
      <w:r>
        <w:rPr>
          <w:snapToGrid w:val="0"/>
          <w:szCs w:val="24"/>
        </w:rPr>
        <w:t xml:space="preserve">. </w:t>
      </w:r>
      <w:r>
        <w:rPr>
          <w:snapToGrid w:val="0"/>
          <w:szCs w:val="24"/>
        </w:rPr>
        <w:tab/>
        <w:t>Publication of notice of application</w:t>
      </w:r>
      <w:r>
        <w:tab/>
      </w:r>
      <w:r>
        <w:fldChar w:fldCharType="begin"/>
      </w:r>
      <w:r>
        <w:instrText xml:space="preserve"> PAGEREF _Toc138146234 \h </w:instrText>
      </w:r>
      <w:r>
        <w:fldChar w:fldCharType="separate"/>
      </w:r>
      <w:r>
        <w:t>3</w:t>
      </w:r>
      <w:r>
        <w:fldChar w:fldCharType="end"/>
      </w:r>
    </w:p>
    <w:p>
      <w:pPr>
        <w:pStyle w:val="TOC8"/>
        <w:rPr>
          <w:sz w:val="24"/>
          <w:szCs w:val="24"/>
        </w:rPr>
      </w:pPr>
      <w:r>
        <w:rPr>
          <w:szCs w:val="24"/>
        </w:rPr>
        <w:t>6.</w:t>
      </w:r>
      <w:r>
        <w:rPr>
          <w:szCs w:val="24"/>
        </w:rPr>
        <w:tab/>
        <w:t>Examinations</w:t>
      </w:r>
      <w:r>
        <w:tab/>
      </w:r>
      <w:r>
        <w:fldChar w:fldCharType="begin"/>
      </w:r>
      <w:r>
        <w:instrText xml:space="preserve"> PAGEREF _Toc138146235 \h </w:instrText>
      </w:r>
      <w:r>
        <w:fldChar w:fldCharType="separate"/>
      </w:r>
      <w:r>
        <w:t>3</w:t>
      </w:r>
      <w:r>
        <w:fldChar w:fldCharType="end"/>
      </w:r>
    </w:p>
    <w:p>
      <w:pPr>
        <w:pStyle w:val="TOC8"/>
        <w:rPr>
          <w:sz w:val="24"/>
          <w:szCs w:val="24"/>
        </w:rPr>
      </w:pPr>
      <w:r>
        <w:rPr>
          <w:szCs w:val="24"/>
        </w:rPr>
        <w:t>6AA</w:t>
      </w:r>
      <w:r>
        <w:rPr>
          <w:snapToGrid w:val="0"/>
          <w:szCs w:val="24"/>
        </w:rPr>
        <w:t>.</w:t>
      </w:r>
      <w:r>
        <w:rPr>
          <w:snapToGrid w:val="0"/>
          <w:szCs w:val="24"/>
        </w:rPr>
        <w:tab/>
        <w:t>Information to be included in agent’s authority to act</w:t>
      </w:r>
      <w:r>
        <w:tab/>
      </w:r>
      <w:r>
        <w:fldChar w:fldCharType="begin"/>
      </w:r>
      <w:r>
        <w:instrText xml:space="preserve"> PAGEREF _Toc138146236 \h </w:instrText>
      </w:r>
      <w:r>
        <w:fldChar w:fldCharType="separate"/>
      </w:r>
      <w:r>
        <w:t>4</w:t>
      </w:r>
      <w:r>
        <w:fldChar w:fldCharType="end"/>
      </w:r>
    </w:p>
    <w:p>
      <w:pPr>
        <w:pStyle w:val="TOC8"/>
        <w:rPr>
          <w:sz w:val="24"/>
          <w:szCs w:val="24"/>
        </w:rPr>
      </w:pPr>
      <w:r>
        <w:rPr>
          <w:szCs w:val="24"/>
        </w:rPr>
        <w:t>6A</w:t>
      </w:r>
      <w:r>
        <w:rPr>
          <w:snapToGrid w:val="0"/>
          <w:szCs w:val="24"/>
        </w:rPr>
        <w:t xml:space="preserve">. </w:t>
      </w:r>
      <w:r>
        <w:rPr>
          <w:snapToGrid w:val="0"/>
          <w:szCs w:val="24"/>
        </w:rPr>
        <w:tab/>
        <w:t>Definition of “authorised financial institution” — prescribed classes</w:t>
      </w:r>
      <w:r>
        <w:tab/>
      </w:r>
      <w:r>
        <w:fldChar w:fldCharType="begin"/>
      </w:r>
      <w:r>
        <w:instrText xml:space="preserve"> PAGEREF _Toc138146237 \h </w:instrText>
      </w:r>
      <w:r>
        <w:fldChar w:fldCharType="separate"/>
      </w:r>
      <w:r>
        <w:t>4</w:t>
      </w:r>
      <w:r>
        <w:fldChar w:fldCharType="end"/>
      </w:r>
    </w:p>
    <w:p>
      <w:pPr>
        <w:pStyle w:val="TOC8"/>
        <w:rPr>
          <w:sz w:val="24"/>
          <w:szCs w:val="24"/>
        </w:rPr>
      </w:pPr>
      <w:r>
        <w:rPr>
          <w:szCs w:val="24"/>
        </w:rPr>
        <w:t>6B</w:t>
      </w:r>
      <w:r>
        <w:rPr>
          <w:snapToGrid w:val="0"/>
          <w:szCs w:val="24"/>
        </w:rPr>
        <w:t xml:space="preserve">. </w:t>
      </w:r>
      <w:r>
        <w:rPr>
          <w:snapToGrid w:val="0"/>
          <w:szCs w:val="24"/>
        </w:rPr>
        <w:tab/>
        <w:t>Designation of trust accounts</w:t>
      </w:r>
      <w:r>
        <w:tab/>
      </w:r>
      <w:r>
        <w:fldChar w:fldCharType="begin"/>
      </w:r>
      <w:r>
        <w:instrText xml:space="preserve"> PAGEREF _Toc138146238 \h </w:instrText>
      </w:r>
      <w:r>
        <w:fldChar w:fldCharType="separate"/>
      </w:r>
      <w:r>
        <w:t>5</w:t>
      </w:r>
      <w:r>
        <w:fldChar w:fldCharType="end"/>
      </w:r>
    </w:p>
    <w:p>
      <w:pPr>
        <w:pStyle w:val="TOC8"/>
        <w:rPr>
          <w:sz w:val="24"/>
          <w:szCs w:val="24"/>
        </w:rPr>
      </w:pPr>
      <w:r>
        <w:rPr>
          <w:szCs w:val="24"/>
        </w:rPr>
        <w:t>6C</w:t>
      </w:r>
      <w:r>
        <w:rPr>
          <w:snapToGrid w:val="0"/>
          <w:szCs w:val="24"/>
        </w:rPr>
        <w:t xml:space="preserve">. </w:t>
      </w:r>
      <w:r>
        <w:rPr>
          <w:snapToGrid w:val="0"/>
          <w:szCs w:val="24"/>
        </w:rPr>
        <w:tab/>
        <w:t>Prescribed requirements for separate accounts</w:t>
      </w:r>
      <w:r>
        <w:tab/>
      </w:r>
      <w:r>
        <w:fldChar w:fldCharType="begin"/>
      </w:r>
      <w:r>
        <w:instrText xml:space="preserve"> PAGEREF _Toc138146239 \h </w:instrText>
      </w:r>
      <w:r>
        <w:fldChar w:fldCharType="separate"/>
      </w:r>
      <w:r>
        <w:t>5</w:t>
      </w:r>
      <w:r>
        <w:fldChar w:fldCharType="end"/>
      </w:r>
    </w:p>
    <w:p>
      <w:pPr>
        <w:pStyle w:val="TOC8"/>
        <w:rPr>
          <w:sz w:val="24"/>
          <w:szCs w:val="24"/>
        </w:rPr>
      </w:pPr>
      <w:r>
        <w:rPr>
          <w:szCs w:val="24"/>
        </w:rPr>
        <w:t>6D</w:t>
      </w:r>
      <w:r>
        <w:rPr>
          <w:snapToGrid w:val="0"/>
          <w:szCs w:val="24"/>
        </w:rPr>
        <w:t xml:space="preserve">. </w:t>
      </w:r>
      <w:r>
        <w:rPr>
          <w:snapToGrid w:val="0"/>
          <w:szCs w:val="24"/>
        </w:rPr>
        <w:tab/>
        <w:t>Interest payable on trust accounts</w:t>
      </w:r>
      <w:r>
        <w:tab/>
      </w:r>
      <w:r>
        <w:fldChar w:fldCharType="begin"/>
      </w:r>
      <w:r>
        <w:instrText xml:space="preserve"> PAGEREF _Toc138146240 \h </w:instrText>
      </w:r>
      <w:r>
        <w:fldChar w:fldCharType="separate"/>
      </w:r>
      <w:r>
        <w:t>6</w:t>
      </w:r>
      <w:r>
        <w:fldChar w:fldCharType="end"/>
      </w:r>
    </w:p>
    <w:p>
      <w:pPr>
        <w:pStyle w:val="TOC8"/>
        <w:rPr>
          <w:sz w:val="24"/>
          <w:szCs w:val="24"/>
        </w:rPr>
      </w:pPr>
      <w:r>
        <w:rPr>
          <w:szCs w:val="24"/>
        </w:rPr>
        <w:t xml:space="preserve">6E. </w:t>
      </w:r>
      <w:r>
        <w:rPr>
          <w:szCs w:val="24"/>
        </w:rPr>
        <w:tab/>
        <w:t>Content of receipts</w:t>
      </w:r>
      <w:r>
        <w:tab/>
      </w:r>
      <w:r>
        <w:fldChar w:fldCharType="begin"/>
      </w:r>
      <w:r>
        <w:instrText xml:space="preserve"> PAGEREF _Toc138146241 \h </w:instrText>
      </w:r>
      <w:r>
        <w:fldChar w:fldCharType="separate"/>
      </w:r>
      <w:r>
        <w:t>6</w:t>
      </w:r>
      <w:r>
        <w:fldChar w:fldCharType="end"/>
      </w:r>
    </w:p>
    <w:p>
      <w:pPr>
        <w:pStyle w:val="TOC8"/>
        <w:rPr>
          <w:sz w:val="24"/>
          <w:szCs w:val="24"/>
        </w:rPr>
      </w:pPr>
      <w:r>
        <w:rPr>
          <w:szCs w:val="24"/>
        </w:rPr>
        <w:t>6F</w:t>
      </w:r>
      <w:r>
        <w:rPr>
          <w:snapToGrid w:val="0"/>
          <w:szCs w:val="24"/>
        </w:rPr>
        <w:t xml:space="preserve">. </w:t>
      </w:r>
      <w:r>
        <w:rPr>
          <w:snapToGrid w:val="0"/>
          <w:szCs w:val="24"/>
        </w:rPr>
        <w:tab/>
        <w:t>Records under section 50(1)(b)</w:t>
      </w:r>
      <w:r>
        <w:tab/>
      </w:r>
      <w:r>
        <w:fldChar w:fldCharType="begin"/>
      </w:r>
      <w:r>
        <w:instrText xml:space="preserve"> PAGEREF _Toc138146242 \h </w:instrText>
      </w:r>
      <w:r>
        <w:fldChar w:fldCharType="separate"/>
      </w:r>
      <w:r>
        <w:t>7</w:t>
      </w:r>
      <w:r>
        <w:fldChar w:fldCharType="end"/>
      </w:r>
    </w:p>
    <w:p>
      <w:pPr>
        <w:pStyle w:val="TOC8"/>
        <w:rPr>
          <w:sz w:val="24"/>
          <w:szCs w:val="24"/>
        </w:rPr>
      </w:pPr>
      <w:r>
        <w:rPr>
          <w:szCs w:val="24"/>
        </w:rPr>
        <w:t>7</w:t>
      </w:r>
      <w:r>
        <w:rPr>
          <w:snapToGrid w:val="0"/>
          <w:szCs w:val="24"/>
        </w:rPr>
        <w:t xml:space="preserve">. </w:t>
      </w:r>
      <w:r>
        <w:rPr>
          <w:snapToGrid w:val="0"/>
          <w:szCs w:val="24"/>
        </w:rPr>
        <w:tab/>
        <w:t>Particulars to be included in registers</w:t>
      </w:r>
      <w:r>
        <w:tab/>
      </w:r>
      <w:r>
        <w:fldChar w:fldCharType="begin"/>
      </w:r>
      <w:r>
        <w:instrText xml:space="preserve"> PAGEREF _Toc138146243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Recovery of fees, fines and costs</w:t>
      </w:r>
      <w:r>
        <w:tab/>
      </w:r>
      <w:r>
        <w:fldChar w:fldCharType="begin"/>
      </w:r>
      <w:r>
        <w:instrText xml:space="preserve"> PAGEREF _Toc138146244 \h </w:instrText>
      </w:r>
      <w:r>
        <w:fldChar w:fldCharType="separate"/>
      </w:r>
      <w:r>
        <w:t>9</w:t>
      </w:r>
      <w:r>
        <w:fldChar w:fldCharType="end"/>
      </w:r>
    </w:p>
    <w:p>
      <w:pPr>
        <w:pStyle w:val="TOC8"/>
        <w:rPr>
          <w:sz w:val="24"/>
          <w:szCs w:val="24"/>
        </w:rPr>
      </w:pPr>
      <w:r>
        <w:rPr>
          <w:szCs w:val="24"/>
        </w:rPr>
        <w:t>9</w:t>
      </w:r>
      <w:r>
        <w:rPr>
          <w:snapToGrid w:val="0"/>
          <w:szCs w:val="24"/>
        </w:rPr>
        <w:t xml:space="preserve">. </w:t>
      </w:r>
      <w:r>
        <w:rPr>
          <w:snapToGrid w:val="0"/>
          <w:szCs w:val="24"/>
        </w:rPr>
        <w:tab/>
        <w:t>Application of Board Interest Account</w:t>
      </w:r>
      <w:r>
        <w:tab/>
      </w:r>
      <w:r>
        <w:fldChar w:fldCharType="begin"/>
      </w:r>
      <w:r>
        <w:instrText xml:space="preserve"> PAGEREF _Toc138146245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Claims against the Fund</w:t>
      </w:r>
      <w:r>
        <w:tab/>
      </w:r>
      <w:r>
        <w:fldChar w:fldCharType="begin"/>
      </w:r>
      <w:r>
        <w:instrText xml:space="preserve"> PAGEREF _Toc138146246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Documents that a real estate settlement agent may draw etc.</w:t>
      </w:r>
      <w:r>
        <w:tab/>
      </w:r>
      <w:r>
        <w:fldChar w:fldCharType="begin"/>
      </w:r>
      <w:r>
        <w:instrText xml:space="preserve"> PAGEREF _Toc138146247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Documents that a business settlement agent may draw etc.</w:t>
      </w:r>
      <w:r>
        <w:tab/>
      </w:r>
      <w:r>
        <w:fldChar w:fldCharType="begin"/>
      </w:r>
      <w:r>
        <w:instrText xml:space="preserve"> PAGEREF _Toc138146248 \h </w:instrText>
      </w:r>
      <w:r>
        <w:fldChar w:fldCharType="separate"/>
      </w:r>
      <w:r>
        <w:t>10</w:t>
      </w:r>
      <w:r>
        <w:fldChar w:fldCharType="end"/>
      </w:r>
    </w:p>
    <w:p>
      <w:pPr>
        <w:pStyle w:val="TOC8"/>
        <w:rPr>
          <w:sz w:val="24"/>
          <w:szCs w:val="24"/>
        </w:rPr>
      </w:pPr>
      <w:r>
        <w:rPr>
          <w:szCs w:val="24"/>
        </w:rPr>
        <w:t>12A</w:t>
      </w:r>
      <w:r>
        <w:rPr>
          <w:snapToGrid w:val="0"/>
          <w:szCs w:val="24"/>
        </w:rPr>
        <w:t xml:space="preserve">. </w:t>
      </w:r>
      <w:r>
        <w:rPr>
          <w:snapToGrid w:val="0"/>
          <w:szCs w:val="24"/>
        </w:rPr>
        <w:tab/>
        <w:t>Power of attorney</w:t>
      </w:r>
      <w:r>
        <w:tab/>
      </w:r>
      <w:r>
        <w:fldChar w:fldCharType="begin"/>
      </w:r>
      <w:r>
        <w:instrText xml:space="preserve"> PAGEREF _Toc138146249 \h </w:instrText>
      </w:r>
      <w:r>
        <w:fldChar w:fldCharType="separate"/>
      </w:r>
      <w:r>
        <w:t>11</w:t>
      </w:r>
      <w:r>
        <w:fldChar w:fldCharType="end"/>
      </w:r>
    </w:p>
    <w:p>
      <w:pPr>
        <w:pStyle w:val="TOC8"/>
        <w:rPr>
          <w:sz w:val="24"/>
          <w:szCs w:val="24"/>
        </w:rPr>
      </w:pPr>
      <w:r>
        <w:rPr>
          <w:szCs w:val="24"/>
        </w:rPr>
        <w:t>13</w:t>
      </w:r>
      <w:r>
        <w:rPr>
          <w:snapToGrid w:val="0"/>
          <w:szCs w:val="24"/>
        </w:rPr>
        <w:t xml:space="preserve">. </w:t>
      </w:r>
      <w:r>
        <w:rPr>
          <w:snapToGrid w:val="0"/>
          <w:szCs w:val="24"/>
        </w:rPr>
        <w:tab/>
        <w:t>Warning notice by certain exempted persons</w:t>
      </w:r>
      <w:r>
        <w:tab/>
      </w:r>
      <w:r>
        <w:fldChar w:fldCharType="begin"/>
      </w:r>
      <w:r>
        <w:instrText xml:space="preserve"> PAGEREF _Toc138146250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Absence of licensee</w:t>
      </w:r>
      <w:r>
        <w:tab/>
      </w:r>
      <w:r>
        <w:fldChar w:fldCharType="begin"/>
      </w:r>
      <w:r>
        <w:instrText xml:space="preserve"> PAGEREF _Toc138146251 \h </w:instrText>
      </w:r>
      <w:r>
        <w:fldChar w:fldCharType="separate"/>
      </w:r>
      <w:r>
        <w:t>11</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 — Notice under section 26A or 26B of the Act</w:t>
      </w:r>
    </w:p>
    <w:p>
      <w:pPr>
        <w:pStyle w:val="TOC2"/>
        <w:tabs>
          <w:tab w:val="right" w:leader="dot" w:pos="7086"/>
        </w:tabs>
        <w:rPr>
          <w:b w:val="0"/>
          <w:sz w:val="24"/>
          <w:szCs w:val="24"/>
        </w:rPr>
      </w:pPr>
      <w:r>
        <w:rPr>
          <w:szCs w:val="28"/>
        </w:rPr>
        <w:t>Schedule 3 — Documents that a real estate settlement agent may draw or prepare</w:t>
      </w:r>
    </w:p>
    <w:p>
      <w:pPr>
        <w:pStyle w:val="TOC4"/>
        <w:tabs>
          <w:tab w:val="right" w:leader="dot" w:pos="7086"/>
        </w:tabs>
        <w:rPr>
          <w:b w:val="0"/>
          <w:sz w:val="24"/>
          <w:szCs w:val="24"/>
        </w:rPr>
      </w:pPr>
      <w:r>
        <w:rPr>
          <w:snapToGrid w:val="0"/>
          <w:szCs w:val="24"/>
        </w:rPr>
        <w:t>Part A — Offer and acceptance</w:t>
      </w:r>
    </w:p>
    <w:p>
      <w:pPr>
        <w:pStyle w:val="TOC4"/>
        <w:tabs>
          <w:tab w:val="right" w:leader="dot" w:pos="7086"/>
        </w:tabs>
        <w:rPr>
          <w:b w:val="0"/>
          <w:sz w:val="24"/>
          <w:szCs w:val="24"/>
        </w:rPr>
      </w:pPr>
      <w:r>
        <w:rPr>
          <w:snapToGrid w:val="0"/>
          <w:szCs w:val="24"/>
        </w:rPr>
        <w:t>Part B — Requisitions on title</w:t>
      </w:r>
    </w:p>
    <w:p>
      <w:pPr>
        <w:pStyle w:val="TOC4"/>
        <w:tabs>
          <w:tab w:val="right" w:leader="dot" w:pos="7086"/>
        </w:tabs>
        <w:rPr>
          <w:b w:val="0"/>
          <w:sz w:val="24"/>
          <w:szCs w:val="24"/>
        </w:rPr>
      </w:pPr>
      <w:r>
        <w:rPr>
          <w:snapToGrid w:val="0"/>
          <w:szCs w:val="24"/>
        </w:rPr>
        <w:t>Part C — Documents for registration or lodgement</w:t>
      </w:r>
    </w:p>
    <w:p>
      <w:pPr>
        <w:pStyle w:val="TOC2"/>
        <w:tabs>
          <w:tab w:val="right" w:leader="dot" w:pos="7086"/>
        </w:tabs>
        <w:rPr>
          <w:b w:val="0"/>
          <w:sz w:val="24"/>
          <w:szCs w:val="24"/>
        </w:rPr>
      </w:pPr>
      <w:r>
        <w:rPr>
          <w:szCs w:val="28"/>
        </w:rPr>
        <w:t>Schedule 4 — Documents that a business settlement agent may draw or prepare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_Toc138146260 \h </w:instrText>
      </w:r>
      <w:r>
        <w:fldChar w:fldCharType="separate"/>
      </w:r>
      <w:r>
        <w:t>22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1" w:name="_Toc491510189"/>
      <w:bookmarkStart w:id="2" w:name="_Toc101066015"/>
      <w:bookmarkStart w:id="3" w:name="_Toc138146229"/>
      <w:r>
        <w:rPr>
          <w:rStyle w:val="CharSectno"/>
        </w:rPr>
        <w:t>1</w:t>
      </w:r>
      <w:r>
        <w:rPr>
          <w:snapToGrid w:val="0"/>
        </w:rPr>
        <w:t xml:space="preserve">. </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4" w:name="_Toc491510190"/>
      <w:bookmarkStart w:id="5" w:name="_Toc101066016"/>
      <w:bookmarkStart w:id="6" w:name="_Toc138146230"/>
      <w:r>
        <w:rPr>
          <w:rStyle w:val="CharSectno"/>
        </w:rPr>
        <w:t>2</w:t>
      </w:r>
      <w:r>
        <w:rPr>
          <w:snapToGrid w:val="0"/>
        </w:rPr>
        <w:t xml:space="preserve">. </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 xml:space="preserve">6.] </w:t>
      </w:r>
    </w:p>
    <w:p>
      <w:pPr>
        <w:pStyle w:val="Heading5"/>
        <w:rPr>
          <w:snapToGrid w:val="0"/>
        </w:rPr>
      </w:pPr>
      <w:bookmarkStart w:id="7" w:name="_Toc491510191"/>
      <w:bookmarkStart w:id="8" w:name="_Toc101066017"/>
      <w:bookmarkStart w:id="9" w:name="_Toc138146231"/>
      <w:r>
        <w:rPr>
          <w:rStyle w:val="CharSectno"/>
        </w:rPr>
        <w:t>3</w:t>
      </w:r>
      <w:r>
        <w:rPr>
          <w:snapToGrid w:val="0"/>
        </w:rPr>
        <w:t xml:space="preserve">. </w:t>
      </w:r>
      <w:r>
        <w:rPr>
          <w:snapToGrid w:val="0"/>
        </w:rPr>
        <w:tab/>
        <w:t>Common seal</w:t>
      </w:r>
      <w:bookmarkEnd w:id="7"/>
      <w:bookmarkEnd w:id="8"/>
      <w:bookmarkEnd w:id="9"/>
      <w:r>
        <w:rPr>
          <w:snapToGrid w:val="0"/>
        </w:rPr>
        <w:t xml:space="preserve"> </w:t>
      </w:r>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10" w:name="_Toc491510192"/>
      <w:bookmarkStart w:id="11" w:name="_Toc101066018"/>
      <w:bookmarkStart w:id="12" w:name="_Toc138146232"/>
      <w:r>
        <w:rPr>
          <w:rStyle w:val="CharSectno"/>
        </w:rPr>
        <w:t>4</w:t>
      </w:r>
      <w:r>
        <w:rPr>
          <w:snapToGrid w:val="0"/>
        </w:rPr>
        <w:t xml:space="preserve">. </w:t>
      </w:r>
      <w:r>
        <w:rPr>
          <w:snapToGrid w:val="0"/>
        </w:rPr>
        <w:tab/>
        <w:t>Fees</w:t>
      </w:r>
      <w:bookmarkEnd w:id="10"/>
      <w:bookmarkEnd w:id="11"/>
      <w:bookmarkEnd w:id="12"/>
      <w:r>
        <w:rPr>
          <w:snapToGrid w:val="0"/>
        </w:rPr>
        <w:t xml:space="preserve"> </w:t>
      </w:r>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 xml:space="preserve">4; 23 May 1997 p. 2420.] </w:t>
      </w:r>
    </w:p>
    <w:p>
      <w:pPr>
        <w:pStyle w:val="Heading5"/>
        <w:rPr>
          <w:snapToGrid w:val="0"/>
        </w:rPr>
      </w:pPr>
      <w:bookmarkStart w:id="13" w:name="_Toc491510193"/>
      <w:bookmarkStart w:id="14" w:name="_Toc101066019"/>
      <w:bookmarkStart w:id="15" w:name="_Toc138146233"/>
      <w:r>
        <w:rPr>
          <w:rStyle w:val="CharSectno"/>
        </w:rPr>
        <w:t>4A</w:t>
      </w:r>
      <w:r>
        <w:rPr>
          <w:snapToGrid w:val="0"/>
        </w:rPr>
        <w:t xml:space="preserve">. </w:t>
      </w:r>
      <w:r>
        <w:rPr>
          <w:snapToGrid w:val="0"/>
        </w:rPr>
        <w:tab/>
        <w:t>Holding fee</w:t>
      </w:r>
      <w:bookmarkEnd w:id="13"/>
      <w:bookmarkEnd w:id="14"/>
      <w:bookmarkEnd w:id="1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 xml:space="preserve">2; amended in Gazette 23 May 1997 p. 2420.] </w:t>
      </w:r>
    </w:p>
    <w:p>
      <w:pPr>
        <w:pStyle w:val="Heading5"/>
        <w:rPr>
          <w:snapToGrid w:val="0"/>
        </w:rPr>
      </w:pPr>
      <w:bookmarkStart w:id="16" w:name="_Toc491510194"/>
      <w:bookmarkStart w:id="17" w:name="_Toc101066020"/>
      <w:bookmarkStart w:id="18" w:name="_Toc138146234"/>
      <w:r>
        <w:rPr>
          <w:rStyle w:val="CharSectno"/>
        </w:rPr>
        <w:t>5</w:t>
      </w:r>
      <w:r>
        <w:rPr>
          <w:snapToGrid w:val="0"/>
        </w:rPr>
        <w:t xml:space="preserve">. </w:t>
      </w:r>
      <w:r>
        <w:rPr>
          <w:snapToGrid w:val="0"/>
        </w:rPr>
        <w:tab/>
        <w:t>Publication of notice of application</w:t>
      </w:r>
      <w:bookmarkEnd w:id="16"/>
      <w:bookmarkEnd w:id="17"/>
      <w:bookmarkEnd w:id="18"/>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19" w:name="_Toc101066021"/>
      <w:bookmarkStart w:id="20" w:name="_Toc138146235"/>
      <w:bookmarkStart w:id="21" w:name="_Toc491510196"/>
      <w:r>
        <w:rPr>
          <w:rStyle w:val="CharSectno"/>
        </w:rPr>
        <w:t>6</w:t>
      </w:r>
      <w:r>
        <w:t>.</w:t>
      </w:r>
      <w:r>
        <w:tab/>
        <w:t>Examinations</w:t>
      </w:r>
      <w:bookmarkEnd w:id="19"/>
      <w:bookmarkEnd w:id="20"/>
    </w:p>
    <w:p>
      <w:pPr>
        <w:pStyle w:val="Subsection"/>
      </w:pPr>
      <w:r>
        <w:tab/>
        <w:t>(1)</w:t>
      </w:r>
      <w:r>
        <w:tab/>
        <w:t xml:space="preserve">For the purposes of Schedule 1 clause 1(1)(a) of the Act the prescribed examinations are the examinations required to be passed to complete the following units — </w:t>
      </w:r>
    </w:p>
    <w:p>
      <w:pPr>
        <w:pStyle w:val="Indenta"/>
      </w:pPr>
      <w:r>
        <w:tab/>
        <w:t>(a)</w:t>
      </w:r>
      <w:r>
        <w:tab/>
        <w:t xml:space="preserve">FNBCNV01A: Take instructions in relation to a transaction or FNSCONV501A: Take instructions in relation to a transaction; </w:t>
      </w:r>
    </w:p>
    <w:p>
      <w:pPr>
        <w:pStyle w:val="Indenta"/>
      </w:pPr>
      <w:r>
        <w:tab/>
        <w:t>(b)</w:t>
      </w:r>
      <w:r>
        <w:tab/>
        <w:t xml:space="preserve">FNBCNV02A: Obtain and analyse all information for the transaction or FNSCONV601A: Obtain and analyse all information for the transaction; </w:t>
      </w:r>
    </w:p>
    <w:p>
      <w:pPr>
        <w:pStyle w:val="Indenta"/>
      </w:pPr>
      <w:r>
        <w:tab/>
        <w:t>(c)</w:t>
      </w:r>
      <w:r>
        <w:tab/>
        <w:t xml:space="preserve">FNBCNV03A: Liaise with clients, other professionals and third parties or FNSICCUS501A: Develop and nurture relationships, with clients other professionals and third parties; </w:t>
      </w:r>
    </w:p>
    <w:p>
      <w:pPr>
        <w:pStyle w:val="Indenta"/>
      </w:pPr>
      <w:r>
        <w:tab/>
        <w:t>(d)</w:t>
      </w:r>
      <w:r>
        <w:tab/>
        <w:t xml:space="preserve">FNBCNV04A: Negotiate to achieve goals and manage disputes or FNSICORG603A: Negotiate to achieve goals and manage disputes; </w:t>
      </w:r>
    </w:p>
    <w:p>
      <w:pPr>
        <w:pStyle w:val="Indenta"/>
      </w:pPr>
      <w:r>
        <w:tab/>
        <w:t>(e)</w:t>
      </w:r>
      <w:r>
        <w:tab/>
        <w:t xml:space="preserve">FNBCNV05A: Prepare and/or analyse and execute documents or FNSCONV502A: Prepare and/or analyse and execute documents; </w:t>
      </w:r>
    </w:p>
    <w:p>
      <w:pPr>
        <w:pStyle w:val="Indenta"/>
      </w:pPr>
      <w:r>
        <w:tab/>
        <w:t>(f)</w:t>
      </w:r>
      <w:r>
        <w:tab/>
        <w:t xml:space="preserve">FNBCNV06A: Establish, manage and administer trust accounts or FNSCONV503A: Establish, manage and administer trust accounts; </w:t>
      </w:r>
    </w:p>
    <w:p>
      <w:pPr>
        <w:pStyle w:val="Indenta"/>
      </w:pPr>
      <w:r>
        <w:tab/>
        <w:t>(g)</w:t>
      </w:r>
      <w:r>
        <w:tab/>
        <w:t>FNBCNV07A: Finalise transactions or FNSCONV504A: Finalise conveyancing transactions.</w:t>
      </w:r>
    </w:p>
    <w:p>
      <w:pPr>
        <w:pStyle w:val="Subsection"/>
        <w:keepNext/>
        <w:keepLines/>
      </w:pPr>
      <w:r>
        <w:tab/>
        <w:t>(2)</w:t>
      </w:r>
      <w:r>
        <w:tab/>
        <w:t xml:space="preserve">The prescribed examinations for the purposes of clause 2(1)(a) of Schedule 1 to the Act are — </w:t>
      </w:r>
    </w:p>
    <w:p>
      <w:pPr>
        <w:pStyle w:val="Indenta"/>
      </w:pPr>
      <w:r>
        <w:tab/>
        <w:t>(a)</w:t>
      </w:r>
      <w:r>
        <w:tab/>
        <w:t xml:space="preserve">the examinations prescribed by subregulation (1); and </w:t>
      </w:r>
    </w:p>
    <w:p>
      <w:pPr>
        <w:pStyle w:val="Indenta"/>
      </w:pPr>
      <w:r>
        <w:tab/>
        <w:t>(b)</w:t>
      </w:r>
      <w:r>
        <w:tab/>
        <w:t>the examinations required to be passed to complete a unit covering the settlement of business transactions.</w:t>
      </w:r>
    </w:p>
    <w:p>
      <w:pPr>
        <w:pStyle w:val="Subsection"/>
      </w:pPr>
      <w:r>
        <w:tab/>
        <w:t>(3)</w:t>
      </w:r>
      <w:r>
        <w:tab/>
        <w:t xml:space="preserve">In this regulation —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 xml:space="preserve">; </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w:t>
      </w:r>
    </w:p>
    <w:p>
      <w:pPr>
        <w:pStyle w:val="Heading5"/>
      </w:pPr>
      <w:bookmarkStart w:id="22" w:name="_Toc101066022"/>
      <w:bookmarkStart w:id="23" w:name="_Toc138146236"/>
      <w:r>
        <w:rPr>
          <w:rStyle w:val="CharSectno"/>
        </w:rPr>
        <w:t>6AA</w:t>
      </w:r>
      <w:r>
        <w:rPr>
          <w:snapToGrid w:val="0"/>
        </w:rPr>
        <w:t>.</w:t>
      </w:r>
      <w:r>
        <w:rPr>
          <w:snapToGrid w:val="0"/>
        </w:rPr>
        <w:tab/>
        <w:t>Information to be included in agent’s authority to act</w:t>
      </w:r>
      <w:bookmarkEnd w:id="21"/>
      <w:bookmarkEnd w:id="22"/>
      <w:bookmarkEnd w:id="23"/>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24" w:name="_Toc491510197"/>
      <w:bookmarkStart w:id="25" w:name="_Toc101066023"/>
      <w:bookmarkStart w:id="26" w:name="_Toc138146237"/>
      <w:r>
        <w:rPr>
          <w:rStyle w:val="CharSectno"/>
        </w:rPr>
        <w:t>6A</w:t>
      </w:r>
      <w:r>
        <w:rPr>
          <w:snapToGrid w:val="0"/>
        </w:rPr>
        <w:t xml:space="preserve">. </w:t>
      </w:r>
      <w:r>
        <w:rPr>
          <w:snapToGrid w:val="0"/>
        </w:rPr>
        <w:tab/>
        <w:t>Definition of “authorised financial institution” — prescribed classes</w:t>
      </w:r>
      <w:bookmarkEnd w:id="24"/>
      <w:bookmarkEnd w:id="25"/>
      <w:bookmarkEnd w:id="26"/>
      <w:r>
        <w:rPr>
          <w:snapToGrid w:val="0"/>
        </w:rPr>
        <w:t xml:space="preserve"> </w:t>
      </w:r>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6A inserted in Gazette 25 Jun 1996 p. 2926.] </w:t>
      </w:r>
    </w:p>
    <w:p>
      <w:pPr>
        <w:pStyle w:val="Heading5"/>
        <w:rPr>
          <w:snapToGrid w:val="0"/>
        </w:rPr>
      </w:pPr>
      <w:bookmarkStart w:id="27" w:name="_Toc491510198"/>
      <w:bookmarkStart w:id="28" w:name="_Toc101066024"/>
      <w:bookmarkStart w:id="29" w:name="_Toc138146238"/>
      <w:r>
        <w:rPr>
          <w:rStyle w:val="CharSectno"/>
        </w:rPr>
        <w:t>6B</w:t>
      </w:r>
      <w:r>
        <w:rPr>
          <w:snapToGrid w:val="0"/>
        </w:rPr>
        <w:t xml:space="preserve">. </w:t>
      </w:r>
      <w:r>
        <w:rPr>
          <w:snapToGrid w:val="0"/>
        </w:rPr>
        <w:tab/>
        <w:t>Designation of trust accounts</w:t>
      </w:r>
      <w:bookmarkEnd w:id="27"/>
      <w:bookmarkEnd w:id="28"/>
      <w:bookmarkEnd w:id="29"/>
      <w:r>
        <w:rPr>
          <w:snapToGrid w:val="0"/>
        </w:rPr>
        <w:t xml:space="preserve"> </w:t>
      </w:r>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 xml:space="preserve">[Regulation 6B inserted in Gazette 25 Jun 1996 p. 2926.] </w:t>
      </w:r>
    </w:p>
    <w:p>
      <w:pPr>
        <w:pStyle w:val="Heading5"/>
        <w:rPr>
          <w:snapToGrid w:val="0"/>
        </w:rPr>
      </w:pPr>
      <w:bookmarkStart w:id="30" w:name="_Toc491510199"/>
      <w:bookmarkStart w:id="31" w:name="_Toc101066025"/>
      <w:bookmarkStart w:id="32" w:name="_Toc138146239"/>
      <w:r>
        <w:rPr>
          <w:rStyle w:val="CharSectno"/>
        </w:rPr>
        <w:t>6C</w:t>
      </w:r>
      <w:r>
        <w:rPr>
          <w:snapToGrid w:val="0"/>
        </w:rPr>
        <w:t xml:space="preserve">. </w:t>
      </w:r>
      <w:r>
        <w:rPr>
          <w:snapToGrid w:val="0"/>
        </w:rPr>
        <w:tab/>
        <w:t>Prescribed requirements for separate accounts</w:t>
      </w:r>
      <w:bookmarkEnd w:id="30"/>
      <w:bookmarkEnd w:id="31"/>
      <w:bookmarkEnd w:id="32"/>
      <w:r>
        <w:rPr>
          <w:snapToGrid w:val="0"/>
        </w:rPr>
        <w:t xml:space="preserve"> </w:t>
      </w:r>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 xml:space="preserve">[Regulation 6C inserted in Gazette 25 Jun 1996 p. 2926.] </w:t>
      </w:r>
    </w:p>
    <w:p>
      <w:pPr>
        <w:pStyle w:val="Heading5"/>
        <w:rPr>
          <w:snapToGrid w:val="0"/>
        </w:rPr>
      </w:pPr>
      <w:bookmarkStart w:id="33" w:name="_Toc491510200"/>
      <w:bookmarkStart w:id="34" w:name="_Toc101066026"/>
      <w:bookmarkStart w:id="35" w:name="_Toc138146240"/>
      <w:r>
        <w:rPr>
          <w:rStyle w:val="CharSectno"/>
        </w:rPr>
        <w:t>6D</w:t>
      </w:r>
      <w:r>
        <w:rPr>
          <w:snapToGrid w:val="0"/>
        </w:rPr>
        <w:t xml:space="preserve">. </w:t>
      </w:r>
      <w:r>
        <w:rPr>
          <w:snapToGrid w:val="0"/>
        </w:rPr>
        <w:tab/>
        <w:t>Interest payable on trust accounts</w:t>
      </w:r>
      <w:bookmarkEnd w:id="33"/>
      <w:bookmarkEnd w:id="34"/>
      <w:bookmarkEnd w:id="35"/>
      <w:r>
        <w:rPr>
          <w:snapToGrid w:val="0"/>
        </w:rPr>
        <w:t xml:space="preserve"> </w:t>
      </w:r>
    </w:p>
    <w:p>
      <w:pPr>
        <w:pStyle w:val="Subsection"/>
        <w:rPr>
          <w:snapToGrid w:val="0"/>
        </w:rPr>
      </w:pPr>
      <w:r>
        <w:rPr>
          <w:snapToGrid w:val="0"/>
        </w:rPr>
        <w:tab/>
        <w:t>(1)</w:t>
      </w:r>
      <w:r>
        <w:rPr>
          <w:snapToGrid w:val="0"/>
        </w:rPr>
        <w:tab/>
        <w:t>For the purposes of section 49B(1)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 xml:space="preserve">7.] </w:t>
      </w:r>
    </w:p>
    <w:p>
      <w:pPr>
        <w:pStyle w:val="Heading5"/>
      </w:pPr>
      <w:bookmarkStart w:id="36" w:name="_Toc491510201"/>
      <w:bookmarkStart w:id="37" w:name="_Toc101066027"/>
      <w:bookmarkStart w:id="38" w:name="_Toc138146241"/>
      <w:r>
        <w:rPr>
          <w:rStyle w:val="CharSectno"/>
        </w:rPr>
        <w:t>6E</w:t>
      </w:r>
      <w:r>
        <w:t xml:space="preserve">. </w:t>
      </w:r>
      <w:r>
        <w:tab/>
        <w:t>Content of receipts</w:t>
      </w:r>
      <w:bookmarkEnd w:id="36"/>
      <w:bookmarkEnd w:id="37"/>
      <w:bookmarkEnd w:id="38"/>
    </w:p>
    <w:p>
      <w:pPr>
        <w:pStyle w:val="Subsection"/>
      </w:pPr>
      <w:r>
        <w:tab/>
      </w:r>
      <w:r>
        <w:tab/>
        <w:t>A receipt given under section 50(1)(a)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 xml:space="preserve">[Regulation 6E inserted in Gazette 25 Jun 1996 p. 2927.] </w:t>
      </w:r>
    </w:p>
    <w:p>
      <w:pPr>
        <w:pStyle w:val="Heading5"/>
        <w:rPr>
          <w:snapToGrid w:val="0"/>
        </w:rPr>
      </w:pPr>
      <w:bookmarkStart w:id="39" w:name="_Toc491510202"/>
      <w:bookmarkStart w:id="40" w:name="_Toc101066028"/>
      <w:bookmarkStart w:id="41" w:name="_Toc138146242"/>
      <w:r>
        <w:rPr>
          <w:rStyle w:val="CharSectno"/>
        </w:rPr>
        <w:t>6F</w:t>
      </w:r>
      <w:r>
        <w:rPr>
          <w:snapToGrid w:val="0"/>
        </w:rPr>
        <w:t xml:space="preserve">. </w:t>
      </w:r>
      <w:r>
        <w:rPr>
          <w:snapToGrid w:val="0"/>
        </w:rPr>
        <w:tab/>
        <w:t>Records under section 50(1)(b)</w:t>
      </w:r>
      <w:bookmarkEnd w:id="39"/>
      <w:bookmarkEnd w:id="40"/>
      <w:bookmarkEnd w:id="41"/>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 xml:space="preserve">[Regulation 6F inserted in Gazette 25 Jun 1996 p. 2927.] </w:t>
      </w:r>
    </w:p>
    <w:p>
      <w:pPr>
        <w:pStyle w:val="Heading5"/>
        <w:rPr>
          <w:snapToGrid w:val="0"/>
        </w:rPr>
      </w:pPr>
      <w:bookmarkStart w:id="42" w:name="_Toc491510203"/>
      <w:bookmarkStart w:id="43" w:name="_Toc101066029"/>
      <w:bookmarkStart w:id="44" w:name="_Toc138146243"/>
      <w:r>
        <w:rPr>
          <w:rStyle w:val="CharSectno"/>
        </w:rPr>
        <w:t>7</w:t>
      </w:r>
      <w:r>
        <w:rPr>
          <w:snapToGrid w:val="0"/>
        </w:rPr>
        <w:t xml:space="preserve">. </w:t>
      </w:r>
      <w:r>
        <w:rPr>
          <w:snapToGrid w:val="0"/>
        </w:rPr>
        <w:tab/>
        <w:t>Particulars to be included in registers</w:t>
      </w:r>
      <w:bookmarkEnd w:id="42"/>
      <w:bookmarkEnd w:id="43"/>
      <w:bookmarkEnd w:id="44"/>
      <w:r>
        <w:rPr>
          <w:snapToGrid w:val="0"/>
        </w:rPr>
        <w:t xml:space="preserve"> </w:t>
      </w:r>
    </w:p>
    <w:p>
      <w:pPr>
        <w:pStyle w:val="Subsection"/>
        <w:rPr>
          <w:snapToGrid w:val="0"/>
        </w:rPr>
      </w:pPr>
      <w:r>
        <w:rPr>
          <w:snapToGrid w:val="0"/>
        </w:rPr>
        <w:tab/>
      </w:r>
      <w:r>
        <w:rPr>
          <w:snapToGrid w:val="0"/>
        </w:rPr>
        <w:tab/>
        <w:t>The particulars to be recorded, pursuant to section 110(2)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Heading5"/>
        <w:rPr>
          <w:snapToGrid w:val="0"/>
        </w:rPr>
      </w:pPr>
      <w:bookmarkStart w:id="45" w:name="_Toc491510204"/>
      <w:bookmarkStart w:id="46" w:name="_Toc101066030"/>
      <w:bookmarkStart w:id="47" w:name="_Toc138146244"/>
      <w:r>
        <w:rPr>
          <w:rStyle w:val="CharSectno"/>
        </w:rPr>
        <w:t>8</w:t>
      </w:r>
      <w:r>
        <w:rPr>
          <w:snapToGrid w:val="0"/>
        </w:rPr>
        <w:t xml:space="preserve">. </w:t>
      </w:r>
      <w:r>
        <w:rPr>
          <w:snapToGrid w:val="0"/>
        </w:rPr>
        <w:tab/>
        <w:t>Recovery of fees, fines and costs</w:t>
      </w:r>
      <w:bookmarkEnd w:id="45"/>
      <w:bookmarkEnd w:id="46"/>
      <w:bookmarkEnd w:id="47"/>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rPr>
          <w:snapToGrid w:val="0"/>
        </w:rPr>
      </w:pPr>
      <w:bookmarkStart w:id="48" w:name="_Toc491510205"/>
      <w:bookmarkStart w:id="49" w:name="_Toc101066031"/>
      <w:bookmarkStart w:id="50" w:name="_Toc138146245"/>
      <w:r>
        <w:rPr>
          <w:rStyle w:val="CharSectno"/>
        </w:rPr>
        <w:t>9</w:t>
      </w:r>
      <w:r>
        <w:rPr>
          <w:snapToGrid w:val="0"/>
        </w:rPr>
        <w:t xml:space="preserve">. </w:t>
      </w:r>
      <w:r>
        <w:rPr>
          <w:snapToGrid w:val="0"/>
        </w:rPr>
        <w:tab/>
        <w:t>Application of Board Interest Account</w:t>
      </w:r>
      <w:bookmarkEnd w:id="48"/>
      <w:bookmarkEnd w:id="49"/>
      <w:bookmarkEnd w:id="50"/>
      <w:r>
        <w:rPr>
          <w:snapToGrid w:val="0"/>
        </w:rPr>
        <w:t xml:space="preserve"> </w:t>
      </w:r>
    </w:p>
    <w:p>
      <w:pPr>
        <w:pStyle w:val="Subsection"/>
        <w:rPr>
          <w:snapToGrid w:val="0"/>
        </w:rPr>
      </w:pPr>
      <w:r>
        <w:rPr>
          <w:snapToGrid w:val="0"/>
        </w:rPr>
        <w:tab/>
      </w:r>
      <w:r>
        <w:rPr>
          <w:snapToGrid w:val="0"/>
        </w:rPr>
        <w:tab/>
        <w:t>For the purposes of section 105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25% to the Fidelity Fund; and</w:t>
      </w:r>
    </w:p>
    <w:p>
      <w:pPr>
        <w:pStyle w:val="Indenti"/>
        <w:rPr>
          <w:snapToGrid w:val="0"/>
        </w:rPr>
      </w:pPr>
      <w:r>
        <w:rPr>
          <w:snapToGrid w:val="0"/>
        </w:rPr>
        <w:tab/>
        <w:t>(ii)</w:t>
      </w:r>
      <w:r>
        <w:rPr>
          <w:snapToGrid w:val="0"/>
        </w:rPr>
        <w:tab/>
        <w:t>75% to the General Purpose Fund.</w:t>
      </w:r>
    </w:p>
    <w:p>
      <w:pPr>
        <w:pStyle w:val="Footnotesection"/>
      </w:pPr>
      <w:r>
        <w:tab/>
        <w:t>[Regulation 9 inserted as regulation 11 in Gazette 25 Jun 1996 p. 2927</w:t>
      </w:r>
      <w:r>
        <w:noBreakHyphen/>
        <w:t xml:space="preserve">8; renumbered as regulation 9 in Gazette 30 Aug 1996 p. 4322; amended in Gazette 6 Apr 2004 p. 1131.] </w:t>
      </w:r>
    </w:p>
    <w:p>
      <w:pPr>
        <w:pStyle w:val="Heading5"/>
        <w:rPr>
          <w:snapToGrid w:val="0"/>
        </w:rPr>
      </w:pPr>
      <w:bookmarkStart w:id="51" w:name="_Toc491510206"/>
      <w:bookmarkStart w:id="52" w:name="_Toc101066032"/>
      <w:bookmarkStart w:id="53" w:name="_Toc138146246"/>
      <w:r>
        <w:rPr>
          <w:rStyle w:val="CharSectno"/>
        </w:rPr>
        <w:t>10</w:t>
      </w:r>
      <w:r>
        <w:rPr>
          <w:snapToGrid w:val="0"/>
        </w:rPr>
        <w:t xml:space="preserve">. </w:t>
      </w:r>
      <w:r>
        <w:rPr>
          <w:snapToGrid w:val="0"/>
        </w:rPr>
        <w:tab/>
        <w:t>Claims against the Fund</w:t>
      </w:r>
      <w:bookmarkEnd w:id="51"/>
      <w:bookmarkEnd w:id="52"/>
      <w:bookmarkEnd w:id="53"/>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54" w:name="_Toc491510207"/>
      <w:bookmarkStart w:id="55" w:name="_Toc101066033"/>
      <w:bookmarkStart w:id="56" w:name="_Toc138146247"/>
      <w:r>
        <w:rPr>
          <w:rStyle w:val="CharSectno"/>
        </w:rPr>
        <w:t>11</w:t>
      </w:r>
      <w:r>
        <w:rPr>
          <w:snapToGrid w:val="0"/>
        </w:rPr>
        <w:t xml:space="preserve">. </w:t>
      </w:r>
      <w:r>
        <w:rPr>
          <w:snapToGrid w:val="0"/>
        </w:rPr>
        <w:tab/>
        <w:t>Documents that a real estate settlement agent may draw etc.</w:t>
      </w:r>
      <w:bookmarkEnd w:id="54"/>
      <w:bookmarkEnd w:id="55"/>
      <w:bookmarkEnd w:id="56"/>
      <w:r>
        <w:rPr>
          <w:snapToGrid w:val="0"/>
        </w:rPr>
        <w:t xml:space="preserve"> </w:t>
      </w:r>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57" w:name="_Toc491510208"/>
      <w:bookmarkStart w:id="58" w:name="_Toc101066034"/>
      <w:bookmarkStart w:id="59" w:name="_Toc138146248"/>
      <w:r>
        <w:rPr>
          <w:rStyle w:val="CharSectno"/>
        </w:rPr>
        <w:t>12</w:t>
      </w:r>
      <w:r>
        <w:rPr>
          <w:snapToGrid w:val="0"/>
        </w:rPr>
        <w:t xml:space="preserve">. </w:t>
      </w:r>
      <w:r>
        <w:rPr>
          <w:snapToGrid w:val="0"/>
        </w:rPr>
        <w:tab/>
        <w:t>Documents that a business settlement agent may draw etc.</w:t>
      </w:r>
      <w:bookmarkEnd w:id="57"/>
      <w:bookmarkEnd w:id="58"/>
      <w:bookmarkEnd w:id="59"/>
      <w:r>
        <w:rPr>
          <w:snapToGrid w:val="0"/>
        </w:rPr>
        <w:t xml:space="preserve"> </w:t>
      </w:r>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60" w:name="_Toc491510209"/>
      <w:bookmarkStart w:id="61" w:name="_Toc101066035"/>
      <w:bookmarkStart w:id="62" w:name="_Toc138146249"/>
      <w:r>
        <w:rPr>
          <w:rStyle w:val="CharSectno"/>
        </w:rPr>
        <w:t>12A</w:t>
      </w:r>
      <w:r>
        <w:rPr>
          <w:snapToGrid w:val="0"/>
        </w:rPr>
        <w:t xml:space="preserve">. </w:t>
      </w:r>
      <w:r>
        <w:rPr>
          <w:snapToGrid w:val="0"/>
        </w:rPr>
        <w:tab/>
        <w:t>Power of attorney</w:t>
      </w:r>
      <w:bookmarkEnd w:id="60"/>
      <w:bookmarkEnd w:id="61"/>
      <w:bookmarkEnd w:id="62"/>
      <w:r>
        <w:rPr>
          <w:snapToGrid w:val="0"/>
        </w:rPr>
        <w:t xml:space="preserve"> </w:t>
      </w:r>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 xml:space="preserve">[Regulation 12A inserted in Gazette 30 Mar 1984 p. 910.] </w:t>
      </w:r>
    </w:p>
    <w:p>
      <w:pPr>
        <w:pStyle w:val="Heading5"/>
        <w:rPr>
          <w:snapToGrid w:val="0"/>
        </w:rPr>
      </w:pPr>
      <w:bookmarkStart w:id="63" w:name="_Toc491510210"/>
      <w:bookmarkStart w:id="64" w:name="_Toc101066036"/>
      <w:bookmarkStart w:id="65" w:name="_Toc138146250"/>
      <w:r>
        <w:rPr>
          <w:rStyle w:val="CharSectno"/>
        </w:rPr>
        <w:t>13</w:t>
      </w:r>
      <w:r>
        <w:rPr>
          <w:snapToGrid w:val="0"/>
        </w:rPr>
        <w:t xml:space="preserve">. </w:t>
      </w:r>
      <w:r>
        <w:rPr>
          <w:snapToGrid w:val="0"/>
        </w:rPr>
        <w:tab/>
        <w:t>Warning notice by certain exempted persons</w:t>
      </w:r>
      <w:bookmarkEnd w:id="63"/>
      <w:bookmarkEnd w:id="64"/>
      <w:bookmarkEnd w:id="65"/>
      <w:r>
        <w:rPr>
          <w:snapToGrid w:val="0"/>
        </w:rPr>
        <w:t xml:space="preserve"> </w:t>
      </w:r>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 xml:space="preserve">[Regulation 13 inserted in Gazette 29 Oct 1982 p. 4323; amended in Gazette 23 May 1997 p. 2420.] </w:t>
      </w:r>
    </w:p>
    <w:p>
      <w:pPr>
        <w:pStyle w:val="Heading5"/>
        <w:rPr>
          <w:snapToGrid w:val="0"/>
        </w:rPr>
      </w:pPr>
      <w:bookmarkStart w:id="66" w:name="_Toc491510211"/>
      <w:bookmarkStart w:id="67" w:name="_Toc101066037"/>
      <w:bookmarkStart w:id="68" w:name="_Toc138146251"/>
      <w:r>
        <w:rPr>
          <w:rStyle w:val="CharSectno"/>
        </w:rPr>
        <w:t>14</w:t>
      </w:r>
      <w:r>
        <w:rPr>
          <w:snapToGrid w:val="0"/>
        </w:rPr>
        <w:t xml:space="preserve">. </w:t>
      </w:r>
      <w:r>
        <w:rPr>
          <w:snapToGrid w:val="0"/>
        </w:rPr>
        <w:tab/>
        <w:t>Absence of licensee</w:t>
      </w:r>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rPr>
          <w:snapToGrid w:val="0"/>
        </w:rPr>
      </w:pPr>
      <w:r>
        <w:rPr>
          <w:snapToGrid w:val="0"/>
        </w:rPr>
        <w:tab/>
        <w:t>(3)</w:t>
      </w:r>
      <w:r>
        <w:rPr>
          <w:snapToGrid w:val="0"/>
        </w:rPr>
        <w:tab/>
        <w:t>The Board may refuse to grant approval under subregulation (1) —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 xml:space="preserve">[Regulation 14 inserted in Gazette 30 Mar 1984 p. 910; Erratum in Gazette 6 Apr 1984 p. 998.]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Schedule 1</w:t>
      </w:r>
      <w:r>
        <w:t> — </w:t>
      </w:r>
      <w:r>
        <w:rPr>
          <w:rStyle w:val="CharSchText"/>
        </w:rPr>
        <w:t>Prescribed fees</w:t>
      </w:r>
    </w:p>
    <w:p>
      <w:pPr>
        <w:pStyle w:val="yShoulderClause"/>
        <w:rPr>
          <w:snapToGrid w:val="0"/>
        </w:rPr>
      </w:pPr>
      <w:r>
        <w:rPr>
          <w:snapToGrid w:val="0"/>
        </w:rPr>
        <w:t>[r. 4, 4A]</w:t>
      </w:r>
    </w:p>
    <w:p>
      <w:pPr>
        <w:pStyle w:val="yFootnoteheading"/>
      </w:pPr>
      <w:r>
        <w:tab/>
        <w:t>[Heading inserted in Gazette 27 Jun 2006 p. 2271.]</w:t>
      </w:r>
    </w:p>
    <w:tbl>
      <w:tblPr>
        <w:tblW w:w="7080" w:type="dxa"/>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bCs/>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580</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760</w:t>
            </w:r>
          </w:p>
        </w:tc>
      </w:tr>
      <w:tr>
        <w:tc>
          <w:tcPr>
            <w:tcW w:w="6096" w:type="dxa"/>
          </w:tcPr>
          <w:p>
            <w:pPr>
              <w:pStyle w:val="yTable"/>
              <w:ind w:left="597" w:hanging="597"/>
            </w:pPr>
            <w:r>
              <w:t>3.</w:t>
            </w:r>
            <w:r>
              <w:tab/>
              <w:t>Grant of licence to a body corporate (incl</w:t>
            </w:r>
            <w:bookmarkStart w:id="69" w:name="UpToHere"/>
            <w:bookmarkEnd w:id="69"/>
            <w:r>
              <w:t>uding triennial certificate) .............................................................................</w:t>
            </w:r>
          </w:p>
        </w:tc>
        <w:tc>
          <w:tcPr>
            <w:tcW w:w="984" w:type="dxa"/>
            <w:vAlign w:val="bottom"/>
          </w:tcPr>
          <w:p>
            <w:pPr>
              <w:pStyle w:val="yTable"/>
              <w:tabs>
                <w:tab w:val="right" w:pos="567"/>
              </w:tabs>
            </w:pPr>
            <w:r>
              <w:tab/>
              <w:t>760</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375</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597" w:hanging="597"/>
            </w:pPr>
            <w:r>
              <w:tab/>
              <w:t>first page ............................................................................</w:t>
            </w:r>
          </w:p>
        </w:tc>
        <w:tc>
          <w:tcPr>
            <w:tcW w:w="984" w:type="dxa"/>
            <w:vAlign w:val="bottom"/>
          </w:tcPr>
          <w:p>
            <w:pPr>
              <w:pStyle w:val="yTable"/>
              <w:tabs>
                <w:tab w:val="right" w:pos="567"/>
              </w:tabs>
            </w:pPr>
            <w:r>
              <w:tab/>
              <w:t>20</w:t>
            </w:r>
          </w:p>
        </w:tc>
      </w:tr>
      <w:tr>
        <w:tc>
          <w:tcPr>
            <w:tcW w:w="6096" w:type="dxa"/>
          </w:tcPr>
          <w:p>
            <w:pPr>
              <w:pStyle w:val="yTable"/>
              <w:ind w:left="597" w:hanging="597"/>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122</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w:t>
      </w:r>
    </w:p>
    <w:p>
      <w:pPr>
        <w:pStyle w:val="yScheduleHeading"/>
        <w:rPr>
          <w:b w:val="0"/>
        </w:rPr>
      </w:pPr>
      <w:bookmarkStart w:id="70" w:name="_Toc101066039"/>
      <w:bookmarkStart w:id="71" w:name="_Toc138142116"/>
      <w:bookmarkStart w:id="72" w:name="_Toc138144261"/>
      <w:bookmarkStart w:id="73" w:name="_Toc138146253"/>
      <w:r>
        <w:rPr>
          <w:rStyle w:val="CharSchNo"/>
        </w:rPr>
        <w:t>Schedule 2</w:t>
      </w:r>
      <w:r>
        <w:t> — </w:t>
      </w:r>
      <w:r>
        <w:rPr>
          <w:rStyle w:val="CharSchText"/>
        </w:rPr>
        <w:t>Notice under section 26A or 26B of the Act</w:t>
      </w:r>
      <w:bookmarkEnd w:id="70"/>
      <w:bookmarkEnd w:id="71"/>
      <w:bookmarkEnd w:id="72"/>
      <w:bookmarkEnd w:id="73"/>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Fund” or to the protection of the Settlement Agents Act generally in respect of the settlement.</w:t>
      </w:r>
    </w:p>
    <w:p>
      <w:pPr>
        <w:pStyle w:val="yFootnotesection"/>
      </w:pPr>
      <w:r>
        <w:tab/>
        <w:t>[Schedule 2 inserted in Gazette 29 Oct 1982 p. 4323</w:t>
      </w:r>
      <w:r>
        <w:noBreakHyphen/>
        <w:t xml:space="preserve">4; amended in Gazette 23 May 1997 p. 2421.] </w:t>
      </w:r>
    </w:p>
    <w:p>
      <w:pPr>
        <w:pStyle w:val="yScheduleHeading"/>
      </w:pPr>
      <w:bookmarkStart w:id="74" w:name="_Toc101066040"/>
      <w:bookmarkStart w:id="75" w:name="_Toc138142117"/>
      <w:bookmarkStart w:id="76" w:name="_Toc138144262"/>
      <w:bookmarkStart w:id="77" w:name="_Toc138146254"/>
      <w:r>
        <w:rPr>
          <w:rStyle w:val="CharSchNo"/>
        </w:rPr>
        <w:t>Schedule 3</w:t>
      </w:r>
      <w:r>
        <w:t> — </w:t>
      </w:r>
      <w:r>
        <w:rPr>
          <w:rStyle w:val="CharSchText"/>
        </w:rPr>
        <w:t>Documents that a real estate settlement agent may draw or prepare</w:t>
      </w:r>
      <w:bookmarkEnd w:id="74"/>
      <w:bookmarkEnd w:id="75"/>
      <w:bookmarkEnd w:id="76"/>
      <w:bookmarkEnd w:id="77"/>
    </w:p>
    <w:p>
      <w:pPr>
        <w:pStyle w:val="yFootnoteheading"/>
      </w:pPr>
      <w:r>
        <w:tab/>
        <w:t xml:space="preserve">[Heading inserted in Gazette 23 May 1997 p. 2421.] </w:t>
      </w:r>
    </w:p>
    <w:p>
      <w:pPr>
        <w:pStyle w:val="yShoulderClause"/>
        <w:rPr>
          <w:snapToGrid w:val="0"/>
        </w:rPr>
      </w:pPr>
      <w:r>
        <w:rPr>
          <w:snapToGrid w:val="0"/>
        </w:rPr>
        <w:t>[Reg. 11]</w:t>
      </w:r>
    </w:p>
    <w:p>
      <w:pPr>
        <w:pStyle w:val="yHeading3"/>
        <w:rPr>
          <w:snapToGrid w:val="0"/>
        </w:rPr>
      </w:pPr>
      <w:bookmarkStart w:id="78" w:name="_Toc101066041"/>
      <w:bookmarkStart w:id="79" w:name="_Toc138142118"/>
      <w:bookmarkStart w:id="80" w:name="_Toc138144263"/>
      <w:bookmarkStart w:id="81" w:name="_Toc138146255"/>
      <w:r>
        <w:rPr>
          <w:snapToGrid w:val="0"/>
        </w:rPr>
        <w:t>Part A — Offer and acceptance</w:t>
      </w:r>
      <w:bookmarkEnd w:id="78"/>
      <w:bookmarkEnd w:id="79"/>
      <w:bookmarkEnd w:id="80"/>
      <w:bookmarkEnd w:id="81"/>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 xml:space="preserve">[Part A inserted in Gazette 23 May 1997 p. 2421.] </w:t>
      </w:r>
    </w:p>
    <w:p>
      <w:pPr>
        <w:pStyle w:val="yHeading3"/>
        <w:rPr>
          <w:snapToGrid w:val="0"/>
        </w:rPr>
      </w:pPr>
      <w:bookmarkStart w:id="82" w:name="_Toc101066042"/>
      <w:bookmarkStart w:id="83" w:name="_Toc138142119"/>
      <w:bookmarkStart w:id="84" w:name="_Toc138144264"/>
      <w:bookmarkStart w:id="85" w:name="_Toc138146256"/>
      <w:r>
        <w:rPr>
          <w:snapToGrid w:val="0"/>
        </w:rPr>
        <w:t>Part B — Requisitions on title</w:t>
      </w:r>
      <w:bookmarkEnd w:id="82"/>
      <w:bookmarkEnd w:id="83"/>
      <w:bookmarkEnd w:id="84"/>
      <w:bookmarkEnd w:id="85"/>
    </w:p>
    <w:p>
      <w:pPr>
        <w:pStyle w:val="yMiscellaneousBody"/>
        <w:ind w:left="567" w:hanging="567"/>
        <w:rPr>
          <w:snapToGrid w:val="0"/>
        </w:rPr>
      </w:pPr>
      <w:r>
        <w:rPr>
          <w:snapToGrid w:val="0"/>
        </w:rPr>
        <w:t>1.</w:t>
      </w:r>
      <w:r>
        <w:rPr>
          <w:snapToGrid w:val="0"/>
        </w:rPr>
        <w:tab/>
        <w:t>Is the certificate or certificates of title to the land the subject of any dealing or dealings at the Land Titles Office? If so, please provide true copies of all documents lodged at the Land Titles Office 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Land Titles Office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w:t>
      </w:r>
    </w:p>
    <w:p>
      <w:pPr>
        <w:pStyle w:val="yHeading3"/>
        <w:rPr>
          <w:b w:val="0"/>
          <w:snapToGrid w:val="0"/>
        </w:rPr>
      </w:pPr>
      <w:bookmarkStart w:id="86" w:name="_Toc101066043"/>
      <w:bookmarkStart w:id="87" w:name="_Toc138142120"/>
      <w:bookmarkStart w:id="88" w:name="_Toc138144265"/>
      <w:bookmarkStart w:id="89" w:name="_Toc138146257"/>
      <w:r>
        <w:rPr>
          <w:snapToGrid w:val="0"/>
        </w:rPr>
        <w:t>Part C — Documents for registration or lodgement</w:t>
      </w:r>
      <w:bookmarkEnd w:id="86"/>
      <w:bookmarkEnd w:id="87"/>
      <w:bookmarkEnd w:id="88"/>
      <w:bookmarkEnd w:id="89"/>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5954" w:type="dxa"/>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bCs/>
              </w:rPr>
            </w:pPr>
            <w:r>
              <w:rPr>
                <w:b/>
                <w:bCs/>
              </w:rPr>
              <w:t>Provision</w:t>
            </w:r>
          </w:p>
        </w:tc>
        <w:tc>
          <w:tcPr>
            <w:tcW w:w="4678" w:type="dxa"/>
          </w:tcPr>
          <w:p>
            <w:pPr>
              <w:pStyle w:val="yTable"/>
              <w:rPr>
                <w:b/>
                <w:bCs/>
              </w:rPr>
            </w:pPr>
            <w:r>
              <w:rPr>
                <w:b/>
                <w:bCs/>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5954" w:type="dxa"/>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bCs/>
              </w:rPr>
            </w:pPr>
            <w:r>
              <w:rPr>
                <w:b/>
                <w:bCs/>
              </w:rPr>
              <w:t>Form</w:t>
            </w:r>
          </w:p>
        </w:tc>
        <w:tc>
          <w:tcPr>
            <w:tcW w:w="4678" w:type="dxa"/>
          </w:tcPr>
          <w:p>
            <w:pPr>
              <w:pStyle w:val="yTable"/>
              <w:rPr>
                <w:b/>
                <w:bCs/>
              </w:rPr>
            </w:pPr>
            <w:r>
              <w:rPr>
                <w:b/>
                <w:bCs/>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 </w:t>
      </w:r>
    </w:p>
    <w:p>
      <w:pPr>
        <w:pStyle w:val="yMiscellaneousBody"/>
        <w:ind w:left="1134" w:hanging="567"/>
      </w:pPr>
      <w:r>
        <w:t>(a)</w:t>
      </w:r>
      <w:r>
        <w:tab/>
        <w:t>these documents under these provisions of that Act for the purposes described:</w:t>
      </w:r>
    </w:p>
    <w:tbl>
      <w:tblPr>
        <w:tblW w:w="5954" w:type="dxa"/>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bCs/>
              </w:rPr>
            </w:pPr>
            <w:r>
              <w:rPr>
                <w:b/>
                <w:bCs/>
              </w:rPr>
              <w:t>Provision</w:t>
            </w:r>
          </w:p>
        </w:tc>
        <w:tc>
          <w:tcPr>
            <w:tcW w:w="4678" w:type="dxa"/>
          </w:tcPr>
          <w:p>
            <w:pPr>
              <w:pStyle w:val="yTable"/>
              <w:keepNext/>
              <w:keepLines/>
              <w:rPr>
                <w:b/>
                <w:bCs/>
              </w:rPr>
            </w:pPr>
            <w:r>
              <w:rPr>
                <w:b/>
                <w:bCs/>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 xml:space="preserve">4; amended in Gazette 30 Dec 2004 p. 6927.] </w:t>
      </w:r>
    </w:p>
    <w:p>
      <w:pPr>
        <w:pStyle w:val="yScheduleHeading"/>
      </w:pPr>
      <w:bookmarkStart w:id="90" w:name="_Toc101066044"/>
      <w:bookmarkStart w:id="91" w:name="_Toc138142121"/>
      <w:bookmarkStart w:id="92" w:name="_Toc138144266"/>
      <w:bookmarkStart w:id="93" w:name="_Toc138146258"/>
      <w:r>
        <w:rPr>
          <w:rStyle w:val="CharSchNo"/>
        </w:rPr>
        <w:t>Schedule 4</w:t>
      </w:r>
      <w:r>
        <w:t> — </w:t>
      </w:r>
      <w:r>
        <w:rPr>
          <w:rStyle w:val="CharSchText"/>
        </w:rPr>
        <w:t>Documents that a business settlement agent may draw or prepare</w:t>
      </w:r>
      <w:bookmarkEnd w:id="90"/>
      <w:bookmarkEnd w:id="91"/>
      <w:bookmarkEnd w:id="92"/>
      <w:bookmarkEnd w:id="93"/>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 xml:space="preserve">[Schedule 4 inserted in Gazette 23 May 1997 p. 2424.]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2"/>
      </w:pPr>
      <w:bookmarkStart w:id="94" w:name="_Toc68942056"/>
      <w:bookmarkStart w:id="95" w:name="_Toc68942116"/>
      <w:bookmarkStart w:id="96" w:name="_Toc68942144"/>
      <w:bookmarkStart w:id="97" w:name="_Toc74987654"/>
      <w:bookmarkStart w:id="98" w:name="_Toc92797386"/>
      <w:bookmarkStart w:id="99" w:name="_Toc93114867"/>
      <w:bookmarkStart w:id="100" w:name="_Toc93998404"/>
      <w:bookmarkStart w:id="101" w:name="_Toc94065826"/>
      <w:bookmarkStart w:id="102" w:name="_Toc97449073"/>
      <w:bookmarkStart w:id="103" w:name="_Toc97449105"/>
      <w:bookmarkStart w:id="104" w:name="_Toc97452629"/>
      <w:bookmarkStart w:id="105" w:name="_Toc98048630"/>
      <w:bookmarkStart w:id="106" w:name="_Toc98146852"/>
      <w:bookmarkStart w:id="107" w:name="_Toc98146937"/>
      <w:bookmarkStart w:id="108" w:name="_Toc101066045"/>
      <w:bookmarkStart w:id="109" w:name="_Toc138142122"/>
      <w:bookmarkStart w:id="110" w:name="_Toc138144267"/>
      <w:bookmarkStart w:id="111" w:name="_Toc138146259"/>
      <w:r>
        <w:t>Notes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 w:name="_Toc101066046"/>
      <w:bookmarkStart w:id="113" w:name="_Toc138146260"/>
      <w:r>
        <w:rPr>
          <w:snapToGrid w:val="0"/>
        </w:rPr>
        <w:t>Compilation table</w:t>
      </w:r>
      <w:bookmarkEnd w:id="112"/>
      <w:bookmarkEnd w:id="11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iCs/>
                <w:sz w:val="19"/>
                <w:szCs w:val="18"/>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30 Mar 1984 p. 910</w:t>
            </w:r>
            <w:r>
              <w:rPr>
                <w:sz w:val="19"/>
                <w:szCs w:val="18"/>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sz w:val="19"/>
                <w:szCs w:val="18"/>
              </w:rPr>
              <w:fldChar w:fldCharType="begin"/>
            </w:r>
            <w:r>
              <w:rPr>
                <w:sz w:val="19"/>
                <w:szCs w:val="18"/>
              </w:rPr>
              <w:instrText>ADVANCE \D 2.80</w:instrText>
            </w:r>
            <w:r>
              <w:rPr>
                <w:sz w:val="19"/>
                <w:szCs w:val="18"/>
              </w:rPr>
              <w:fldChar w:fldCharType="end"/>
            </w:r>
            <w:r>
              <w:rPr>
                <w:i/>
                <w:iCs/>
                <w:sz w:val="19"/>
                <w:szCs w:val="18"/>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sz w:val="19"/>
                <w:szCs w:val="18"/>
              </w:rPr>
              <w:fldChar w:fldCharType="begin"/>
            </w:r>
            <w:r>
              <w:rPr>
                <w:sz w:val="19"/>
                <w:szCs w:val="18"/>
              </w:rPr>
              <w:instrText>ADVANCE \D 2.80</w:instrText>
            </w:r>
            <w:r>
              <w:rPr>
                <w:sz w:val="19"/>
                <w:szCs w:val="18"/>
              </w:rPr>
              <w:fldChar w:fldCharType="end"/>
            </w:r>
            <w:r>
              <w:rPr>
                <w:i/>
                <w:iCs/>
                <w:sz w:val="19"/>
                <w:szCs w:val="18"/>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25 Nov 1988 p. 4761</w:t>
            </w:r>
            <w:r>
              <w:rPr>
                <w:sz w:val="19"/>
                <w:szCs w:val="18"/>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sz w:val="19"/>
                <w:szCs w:val="18"/>
              </w:rPr>
              <w:fldChar w:fldCharType="begin"/>
            </w:r>
            <w:r>
              <w:rPr>
                <w:sz w:val="19"/>
                <w:szCs w:val="18"/>
              </w:rPr>
              <w:instrText>ADVANCE \D 2.80</w:instrText>
            </w:r>
            <w:r>
              <w:rPr>
                <w:sz w:val="19"/>
                <w:szCs w:val="18"/>
              </w:rPr>
              <w:fldChar w:fldCharType="end"/>
            </w:r>
            <w:r>
              <w:rPr>
                <w:i/>
                <w:iCs/>
                <w:sz w:val="19"/>
                <w:szCs w:val="18"/>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szCs w:val="18"/>
              </w:rPr>
            </w:pPr>
            <w:r>
              <w:rPr>
                <w:i/>
                <w:iCs/>
                <w:sz w:val="19"/>
                <w:szCs w:val="18"/>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b/>
                <w:bCs/>
                <w:sz w:val="19"/>
                <w:szCs w:val="18"/>
              </w:rPr>
              <w:t xml:space="preserve">Reprint of the </w:t>
            </w:r>
            <w:r>
              <w:rPr>
                <w:b/>
                <w:bCs/>
                <w:i/>
                <w:sz w:val="19"/>
              </w:rPr>
              <w:t>Settlement Agents Regulations 1982</w:t>
            </w:r>
            <w:r>
              <w:rPr>
                <w:b/>
                <w:bCs/>
                <w:sz w:val="19"/>
                <w:szCs w:val="18"/>
              </w:rPr>
              <w:t xml:space="preserve"> as at 9 Apr 1996</w:t>
            </w:r>
            <w:r>
              <w:rPr>
                <w:sz w:val="19"/>
                <w:szCs w:val="18"/>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iCs/>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b/>
                <w:bCs/>
                <w:sz w:val="19"/>
                <w:szCs w:val="18"/>
              </w:rPr>
              <w:t xml:space="preserve">Reprint of the </w:t>
            </w:r>
            <w:r>
              <w:rPr>
                <w:b/>
                <w:bCs/>
                <w:i/>
                <w:sz w:val="19"/>
              </w:rPr>
              <w:t>Settlement Agents Regulations 1982</w:t>
            </w:r>
            <w:r>
              <w:rPr>
                <w:b/>
                <w:bCs/>
                <w:sz w:val="19"/>
                <w:szCs w:val="18"/>
              </w:rPr>
              <w:t xml:space="preserve"> as at 12 Dec 1997</w:t>
            </w:r>
            <w:r>
              <w:rPr>
                <w:sz w:val="19"/>
                <w:szCs w:val="18"/>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iCs/>
                <w:sz w:val="19"/>
                <w:vertAlign w:val="superscript"/>
              </w:rPr>
            </w:pPr>
            <w:r>
              <w:rPr>
                <w:i/>
                <w:sz w:val="19"/>
              </w:rPr>
              <w:t>Settlement Agents Amendment Regulations (No. 2) 2004</w:t>
            </w:r>
            <w:r>
              <w:rPr>
                <w:iCs/>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iCs/>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szCs w:val="18"/>
              </w:rPr>
              <w:t xml:space="preserve">Reprint 3: The </w:t>
            </w:r>
            <w:r>
              <w:rPr>
                <w:b/>
                <w:bCs/>
                <w:i/>
                <w:sz w:val="19"/>
              </w:rPr>
              <w:t>Settlement Agents Regulations 1982</w:t>
            </w:r>
            <w:r>
              <w:rPr>
                <w:b/>
                <w:bCs/>
                <w:sz w:val="19"/>
                <w:szCs w:val="18"/>
              </w:rPr>
              <w:t xml:space="preserve"> as at 18 Mar 2005</w:t>
            </w:r>
            <w:r>
              <w:rPr>
                <w:sz w:val="19"/>
                <w:szCs w:val="18"/>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Borders>
              <w:bottom w:val="single" w:sz="4" w:space="0" w:color="auto"/>
            </w:tcBorders>
          </w:tcPr>
          <w:p>
            <w:pPr>
              <w:pStyle w:val="nTable"/>
              <w:spacing w:after="40"/>
              <w:rPr>
                <w:i/>
                <w:sz w:val="19"/>
              </w:rPr>
            </w:pPr>
            <w:r>
              <w:rPr>
                <w:i/>
                <w:sz w:val="19"/>
              </w:rPr>
              <w:t>Settlement Agents Amendment Regulations (No. 3) 2006</w:t>
            </w:r>
          </w:p>
        </w:tc>
        <w:tc>
          <w:tcPr>
            <w:tcW w:w="1276" w:type="dxa"/>
            <w:tcBorders>
              <w:bottom w:val="single" w:sz="4" w:space="0" w:color="auto"/>
            </w:tcBorders>
          </w:tcPr>
          <w:p>
            <w:pPr>
              <w:pStyle w:val="nTable"/>
              <w:spacing w:after="40"/>
              <w:rPr>
                <w:sz w:val="19"/>
              </w:rPr>
            </w:pPr>
            <w:r>
              <w:rPr>
                <w:sz w:val="19"/>
              </w:rPr>
              <w:t>27 Jun 2006 p. 2270-1</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pPr>
      <w:r>
        <w:rPr>
          <w:vertAlign w:val="superscript"/>
        </w:rPr>
        <w:t>2</w:t>
      </w:r>
      <w:r>
        <w:tab/>
        <w:t xml:space="preserve">These regulations are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iCs/>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 xml:space="preserve">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xml:space="preserve">) of —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iCs/>
        </w:rPr>
      </w:pPr>
      <w:r>
        <w:rPr>
          <w:i/>
          <w:iCs/>
        </w:rPr>
        <w:tab/>
        <w:t>[Regulation 4 amended in Gazette 21 Jan 2005 p. 258; 16 Jun 2006 p. 2122.]</w:t>
      </w:r>
    </w:p>
    <w:p>
      <w:pPr>
        <w:pStyle w:val="MiscClose"/>
      </w:pPr>
      <w:r>
        <w:t>”.</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Prescribed fees</w: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Prescribed fees</w: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5555</Words>
  <Characters>26998</Characters>
  <Application>Microsoft Office Word</Application>
  <DocSecurity>0</DocSecurity>
  <Lines>870</Lines>
  <Paragraphs>571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1982 - 03-c0-03</dc:title>
  <dc:subject/>
  <dc:creator/>
  <cp:keywords/>
  <dc:description/>
  <cp:lastModifiedBy>svcMRProcess</cp:lastModifiedBy>
  <cp:revision>4</cp:revision>
  <cp:lastPrinted>2005-03-15T01:08:00Z</cp:lastPrinted>
  <dcterms:created xsi:type="dcterms:W3CDTF">2018-09-15T22:37:00Z</dcterms:created>
  <dcterms:modified xsi:type="dcterms:W3CDTF">2018-09-15T22:37:00Z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4771</vt:i4>
  </property>
  <property fmtid="{D5CDD505-2E9C-101B-9397-08002B2CF9AE}" pid="6" name="ReprintNo">
    <vt:lpwstr>3</vt:lpwstr>
  </property>
  <property fmtid="{D5CDD505-2E9C-101B-9397-08002B2CF9AE}" pid="7" name="AsAtDate">
    <vt:lpwstr>01 Jul 2006</vt:lpwstr>
  </property>
  <property fmtid="{D5CDD505-2E9C-101B-9397-08002B2CF9AE}" pid="8" name="Suffix">
    <vt:lpwstr>03-c0-03</vt:lpwstr>
  </property>
</Properties>
</file>