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_Toc77244224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_Toc77244225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_Toc77244226 \h </w:instrText>
      </w:r>
      <w:r>
        <w:fldChar w:fldCharType="separate"/>
      </w:r>
      <w:r>
        <w:t>3</w:t>
      </w:r>
      <w:r>
        <w:fldChar w:fldCharType="end"/>
      </w:r>
    </w:p>
    <w:p>
      <w:pPr>
        <w:pStyle w:val="TOC8"/>
        <w:rPr>
          <w:rFonts w:asciiTheme="minorHAnsi" w:eastAsiaTheme="minorEastAsia" w:hAnsiTheme="minorHAnsi" w:cstheme="minorBidi"/>
          <w:szCs w:val="22"/>
        </w:rPr>
      </w:pPr>
      <w:r>
        <w:t>4.</w:t>
      </w:r>
      <w:r>
        <w:tab/>
        <w:t>Swan Valley</w:t>
      </w:r>
      <w:r>
        <w:tab/>
      </w:r>
      <w:r>
        <w:fldChar w:fldCharType="begin"/>
      </w:r>
      <w:r>
        <w:instrText xml:space="preserve"> PAGEREF _Toc77244227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Act</w:t>
      </w:r>
      <w:r>
        <w:tab/>
      </w:r>
      <w:r>
        <w:fldChar w:fldCharType="begin"/>
      </w:r>
      <w:r>
        <w:instrText xml:space="preserve"> PAGEREF _Toc77244228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_Toc77244229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_Toc77244231 \h </w:instrText>
      </w:r>
      <w:r>
        <w:fldChar w:fldCharType="separate"/>
      </w:r>
      <w:r>
        <w:t>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_Toc77244232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Swan Valley Planning Act 2020</w:t>
      </w:r>
    </w:p>
    <w:p>
      <w:pPr>
        <w:pStyle w:val="LongTitle"/>
        <w:suppressLineNumbers/>
      </w:pPr>
      <w:bookmarkStart w:id="3" w:name="BillCited"/>
      <w:bookmarkEnd w:id="3"/>
      <w:r>
        <w:t xml:space="preserve">An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7236195"/>
      <w:bookmarkStart w:id="5" w:name="_Toc77237701"/>
      <w:bookmarkStart w:id="6" w:name="_Toc7724422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7244224"/>
      <w:r>
        <w:rPr>
          <w:rStyle w:val="CharSectno"/>
        </w:rPr>
        <w:t>1</w:t>
      </w:r>
      <w:r>
        <w:t>.</w:t>
      </w:r>
      <w:r>
        <w:tab/>
        <w:t>Short title</w:t>
      </w:r>
      <w:bookmarkEnd w:id="7"/>
    </w:p>
    <w:p>
      <w:pPr>
        <w:pStyle w:val="Subsection"/>
      </w:pPr>
      <w:r>
        <w:tab/>
      </w:r>
      <w:r>
        <w:tab/>
        <w:t>This is the</w:t>
      </w:r>
      <w:r>
        <w:rPr>
          <w:i/>
        </w:rPr>
        <w:t xml:space="preserve"> Swan Valley Planning Act 2020</w:t>
      </w:r>
      <w:r>
        <w:t>.</w:t>
      </w:r>
    </w:p>
    <w:p>
      <w:pPr>
        <w:pStyle w:val="Heading5"/>
      </w:pPr>
      <w:bookmarkStart w:id="8" w:name="_Toc77244225"/>
      <w:r>
        <w:rPr>
          <w:rStyle w:val="CharSectno"/>
        </w:rPr>
        <w:t>2</w:t>
      </w:r>
      <w:r>
        <w:t>.</w:t>
      </w:r>
      <w:r>
        <w:tab/>
        <w:t>Commencement</w:t>
      </w:r>
      <w:bookmarkEnd w:id="8"/>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lastRenderedPageBreak/>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9" w:name="_Toc77244226"/>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lastRenderedPageBreak/>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tab/>
      </w:r>
      <w:r>
        <w:rPr>
          <w:rStyle w:val="CharDefText"/>
        </w:rPr>
        <w:t>Swan Valley</w:t>
      </w:r>
      <w:r>
        <w:t xml:space="preserve"> has the meaning given in section 4(1);</w:t>
      </w:r>
    </w:p>
    <w:p>
      <w:pPr>
        <w:pStyle w:val="Defstart"/>
      </w:pPr>
      <w:r>
        <w:lastRenderedPageBreak/>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Heading5"/>
      </w:pPr>
      <w:bookmarkStart w:id="10" w:name="_Toc77244227"/>
      <w:r>
        <w:rPr>
          <w:rStyle w:val="CharSectno"/>
        </w:rPr>
        <w:t>4</w:t>
      </w:r>
      <w:r>
        <w:t>.</w:t>
      </w:r>
      <w:r>
        <w:tab/>
        <w:t>Swan Valley</w:t>
      </w:r>
      <w:bookmarkEnd w:id="10"/>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11" w:name="_Toc77244228"/>
      <w:r>
        <w:rPr>
          <w:rStyle w:val="CharSectno"/>
        </w:rPr>
        <w:t>5</w:t>
      </w:r>
      <w:r>
        <w:t>.</w:t>
      </w:r>
      <w:r>
        <w:tab/>
        <w:t>Objects of Act</w:t>
      </w:r>
      <w:bookmarkEnd w:id="11"/>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tab/>
        <w:t>(c)</w:t>
      </w:r>
      <w:r>
        <w:tab/>
        <w:t>to ensure that horticulture, viticulture, hobby farming and equestrian activities remain the principal land uses in the Swan Valley; and</w:t>
      </w:r>
    </w:p>
    <w:p>
      <w:pPr>
        <w:pStyle w:val="Indenta"/>
      </w:pPr>
      <w:r>
        <w:lastRenderedPageBreak/>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objects of this Act.</w:t>
      </w:r>
    </w:p>
    <w:p>
      <w:pPr>
        <w:pStyle w:val="Heading5"/>
      </w:pPr>
      <w:bookmarkStart w:id="12" w:name="_Toc77244229"/>
      <w:r>
        <w:rPr>
          <w:rStyle w:val="CharSectno"/>
        </w:rPr>
        <w:lastRenderedPageBreak/>
        <w:t>6</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Ednotepart"/>
        <w:tabs>
          <w:tab w:val="left" w:pos="1276"/>
        </w:tabs>
      </w:pPr>
      <w:r>
        <w:t>[Parts 2-10 have not come into operation.]</w:t>
      </w:r>
    </w:p>
    <w:p>
      <w:pPr>
        <w:pStyle w:val="yEdnoteschedule"/>
        <w:tabs>
          <w:tab w:val="left" w:pos="1276"/>
        </w:tabs>
      </w:pPr>
      <w:r>
        <w:t>[Schedule 1 has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3" w:name="_Toc77236202"/>
      <w:bookmarkStart w:id="14" w:name="_Toc77237708"/>
      <w:bookmarkStart w:id="15" w:name="_Toc77244230"/>
      <w:r>
        <w:lastRenderedPageBreak/>
        <w:t>Notes</w:t>
      </w:r>
      <w:bookmarkEnd w:id="13"/>
      <w:bookmarkEnd w:id="14"/>
      <w:bookmarkEnd w:id="15"/>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16" w:name="_Toc77244231"/>
      <w:r>
        <w:t>Compilation table</w:t>
      </w:r>
      <w:bookmarkEnd w:id="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Pt. 1</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9 Dec 2020 (see s. 2(1)(a))</w:t>
            </w:r>
          </w:p>
        </w:tc>
      </w:tr>
    </w:tbl>
    <w:p>
      <w:pPr>
        <w:pStyle w:val="nHeading3"/>
      </w:pPr>
      <w:bookmarkStart w:id="17" w:name="_Toc77244232"/>
      <w:r>
        <w:t>Uncommenced provisions table</w:t>
      </w:r>
      <w:bookmarkEnd w:id="1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(other than Pt. 1 and s. 53</w:t>
            </w:r>
            <w:r>
              <w:rPr>
                <w:noProof/>
              </w:rPr>
              <w:noBreakHyphen/>
              <w:t>55, 62 and 103)</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Act other than Pt. 1 and s. 53</w:t>
            </w:r>
            <w:r>
              <w:noBreakHyphen/>
              <w:t>55, 62 and 103: 1 Aug 2021 (see s. 2(1)(d)(i) and (e) and SL 2021/124 cl. 2);</w:t>
            </w:r>
            <w:r>
              <w:br/>
            </w:r>
            <w:r>
              <w:rPr>
                <w:noProof/>
              </w:rPr>
              <w:t>s. 53, 54 and 62</w:t>
            </w:r>
            <w:r>
              <w:t xml:space="preserve">: immediately after the </w:t>
            </w:r>
            <w:r>
              <w:rPr>
                <w:i/>
              </w:rPr>
              <w:t>Planning and Development Amendment Act 2020</w:t>
            </w:r>
            <w:r>
              <w:t xml:space="preserve"> s. 65 comes into operation (see s. 2(1)(b)(ii));</w:t>
            </w:r>
            <w:r>
              <w:br/>
              <w:t xml:space="preserve">s. 55 and 103: immediately after the </w:t>
            </w:r>
            <w:r>
              <w:rPr>
                <w:i/>
              </w:rPr>
              <w:t>Planning and Development Amendment Act 2020</w:t>
            </w:r>
            <w:r>
              <w:t xml:space="preserve"> s. 56 comes into operation (see s. 2(1)(c)(ii))</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9" w:name="_Toc77236205"/>
      <w:bookmarkStart w:id="20" w:name="_Toc77237711"/>
      <w:bookmarkStart w:id="21" w:name="_Toc77244233"/>
      <w:r>
        <w:rPr>
          <w:sz w:val="28"/>
        </w:rPr>
        <w:lastRenderedPageBreak/>
        <w:t>Defined terms</w:t>
      </w:r>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regulations</w:t>
      </w:r>
      <w:r>
        <w:tab/>
        <w:t>3</w:t>
      </w:r>
    </w:p>
    <w:p>
      <w:pPr>
        <w:pStyle w:val="DefinedTerms"/>
      </w:pPr>
      <w:r>
        <w:t>assent day</w:t>
      </w:r>
      <w:r>
        <w:tab/>
        <w:t>2(1)</w:t>
      </w:r>
    </w:p>
    <w:p>
      <w:pPr>
        <w:pStyle w:val="DefinedTerms"/>
      </w:pPr>
      <w:r>
        <w:t>chairperson</w:t>
      </w:r>
      <w:r>
        <w:tab/>
        <w:t>3</w:t>
      </w:r>
    </w:p>
    <w:p>
      <w:pPr>
        <w:pStyle w:val="DefinedTerms"/>
      </w:pPr>
      <w:r>
        <w:t>Commission</w:t>
      </w:r>
      <w:r>
        <w:tab/>
        <w:t>3</w:t>
      </w:r>
    </w:p>
    <w:p>
      <w:pPr>
        <w:pStyle w:val="DefinedTerms"/>
      </w:pPr>
      <w:r>
        <w:t>Department</w:t>
      </w:r>
      <w:r>
        <w:tab/>
        <w:t>3</w:t>
      </w:r>
    </w:p>
    <w:p>
      <w:pPr>
        <w:pStyle w:val="DefinedTerms"/>
      </w:pPr>
      <w:r>
        <w:t>development</w:t>
      </w:r>
      <w:r>
        <w:tab/>
        <w:t>3</w:t>
      </w:r>
    </w:p>
    <w:p>
      <w:pPr>
        <w:pStyle w:val="DefinedTerms"/>
      </w:pPr>
      <w:r>
        <w:t>EPA</w:t>
      </w:r>
      <w:r>
        <w:tab/>
        <w:t>3</w:t>
      </w:r>
    </w:p>
    <w:p>
      <w:pPr>
        <w:pStyle w:val="DefinedTerms"/>
      </w:pPr>
      <w:r>
        <w:t>Heritage Council</w:t>
      </w:r>
      <w:r>
        <w:tab/>
        <w:t>3</w:t>
      </w:r>
    </w:p>
    <w:p>
      <w:pPr>
        <w:pStyle w:val="DefinedTerms"/>
      </w:pPr>
      <w:r>
        <w:t>Herne Hill townsite</w:t>
      </w:r>
      <w:r>
        <w:tab/>
        <w:t>3</w:t>
      </w:r>
    </w:p>
    <w:p>
      <w:pPr>
        <w:pStyle w:val="DefinedTerms"/>
      </w:pPr>
      <w:r>
        <w:t>improvement scheme</w:t>
      </w:r>
      <w:r>
        <w:tab/>
        <w:t>3</w:t>
      </w:r>
    </w:p>
    <w:p>
      <w:pPr>
        <w:pStyle w:val="DefinedTerms"/>
      </w:pPr>
      <w:r>
        <w:t>land</w:t>
      </w:r>
      <w:r>
        <w:tab/>
        <w:t>3</w:t>
      </w:r>
    </w:p>
    <w:p>
      <w:pPr>
        <w:pStyle w:val="DefinedTerms"/>
      </w:pPr>
      <w:r>
        <w:t>local planning scheme</w:t>
      </w:r>
      <w:r>
        <w:tab/>
        <w:t>3</w:t>
      </w:r>
    </w:p>
    <w:p>
      <w:pPr>
        <w:pStyle w:val="DefinedTerms"/>
      </w:pPr>
      <w:r>
        <w:t>Metropolitan Region Scheme</w:t>
      </w:r>
      <w:r>
        <w:tab/>
        <w:t>3</w:t>
      </w:r>
    </w:p>
    <w:p>
      <w:pPr>
        <w:pStyle w:val="DefinedTerms"/>
      </w:pPr>
      <w:r>
        <w:t>Minister for Heritage</w:t>
      </w:r>
      <w:r>
        <w:tab/>
        <w:t>3</w:t>
      </w:r>
    </w:p>
    <w:p>
      <w:pPr>
        <w:pStyle w:val="DefinedTerms"/>
      </w:pPr>
      <w:r>
        <w:t>Minister for the Environment</w:t>
      </w:r>
      <w:r>
        <w:tab/>
        <w:t>3</w:t>
      </w:r>
    </w:p>
    <w:p>
      <w:pPr>
        <w:pStyle w:val="DefinedTerms"/>
      </w:pPr>
      <w:r>
        <w:t>officer of the Commission</w:t>
      </w:r>
      <w:r>
        <w:tab/>
        <w:t>3</w:t>
      </w:r>
    </w:p>
    <w:p>
      <w:pPr>
        <w:pStyle w:val="DefinedTerms"/>
      </w:pPr>
      <w:r>
        <w:t>public authority</w:t>
      </w:r>
      <w:r>
        <w:tab/>
        <w:t>3</w:t>
      </w:r>
    </w:p>
    <w:p>
      <w:pPr>
        <w:pStyle w:val="DefinedTerms"/>
      </w:pPr>
      <w:r>
        <w:t>State planning policy</w:t>
      </w:r>
      <w:r>
        <w:tab/>
        <w:t>3</w:t>
      </w:r>
    </w:p>
    <w:p>
      <w:pPr>
        <w:pStyle w:val="DefinedTerms"/>
      </w:pPr>
      <w:r>
        <w:t>State Register of Heritage Places</w:t>
      </w:r>
      <w:r>
        <w:tab/>
        <w:t>3</w:t>
      </w:r>
    </w:p>
    <w:p>
      <w:pPr>
        <w:pStyle w:val="DefinedTerms"/>
      </w:pPr>
      <w:r>
        <w:t>Swan Valley</w:t>
      </w:r>
      <w:r>
        <w:tab/>
        <w:t>3, 4(1)</w:t>
      </w:r>
    </w:p>
    <w:p>
      <w:pPr>
        <w:pStyle w:val="DefinedTerms"/>
      </w:pPr>
      <w:r>
        <w:t>Swan Valley local government</w:t>
      </w:r>
      <w:r>
        <w:tab/>
        <w:t>3</w:t>
      </w:r>
    </w:p>
    <w:p>
      <w:pPr>
        <w:pStyle w:val="DefinedTerms"/>
      </w:pPr>
      <w:r>
        <w:t>Swan Valley Planning Scheme</w:t>
      </w:r>
      <w:r>
        <w:tab/>
        <w:t>3</w:t>
      </w:r>
    </w:p>
    <w:p>
      <w:pPr>
        <w:pStyle w:val="DefinedTerms"/>
      </w:pPr>
      <w:r>
        <w:t>Swan Valley rural land</w:t>
      </w:r>
      <w:r>
        <w:tab/>
        <w:t>3</w:t>
      </w:r>
    </w:p>
    <w:p>
      <w:pPr>
        <w:pStyle w:val="DefinedTerms"/>
      </w:pPr>
      <w:r>
        <w:t>Swan Valley Statutory Planning Committee</w:t>
      </w:r>
      <w:r>
        <w:tab/>
        <w:t>3</w:t>
      </w:r>
    </w:p>
    <w:p>
      <w:pPr>
        <w:pStyle w:val="DefinedTerms"/>
      </w:pPr>
      <w:r>
        <w:t>Swan Valley Strategic Leadership Group</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spacing w:before="2000"/>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 w:name="DefinedTerms"/>
    <w:bookmarkEnd w:id="2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0073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3179-0419-40A1-9455-FE646156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1832</Words>
  <Characters>9124</Characters>
  <Application>Microsoft Office Word</Application>
  <DocSecurity>0</DocSecurity>
  <Lines>304</Lines>
  <Paragraphs>182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10774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2020 - 00-a0-01</dc:title>
  <dc:subject/>
  <dc:creator/>
  <cp:keywords/>
  <dc:description/>
  <cp:lastModifiedBy>Master Repository Process</cp:lastModifiedBy>
  <cp:revision>4</cp:revision>
  <cp:lastPrinted>2021-07-15T03:24:00Z</cp:lastPrinted>
  <dcterms:created xsi:type="dcterms:W3CDTF">2021-07-16T06:48:00Z</dcterms:created>
  <dcterms:modified xsi:type="dcterms:W3CDTF">2021-07-16T06:48:00Z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AsAtDate">
    <vt:lpwstr>09 Dec 2020</vt:lpwstr>
  </property>
  <property fmtid="{D5CDD505-2E9C-101B-9397-08002B2CF9AE}" pid="6" name="Suffix">
    <vt:lpwstr>00-a0-01</vt:lpwstr>
  </property>
  <property fmtid="{D5CDD505-2E9C-101B-9397-08002B2CF9AE}" pid="7" name="CommencementDate">
    <vt:lpwstr>20201209</vt:lpwstr>
  </property>
</Properties>
</file>