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 (METRONET) Act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 (METRONET)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_Toc77332149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_Toc77332150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Authority to construct METRONET railways</w:t>
      </w:r>
    </w:p>
    <w:p>
      <w:pPr>
        <w:pStyle w:val="TOC8"/>
        <w:rPr>
          <w:rFonts w:asciiTheme="minorHAnsi" w:eastAsiaTheme="minorEastAsia" w:hAnsiTheme="minorHAnsi" w:cstheme="minorBidi"/>
          <w:szCs w:val="22"/>
        </w:rPr>
      </w:pPr>
      <w:r>
        <w:t>3.</w:t>
      </w:r>
      <w:r>
        <w:tab/>
        <w:t>Authority to construct Thornlie</w:t>
      </w:r>
      <w:r>
        <w:noBreakHyphen/>
        <w:t>Cockburn Link</w:t>
      </w:r>
      <w:r>
        <w:tab/>
      </w:r>
      <w:r>
        <w:fldChar w:fldCharType="begin"/>
      </w:r>
      <w:r>
        <w:instrText xml:space="preserve"> PAGEREF _Toc77332152 \h </w:instrText>
      </w:r>
      <w:r>
        <w:fldChar w:fldCharType="separate"/>
      </w:r>
      <w:r>
        <w:t>3</w:t>
      </w:r>
      <w:r>
        <w:fldChar w:fldCharType="end"/>
      </w:r>
    </w:p>
    <w:p>
      <w:pPr>
        <w:pStyle w:val="TOC8"/>
        <w:rPr>
          <w:rFonts w:asciiTheme="minorHAnsi" w:eastAsiaTheme="minorEastAsia" w:hAnsiTheme="minorHAnsi" w:cstheme="minorBidi"/>
          <w:szCs w:val="22"/>
        </w:rPr>
      </w:pPr>
      <w:r>
        <w:t>4.</w:t>
      </w:r>
      <w:r>
        <w:tab/>
        <w:t>Authority to construct Yanchep Rail Extension</w:t>
      </w:r>
      <w:r>
        <w:tab/>
      </w:r>
      <w:r>
        <w:fldChar w:fldCharType="begin"/>
      </w:r>
      <w:r>
        <w:instrText xml:space="preserve"> PAGEREF _Toc77332153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Authority to construct Morley</w:t>
      </w:r>
      <w:r>
        <w:noBreakHyphen/>
        <w:t>Ellenbrook Line</w:t>
      </w:r>
      <w:r>
        <w:tab/>
      </w:r>
      <w:r>
        <w:fldChar w:fldCharType="begin"/>
      </w:r>
      <w:r>
        <w:instrText xml:space="preserve"> PAGEREF _Toc77332154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Application of Metropolitan Region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_Toc77332156 \h </w:instrText>
      </w:r>
      <w:r>
        <w:fldChar w:fldCharType="separate"/>
      </w:r>
      <w:r>
        <w:t>4</w:t>
      </w:r>
      <w:r>
        <w:fldChar w:fldCharType="end"/>
      </w:r>
    </w:p>
    <w:p>
      <w:pPr>
        <w:pStyle w:val="TOC8"/>
        <w:rPr>
          <w:rFonts w:asciiTheme="minorHAnsi" w:eastAsiaTheme="minorEastAsia" w:hAnsiTheme="minorHAnsi" w:cstheme="minorBidi"/>
          <w:szCs w:val="22"/>
        </w:rPr>
      </w:pPr>
      <w:r>
        <w:t>6.</w:t>
      </w:r>
      <w:r>
        <w:tab/>
        <w:t>Planning approval not required for certain METRONET works</w:t>
      </w:r>
      <w:r>
        <w:tab/>
      </w:r>
      <w:r>
        <w:fldChar w:fldCharType="begin"/>
      </w:r>
      <w:r>
        <w:instrText xml:space="preserve"> PAGEREF _Toc77332157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Line of Thornlie</w:t>
      </w:r>
      <w:r>
        <w:noBreakHyphen/>
        <w:t>Cockburn Link</w:t>
      </w:r>
    </w:p>
    <w:p>
      <w:pPr>
        <w:pStyle w:val="TOC2"/>
        <w:tabs>
          <w:tab w:val="right" w:leader="dot" w:pos="7077"/>
        </w:tabs>
        <w:rPr>
          <w:rFonts w:asciiTheme="minorHAnsi" w:eastAsiaTheme="minorEastAsia" w:hAnsiTheme="minorHAnsi" w:cstheme="minorBidi"/>
          <w:b w:val="0"/>
          <w:sz w:val="22"/>
          <w:szCs w:val="22"/>
        </w:rPr>
      </w:pPr>
      <w:r>
        <w:t>Schedule 2 — Line of Yanchep Rail Extension</w:t>
      </w:r>
    </w:p>
    <w:p>
      <w:pPr>
        <w:pStyle w:val="TOC2"/>
        <w:tabs>
          <w:tab w:val="right" w:leader="dot" w:pos="7077"/>
        </w:tabs>
        <w:rPr>
          <w:rFonts w:asciiTheme="minorHAnsi" w:eastAsiaTheme="minorEastAsia" w:hAnsiTheme="minorHAnsi" w:cstheme="minorBidi"/>
          <w:b w:val="0"/>
          <w:sz w:val="22"/>
          <w:szCs w:val="22"/>
        </w:rPr>
      </w:pPr>
      <w:r>
        <w:t>Schedule 3 — Line of Morley</w:t>
      </w:r>
      <w:r>
        <w:noBreakHyphen/>
        <w:t>Ellenbrook Line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_Toc77332162 \h </w:instrText>
      </w:r>
      <w:r>
        <w:fldChar w:fldCharType="separate"/>
      </w:r>
      <w:r>
        <w:t>9</w:t>
      </w:r>
      <w:r>
        <w:fldChar w:fldCharType="end"/>
      </w:r>
    </w:p>
    <w:p>
      <w:pPr>
        <w:pStyle w:val="TOC8"/>
        <w:rPr>
          <w:rFonts w:asciiTheme="minorHAnsi" w:eastAsiaTheme="minorEastAsia" w:hAnsiTheme="minorHAnsi" w:cstheme="minorBidi"/>
          <w:szCs w:val="22"/>
        </w:rPr>
      </w:pPr>
      <w:r>
        <w:lastRenderedPageBreak/>
        <w:tab/>
        <w:t>Uncommenced provisions table</w:t>
      </w:r>
      <w:r>
        <w:tab/>
      </w:r>
      <w:r>
        <w:fldChar w:fldCharType="begin"/>
      </w:r>
      <w:r>
        <w:instrText xml:space="preserve"> PAGEREF _Toc77332163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Railway (METRONET) Act 2018</w:t>
      </w:r>
    </w:p>
    <w:p>
      <w:pPr>
        <w:pStyle w:val="LongTitle"/>
        <w:suppressLineNumbers/>
      </w:pPr>
      <w:bookmarkStart w:id="3" w:name="BillCited"/>
      <w:bookmarkEnd w:id="3"/>
      <w:r>
        <w:t xml:space="preserve">An Act to authorise, as part of the METRONET plan, the construction of — </w:t>
      </w:r>
    </w:p>
    <w:p>
      <w:pPr>
        <w:pStyle w:val="LongTitle"/>
        <w:numPr>
          <w:ilvl w:val="0"/>
          <w:numId w:val="2"/>
        </w:numPr>
        <w:suppressLineNumbers/>
        <w:ind w:left="426" w:hanging="426"/>
      </w:pPr>
      <w:r>
        <w:t>a railway from Beckenham junction to Cockburn (known as the Thornlie</w:t>
      </w:r>
      <w:r>
        <w:noBreakHyphen/>
        <w:t>Cockburn Link); and</w:t>
      </w:r>
    </w:p>
    <w:p>
      <w:pPr>
        <w:pStyle w:val="LongTitle"/>
        <w:numPr>
          <w:ilvl w:val="0"/>
          <w:numId w:val="2"/>
        </w:numPr>
        <w:suppressLineNumbers/>
        <w:ind w:left="426" w:hanging="426"/>
      </w:pPr>
      <w:r>
        <w:t>a railway from Butler to Yanchep (known as the Yanchep Rail Extension); and</w:t>
      </w:r>
    </w:p>
    <w:p>
      <w:pPr>
        <w:pStyle w:val="LongTitle"/>
        <w:numPr>
          <w:ilvl w:val="0"/>
          <w:numId w:val="2"/>
        </w:numPr>
        <w:suppressLineNumbers/>
        <w:ind w:left="426" w:hanging="426"/>
      </w:pPr>
      <w:r>
        <w:t>a railway from Bayswater to Ellenbrook (known as the Morley Ellenbrook Line),</w:t>
      </w:r>
    </w:p>
    <w:p>
      <w:pPr>
        <w:pStyle w:val="LongTitle"/>
        <w:suppressLineNumbers/>
      </w:pPr>
      <w:r>
        <w:t>and for related purposes.</w:t>
      </w:r>
    </w:p>
    <w:p>
      <w:pPr>
        <w:pStyle w:val="Footnotelongtitle"/>
      </w:pPr>
      <w:r>
        <w:tab/>
        <w:t>[Long title amended: No. 1 of 2020 s. 4.]</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77247937"/>
      <w:bookmarkStart w:id="5" w:name="_Toc77247985"/>
      <w:bookmarkStart w:id="6" w:name="_Toc7733214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77332149"/>
      <w:r>
        <w:rPr>
          <w:rStyle w:val="CharSectno"/>
        </w:rPr>
        <w:t>1</w:t>
      </w:r>
      <w:r>
        <w:t>.</w:t>
      </w:r>
      <w:r>
        <w:tab/>
        <w:t>Short title</w:t>
      </w:r>
      <w:bookmarkEnd w:id="7"/>
    </w:p>
    <w:p>
      <w:pPr>
        <w:pStyle w:val="Subsection"/>
      </w:pPr>
      <w:r>
        <w:tab/>
      </w:r>
      <w:r>
        <w:tab/>
        <w:t>This is the</w:t>
      </w:r>
      <w:r>
        <w:rPr>
          <w:i/>
        </w:rPr>
        <w:t xml:space="preserve"> Railway (METRONET) Act 2018</w:t>
      </w:r>
      <w:r>
        <w:t>.</w:t>
      </w:r>
    </w:p>
    <w:p>
      <w:pPr>
        <w:pStyle w:val="Heading5"/>
      </w:pPr>
      <w:bookmarkStart w:id="8" w:name="_Toc77332150"/>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on the day on which it receives the Royal Assent.</w:t>
      </w:r>
    </w:p>
    <w:p>
      <w:pPr>
        <w:pStyle w:val="Heading2"/>
      </w:pPr>
      <w:bookmarkStart w:id="9" w:name="_Toc77247940"/>
      <w:bookmarkStart w:id="10" w:name="_Toc77247988"/>
      <w:bookmarkStart w:id="11" w:name="_Toc77332151"/>
      <w:r>
        <w:rPr>
          <w:rStyle w:val="CharPartNo"/>
        </w:rPr>
        <w:lastRenderedPageBreak/>
        <w:t>Part 2</w:t>
      </w:r>
      <w:r>
        <w:rPr>
          <w:rStyle w:val="CharDivNo"/>
        </w:rPr>
        <w:t> </w:t>
      </w:r>
      <w:r>
        <w:t>—</w:t>
      </w:r>
      <w:r>
        <w:rPr>
          <w:rStyle w:val="CharDivText"/>
        </w:rPr>
        <w:t> </w:t>
      </w:r>
      <w:r>
        <w:rPr>
          <w:rStyle w:val="CharPartText"/>
        </w:rPr>
        <w:t>Authority to construct METRONET railways</w:t>
      </w:r>
      <w:bookmarkEnd w:id="9"/>
      <w:bookmarkEnd w:id="10"/>
      <w:bookmarkEnd w:id="11"/>
    </w:p>
    <w:p>
      <w:pPr>
        <w:pStyle w:val="Heading5"/>
      </w:pPr>
      <w:bookmarkStart w:id="12" w:name="_Toc77332152"/>
      <w:r>
        <w:rPr>
          <w:rStyle w:val="CharSectno"/>
        </w:rPr>
        <w:t>3</w:t>
      </w:r>
      <w:r>
        <w:t>.</w:t>
      </w:r>
      <w:r>
        <w:tab/>
        <w:t>Authority to construct Thornlie</w:t>
      </w:r>
      <w:r>
        <w:noBreakHyphen/>
        <w:t>Cockburn Link</w:t>
      </w:r>
      <w:bookmarkEnd w:id="12"/>
    </w:p>
    <w:p>
      <w:pPr>
        <w:pStyle w:val="Subsection"/>
      </w:pPr>
      <w:r>
        <w:tab/>
      </w:r>
      <w:r>
        <w:tab/>
        <w:t>A railway, with all necessary, proper and usual works and facilities in connection with the railway, may be constructed and maintained along the line described in Schedule 1.</w:t>
      </w:r>
    </w:p>
    <w:p>
      <w:pPr>
        <w:pStyle w:val="Heading5"/>
      </w:pPr>
      <w:bookmarkStart w:id="13" w:name="_Toc77332153"/>
      <w:r>
        <w:rPr>
          <w:rStyle w:val="CharSectno"/>
        </w:rPr>
        <w:t>4</w:t>
      </w:r>
      <w:r>
        <w:t>.</w:t>
      </w:r>
      <w:r>
        <w:tab/>
        <w:t>Authority to construct Yanchep Rail Extension</w:t>
      </w:r>
      <w:bookmarkEnd w:id="13"/>
    </w:p>
    <w:p>
      <w:pPr>
        <w:pStyle w:val="Subsection"/>
      </w:pPr>
      <w:r>
        <w:tab/>
      </w:r>
      <w:r>
        <w:tab/>
        <w:t>A railway, with all necessary, proper and usual works and facilities in connection with the railway, may be constructed and maintained along the line described in Schedule 2.</w:t>
      </w:r>
    </w:p>
    <w:p>
      <w:pPr>
        <w:pStyle w:val="Heading5"/>
      </w:pPr>
      <w:bookmarkStart w:id="14" w:name="_Toc77332154"/>
      <w:r>
        <w:rPr>
          <w:rStyle w:val="CharSectno"/>
        </w:rPr>
        <w:t>4A</w:t>
      </w:r>
      <w:r>
        <w:t>.</w:t>
      </w:r>
      <w:r>
        <w:tab/>
        <w:t>Authority to construct Morley</w:t>
      </w:r>
      <w:r>
        <w:noBreakHyphen/>
        <w:t>Ellenbrook Line</w:t>
      </w:r>
      <w:bookmarkEnd w:id="14"/>
    </w:p>
    <w:p>
      <w:pPr>
        <w:pStyle w:val="Subsection"/>
      </w:pPr>
      <w:r>
        <w:tab/>
      </w:r>
      <w:r>
        <w:tab/>
        <w:t>A railway, with all necessary, proper and usual works and facilities in connection with the railway, may be constructed and maintained along the line described in Schedule 3.</w:t>
      </w:r>
    </w:p>
    <w:p>
      <w:pPr>
        <w:pStyle w:val="Footnotesection"/>
      </w:pPr>
      <w:r>
        <w:tab/>
        <w:t>[Section 4A inserted: No. 1 of 2020 s. 5.]</w:t>
      </w:r>
    </w:p>
    <w:p>
      <w:pPr>
        <w:pStyle w:val="Heading2"/>
      </w:pPr>
      <w:bookmarkStart w:id="15" w:name="_Toc77247944"/>
      <w:bookmarkStart w:id="16" w:name="_Toc77247992"/>
      <w:bookmarkStart w:id="17" w:name="_Toc77332155"/>
      <w:r>
        <w:rPr>
          <w:rStyle w:val="CharPartNo"/>
        </w:rPr>
        <w:lastRenderedPageBreak/>
        <w:t>Part 3</w:t>
      </w:r>
      <w:r>
        <w:rPr>
          <w:rStyle w:val="CharDivNo"/>
        </w:rPr>
        <w:t> </w:t>
      </w:r>
      <w:r>
        <w:t>—</w:t>
      </w:r>
      <w:r>
        <w:rPr>
          <w:rStyle w:val="CharDivText"/>
        </w:rPr>
        <w:t> </w:t>
      </w:r>
      <w:r>
        <w:rPr>
          <w:rStyle w:val="CharPartText"/>
        </w:rPr>
        <w:t>Application of Metropolitan Region Scheme</w:t>
      </w:r>
      <w:bookmarkEnd w:id="15"/>
      <w:bookmarkEnd w:id="16"/>
      <w:bookmarkEnd w:id="17"/>
    </w:p>
    <w:p>
      <w:pPr>
        <w:pStyle w:val="Heading5"/>
      </w:pPr>
      <w:bookmarkStart w:id="18" w:name="_Toc77332156"/>
      <w:r>
        <w:rPr>
          <w:rStyle w:val="CharSectno"/>
        </w:rPr>
        <w:t>5</w:t>
      </w:r>
      <w:r>
        <w:t>.</w:t>
      </w:r>
      <w:r>
        <w:tab/>
        <w:t>Terms used</w:t>
      </w:r>
      <w:bookmarkEnd w:id="18"/>
    </w:p>
    <w:p>
      <w:pPr>
        <w:pStyle w:val="Subsection"/>
      </w:pPr>
      <w:r>
        <w:tab/>
      </w:r>
      <w:r>
        <w:tab/>
        <w:t xml:space="preserve">In this Part — </w:t>
      </w:r>
    </w:p>
    <w:p>
      <w:pPr>
        <w:pStyle w:val="Defstart"/>
      </w:pPr>
      <w:r>
        <w:tab/>
      </w:r>
      <w:r>
        <w:rPr>
          <w:rStyle w:val="CharDefText"/>
        </w:rPr>
        <w:t>Bush Forever area</w:t>
      </w:r>
      <w:r>
        <w:t xml:space="preserve"> means land identified as a Bush Forever area in accordance with the Metropolitan Region Scheme clause 28A(1);</w:t>
      </w:r>
    </w:p>
    <w:p>
      <w:pPr>
        <w:pStyle w:val="Defstart"/>
      </w:pPr>
      <w:r>
        <w:tab/>
      </w:r>
      <w:r>
        <w:rPr>
          <w:rStyle w:val="CharDefText"/>
        </w:rPr>
        <w:t>METRONET railway</w:t>
      </w:r>
      <w:r>
        <w:t xml:space="preserve"> means a railway the construction and maintenance of which is authorised by Part 2;</w:t>
      </w:r>
    </w:p>
    <w:p>
      <w:pPr>
        <w:pStyle w:val="Defstart"/>
      </w:pPr>
      <w:r>
        <w:tab/>
      </w:r>
      <w:r>
        <w:rPr>
          <w:rStyle w:val="CharDefText"/>
        </w:rPr>
        <w:t>METRONET works</w:t>
      </w:r>
      <w:r>
        <w:t xml:space="preserve"> means works for the purpose of, or in connection with, a METRONET railway but does not include the construction or alteration of a railway station, or any related car parks, public transport interchange facilities or associated means of pedestrian or vehicular access;</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non</w:t>
      </w:r>
      <w:r>
        <w:rPr>
          <w:rStyle w:val="CharDefText"/>
        </w:rPr>
        <w:noBreakHyphen/>
        <w:t>railway land</w:t>
      </w:r>
      <w:r>
        <w:t xml:space="preserve"> means — </w:t>
      </w:r>
    </w:p>
    <w:p>
      <w:pPr>
        <w:pStyle w:val="Defpara"/>
      </w:pPr>
      <w:r>
        <w:tab/>
        <w:t>(a)</w:t>
      </w:r>
      <w:r>
        <w:tab/>
        <w:t>land reserved under the Metropolitan Region Scheme Part II for a public purpose other than railways; or</w:t>
      </w:r>
    </w:p>
    <w:p>
      <w:pPr>
        <w:pStyle w:val="Defpara"/>
      </w:pPr>
      <w:r>
        <w:tab/>
        <w:t>(b)</w:t>
      </w:r>
      <w:r>
        <w:tab/>
        <w:t>land zoned under the Metropolitan Region Scheme Part III;</w:t>
      </w:r>
    </w:p>
    <w:p>
      <w:pPr>
        <w:pStyle w:val="Defstart"/>
      </w:pPr>
      <w:r>
        <w:tab/>
      </w:r>
      <w:r>
        <w:rPr>
          <w:rStyle w:val="CharDefText"/>
        </w:rPr>
        <w:t>Planning Commission</w:t>
      </w:r>
      <w:r>
        <w:t xml:space="preserve"> means the Western Australian Planning Commission established by the </w:t>
      </w:r>
      <w:r>
        <w:rPr>
          <w:i/>
        </w:rPr>
        <w:t>Planning and Development Act 2005</w:t>
      </w:r>
      <w:r>
        <w:t xml:space="preserve"> section 7(1);</w:t>
      </w:r>
    </w:p>
    <w:p>
      <w:pPr>
        <w:pStyle w:val="Defstart"/>
      </w:pPr>
      <w:r>
        <w:tab/>
      </w:r>
      <w:r>
        <w:rPr>
          <w:rStyle w:val="CharDefText"/>
        </w:rPr>
        <w:t>railway land</w:t>
      </w:r>
      <w:r>
        <w:t xml:space="preserve"> means land reserved under the Metropolitan Region Scheme Part II for the purpose of railways.</w:t>
      </w:r>
    </w:p>
    <w:p>
      <w:pPr>
        <w:pStyle w:val="Heading5"/>
      </w:pPr>
      <w:bookmarkStart w:id="19" w:name="_Toc77332157"/>
      <w:r>
        <w:rPr>
          <w:rStyle w:val="CharSectno"/>
        </w:rPr>
        <w:lastRenderedPageBreak/>
        <w:t>6</w:t>
      </w:r>
      <w:r>
        <w:t>.</w:t>
      </w:r>
      <w:r>
        <w:tab/>
        <w:t>Planning approval not required for certain METRONET works</w:t>
      </w:r>
      <w:bookmarkEnd w:id="19"/>
    </w:p>
    <w:p>
      <w:pPr>
        <w:pStyle w:val="Subsection"/>
        <w:keepNext/>
      </w:pPr>
      <w:r>
        <w:tab/>
      </w:r>
      <w:r>
        <w:tab/>
        <w:t xml:space="preserve">Despite anything in the Metropolitan Region Scheme, the following development may be commenced or carried out without the approval of the Planning Commission — </w:t>
      </w:r>
    </w:p>
    <w:p>
      <w:pPr>
        <w:pStyle w:val="Indenta"/>
      </w:pPr>
      <w:r>
        <w:tab/>
        <w:t>(a)</w:t>
      </w:r>
      <w:r>
        <w:tab/>
        <w:t>METRONET works that involve the clearing of native vegetation on railway land in a Bush Forever area;</w:t>
      </w:r>
    </w:p>
    <w:p>
      <w:pPr>
        <w:pStyle w:val="Indenta"/>
      </w:pPr>
      <w:r>
        <w:tab/>
        <w:t>(b)</w:t>
      </w:r>
      <w:r>
        <w:tab/>
        <w:t>METRONET works on non</w:t>
      </w:r>
      <w:r>
        <w:noBreakHyphen/>
        <w:t>railway land.</w:t>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20" w:name="_Toc77247947"/>
      <w:bookmarkStart w:id="21" w:name="_Toc77247995"/>
      <w:bookmarkStart w:id="22" w:name="_Toc77332158"/>
      <w:r>
        <w:rPr>
          <w:rStyle w:val="CharSchNo"/>
        </w:rPr>
        <w:lastRenderedPageBreak/>
        <w:t>Schedule 1</w:t>
      </w:r>
      <w:r>
        <w:rPr>
          <w:rStyle w:val="CharSDivNo"/>
        </w:rPr>
        <w:t> </w:t>
      </w:r>
      <w:r>
        <w:t>—</w:t>
      </w:r>
      <w:r>
        <w:rPr>
          <w:rStyle w:val="CharSDivText"/>
        </w:rPr>
        <w:t> </w:t>
      </w:r>
      <w:r>
        <w:rPr>
          <w:rStyle w:val="CharSchText"/>
        </w:rPr>
        <w:t>Line of Thornlie</w:t>
      </w:r>
      <w:r>
        <w:rPr>
          <w:rStyle w:val="CharSchText"/>
        </w:rPr>
        <w:noBreakHyphen/>
        <w:t>Cockburn Link</w:t>
      </w:r>
      <w:bookmarkEnd w:id="20"/>
      <w:bookmarkEnd w:id="21"/>
      <w:bookmarkEnd w:id="22"/>
    </w:p>
    <w:p>
      <w:pPr>
        <w:pStyle w:val="yShoulderClause"/>
      </w:pPr>
      <w:r>
        <w:t>[s. 3]</w:t>
      </w:r>
    </w:p>
    <w:p>
      <w:pPr>
        <w:pStyle w:val="yMiscellaneousBody"/>
      </w:pPr>
      <w:r>
        <w:t>The line of the railway commences at a point 12.776 km along the Armadale railway line, at Beckenham junction and proceeds in a generally south westerly direction for a distance of 17.5 km to a point, near Map Grid of Australia 1994 coordinates 392267 East and 6445208 North, that is approximately 400 m north of the intersection of Armadale Road and Kwinana Freeway, Cockburn Central.</w:t>
      </w:r>
    </w:p>
    <w:p>
      <w:pPr>
        <w:pStyle w:val="yMiscellaneousBody"/>
      </w:pPr>
      <w:r>
        <w:t>The course to be taken by the railway is shown as a red line on Public Transport Authority drawing no. 05</w:t>
      </w:r>
      <w:r>
        <w:noBreakHyphen/>
        <w:t>C</w:t>
      </w:r>
      <w:r>
        <w:noBreakHyphen/>
        <w:t>00</w:t>
      </w:r>
      <w:r>
        <w:noBreakHyphen/>
        <w:t>0023 Rev B.</w:t>
      </w:r>
    </w:p>
    <w:p>
      <w:pPr>
        <w:pStyle w:val="yFootnotesection"/>
      </w:pPr>
      <w:r>
        <w:tab/>
        <w:t>[Schedule 1 amended: No. 1 of 2020 s. 6.]</w:t>
      </w:r>
    </w:p>
    <w:p>
      <w:pPr>
        <w:pStyle w:val="yScheduleHeading"/>
      </w:pPr>
      <w:bookmarkStart w:id="23" w:name="_Toc77247948"/>
      <w:bookmarkStart w:id="24" w:name="_Toc77247996"/>
      <w:bookmarkStart w:id="25" w:name="_Toc77332159"/>
      <w:r>
        <w:rPr>
          <w:rStyle w:val="CharSchNo"/>
        </w:rPr>
        <w:lastRenderedPageBreak/>
        <w:t>Schedule 2</w:t>
      </w:r>
      <w:r>
        <w:rPr>
          <w:rStyle w:val="CharSDivNo"/>
        </w:rPr>
        <w:t> </w:t>
      </w:r>
      <w:r>
        <w:t>—</w:t>
      </w:r>
      <w:r>
        <w:rPr>
          <w:rStyle w:val="CharSDivText"/>
        </w:rPr>
        <w:t> </w:t>
      </w:r>
      <w:r>
        <w:rPr>
          <w:rStyle w:val="CharSchText"/>
        </w:rPr>
        <w:t>Line of Yanchep Rail Extension</w:t>
      </w:r>
      <w:bookmarkEnd w:id="23"/>
      <w:bookmarkEnd w:id="24"/>
      <w:bookmarkEnd w:id="25"/>
    </w:p>
    <w:p>
      <w:pPr>
        <w:pStyle w:val="yShoulderClause"/>
      </w:pPr>
      <w:r>
        <w:t>[s. 4]</w:t>
      </w:r>
    </w:p>
    <w:p>
      <w:pPr>
        <w:pStyle w:val="yMiscellaneousBody"/>
      </w:pPr>
      <w:r>
        <w:t>The line of the railway commences at a point 130 m north of existing Butler station (Map Grid of Australia 1994 coordinates 376692 East and 6499335 North) 40.9 km from Perth along the Currambine</w:t>
      </w:r>
      <w:r>
        <w:noBreakHyphen/>
        <w:t>Butler railway line and proceeds in a generally north westerly direction for a distance of 14.5 km to a point, near Map Grid of Australia 1994 coordinates 371222 East and 6511677 North, that is approximately 2 800 m north of the intersection of Marmion Avenue and Yanchep Beach Road, Yanchep.</w:t>
      </w:r>
    </w:p>
    <w:p>
      <w:pPr>
        <w:pStyle w:val="yMiscellaneousBody"/>
      </w:pPr>
      <w:r>
        <w:t>The course to be taken by the railway is shown as a red line on Public Transport Authority drawing no. 14</w:t>
      </w:r>
      <w:r>
        <w:noBreakHyphen/>
        <w:t>C</w:t>
      </w:r>
      <w:r>
        <w:noBreakHyphen/>
        <w:t>00</w:t>
      </w:r>
      <w:r>
        <w:noBreakHyphen/>
        <w:t>0004 Rev B.</w:t>
      </w:r>
    </w:p>
    <w:p>
      <w:pPr>
        <w:pStyle w:val="yFootnotesection"/>
      </w:pPr>
      <w:r>
        <w:tab/>
        <w:t>[Schedule 2 amended: No. 1 of 2020 s. 7.]</w:t>
      </w:r>
    </w:p>
    <w:p>
      <w:pPr>
        <w:pStyle w:val="yScheduleHeading"/>
      </w:pPr>
      <w:bookmarkStart w:id="26" w:name="_Toc77247949"/>
      <w:bookmarkStart w:id="27" w:name="_Toc77247997"/>
      <w:bookmarkStart w:id="28" w:name="_Toc77332160"/>
      <w:r>
        <w:rPr>
          <w:rStyle w:val="CharSchNo"/>
        </w:rPr>
        <w:lastRenderedPageBreak/>
        <w:t>Schedule 3</w:t>
      </w:r>
      <w:r>
        <w:t> — </w:t>
      </w:r>
      <w:r>
        <w:rPr>
          <w:rStyle w:val="CharSchText"/>
        </w:rPr>
        <w:t>Line of Morley</w:t>
      </w:r>
      <w:r>
        <w:rPr>
          <w:rStyle w:val="CharSchText"/>
        </w:rPr>
        <w:noBreakHyphen/>
        <w:t>Ellenbrook Line</w:t>
      </w:r>
      <w:bookmarkEnd w:id="26"/>
      <w:bookmarkEnd w:id="27"/>
      <w:bookmarkEnd w:id="28"/>
    </w:p>
    <w:p>
      <w:pPr>
        <w:pStyle w:val="yShoulderClause"/>
      </w:pPr>
      <w:r>
        <w:t>[s. 4A]</w:t>
      </w:r>
    </w:p>
    <w:p>
      <w:pPr>
        <w:pStyle w:val="yFootnoteheading"/>
      </w:pPr>
      <w:r>
        <w:tab/>
        <w:t>[Heading inserted: No. 1 of 2020 s. 8.]</w:t>
      </w:r>
    </w:p>
    <w:p>
      <w:pPr>
        <w:pStyle w:val="yMiscellaneousBody"/>
      </w:pPr>
      <w:r>
        <w:t>The line of the railway commences at a point 4.232 km along the Midland railway line, prior to Bayswater Station and proceeds in a generally easterly direction for a distance of approximately 1.0 km to a point near Map Grid of Australia 1994 coordinates 397968 East and 6468072 North, then proceeds in a generally northerly direction for a distance of approximately 7.6 km to a point near Map Grid of Australia 1994 coordinates 397555 East and 6475320 North, then proceeds in a generally easterly direction for a distance of approximately 4.5 km to a point near Map Grid of Australia 1994 coordinates 401684 East and 6475588 North, then proceeds in a generally northerly direction for a distance of approximately 8.3 km to a point, near Map Grid of Australia 1994 coordinates 401878 East and 6483339 North, that is approximately 60 m southwest of the intersection of The Parkway and Transit Way, Ellenbrook.</w:t>
      </w:r>
    </w:p>
    <w:p>
      <w:pPr>
        <w:pStyle w:val="yMiscellaneousBody"/>
      </w:pPr>
      <w:r>
        <w:t>The course to be taken by the railway is shown as a red line on Public Transport Authority drawing no. 25</w:t>
      </w:r>
      <w:r>
        <w:noBreakHyphen/>
        <w:t>C</w:t>
      </w:r>
      <w:r>
        <w:noBreakHyphen/>
        <w:t>00</w:t>
      </w:r>
      <w:r>
        <w:noBreakHyphen/>
        <w:t>0014 Rev B.</w:t>
      </w:r>
    </w:p>
    <w:p>
      <w:pPr>
        <w:pStyle w:val="yFootnotesection"/>
      </w:pPr>
      <w:r>
        <w:tab/>
        <w:t>[Schedule 3 inserted: No. 1 of 2020 s. 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ind w:left="0" w:firstLine="0"/>
        <w:outlineLvl w:val="0"/>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30" w:name="_Toc77247950"/>
      <w:bookmarkStart w:id="31" w:name="_Toc77247998"/>
      <w:bookmarkStart w:id="32" w:name="_Toc77332161"/>
      <w:r>
        <w:lastRenderedPageBreak/>
        <w:t>Notes</w:t>
      </w:r>
      <w:bookmarkEnd w:id="30"/>
      <w:bookmarkEnd w:id="31"/>
      <w:bookmarkEnd w:id="32"/>
    </w:p>
    <w:p>
      <w:pPr>
        <w:pStyle w:val="nStatement"/>
      </w:pPr>
      <w:r>
        <w:t xml:space="preserve">This is a compilation of the </w:t>
      </w:r>
      <w:r>
        <w:rPr>
          <w:i/>
          <w:noProof/>
        </w:rPr>
        <w:t>Railway (METRONET) Act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3" w:name="_Toc77332162"/>
      <w:r>
        <w:t>Compilation table</w:t>
      </w:r>
      <w:bookmarkEnd w:id="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Railway (METRONET) Act 2018</w:t>
            </w:r>
          </w:p>
        </w:tc>
        <w:tc>
          <w:tcPr>
            <w:tcW w:w="1134" w:type="dxa"/>
            <w:tcBorders>
              <w:bottom w:val="nil"/>
            </w:tcBorders>
          </w:tcPr>
          <w:p>
            <w:pPr>
              <w:pStyle w:val="nTable"/>
              <w:spacing w:after="40"/>
            </w:pPr>
            <w:r>
              <w:t>34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19 Nov 2018</w:t>
            </w:r>
          </w:p>
        </w:tc>
      </w:tr>
      <w:tr>
        <w:tc>
          <w:tcPr>
            <w:tcW w:w="2268" w:type="dxa"/>
            <w:tcBorders>
              <w:top w:val="nil"/>
              <w:bottom w:val="single" w:sz="4" w:space="0" w:color="auto"/>
            </w:tcBorders>
          </w:tcPr>
          <w:p>
            <w:pPr>
              <w:pStyle w:val="nTable"/>
              <w:spacing w:after="40"/>
              <w:rPr>
                <w:i/>
                <w:noProof/>
              </w:rPr>
            </w:pPr>
            <w:r>
              <w:rPr>
                <w:i/>
              </w:rPr>
              <w:t>Railway (METRONET) Amendment Act 2020</w:t>
            </w:r>
          </w:p>
        </w:tc>
        <w:tc>
          <w:tcPr>
            <w:tcW w:w="1134" w:type="dxa"/>
            <w:tcBorders>
              <w:top w:val="nil"/>
              <w:bottom w:val="single" w:sz="4" w:space="0" w:color="auto"/>
            </w:tcBorders>
          </w:tcPr>
          <w:p>
            <w:pPr>
              <w:pStyle w:val="nTable"/>
              <w:spacing w:after="40"/>
            </w:pPr>
            <w:r>
              <w:t>1 of 2020</w:t>
            </w:r>
          </w:p>
        </w:tc>
        <w:tc>
          <w:tcPr>
            <w:tcW w:w="1134" w:type="dxa"/>
            <w:tcBorders>
              <w:top w:val="nil"/>
              <w:bottom w:val="single" w:sz="4" w:space="0" w:color="auto"/>
            </w:tcBorders>
          </w:tcPr>
          <w:p>
            <w:pPr>
              <w:pStyle w:val="nTable"/>
              <w:spacing w:after="40"/>
            </w:pPr>
            <w:r>
              <w:t>27 Feb 2020</w:t>
            </w:r>
          </w:p>
        </w:tc>
        <w:tc>
          <w:tcPr>
            <w:tcW w:w="2552" w:type="dxa"/>
            <w:tcBorders>
              <w:top w:val="nil"/>
              <w:bottom w:val="single" w:sz="4" w:space="0" w:color="auto"/>
            </w:tcBorders>
          </w:tcPr>
          <w:p>
            <w:pPr>
              <w:pStyle w:val="nTable"/>
              <w:spacing w:after="40"/>
            </w:pPr>
            <w:r>
              <w:t>27 Feb 2020 (see s. 2)</w:t>
            </w:r>
          </w:p>
        </w:tc>
      </w:tr>
    </w:tbl>
    <w:p>
      <w:pPr>
        <w:pStyle w:val="nHeading3"/>
      </w:pPr>
      <w:bookmarkStart w:id="34" w:name="_Toc77332163"/>
      <w:r>
        <w:t>Uncommenced provisions table</w:t>
      </w:r>
      <w:bookmarkEnd w:id="3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Swan Valley Planning Act 2020</w:t>
            </w:r>
            <w:r>
              <w:t xml:space="preserve"> Pt. 10 Div. 11</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r>
              <w:t>1 Aug 2021 (see s. 2(1)(e) and SL 2021/124 cl. 2)</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36" w:name="_Toc77247953"/>
      <w:bookmarkStart w:id="37" w:name="_Toc77248001"/>
      <w:bookmarkStart w:id="38" w:name="_Toc77332164"/>
      <w:r>
        <w:rPr>
          <w:sz w:val="28"/>
        </w:rPr>
        <w:lastRenderedPageBreak/>
        <w:t>Defined terms</w:t>
      </w:r>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Bush Forever area</w:t>
      </w:r>
      <w:r>
        <w:tab/>
        <w:t>5</w:t>
      </w:r>
    </w:p>
    <w:p>
      <w:pPr>
        <w:pStyle w:val="DefinedTerms"/>
      </w:pPr>
      <w:r>
        <w:t>METRONET railway</w:t>
      </w:r>
      <w:r>
        <w:tab/>
        <w:t>5</w:t>
      </w:r>
    </w:p>
    <w:p>
      <w:pPr>
        <w:pStyle w:val="DefinedTerms"/>
      </w:pPr>
      <w:r>
        <w:t>METRONET works</w:t>
      </w:r>
      <w:r>
        <w:tab/>
        <w:t>5</w:t>
      </w:r>
    </w:p>
    <w:p>
      <w:pPr>
        <w:pStyle w:val="DefinedTerms"/>
      </w:pPr>
      <w:r>
        <w:t>Metropolitan Region Scheme</w:t>
      </w:r>
      <w:r>
        <w:tab/>
        <w:t>5</w:t>
      </w:r>
    </w:p>
    <w:p>
      <w:pPr>
        <w:pStyle w:val="DefinedTerms"/>
      </w:pPr>
      <w:r>
        <w:t>non</w:t>
      </w:r>
      <w:r>
        <w:noBreakHyphen/>
        <w:t>railway land</w:t>
      </w:r>
      <w:r>
        <w:tab/>
        <w:t>5</w:t>
      </w:r>
    </w:p>
    <w:p>
      <w:pPr>
        <w:pStyle w:val="DefinedTerms"/>
      </w:pPr>
      <w:r>
        <w:t>Planning Commission</w:t>
      </w:r>
      <w:r>
        <w:tab/>
        <w:t>5</w:t>
      </w:r>
    </w:p>
    <w:p>
      <w:pPr>
        <w:pStyle w:val="DefinedTerms"/>
      </w:pPr>
      <w:r>
        <w:t>railway land</w:t>
      </w:r>
      <w:r>
        <w:tab/>
        <w:t>5</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(METRONET)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(METRONET)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(METRONET)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(METRONET) Act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29" w:name="Schedule"/>
    <w:bookmarkEnd w:id="2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(METRONET) Act 2018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(METRONET) Act 2018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(METRONET) Act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(METRONET) Act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 w:name="Coversheet"/>
    <w:bookmarkEnd w:id="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(METRONET)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(METRONET)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(METRONET)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(METRONET)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BE11237"/>
    <w:multiLevelType w:val="hybridMultilevel"/>
    <w:tmpl w:val="191C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4"/>
  </w:num>
  <w:num w:numId="5">
    <w:abstractNumId w:val="18"/>
  </w:num>
  <w:num w:numId="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71511543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213142945" w:val="RemoveTocBookmarks,RemoveUnusedBookmarks,RemoveLanguageTags,UsedStyles,ResetPageSize"/>
    <w:docVar w:name="WAFER_20180213142945_GUID" w:val="f715a6b0-62b9-4518-b20d-afb71d4f22c4"/>
    <w:docVar w:name="WAFER_20180213154130" w:val="RemoveTocBookmarks,RunningHeaders"/>
    <w:docVar w:name="WAFER_20180213154130_GUID" w:val="531ea6c5-46be-4e54-a917-da87088cfc9c"/>
    <w:docVar w:name="WAFER_20180501161016" w:val="RemoveTocBookmarks,RemoveUnusedBookmarks,RemoveLanguageTags,UsedStyles,ResetPageSize"/>
    <w:docVar w:name="WAFER_20180501161016_GUID" w:val="dc116c9e-852b-4ff9-94aa-52aac9cd67e3"/>
    <w:docVar w:name="WAFER_202003031306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30600_GUID" w:val="f7ed2b9b-693d-44b8-a701-94e246285e5d"/>
    <w:docVar w:name="WAFER_20201210085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85702_GUID" w:val="6359884c-c7a0-4efa-bf3b-61d3997bc2ab"/>
    <w:docVar w:name="WAFER_20210715115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439_GUID" w:val="b15a5744-db29-48ce-ac2c-708d1f509f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951EA9FC-66E8-4CBA-A89A-86918AC7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8EB5-A1D4-4DBA-ABB7-A9926DB9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1287</Words>
  <Characters>6527</Characters>
  <Application>Microsoft Office Word</Application>
  <DocSecurity>0</DocSecurity>
  <Lines>217</Lines>
  <Paragraphs>144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7670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(METRONET) Act 2018 - 00-c0-01</dc:title>
  <dc:subject/>
  <dc:creator/>
  <cp:keywords/>
  <dc:description/>
  <cp:lastModifiedBy>Master Repository Process</cp:lastModifiedBy>
  <cp:revision>4</cp:revision>
  <cp:lastPrinted>2018-11-20T01:32:00Z</cp:lastPrinted>
  <dcterms:created xsi:type="dcterms:W3CDTF">2021-07-16T06:36:00Z</dcterms:created>
  <dcterms:modified xsi:type="dcterms:W3CDTF">2021-07-16T06:36:00Z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70—1</vt:lpwstr>
  </property>
  <property fmtid="{D5CDD505-2E9C-101B-9397-08002B2CF9AE}" pid="3" name="BillID">
    <vt:lpwstr>2614</vt:lpwstr>
  </property>
  <property fmtid="{D5CDD505-2E9C-101B-9397-08002B2CF9AE}" pid="4" name="ShortTitle">
    <vt:lpwstr>Railway (METRONET) Act 2018</vt:lpwstr>
  </property>
  <property fmtid="{D5CDD505-2E9C-101B-9397-08002B2CF9AE}" pid="5" name="Citation">
    <vt:lpwstr>Railway (METRONET) Act 2018</vt:lpwstr>
  </property>
  <property fmtid="{D5CDD505-2E9C-101B-9397-08002B2CF9AE}" pid="6" name="PrincipalAct">
    <vt:lpwstr/>
  </property>
  <property fmtid="{D5CDD505-2E9C-101B-9397-08002B2CF9AE}" pid="7" name="ActNo">
    <vt:lpwstr>34 of 2018</vt:lpwstr>
  </property>
  <property fmtid="{D5CDD505-2E9C-101B-9397-08002B2CF9AE}" pid="8" name="Assent Date">
    <vt:lpwstr>19 November 2018</vt:lpwstr>
  </property>
  <property fmtid="{D5CDD505-2E9C-101B-9397-08002B2CF9AE}" pid="9" name="DocumentType">
    <vt:lpwstr>Act</vt:lpwstr>
  </property>
  <property fmtid="{D5CDD505-2E9C-101B-9397-08002B2CF9AE}" pid="10" name="AsAtDate">
    <vt:lpwstr>09 Dec 2020</vt:lpwstr>
  </property>
  <property fmtid="{D5CDD505-2E9C-101B-9397-08002B2CF9AE}" pid="11" name="Suffix">
    <vt:lpwstr>00-c0-01</vt:lpwstr>
  </property>
  <property fmtid="{D5CDD505-2E9C-101B-9397-08002B2CF9AE}" pid="12" name="CommencementDate">
    <vt:lpwstr>20201209</vt:lpwstr>
  </property>
</Properties>
</file>