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C" w:rsidRDefault="0014493E">
      <w:pPr>
        <w:pStyle w:val="WA"/>
      </w:pPr>
      <w:bookmarkStart w:id="0" w:name="_GoBack"/>
      <w:bookmarkEnd w:id="0"/>
      <w:r>
        <w:t>Western Australia</w:t>
      </w:r>
    </w:p>
    <w:p w:rsidR="00C9617C" w:rsidRDefault="0014493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4577B">
        <w:rPr>
          <w:noProof/>
        </w:rPr>
        <w:t>Sheep Lice Eradication Fund Regulations 1987</w:t>
      </w:r>
      <w:r>
        <w:fldChar w:fldCharType="end"/>
      </w:r>
    </w:p>
    <w:p w:rsidR="00C9617C" w:rsidRDefault="00C9617C">
      <w:pPr>
        <w:jc w:val="center"/>
        <w:rPr>
          <w:b/>
        </w:rPr>
        <w:sectPr w:rsidR="00C961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617C" w:rsidRDefault="0014493E">
      <w:pPr>
        <w:pStyle w:val="WA"/>
      </w:pPr>
      <w:r>
        <w:lastRenderedPageBreak/>
        <w:t>Western Australia</w:t>
      </w:r>
    </w:p>
    <w:p w:rsidR="00C9617C" w:rsidRDefault="0014493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4577B">
        <w:rPr>
          <w:noProof/>
        </w:rPr>
        <w:t>Sheep Lice Eradication Fund Regulations 1987</w:t>
      </w:r>
      <w:r>
        <w:fldChar w:fldCharType="end"/>
      </w:r>
    </w:p>
    <w:p w:rsidR="00C9617C" w:rsidRDefault="0014493E">
      <w:pPr>
        <w:pStyle w:val="Arrangement"/>
      </w:pPr>
      <w:r>
        <w:t>CONTENTS</w:t>
      </w:r>
    </w:p>
    <w:p w:rsidR="00C9617C" w:rsidRDefault="0014493E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_Toc440355700 \h </w:instrText>
      </w:r>
      <w:r>
        <w:rPr>
          <w:noProof/>
        </w:rPr>
      </w:r>
      <w:r>
        <w:rPr>
          <w:noProof/>
        </w:rPr>
        <w:fldChar w:fldCharType="separate"/>
      </w:r>
      <w:r w:rsidR="0074577B">
        <w:rPr>
          <w:noProof/>
        </w:rPr>
        <w:t>1</w:t>
      </w:r>
      <w:r>
        <w:rPr>
          <w:noProof/>
        </w:rPr>
        <w:fldChar w:fldCharType="end"/>
      </w:r>
    </w:p>
    <w:p w:rsidR="00C9617C" w:rsidRDefault="0014493E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Contribution by wool growers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_Toc440355701 \h </w:instrText>
      </w:r>
      <w:r>
        <w:rPr>
          <w:noProof/>
        </w:rPr>
      </w:r>
      <w:r>
        <w:rPr>
          <w:noProof/>
        </w:rPr>
        <w:fldChar w:fldCharType="separate"/>
      </w:r>
      <w:r w:rsidR="0074577B">
        <w:rPr>
          <w:noProof/>
        </w:rPr>
        <w:t>1</w:t>
      </w:r>
      <w:r>
        <w:rPr>
          <w:noProof/>
        </w:rPr>
        <w:fldChar w:fldCharType="end"/>
      </w:r>
    </w:p>
    <w:p w:rsidR="00C9617C" w:rsidRDefault="0014493E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C9617C" w:rsidRDefault="0014493E">
      <w:pPr>
        <w:pStyle w:val="TOC2"/>
      </w:pPr>
      <w:r>
        <w:fldChar w:fldCharType="end"/>
      </w:r>
    </w:p>
    <w:p w:rsidR="00C9617C" w:rsidRDefault="0014493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C9617C" w:rsidRDefault="00C9617C">
      <w:pPr>
        <w:pStyle w:val="NoteHeading"/>
        <w:sectPr w:rsidR="00C9617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617C" w:rsidRDefault="0014493E">
      <w:pPr>
        <w:pStyle w:val="WA"/>
      </w:pPr>
      <w:r>
        <w:lastRenderedPageBreak/>
        <w:t>Western Australia</w:t>
      </w:r>
    </w:p>
    <w:p w:rsidR="00C9617C" w:rsidRDefault="0014493E">
      <w:pPr>
        <w:pStyle w:val="PrincipalActReg"/>
        <w:rPr>
          <w:snapToGrid w:val="0"/>
        </w:rPr>
      </w:pPr>
      <w:r>
        <w:rPr>
          <w:snapToGrid w:val="0"/>
        </w:rPr>
        <w:t>Sheep Lice Eradication Fund Act 1987</w:t>
      </w:r>
    </w:p>
    <w:p w:rsidR="00C9617C" w:rsidRDefault="0014493E">
      <w:pPr>
        <w:pStyle w:val="NameofActReg"/>
      </w:pPr>
      <w:r>
        <w:t>Sheep Lice Eradication Fund Regulations 1987</w:t>
      </w:r>
    </w:p>
    <w:p w:rsidR="00C9617C" w:rsidRDefault="0014493E">
      <w:pPr>
        <w:pStyle w:val="Heading5"/>
        <w:rPr>
          <w:snapToGrid w:val="0"/>
        </w:rPr>
      </w:pPr>
      <w:bookmarkStart w:id="1" w:name="_Toc44035570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C9617C" w:rsidRDefault="0014493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Sheep Lice Eradication Fund Regulations 1987</w:t>
      </w:r>
      <w:r>
        <w:rPr>
          <w:snapToGrid w:val="0"/>
        </w:rPr>
        <w:t>.</w:t>
      </w:r>
    </w:p>
    <w:p w:rsidR="00C9617C" w:rsidRDefault="0014493E">
      <w:pPr>
        <w:pStyle w:val="Heading5"/>
        <w:rPr>
          <w:snapToGrid w:val="0"/>
        </w:rPr>
      </w:pPr>
      <w:bookmarkStart w:id="2" w:name="_Toc44035570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Contribution by wool growers</w:t>
      </w:r>
      <w:bookmarkEnd w:id="2"/>
      <w:r>
        <w:rPr>
          <w:snapToGrid w:val="0"/>
        </w:rPr>
        <w:t xml:space="preserve"> </w:t>
      </w:r>
    </w:p>
    <w:p w:rsidR="00C9617C" w:rsidRDefault="0014493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for the purposes of section 9 of the Act is $60 in relation to the financial year 1992</w:t>
      </w:r>
      <w:r>
        <w:rPr>
          <w:snapToGrid w:val="0"/>
        </w:rPr>
        <w:noBreakHyphen/>
        <w:t>1993.</w:t>
      </w:r>
    </w:p>
    <w:p w:rsidR="00C9617C" w:rsidRDefault="0014493E">
      <w:pPr>
        <w:pStyle w:val="Footnotesection"/>
      </w:pPr>
      <w:r>
        <w:tab/>
        <w:t xml:space="preserve">[Regulation 2 inserted by Gazette 1 December 1989 p.4439; amended by Gazette 14 December 1990 p.6128; 3 January 1992 p.5; 31 December 1992 p.6314.] </w:t>
      </w:r>
    </w:p>
    <w:p w:rsidR="00C9617C" w:rsidRDefault="00C9617C">
      <w:pPr>
        <w:rPr>
          <w:rStyle w:val="CharDivText"/>
        </w:rPr>
        <w:sectPr w:rsidR="00C9617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617C" w:rsidRDefault="0014493E">
      <w:pPr>
        <w:pStyle w:val="nHeading2"/>
      </w:pPr>
      <w:r>
        <w:lastRenderedPageBreak/>
        <w:t>Notes</w:t>
      </w:r>
    </w:p>
    <w:p w:rsidR="00C9617C" w:rsidRDefault="0014493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Sheep Lice Eradication Fund Regulations 1987</w:t>
      </w:r>
      <w:r>
        <w:rPr>
          <w:snapToGrid w:val="0"/>
        </w:rPr>
        <w:t xml:space="preserve"> and includes the amendments referred to in the following Table.</w:t>
      </w:r>
    </w:p>
    <w:p w:rsidR="00C9617C" w:rsidRDefault="0014493E">
      <w:pPr>
        <w:pStyle w:val="nHeading3"/>
        <w:rPr>
          <w:spacing w:val="-2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617C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9617C" w:rsidRDefault="0014493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9617C" w:rsidRDefault="0014493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9617C" w:rsidRDefault="0014493E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617C">
        <w:tc>
          <w:tcPr>
            <w:tcW w:w="3118" w:type="dxa"/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Sheep Lice Eradication Fund Regulations 1987</w:t>
            </w:r>
          </w:p>
        </w:tc>
        <w:tc>
          <w:tcPr>
            <w:tcW w:w="1276" w:type="dxa"/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7 Aug 1987 p.3126</w:t>
            </w:r>
          </w:p>
        </w:tc>
        <w:tc>
          <w:tcPr>
            <w:tcW w:w="2693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C9617C">
        <w:tc>
          <w:tcPr>
            <w:tcW w:w="3118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28 Oct 1988 p.4315</w:t>
            </w:r>
          </w:p>
        </w:tc>
        <w:tc>
          <w:tcPr>
            <w:tcW w:w="2693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C9617C">
        <w:tc>
          <w:tcPr>
            <w:tcW w:w="3118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 Dec 1989 p.4439</w:t>
            </w:r>
          </w:p>
        </w:tc>
        <w:tc>
          <w:tcPr>
            <w:tcW w:w="2693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C9617C">
        <w:tc>
          <w:tcPr>
            <w:tcW w:w="3118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14 Dec 1990 p.6128</w:t>
            </w:r>
          </w:p>
        </w:tc>
        <w:tc>
          <w:tcPr>
            <w:tcW w:w="2693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C9617C">
        <w:tc>
          <w:tcPr>
            <w:tcW w:w="3118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 Jan 1992 p.5</w:t>
            </w:r>
          </w:p>
        </w:tc>
        <w:tc>
          <w:tcPr>
            <w:tcW w:w="2693" w:type="dxa"/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C9617C">
        <w:tc>
          <w:tcPr>
            <w:tcW w:w="3118" w:type="dxa"/>
            <w:tcBorders>
              <w:bottom w:val="single" w:sz="8" w:space="0" w:color="auto"/>
            </w:tcBorders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9617C" w:rsidRDefault="0014493E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31 Dec 1992 p.6314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9617C" w:rsidRDefault="00C9617C">
            <w:pPr>
              <w:pStyle w:val="nTable"/>
              <w:spacing w:before="40" w:after="40"/>
              <w:rPr>
                <w:sz w:val="19"/>
              </w:rPr>
            </w:pPr>
          </w:p>
        </w:tc>
      </w:tr>
    </w:tbl>
    <w:p w:rsidR="00C9617C" w:rsidRDefault="00C9617C"/>
    <w:p w:rsidR="00C9617C" w:rsidRDefault="00C9617C">
      <w:pPr>
        <w:sectPr w:rsidR="00C9617C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617C" w:rsidRDefault="00C9617C"/>
    <w:sectPr w:rsidR="00C9617C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7C" w:rsidRDefault="0014493E">
      <w:r>
        <w:separator/>
      </w:r>
    </w:p>
  </w:endnote>
  <w:endnote w:type="continuationSeparator" w:id="0">
    <w:p w:rsidR="00C9617C" w:rsidRDefault="0014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4577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9617C" w:rsidRDefault="0014493E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4577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Footer"/>
      <w:tabs>
        <w:tab w:val="clear" w:pos="4153"/>
        <w:tab w:val="right" w:pos="7088"/>
      </w:tabs>
      <w:rPr>
        <w:rStyle w:val="PageNumber"/>
      </w:rPr>
    </w:pPr>
  </w:p>
  <w:p w:rsidR="00C9617C" w:rsidRDefault="001449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31 Dec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4577B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4577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9617C" w:rsidRDefault="001449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7C" w:rsidRDefault="0014493E">
      <w:r>
        <w:separator/>
      </w:r>
    </w:p>
  </w:footnote>
  <w:footnote w:type="continuationSeparator" w:id="0">
    <w:p w:rsidR="00C9617C" w:rsidRDefault="0014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14493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4577B">
      <w:rPr>
        <w:i/>
        <w:noProof/>
      </w:rPr>
      <w:t>Sheep Lice Eradication Fund Regulations 1987</w:t>
    </w:r>
    <w:r>
      <w:rPr>
        <w:i/>
      </w:rPr>
      <w:fldChar w:fldCharType="end"/>
    </w:r>
  </w:p>
  <w:p w:rsidR="00C9617C" w:rsidRDefault="0014493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9617C" w:rsidRDefault="0014493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9617C" w:rsidRDefault="00C9617C">
    <w:pPr>
      <w:pStyle w:val="headerpart"/>
    </w:pPr>
  </w:p>
  <w:p w:rsidR="00C9617C" w:rsidRDefault="00C9617C">
    <w:pPr>
      <w:pBdr>
        <w:bottom w:val="single" w:sz="6" w:space="1" w:color="auto"/>
      </w:pBdr>
      <w:rPr>
        <w:b/>
      </w:rPr>
    </w:pPr>
  </w:p>
  <w:p w:rsidR="00C9617C" w:rsidRDefault="00C9617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ActNameLeft"/>
          </w:pPr>
          <w:fldSimple w:instr=" Styleref &quot;Name of Act/Reg&quot; ">
            <w:r w:rsidR="0074577B">
              <w:rPr>
                <w:noProof/>
              </w:rPr>
              <w:t>Sheep Lice Eradication Fund Regulations 1987</w:t>
            </w:r>
          </w:fldSimple>
        </w:p>
      </w:tc>
    </w:tr>
    <w:tr w:rsidR="00C9617C">
      <w:tc>
        <w:tcPr>
          <w:tcW w:w="1548" w:type="dxa"/>
        </w:tcPr>
        <w:p w:rsidR="00C9617C" w:rsidRDefault="00C9617C">
          <w:pPr>
            <w:pStyle w:val="HeaderNumberLeft"/>
          </w:pPr>
        </w:p>
      </w:tc>
      <w:tc>
        <w:tcPr>
          <w:tcW w:w="5764" w:type="dxa"/>
        </w:tcPr>
        <w:p w:rsidR="00C9617C" w:rsidRDefault="00C9617C">
          <w:pPr>
            <w:pStyle w:val="HeaderTextLeft"/>
          </w:pPr>
        </w:p>
      </w:tc>
    </w:tr>
    <w:tr w:rsidR="00C9617C">
      <w:tc>
        <w:tcPr>
          <w:tcW w:w="1548" w:type="dxa"/>
        </w:tcPr>
        <w:p w:rsidR="00C9617C" w:rsidRDefault="00C9617C">
          <w:pPr>
            <w:pStyle w:val="HeaderNumberLeft"/>
          </w:pPr>
        </w:p>
      </w:tc>
      <w:tc>
        <w:tcPr>
          <w:tcW w:w="5764" w:type="dxa"/>
        </w:tcPr>
        <w:p w:rsidR="00C9617C" w:rsidRDefault="00C9617C">
          <w:pPr>
            <w:pStyle w:val="HeaderTextLeft"/>
          </w:pPr>
        </w:p>
      </w:tc>
    </w:tr>
    <w:tr w:rsidR="00C9617C">
      <w:trPr>
        <w:cantSplit/>
      </w:trPr>
      <w:tc>
        <w:tcPr>
          <w:tcW w:w="7312" w:type="dxa"/>
          <w:gridSpan w:val="2"/>
        </w:tcPr>
        <w:p w:rsidR="00C9617C" w:rsidRDefault="00C9617C">
          <w:pPr>
            <w:pStyle w:val="HeaderSectionLeft"/>
          </w:pPr>
        </w:p>
      </w:tc>
    </w:tr>
  </w:tbl>
  <w:p w:rsidR="00C9617C" w:rsidRDefault="00C9617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ActNameRight"/>
          </w:pPr>
          <w:fldSimple w:instr=" Styleref &quot;Name of Act/Reg&quot; ">
            <w:r w:rsidR="0074577B">
              <w:rPr>
                <w:noProof/>
              </w:rPr>
              <w:t>Sheep Lice Eradication Fund Regulations 1987</w:t>
            </w:r>
          </w:fldSimple>
        </w:p>
      </w:tc>
    </w:tr>
    <w:tr w:rsidR="00C9617C">
      <w:tc>
        <w:tcPr>
          <w:tcW w:w="5760" w:type="dxa"/>
        </w:tcPr>
        <w:p w:rsidR="00C9617C" w:rsidRDefault="00C9617C">
          <w:pPr>
            <w:pStyle w:val="HeaderTextRight"/>
          </w:pPr>
        </w:p>
      </w:tc>
      <w:tc>
        <w:tcPr>
          <w:tcW w:w="1552" w:type="dxa"/>
        </w:tcPr>
        <w:p w:rsidR="00C9617C" w:rsidRDefault="00C9617C">
          <w:pPr>
            <w:pStyle w:val="HeaderNumberRight"/>
          </w:pPr>
        </w:p>
      </w:tc>
    </w:tr>
    <w:tr w:rsidR="00C9617C">
      <w:tc>
        <w:tcPr>
          <w:tcW w:w="5760" w:type="dxa"/>
        </w:tcPr>
        <w:p w:rsidR="00C9617C" w:rsidRDefault="00C9617C">
          <w:pPr>
            <w:pStyle w:val="HeaderTextRight"/>
          </w:pPr>
        </w:p>
      </w:tc>
      <w:tc>
        <w:tcPr>
          <w:tcW w:w="1552" w:type="dxa"/>
        </w:tcPr>
        <w:p w:rsidR="00C9617C" w:rsidRDefault="00C9617C">
          <w:pPr>
            <w:pStyle w:val="HeaderNumberRight"/>
          </w:pPr>
        </w:p>
      </w:tc>
    </w:tr>
    <w:tr w:rsidR="00C9617C">
      <w:trPr>
        <w:cantSplit/>
      </w:trPr>
      <w:tc>
        <w:tcPr>
          <w:tcW w:w="7312" w:type="dxa"/>
          <w:gridSpan w:val="2"/>
        </w:tcPr>
        <w:p w:rsidR="00C9617C" w:rsidRDefault="00C9617C">
          <w:pPr>
            <w:pStyle w:val="HeaderSectionRight"/>
          </w:pPr>
        </w:p>
      </w:tc>
    </w:tr>
  </w:tbl>
  <w:p w:rsidR="00C9617C" w:rsidRDefault="00C9617C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14493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4577B">
      <w:rPr>
        <w:i/>
        <w:noProof/>
      </w:rPr>
      <w:t>Sheep Lice Eradication Fund Regulations 1987</w:t>
    </w:r>
    <w:r>
      <w:rPr>
        <w:i/>
      </w:rPr>
      <w:fldChar w:fldCharType="end"/>
    </w:r>
  </w:p>
  <w:p w:rsidR="00C9617C" w:rsidRDefault="00C9617C">
    <w:pPr>
      <w:pStyle w:val="headerpartodd"/>
      <w:ind w:left="0" w:firstLine="0"/>
      <w:rPr>
        <w:b w:val="0"/>
        <w:i/>
      </w:rPr>
    </w:pPr>
  </w:p>
  <w:p w:rsidR="00C9617C" w:rsidRDefault="00C9617C">
    <w:pPr>
      <w:pStyle w:val="headerpart"/>
    </w:pPr>
  </w:p>
  <w:p w:rsidR="00C9617C" w:rsidRDefault="00C9617C">
    <w:pPr>
      <w:pStyle w:val="headerpart"/>
    </w:pPr>
  </w:p>
  <w:p w:rsidR="00C9617C" w:rsidRDefault="00C9617C">
    <w:pPr>
      <w:pBdr>
        <w:bottom w:val="single" w:sz="6" w:space="1" w:color="auto"/>
      </w:pBdr>
      <w:rPr>
        <w:b/>
      </w:rPr>
    </w:pPr>
  </w:p>
  <w:p w:rsidR="00C9617C" w:rsidRDefault="00C9617C"/>
  <w:p w:rsidR="00C9617C" w:rsidRDefault="00C9617C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14493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4577B">
      <w:rPr>
        <w:i/>
        <w:noProof/>
      </w:rPr>
      <w:t>Sheep Lice Eradication Fund Regulations 1987</w:t>
    </w:r>
    <w:r>
      <w:rPr>
        <w:i/>
      </w:rPr>
      <w:fldChar w:fldCharType="end"/>
    </w:r>
  </w:p>
  <w:p w:rsidR="00C9617C" w:rsidRDefault="00C9617C">
    <w:pPr>
      <w:pStyle w:val="headerpartodd"/>
      <w:ind w:left="0" w:firstLine="0"/>
      <w:jc w:val="right"/>
      <w:rPr>
        <w:b w:val="0"/>
        <w:i/>
      </w:rPr>
    </w:pPr>
  </w:p>
  <w:p w:rsidR="00C9617C" w:rsidRDefault="00C9617C">
    <w:pPr>
      <w:pStyle w:val="headerpart"/>
      <w:jc w:val="right"/>
    </w:pPr>
  </w:p>
  <w:p w:rsidR="00C9617C" w:rsidRDefault="00C9617C">
    <w:pPr>
      <w:pStyle w:val="headerpart"/>
      <w:jc w:val="right"/>
    </w:pPr>
  </w:p>
  <w:p w:rsidR="00C9617C" w:rsidRDefault="00C9617C">
    <w:pPr>
      <w:pBdr>
        <w:bottom w:val="single" w:sz="6" w:space="1" w:color="auto"/>
      </w:pBdr>
      <w:jc w:val="right"/>
      <w:rPr>
        <w:b/>
      </w:rPr>
    </w:pPr>
  </w:p>
  <w:p w:rsidR="00C9617C" w:rsidRDefault="00C9617C"/>
  <w:p w:rsidR="00C9617C" w:rsidRDefault="00C961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7B" w:rsidRDefault="00745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7B" w:rsidRDefault="007457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74577B">
            <w:rPr>
              <w:i w:val="0"/>
              <w:noProof/>
            </w:rPr>
            <w:t>Sheep Lice Eradication Fund Regulations 1987</w:t>
          </w:r>
          <w:r>
            <w:rPr>
              <w:i w:val="0"/>
            </w:rPr>
            <w:fldChar w:fldCharType="end"/>
          </w:r>
        </w:p>
      </w:tc>
    </w:tr>
    <w:tr w:rsidR="00C9617C">
      <w:tc>
        <w:tcPr>
          <w:tcW w:w="1548" w:type="dxa"/>
        </w:tcPr>
        <w:p w:rsidR="00C9617C" w:rsidRDefault="00C9617C">
          <w:pPr>
            <w:pStyle w:val="HeaderNumberLeft"/>
          </w:pPr>
        </w:p>
      </w:tc>
      <w:tc>
        <w:tcPr>
          <w:tcW w:w="5764" w:type="dxa"/>
        </w:tcPr>
        <w:p w:rsidR="00C9617C" w:rsidRDefault="00C9617C">
          <w:pPr>
            <w:pStyle w:val="HeaderTextLeft"/>
          </w:pPr>
        </w:p>
      </w:tc>
    </w:tr>
    <w:tr w:rsidR="00C9617C">
      <w:tc>
        <w:tcPr>
          <w:tcW w:w="1548" w:type="dxa"/>
        </w:tcPr>
        <w:p w:rsidR="00C9617C" w:rsidRDefault="00C9617C">
          <w:pPr>
            <w:pStyle w:val="HeaderNumberLeft"/>
          </w:pPr>
        </w:p>
      </w:tc>
      <w:tc>
        <w:tcPr>
          <w:tcW w:w="5764" w:type="dxa"/>
        </w:tcPr>
        <w:p w:rsidR="00C9617C" w:rsidRDefault="00C9617C">
          <w:pPr>
            <w:pStyle w:val="HeaderTextLeft"/>
          </w:pPr>
        </w:p>
      </w:tc>
    </w:tr>
    <w:tr w:rsidR="00C9617C">
      <w:trPr>
        <w:cantSplit/>
      </w:trPr>
      <w:tc>
        <w:tcPr>
          <w:tcW w:w="7312" w:type="dxa"/>
          <w:gridSpan w:val="2"/>
        </w:tcPr>
        <w:p w:rsidR="00C9617C" w:rsidRDefault="00C9617C">
          <w:pPr>
            <w:pStyle w:val="HeaderSectionLeft"/>
          </w:pPr>
        </w:p>
      </w:tc>
    </w:tr>
  </w:tbl>
  <w:p w:rsidR="00C9617C" w:rsidRDefault="00C9617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ActNameRight"/>
          </w:pPr>
          <w:fldSimple w:instr=" Styleref &quot;Name of Act/Reg&quot; ">
            <w:r w:rsidR="0074577B">
              <w:rPr>
                <w:noProof/>
              </w:rPr>
              <w:t>Sheep Lice Eradication Fund Regulations 1987</w:t>
            </w:r>
          </w:fldSimple>
        </w:p>
      </w:tc>
    </w:tr>
    <w:tr w:rsidR="00C9617C">
      <w:tc>
        <w:tcPr>
          <w:tcW w:w="5760" w:type="dxa"/>
        </w:tcPr>
        <w:p w:rsidR="00C9617C" w:rsidRDefault="00C9617C">
          <w:pPr>
            <w:pStyle w:val="HeaderTextRight"/>
          </w:pPr>
        </w:p>
      </w:tc>
      <w:tc>
        <w:tcPr>
          <w:tcW w:w="1552" w:type="dxa"/>
        </w:tcPr>
        <w:p w:rsidR="00C9617C" w:rsidRDefault="00C9617C">
          <w:pPr>
            <w:pStyle w:val="HeaderNumberRight"/>
          </w:pPr>
        </w:p>
      </w:tc>
    </w:tr>
    <w:tr w:rsidR="00C9617C">
      <w:tc>
        <w:tcPr>
          <w:tcW w:w="5760" w:type="dxa"/>
        </w:tcPr>
        <w:p w:rsidR="00C9617C" w:rsidRDefault="00C9617C">
          <w:pPr>
            <w:pStyle w:val="HeaderTextRight"/>
          </w:pPr>
        </w:p>
      </w:tc>
      <w:tc>
        <w:tcPr>
          <w:tcW w:w="1552" w:type="dxa"/>
        </w:tcPr>
        <w:p w:rsidR="00C9617C" w:rsidRDefault="00C9617C">
          <w:pPr>
            <w:pStyle w:val="HeaderNumberRight"/>
          </w:pPr>
        </w:p>
      </w:tc>
    </w:tr>
    <w:tr w:rsidR="00C9617C">
      <w:trPr>
        <w:cantSplit/>
      </w:trPr>
      <w:tc>
        <w:tcPr>
          <w:tcW w:w="7312" w:type="dxa"/>
          <w:gridSpan w:val="2"/>
        </w:tcPr>
        <w:p w:rsidR="00C9617C" w:rsidRDefault="00C9617C">
          <w:pPr>
            <w:pStyle w:val="HeaderSectionRight"/>
          </w:pPr>
        </w:p>
      </w:tc>
    </w:tr>
  </w:tbl>
  <w:p w:rsidR="00C9617C" w:rsidRDefault="00C9617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ActNameLeft"/>
          </w:pPr>
          <w:fldSimple w:instr=" Styleref &quot;Name of Act/Reg&quot; ">
            <w:r w:rsidR="0074577B">
              <w:rPr>
                <w:noProof/>
              </w:rPr>
              <w:t>Sheep Lice Eradication Fund Regulations 1987</w:t>
            </w:r>
          </w:fldSimple>
        </w:p>
      </w:tc>
    </w:tr>
    <w:tr w:rsidR="00C9617C">
      <w:tc>
        <w:tcPr>
          <w:tcW w:w="1305" w:type="dxa"/>
        </w:tcPr>
        <w:p w:rsidR="00C9617C" w:rsidRDefault="0014493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9617C" w:rsidRDefault="0014493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9617C">
      <w:tc>
        <w:tcPr>
          <w:tcW w:w="1305" w:type="dxa"/>
        </w:tcPr>
        <w:p w:rsidR="00C9617C" w:rsidRDefault="0014493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9617C" w:rsidRDefault="0014493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SectionLeft"/>
          </w:pPr>
          <w:r>
            <w:t xml:space="preserve">s. </w:t>
          </w:r>
          <w:fldSimple w:instr=" styleref CharSectno ">
            <w:r w:rsidR="0074577B">
              <w:rPr>
                <w:noProof/>
              </w:rPr>
              <w:t>1</w:t>
            </w:r>
          </w:fldSimple>
        </w:p>
      </w:tc>
    </w:tr>
  </w:tbl>
  <w:p w:rsidR="00C9617C" w:rsidRDefault="00C9617C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ActNameRight"/>
          </w:pPr>
          <w:fldSimple w:instr=" Styleref &quot;Name of Act/Reg&quot; ">
            <w:r w:rsidR="0074577B">
              <w:rPr>
                <w:noProof/>
              </w:rPr>
              <w:t>Sheep Lice Eradication Fund Regulations 1987</w:t>
            </w:r>
          </w:fldSimple>
        </w:p>
      </w:tc>
    </w:tr>
    <w:tr w:rsidR="00C9617C">
      <w:tc>
        <w:tcPr>
          <w:tcW w:w="5985" w:type="dxa"/>
        </w:tcPr>
        <w:p w:rsidR="00C9617C" w:rsidRDefault="0014493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9617C" w:rsidRDefault="0014493E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9617C">
      <w:tc>
        <w:tcPr>
          <w:tcW w:w="5985" w:type="dxa"/>
        </w:tcPr>
        <w:p w:rsidR="00C9617C" w:rsidRDefault="0014493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9617C" w:rsidRDefault="0014493E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9617C">
      <w:trPr>
        <w:cantSplit/>
      </w:trPr>
      <w:tc>
        <w:tcPr>
          <w:tcW w:w="7312" w:type="dxa"/>
          <w:gridSpan w:val="2"/>
        </w:tcPr>
        <w:p w:rsidR="00C9617C" w:rsidRDefault="0014493E">
          <w:pPr>
            <w:pStyle w:val="HeaderSectionRight"/>
          </w:pPr>
          <w:r>
            <w:t xml:space="preserve">s. </w:t>
          </w:r>
          <w:fldSimple w:instr=" styleref CharSectno ">
            <w:r w:rsidR="0074577B">
              <w:rPr>
                <w:noProof/>
              </w:rPr>
              <w:t>1</w:t>
            </w:r>
          </w:fldSimple>
        </w:p>
      </w:tc>
    </w:tr>
  </w:tbl>
  <w:p w:rsidR="00C9617C" w:rsidRDefault="00C9617C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7C" w:rsidRDefault="00C96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3E"/>
    <w:rsid w:val="000A3318"/>
    <w:rsid w:val="0014493E"/>
    <w:rsid w:val="0074577B"/>
    <w:rsid w:val="00C45E54"/>
    <w:rsid w:val="00C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</Words>
  <Characters>1032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Lice Eradication Fund Regulations 1987 - 00-f0-02</dc:title>
  <dc:subject/>
  <dc:creator>David Harrold</dc:creator>
  <cp:keywords/>
  <cp:lastModifiedBy>svcMRProcess</cp:lastModifiedBy>
  <cp:revision>4</cp:revision>
  <cp:lastPrinted>2006-04-20T03:25:00Z</cp:lastPrinted>
  <dcterms:created xsi:type="dcterms:W3CDTF">2013-02-18T12:11:00Z</dcterms:created>
  <dcterms:modified xsi:type="dcterms:W3CDTF">2013-02-18T12:11:00Z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August 1987 p.3126</vt:lpwstr>
  </property>
  <property fmtid="{D5CDD505-2E9C-101B-9397-08002B2CF9AE}" pid="3" name="CommencementDate">
    <vt:lpwstr>19921231</vt:lpwstr>
  </property>
  <property fmtid="{D5CDD505-2E9C-101B-9397-08002B2CF9AE}" pid="4" name="DocumentType">
    <vt:lpwstr>Reg</vt:lpwstr>
  </property>
  <property fmtid="{D5CDD505-2E9C-101B-9397-08002B2CF9AE}" pid="5" name="AsAtDate">
    <vt:lpwstr>31 Dec 1992</vt:lpwstr>
  </property>
  <property fmtid="{D5CDD505-2E9C-101B-9397-08002B2CF9AE}" pid="6" name="Suffix">
    <vt:lpwstr>00-f0-02</vt:lpwstr>
  </property>
</Properties>
</file>