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67DA" w:rsidRDefault="00645504">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1911350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3E67DA" w:rsidRDefault="00645504">
      <w:pPr>
        <w:pStyle w:val="PrincipalActRegPage1"/>
      </w:pPr>
      <w:r>
        <w:fldChar w:fldCharType="begin"/>
      </w:r>
      <w:r>
        <w:instrText xml:space="preserve"> STYLEREF "PrincipalAct_Reg"</w:instrText>
      </w:r>
      <w:r>
        <w:fldChar w:fldCharType="separate"/>
      </w:r>
      <w:r>
        <w:rPr>
          <w:noProof/>
        </w:rPr>
        <w:t>Food Act 2008</w:t>
      </w:r>
      <w:r>
        <w:fldChar w:fldCharType="end"/>
      </w:r>
    </w:p>
    <w:p w:rsidR="003E67DA" w:rsidRDefault="00645504">
      <w:pPr>
        <w:pStyle w:val="NameofActRegPage1"/>
        <w:spacing w:before="1800" w:after="4200"/>
        <w:outlineLvl w:val="0"/>
      </w:pPr>
      <w:r>
        <w:fldChar w:fldCharType="begin"/>
      </w:r>
      <w:r>
        <w:instrText xml:space="preserve"> STYLEREF "Name Of Act/Reg"</w:instrText>
      </w:r>
      <w:r>
        <w:fldChar w:fldCharType="separate"/>
      </w:r>
      <w:r>
        <w:rPr>
          <w:noProof/>
        </w:rPr>
        <w:t>Food Regulations 2009</w:t>
      </w:r>
      <w:r>
        <w:fldChar w:fldCharType="end"/>
      </w:r>
    </w:p>
    <w:p w:rsidR="003E67DA" w:rsidRDefault="003E67DA">
      <w:pPr>
        <w:jc w:val="center"/>
        <w:sectPr w:rsidR="003E67DA">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E67DA" w:rsidRDefault="00645504">
      <w:pPr>
        <w:pStyle w:val="WA"/>
      </w:pPr>
      <w:r>
        <w:lastRenderedPageBreak/>
        <w:t>Western Australia</w:t>
      </w:r>
    </w:p>
    <w:p w:rsidR="003E67DA" w:rsidRDefault="00645504">
      <w:pPr>
        <w:pStyle w:val="NameofActRegPage1"/>
      </w:pPr>
      <w:r>
        <w:fldChar w:fldCharType="begin"/>
      </w:r>
      <w:r>
        <w:instrText xml:space="preserve"> STYLEREF "Name Of Act/Reg"</w:instrText>
      </w:r>
      <w:r>
        <w:fldChar w:fldCharType="separate"/>
      </w:r>
      <w:r>
        <w:rPr>
          <w:noProof/>
        </w:rPr>
        <w:t>Food Regulations 2009</w:t>
      </w:r>
      <w:r>
        <w:fldChar w:fldCharType="end"/>
      </w:r>
    </w:p>
    <w:p w:rsidR="003E67DA" w:rsidRDefault="00645504">
      <w:pPr>
        <w:pStyle w:val="Arrangement"/>
      </w:pPr>
      <w:r>
        <w:t>Contents</w:t>
      </w:r>
    </w:p>
    <w:p w:rsidR="003E67DA" w:rsidRDefault="00645504">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w:instrText>
      </w:r>
      <w:r>
        <w:instrText xml:space="preserve"> \t "nHeading 2,2,nHeading 3,8" \n "2-7" \w \* MERGEFORMAT </w:instrText>
      </w:r>
      <w:r>
        <w:fldChar w:fldCharType="separate"/>
      </w:r>
      <w:r>
        <w:t>Part 1 — Preliminary</w:t>
      </w:r>
    </w:p>
    <w:p w:rsidR="003E67DA" w:rsidRDefault="00645504">
      <w:pPr>
        <w:pStyle w:val="TOC8"/>
        <w:rPr>
          <w:rFonts w:asciiTheme="minorHAnsi" w:eastAsiaTheme="minorEastAsia" w:hAnsiTheme="minorHAnsi" w:cstheme="minorBidi"/>
          <w:szCs w:val="22"/>
        </w:rPr>
      </w:pPr>
      <w:r>
        <w:t>1.</w:t>
      </w:r>
      <w:r>
        <w:tab/>
        <w:t>Citation</w:t>
      </w:r>
      <w:r>
        <w:tab/>
      </w:r>
      <w:r>
        <w:fldChar w:fldCharType="begin"/>
      </w:r>
      <w:r>
        <w:instrText xml:space="preserve"> PAGEREF _Toc68767451 \h </w:instrText>
      </w:r>
      <w:r>
        <w:fldChar w:fldCharType="separate"/>
      </w:r>
      <w:r>
        <w:t>1</w:t>
      </w:r>
      <w:r>
        <w:fldChar w:fldCharType="end"/>
      </w:r>
    </w:p>
    <w:p w:rsidR="003E67DA" w:rsidRDefault="00645504">
      <w:pPr>
        <w:pStyle w:val="TOC8"/>
        <w:rPr>
          <w:rFonts w:asciiTheme="minorHAnsi" w:eastAsiaTheme="minorEastAsia" w:hAnsiTheme="minorHAnsi" w:cstheme="minorBidi"/>
          <w:szCs w:val="22"/>
        </w:rPr>
      </w:pPr>
      <w:r>
        <w:t>2.</w:t>
      </w:r>
      <w:r>
        <w:tab/>
        <w:t>Commencement</w:t>
      </w:r>
      <w:r>
        <w:tab/>
      </w:r>
      <w:r>
        <w:fldChar w:fldCharType="begin"/>
      </w:r>
      <w:r>
        <w:instrText xml:space="preserve"> PAGEREF _Toc68767452 \h </w:instrText>
      </w:r>
      <w:r>
        <w:fldChar w:fldCharType="separate"/>
      </w:r>
      <w:r>
        <w:t>1</w:t>
      </w:r>
      <w:r>
        <w:fldChar w:fldCharType="end"/>
      </w:r>
    </w:p>
    <w:p w:rsidR="003E67DA" w:rsidRDefault="00645504">
      <w:pPr>
        <w:pStyle w:val="TOC8"/>
        <w:rPr>
          <w:rFonts w:asciiTheme="minorHAnsi" w:eastAsiaTheme="minorEastAsia" w:hAnsiTheme="minorHAnsi" w:cstheme="minorBidi"/>
          <w:szCs w:val="22"/>
        </w:rPr>
      </w:pPr>
      <w:r>
        <w:t>3.</w:t>
      </w:r>
      <w:r>
        <w:tab/>
        <w:t>Terms used</w:t>
      </w:r>
      <w:r>
        <w:tab/>
      </w:r>
      <w:r>
        <w:fldChar w:fldCharType="begin"/>
      </w:r>
      <w:r>
        <w:instrText xml:space="preserve"> PAGEREF _Toc68767453 \h </w:instrText>
      </w:r>
      <w:r>
        <w:fldChar w:fldCharType="separate"/>
      </w:r>
      <w:r>
        <w:t>1</w:t>
      </w:r>
      <w:r>
        <w:fldChar w:fldCharType="end"/>
      </w:r>
    </w:p>
    <w:p w:rsidR="003E67DA" w:rsidRDefault="00645504">
      <w:pPr>
        <w:pStyle w:val="TOC8"/>
        <w:rPr>
          <w:rFonts w:asciiTheme="minorHAnsi" w:eastAsiaTheme="minorEastAsia" w:hAnsiTheme="minorHAnsi" w:cstheme="minorBidi"/>
          <w:szCs w:val="22"/>
        </w:rPr>
      </w:pPr>
      <w:r>
        <w:t>4.</w:t>
      </w:r>
      <w:r>
        <w:tab/>
        <w:t>Appropriate enforcement agency: CEO (s. 8)</w:t>
      </w:r>
      <w:r>
        <w:tab/>
      </w:r>
      <w:r>
        <w:fldChar w:fldCharType="begin"/>
      </w:r>
      <w:r>
        <w:instrText xml:space="preserve"> PAGEREF _Toc68767454 \h </w:instrText>
      </w:r>
      <w:r>
        <w:fldChar w:fldCharType="separate"/>
      </w:r>
      <w:r>
        <w:t>2</w:t>
      </w:r>
      <w:r>
        <w:fldChar w:fldCharType="end"/>
      </w:r>
    </w:p>
    <w:p w:rsidR="003E67DA" w:rsidRDefault="00645504">
      <w:pPr>
        <w:pStyle w:val="TOC8"/>
        <w:rPr>
          <w:rFonts w:asciiTheme="minorHAnsi" w:eastAsiaTheme="minorEastAsia" w:hAnsiTheme="minorHAnsi" w:cstheme="minorBidi"/>
          <w:szCs w:val="22"/>
        </w:rPr>
      </w:pPr>
      <w:r>
        <w:t>5.</w:t>
      </w:r>
      <w:r>
        <w:tab/>
        <w:t>Appropriate enforcement agency: local government (s. 8)</w:t>
      </w:r>
      <w:r>
        <w:tab/>
      </w:r>
      <w:r>
        <w:fldChar w:fldCharType="begin"/>
      </w:r>
      <w:r>
        <w:instrText xml:space="preserve"> PAGEREF _Toc68767455 \h </w:instrText>
      </w:r>
      <w:r>
        <w:fldChar w:fldCharType="separate"/>
      </w:r>
      <w:r>
        <w:t>3</w:t>
      </w:r>
      <w:r>
        <w:fldChar w:fldCharType="end"/>
      </w:r>
    </w:p>
    <w:p w:rsidR="003E67DA" w:rsidRDefault="00645504">
      <w:pPr>
        <w:pStyle w:val="TOC8"/>
        <w:rPr>
          <w:rFonts w:asciiTheme="minorHAnsi" w:eastAsiaTheme="minorEastAsia" w:hAnsiTheme="minorHAnsi" w:cstheme="minorBidi"/>
          <w:szCs w:val="22"/>
        </w:rPr>
      </w:pPr>
      <w:r>
        <w:t>6.</w:t>
      </w:r>
      <w:r>
        <w:tab/>
        <w:t>Food production activities that are n</w:t>
      </w:r>
      <w:r>
        <w:t>ot primary food production (s. 11(2))</w:t>
      </w:r>
      <w:r>
        <w:tab/>
      </w:r>
      <w:r>
        <w:fldChar w:fldCharType="begin"/>
      </w:r>
      <w:r>
        <w:instrText xml:space="preserve"> PAGEREF _Toc68767456 \h </w:instrText>
      </w:r>
      <w:r>
        <w:fldChar w:fldCharType="separate"/>
      </w:r>
      <w:r>
        <w:t>3</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t>Part 2 — Adoption of Food Standards Code</w:t>
      </w:r>
    </w:p>
    <w:p w:rsidR="003E67DA" w:rsidRDefault="00645504">
      <w:pPr>
        <w:pStyle w:val="TOC8"/>
        <w:rPr>
          <w:rFonts w:asciiTheme="minorHAnsi" w:eastAsiaTheme="minorEastAsia" w:hAnsiTheme="minorHAnsi" w:cstheme="minorBidi"/>
          <w:szCs w:val="22"/>
        </w:rPr>
      </w:pPr>
      <w:r>
        <w:t>7.</w:t>
      </w:r>
      <w:r>
        <w:tab/>
        <w:t>Adoption of Food Standards Code (s. 144(7))</w:t>
      </w:r>
      <w:r>
        <w:tab/>
      </w:r>
      <w:r>
        <w:fldChar w:fldCharType="begin"/>
      </w:r>
      <w:r>
        <w:instrText xml:space="preserve"> PAGEREF _Toc68767458 \h </w:instrText>
      </w:r>
      <w:r>
        <w:fldChar w:fldCharType="separate"/>
      </w:r>
      <w:r>
        <w:t>4</w:t>
      </w:r>
      <w:r>
        <w:fldChar w:fldCharType="end"/>
      </w:r>
    </w:p>
    <w:p w:rsidR="003E67DA" w:rsidRDefault="00645504">
      <w:pPr>
        <w:pStyle w:val="TOC8"/>
        <w:rPr>
          <w:rFonts w:asciiTheme="minorHAnsi" w:eastAsiaTheme="minorEastAsia" w:hAnsiTheme="minorHAnsi" w:cstheme="minorBidi"/>
          <w:szCs w:val="22"/>
        </w:rPr>
      </w:pPr>
      <w:r>
        <w:t>8.</w:t>
      </w:r>
      <w:r>
        <w:tab/>
        <w:t>FSC standard 4.2.4 clause 15: express provision for goat’s milk</w:t>
      </w:r>
      <w:r>
        <w:tab/>
      </w:r>
      <w:r>
        <w:fldChar w:fldCharType="begin"/>
      </w:r>
      <w:r>
        <w:instrText xml:space="preserve"> PAGEREF _Toc68767459 \h </w:instrText>
      </w:r>
      <w:r>
        <w:fldChar w:fldCharType="separate"/>
      </w:r>
      <w:r>
        <w:t>4</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t>Part 3 — Exempted food businesses</w:t>
      </w:r>
    </w:p>
    <w:p w:rsidR="003E67DA" w:rsidRDefault="00645504">
      <w:pPr>
        <w:pStyle w:val="TOC8"/>
        <w:rPr>
          <w:rFonts w:asciiTheme="minorHAnsi" w:eastAsiaTheme="minorEastAsia" w:hAnsiTheme="minorHAnsi" w:cstheme="minorBidi"/>
          <w:szCs w:val="22"/>
        </w:rPr>
      </w:pPr>
      <w:r>
        <w:t>9.</w:t>
      </w:r>
      <w:r>
        <w:tab/>
        <w:t>T</w:t>
      </w:r>
      <w:r>
        <w:t>erm used: potentially hazardous food</w:t>
      </w:r>
      <w:r>
        <w:tab/>
      </w:r>
      <w:r>
        <w:fldChar w:fldCharType="begin"/>
      </w:r>
      <w:r>
        <w:instrText xml:space="preserve"> PAGEREF _Toc68767461 \h </w:instrText>
      </w:r>
      <w:r>
        <w:fldChar w:fldCharType="separate"/>
      </w:r>
      <w:r>
        <w:t>5</w:t>
      </w:r>
      <w:r>
        <w:fldChar w:fldCharType="end"/>
      </w:r>
    </w:p>
    <w:p w:rsidR="003E67DA" w:rsidRDefault="00645504">
      <w:pPr>
        <w:pStyle w:val="TOC8"/>
        <w:rPr>
          <w:rFonts w:asciiTheme="minorHAnsi" w:eastAsiaTheme="minorEastAsia" w:hAnsiTheme="minorHAnsi" w:cstheme="minorBidi"/>
          <w:szCs w:val="22"/>
        </w:rPr>
      </w:pPr>
      <w:r>
        <w:t>10.</w:t>
      </w:r>
      <w:r>
        <w:tab/>
        <w:t>Food businesses conducted as fundraising events (s. 109)</w:t>
      </w:r>
      <w:r>
        <w:tab/>
      </w:r>
      <w:r>
        <w:fldChar w:fldCharType="begin"/>
      </w:r>
      <w:r>
        <w:instrText xml:space="preserve"> PAGEREF _Toc68767462 \h </w:instrText>
      </w:r>
      <w:r>
        <w:fldChar w:fldCharType="separate"/>
      </w:r>
      <w:r>
        <w:t>5</w:t>
      </w:r>
      <w:r>
        <w:fldChar w:fldCharType="end"/>
      </w:r>
    </w:p>
    <w:p w:rsidR="003E67DA" w:rsidRDefault="00645504">
      <w:pPr>
        <w:pStyle w:val="TOC8"/>
        <w:rPr>
          <w:rFonts w:asciiTheme="minorHAnsi" w:eastAsiaTheme="minorEastAsia" w:hAnsiTheme="minorHAnsi" w:cstheme="minorBidi"/>
          <w:szCs w:val="22"/>
        </w:rPr>
      </w:pPr>
      <w:r>
        <w:t>11.</w:t>
      </w:r>
      <w:r>
        <w:tab/>
        <w:t>Food businesses that sell certain packaged food (s. 109)</w:t>
      </w:r>
      <w:r>
        <w:tab/>
      </w:r>
      <w:r>
        <w:fldChar w:fldCharType="begin"/>
      </w:r>
      <w:r>
        <w:instrText xml:space="preserve"> PAGEREF _Toc68767463 \h </w:instrText>
      </w:r>
      <w:r>
        <w:fldChar w:fldCharType="separate"/>
      </w:r>
      <w:r>
        <w:t>5</w:t>
      </w:r>
      <w:r>
        <w:fldChar w:fldCharType="end"/>
      </w:r>
    </w:p>
    <w:p w:rsidR="003E67DA" w:rsidRDefault="00645504">
      <w:pPr>
        <w:pStyle w:val="TOC8"/>
        <w:rPr>
          <w:rFonts w:asciiTheme="minorHAnsi" w:eastAsiaTheme="minorEastAsia" w:hAnsiTheme="minorHAnsi" w:cstheme="minorBidi"/>
          <w:szCs w:val="22"/>
        </w:rPr>
      </w:pPr>
      <w:r>
        <w:t>12.</w:t>
      </w:r>
      <w:r>
        <w:tab/>
        <w:t xml:space="preserve">Food businesses that provide complimentary drinks in conjunction with </w:t>
      </w:r>
      <w:r>
        <w:t>another kind of business (s. 109)</w:t>
      </w:r>
      <w:r>
        <w:tab/>
      </w:r>
      <w:r>
        <w:fldChar w:fldCharType="begin"/>
      </w:r>
      <w:r>
        <w:instrText xml:space="preserve"> PAGEREF _Toc68767464 \h </w:instrText>
      </w:r>
      <w:r>
        <w:fldChar w:fldCharType="separate"/>
      </w:r>
      <w:r>
        <w:t>6</w:t>
      </w:r>
      <w:r>
        <w:fldChar w:fldCharType="end"/>
      </w:r>
    </w:p>
    <w:p w:rsidR="003E67DA" w:rsidRDefault="00645504">
      <w:pPr>
        <w:pStyle w:val="TOC8"/>
        <w:rPr>
          <w:rFonts w:asciiTheme="minorHAnsi" w:eastAsiaTheme="minorEastAsia" w:hAnsiTheme="minorHAnsi" w:cstheme="minorBidi"/>
          <w:szCs w:val="22"/>
        </w:rPr>
      </w:pPr>
      <w:r>
        <w:t>13.</w:t>
      </w:r>
      <w:r>
        <w:tab/>
        <w:t>Food businesses conducted at registered establishments (s. 109)</w:t>
      </w:r>
      <w:r>
        <w:tab/>
      </w:r>
      <w:r>
        <w:fldChar w:fldCharType="begin"/>
      </w:r>
      <w:r>
        <w:instrText xml:space="preserve"> PAGEREF _Toc68767465 \h </w:instrText>
      </w:r>
      <w:r>
        <w:fldChar w:fldCharType="separate"/>
      </w:r>
      <w:r>
        <w:t>6</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lastRenderedPageBreak/>
        <w:t>Part 4 — Control of pathogens</w:t>
      </w:r>
    </w:p>
    <w:p w:rsidR="003E67DA" w:rsidRDefault="00645504">
      <w:pPr>
        <w:pStyle w:val="TOC8"/>
        <w:rPr>
          <w:rFonts w:asciiTheme="minorHAnsi" w:eastAsiaTheme="minorEastAsia" w:hAnsiTheme="minorHAnsi" w:cstheme="minorBidi"/>
          <w:szCs w:val="22"/>
        </w:rPr>
      </w:pPr>
      <w:r>
        <w:t>14.</w:t>
      </w:r>
      <w:r>
        <w:tab/>
        <w:t>Term used: pathogen</w:t>
      </w:r>
      <w:r>
        <w:tab/>
      </w:r>
      <w:r>
        <w:fldChar w:fldCharType="begin"/>
      </w:r>
      <w:r>
        <w:instrText xml:space="preserve"> PAGEREF _Toc68767467 \h </w:instrText>
      </w:r>
      <w:r>
        <w:fldChar w:fldCharType="separate"/>
      </w:r>
      <w:r>
        <w:t>7</w:t>
      </w:r>
      <w:r>
        <w:fldChar w:fldCharType="end"/>
      </w:r>
    </w:p>
    <w:p w:rsidR="003E67DA" w:rsidRDefault="00645504">
      <w:pPr>
        <w:pStyle w:val="TOC8"/>
        <w:rPr>
          <w:rFonts w:asciiTheme="minorHAnsi" w:eastAsiaTheme="minorEastAsia" w:hAnsiTheme="minorHAnsi" w:cstheme="minorBidi"/>
          <w:szCs w:val="22"/>
        </w:rPr>
      </w:pPr>
      <w:r>
        <w:t>15.</w:t>
      </w:r>
      <w:r>
        <w:tab/>
        <w:t>CEO to be informed of isolation of pathogens associated with food busi</w:t>
      </w:r>
      <w:r>
        <w:t>nesses</w:t>
      </w:r>
      <w:r>
        <w:tab/>
      </w:r>
      <w:r>
        <w:fldChar w:fldCharType="begin"/>
      </w:r>
      <w:r>
        <w:instrText xml:space="preserve"> PAGEREF _Toc68767468 \h </w:instrText>
      </w:r>
      <w:r>
        <w:fldChar w:fldCharType="separate"/>
      </w:r>
      <w:r>
        <w:t>7</w:t>
      </w:r>
      <w:r>
        <w:fldChar w:fldCharType="end"/>
      </w:r>
    </w:p>
    <w:p w:rsidR="003E67DA" w:rsidRDefault="00645504">
      <w:pPr>
        <w:pStyle w:val="TOC8"/>
        <w:rPr>
          <w:rFonts w:asciiTheme="minorHAnsi" w:eastAsiaTheme="minorEastAsia" w:hAnsiTheme="minorHAnsi" w:cstheme="minorBidi"/>
          <w:szCs w:val="22"/>
        </w:rPr>
      </w:pPr>
      <w:r>
        <w:t>16.</w:t>
      </w:r>
      <w:r>
        <w:tab/>
        <w:t>CEO may give directions</w:t>
      </w:r>
      <w:r>
        <w:tab/>
      </w:r>
      <w:r>
        <w:fldChar w:fldCharType="begin"/>
      </w:r>
      <w:r>
        <w:instrText xml:space="preserve"> PAGEREF _Toc68767469 \h </w:instrText>
      </w:r>
      <w:r>
        <w:fldChar w:fldCharType="separate"/>
      </w:r>
      <w:r>
        <w:t>8</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t>Part 5 — Meat hygiene</w:t>
      </w:r>
    </w:p>
    <w:p w:rsidR="003E67DA" w:rsidRDefault="00645504">
      <w:pPr>
        <w:pStyle w:val="TOC4"/>
        <w:tabs>
          <w:tab w:val="right" w:leader="dot" w:pos="7077"/>
        </w:tabs>
        <w:rPr>
          <w:rFonts w:asciiTheme="minorHAnsi" w:eastAsiaTheme="minorEastAsia" w:hAnsiTheme="minorHAnsi" w:cstheme="minorBidi"/>
          <w:b w:val="0"/>
          <w:szCs w:val="22"/>
        </w:rPr>
      </w:pPr>
      <w:r>
        <w:t>Division 1 — Preliminary</w:t>
      </w:r>
    </w:p>
    <w:p w:rsidR="003E67DA" w:rsidRDefault="00645504">
      <w:pPr>
        <w:pStyle w:val="TOC8"/>
        <w:rPr>
          <w:rFonts w:asciiTheme="minorHAnsi" w:eastAsiaTheme="minorEastAsia" w:hAnsiTheme="minorHAnsi" w:cstheme="minorBidi"/>
          <w:szCs w:val="22"/>
        </w:rPr>
      </w:pPr>
      <w:r>
        <w:t>17.</w:t>
      </w:r>
      <w:r>
        <w:tab/>
        <w:t>Terms used</w:t>
      </w:r>
      <w:r>
        <w:tab/>
      </w:r>
      <w:r>
        <w:fldChar w:fldCharType="begin"/>
      </w:r>
      <w:r>
        <w:instrText xml:space="preserve"> PAGEREF _Toc68767472 \h </w:instrText>
      </w:r>
      <w:r>
        <w:fldChar w:fldCharType="separate"/>
      </w:r>
      <w:r>
        <w:t>9</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2 — Adoption of certain Aus</w:t>
      </w:r>
      <w:r>
        <w:t>tralian Standards</w:t>
      </w:r>
    </w:p>
    <w:p w:rsidR="003E67DA" w:rsidRDefault="00645504">
      <w:pPr>
        <w:pStyle w:val="TOC8"/>
        <w:rPr>
          <w:rFonts w:asciiTheme="minorHAnsi" w:eastAsiaTheme="minorEastAsia" w:hAnsiTheme="minorHAnsi" w:cstheme="minorBidi"/>
          <w:szCs w:val="22"/>
        </w:rPr>
      </w:pPr>
      <w:r>
        <w:t>18.</w:t>
      </w:r>
      <w:r>
        <w:tab/>
        <w:t>Adoption of certain Australian Standards (s. 144(6))</w:t>
      </w:r>
      <w:r>
        <w:tab/>
      </w:r>
      <w:r>
        <w:fldChar w:fldCharType="begin"/>
      </w:r>
      <w:r>
        <w:instrText xml:space="preserve"> PAGEREF _Toc68767474 \h </w:instrText>
      </w:r>
      <w:r>
        <w:fldChar w:fldCharType="separate"/>
      </w:r>
      <w:r>
        <w:t>11</w:t>
      </w:r>
      <w:r>
        <w:fldChar w:fldCharType="end"/>
      </w:r>
    </w:p>
    <w:p w:rsidR="003E67DA" w:rsidRDefault="00645504">
      <w:pPr>
        <w:pStyle w:val="TOC8"/>
        <w:rPr>
          <w:rFonts w:asciiTheme="minorHAnsi" w:eastAsiaTheme="minorEastAsia" w:hAnsiTheme="minorHAnsi" w:cstheme="minorBidi"/>
          <w:szCs w:val="22"/>
        </w:rPr>
      </w:pPr>
      <w:r>
        <w:t>19.</w:t>
      </w:r>
      <w:r>
        <w:tab/>
        <w:t>Modification of adopted standards</w:t>
      </w:r>
      <w:r>
        <w:tab/>
      </w:r>
      <w:r>
        <w:fldChar w:fldCharType="begin"/>
      </w:r>
      <w:r>
        <w:instrText xml:space="preserve"> PAGEREF _Toc68767475 \h </w:instrText>
      </w:r>
      <w:r>
        <w:fldChar w:fldCharType="separate"/>
      </w:r>
      <w:r>
        <w:t>12</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3 — Inspection and branding</w:t>
      </w:r>
    </w:p>
    <w:p w:rsidR="003E67DA" w:rsidRDefault="00645504">
      <w:pPr>
        <w:pStyle w:val="TOC8"/>
        <w:rPr>
          <w:rFonts w:asciiTheme="minorHAnsi" w:eastAsiaTheme="minorEastAsia" w:hAnsiTheme="minorHAnsi" w:cstheme="minorBidi"/>
          <w:szCs w:val="22"/>
        </w:rPr>
      </w:pPr>
      <w:r>
        <w:t>20.</w:t>
      </w:r>
      <w:r>
        <w:tab/>
        <w:t>Application of Divi</w:t>
      </w:r>
      <w:r>
        <w:t>sion to primary producers</w:t>
      </w:r>
      <w:r>
        <w:tab/>
      </w:r>
      <w:r>
        <w:fldChar w:fldCharType="begin"/>
      </w:r>
      <w:r>
        <w:instrText xml:space="preserve"> PAGEREF _Toc68767477 \h </w:instrText>
      </w:r>
      <w:r>
        <w:fldChar w:fldCharType="separate"/>
      </w:r>
      <w:r>
        <w:t>12</w:t>
      </w:r>
      <w:r>
        <w:fldChar w:fldCharType="end"/>
      </w:r>
    </w:p>
    <w:p w:rsidR="003E67DA" w:rsidRDefault="00645504">
      <w:pPr>
        <w:pStyle w:val="TOC8"/>
        <w:rPr>
          <w:rFonts w:asciiTheme="minorHAnsi" w:eastAsiaTheme="minorEastAsia" w:hAnsiTheme="minorHAnsi" w:cstheme="minorBidi"/>
          <w:szCs w:val="22"/>
        </w:rPr>
      </w:pPr>
      <w:r>
        <w:t>21.</w:t>
      </w:r>
      <w:r>
        <w:tab/>
        <w:t>Inspection of animals and carcases at abattoirs</w:t>
      </w:r>
      <w:r>
        <w:tab/>
      </w:r>
      <w:r>
        <w:fldChar w:fldCharType="begin"/>
      </w:r>
      <w:r>
        <w:instrText xml:space="preserve"> PAGEREF _Toc68767478 \h </w:instrText>
      </w:r>
      <w:r>
        <w:fldChar w:fldCharType="separate"/>
      </w:r>
      <w:r>
        <w:t>13</w:t>
      </w:r>
      <w:r>
        <w:fldChar w:fldCharType="end"/>
      </w:r>
    </w:p>
    <w:p w:rsidR="003E67DA" w:rsidRDefault="00645504">
      <w:pPr>
        <w:pStyle w:val="TOC8"/>
        <w:rPr>
          <w:rFonts w:asciiTheme="minorHAnsi" w:eastAsiaTheme="minorEastAsia" w:hAnsiTheme="minorHAnsi" w:cstheme="minorBidi"/>
          <w:szCs w:val="22"/>
        </w:rPr>
      </w:pPr>
      <w:r>
        <w:t>22.</w:t>
      </w:r>
      <w:r>
        <w:tab/>
        <w:t>Branding carcases if fit for human consumption</w:t>
      </w:r>
      <w:r>
        <w:tab/>
      </w:r>
      <w:r>
        <w:fldChar w:fldCharType="begin"/>
      </w:r>
      <w:r>
        <w:instrText xml:space="preserve"> PAGEREF _Toc68767479 \h </w:instrText>
      </w:r>
      <w:r>
        <w:fldChar w:fldCharType="separate"/>
      </w:r>
      <w:r>
        <w:t>13</w:t>
      </w:r>
      <w:r>
        <w:fldChar w:fldCharType="end"/>
      </w:r>
    </w:p>
    <w:p w:rsidR="003E67DA" w:rsidRDefault="00645504">
      <w:pPr>
        <w:pStyle w:val="TOC8"/>
        <w:rPr>
          <w:rFonts w:asciiTheme="minorHAnsi" w:eastAsiaTheme="minorEastAsia" w:hAnsiTheme="minorHAnsi" w:cstheme="minorBidi"/>
          <w:szCs w:val="22"/>
        </w:rPr>
      </w:pPr>
      <w:r>
        <w:t>23.</w:t>
      </w:r>
      <w:r>
        <w:tab/>
        <w:t>Branding carcases if fit for consumption by animals</w:t>
      </w:r>
      <w:r>
        <w:tab/>
      </w:r>
      <w:r>
        <w:fldChar w:fldCharType="begin"/>
      </w:r>
      <w:r>
        <w:instrText xml:space="preserve"> PAGEREF _Toc68767480 \h </w:instrText>
      </w:r>
      <w:r>
        <w:fldChar w:fldCharType="separate"/>
      </w:r>
      <w:r>
        <w:t>14</w:t>
      </w:r>
      <w:r>
        <w:fldChar w:fldCharType="end"/>
      </w:r>
    </w:p>
    <w:p w:rsidR="003E67DA" w:rsidRDefault="00645504">
      <w:pPr>
        <w:pStyle w:val="TOC8"/>
        <w:rPr>
          <w:rFonts w:asciiTheme="minorHAnsi" w:eastAsiaTheme="minorEastAsia" w:hAnsiTheme="minorHAnsi" w:cstheme="minorBidi"/>
          <w:szCs w:val="22"/>
        </w:rPr>
      </w:pPr>
      <w:r>
        <w:t>24.</w:t>
      </w:r>
      <w:r>
        <w:tab/>
        <w:t>How carcases are to be branded</w:t>
      </w:r>
      <w:r>
        <w:tab/>
      </w:r>
      <w:r>
        <w:fldChar w:fldCharType="begin"/>
      </w:r>
      <w:r>
        <w:instrText xml:space="preserve"> PAGEREF _Toc68767481 \h </w:instrText>
      </w:r>
      <w:r>
        <w:fldChar w:fldCharType="separate"/>
      </w:r>
      <w:r>
        <w:t>14</w:t>
      </w:r>
      <w:r>
        <w:fldChar w:fldCharType="end"/>
      </w:r>
    </w:p>
    <w:p w:rsidR="003E67DA" w:rsidRDefault="00645504">
      <w:pPr>
        <w:pStyle w:val="TOC8"/>
        <w:rPr>
          <w:rFonts w:asciiTheme="minorHAnsi" w:eastAsiaTheme="minorEastAsia" w:hAnsiTheme="minorHAnsi" w:cstheme="minorBidi"/>
          <w:szCs w:val="22"/>
        </w:rPr>
      </w:pPr>
      <w:r>
        <w:t>25.</w:t>
      </w:r>
      <w:r>
        <w:tab/>
        <w:t>Branding carcases if unfit for human consumption or unfit for consumptio</w:t>
      </w:r>
      <w:r>
        <w:t>n by animals</w:t>
      </w:r>
      <w:r>
        <w:tab/>
      </w:r>
      <w:r>
        <w:fldChar w:fldCharType="begin"/>
      </w:r>
      <w:r>
        <w:instrText xml:space="preserve"> PAGEREF _Toc68767482 \h </w:instrText>
      </w:r>
      <w:r>
        <w:fldChar w:fldCharType="separate"/>
      </w:r>
      <w:r>
        <w:t>15</w:t>
      </w:r>
      <w:r>
        <w:fldChar w:fldCharType="end"/>
      </w:r>
    </w:p>
    <w:p w:rsidR="003E67DA" w:rsidRDefault="00645504">
      <w:pPr>
        <w:pStyle w:val="TOC8"/>
        <w:rPr>
          <w:rFonts w:asciiTheme="minorHAnsi" w:eastAsiaTheme="minorEastAsia" w:hAnsiTheme="minorHAnsi" w:cstheme="minorBidi"/>
          <w:szCs w:val="22"/>
        </w:rPr>
      </w:pPr>
      <w:r>
        <w:t>26.</w:t>
      </w:r>
      <w:r>
        <w:tab/>
        <w:t>Offences relating to brands or tags</w:t>
      </w:r>
      <w:r>
        <w:tab/>
      </w:r>
      <w:r>
        <w:fldChar w:fldCharType="begin"/>
      </w:r>
      <w:r>
        <w:instrText xml:space="preserve"> PAGEREF _Toc68767483 \h </w:instrText>
      </w:r>
      <w:r>
        <w:fldChar w:fldCharType="separate"/>
      </w:r>
      <w:r>
        <w:t>16</w:t>
      </w:r>
      <w:r>
        <w:fldChar w:fldCharType="end"/>
      </w:r>
    </w:p>
    <w:p w:rsidR="003E67DA" w:rsidRDefault="00645504">
      <w:pPr>
        <w:pStyle w:val="TOC8"/>
        <w:rPr>
          <w:rFonts w:asciiTheme="minorHAnsi" w:eastAsiaTheme="minorEastAsia" w:hAnsiTheme="minorHAnsi" w:cstheme="minorBidi"/>
          <w:szCs w:val="22"/>
        </w:rPr>
      </w:pPr>
      <w:r>
        <w:t>27.</w:t>
      </w:r>
      <w:r>
        <w:tab/>
        <w:t>Restrictions on sale of carcases</w:t>
      </w:r>
      <w:r>
        <w:tab/>
      </w:r>
      <w:r>
        <w:fldChar w:fldCharType="begin"/>
      </w:r>
      <w:r>
        <w:instrText xml:space="preserve"> PAGEREF _Toc68767484 \h </w:instrText>
      </w:r>
      <w:r>
        <w:fldChar w:fldCharType="separate"/>
      </w:r>
      <w:r>
        <w:t>17</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4 — Pet meat</w:t>
      </w:r>
    </w:p>
    <w:p w:rsidR="003E67DA" w:rsidRDefault="00645504">
      <w:pPr>
        <w:pStyle w:val="TOC6"/>
        <w:tabs>
          <w:tab w:val="right" w:leader="dot" w:pos="7077"/>
        </w:tabs>
        <w:rPr>
          <w:rFonts w:asciiTheme="minorHAnsi" w:eastAsiaTheme="minorEastAsia" w:hAnsiTheme="minorHAnsi" w:cstheme="minorBidi"/>
          <w:b w:val="0"/>
          <w:sz w:val="22"/>
          <w:szCs w:val="22"/>
        </w:rPr>
      </w:pPr>
      <w:r>
        <w:t>Subdivision 1 — Preliminary</w:t>
      </w:r>
    </w:p>
    <w:p w:rsidR="003E67DA" w:rsidRDefault="00645504">
      <w:pPr>
        <w:pStyle w:val="TOC8"/>
        <w:rPr>
          <w:rFonts w:asciiTheme="minorHAnsi" w:eastAsiaTheme="minorEastAsia" w:hAnsiTheme="minorHAnsi" w:cstheme="minorBidi"/>
          <w:szCs w:val="22"/>
        </w:rPr>
      </w:pPr>
      <w:r>
        <w:t>28.</w:t>
      </w:r>
      <w:r>
        <w:tab/>
        <w:t>Term u</w:t>
      </w:r>
      <w:r>
        <w:t>sed: proprietor</w:t>
      </w:r>
      <w:r>
        <w:tab/>
      </w:r>
      <w:r>
        <w:fldChar w:fldCharType="begin"/>
      </w:r>
      <w:r>
        <w:instrText xml:space="preserve"> PAGEREF _Toc68767487 \h </w:instrText>
      </w:r>
      <w:r>
        <w:fldChar w:fldCharType="separate"/>
      </w:r>
      <w:r>
        <w:t>18</w:t>
      </w:r>
      <w:r>
        <w:fldChar w:fldCharType="end"/>
      </w:r>
    </w:p>
    <w:p w:rsidR="003E67DA" w:rsidRDefault="00645504">
      <w:pPr>
        <w:pStyle w:val="TOC6"/>
        <w:tabs>
          <w:tab w:val="right" w:leader="dot" w:pos="7077"/>
        </w:tabs>
        <w:rPr>
          <w:rFonts w:asciiTheme="minorHAnsi" w:eastAsiaTheme="minorEastAsia" w:hAnsiTheme="minorHAnsi" w:cstheme="minorBidi"/>
          <w:b w:val="0"/>
          <w:sz w:val="22"/>
          <w:szCs w:val="22"/>
        </w:rPr>
      </w:pPr>
      <w:r>
        <w:t>Subdivision 2 — Staining of pet meat</w:t>
      </w:r>
    </w:p>
    <w:p w:rsidR="003E67DA" w:rsidRDefault="00645504">
      <w:pPr>
        <w:pStyle w:val="TOC8"/>
        <w:rPr>
          <w:rFonts w:asciiTheme="minorHAnsi" w:eastAsiaTheme="minorEastAsia" w:hAnsiTheme="minorHAnsi" w:cstheme="minorBidi"/>
          <w:szCs w:val="22"/>
        </w:rPr>
      </w:pPr>
      <w:r>
        <w:t>29.</w:t>
      </w:r>
      <w:r>
        <w:tab/>
        <w:t>Term used: dressing</w:t>
      </w:r>
      <w:r>
        <w:tab/>
      </w:r>
      <w:r>
        <w:fldChar w:fldCharType="begin"/>
      </w:r>
      <w:r>
        <w:instrText xml:space="preserve"> PAGEREF _Toc68767489 \h </w:instrText>
      </w:r>
      <w:r>
        <w:fldChar w:fldCharType="separate"/>
      </w:r>
      <w:r>
        <w:t>18</w:t>
      </w:r>
      <w:r>
        <w:fldChar w:fldCharType="end"/>
      </w:r>
    </w:p>
    <w:p w:rsidR="003E67DA" w:rsidRDefault="00645504">
      <w:pPr>
        <w:pStyle w:val="TOC8"/>
        <w:rPr>
          <w:rFonts w:asciiTheme="minorHAnsi" w:eastAsiaTheme="minorEastAsia" w:hAnsiTheme="minorHAnsi" w:cstheme="minorBidi"/>
          <w:szCs w:val="22"/>
        </w:rPr>
      </w:pPr>
      <w:r>
        <w:t>30.</w:t>
      </w:r>
      <w:r>
        <w:tab/>
        <w:t>Requirement for pet meat to be stained</w:t>
      </w:r>
      <w:r>
        <w:tab/>
      </w:r>
      <w:r>
        <w:fldChar w:fldCharType="begin"/>
      </w:r>
      <w:r>
        <w:instrText xml:space="preserve"> PAGEREF _Toc68767490 \h </w:instrText>
      </w:r>
      <w:r>
        <w:fldChar w:fldCharType="separate"/>
      </w:r>
      <w:r>
        <w:t>18</w:t>
      </w:r>
      <w:r>
        <w:fldChar w:fldCharType="end"/>
      </w:r>
    </w:p>
    <w:p w:rsidR="003E67DA" w:rsidRDefault="00645504">
      <w:pPr>
        <w:pStyle w:val="TOC8"/>
        <w:rPr>
          <w:rFonts w:asciiTheme="minorHAnsi" w:eastAsiaTheme="minorEastAsia" w:hAnsiTheme="minorHAnsi" w:cstheme="minorBidi"/>
          <w:szCs w:val="22"/>
        </w:rPr>
      </w:pPr>
      <w:r>
        <w:t>31.</w:t>
      </w:r>
      <w:r>
        <w:tab/>
        <w:t>How pet meat is to be stained</w:t>
      </w:r>
      <w:r>
        <w:tab/>
      </w:r>
      <w:r>
        <w:fldChar w:fldCharType="begin"/>
      </w:r>
      <w:r>
        <w:instrText xml:space="preserve"> PAGEREF _Toc68767491 \h </w:instrText>
      </w:r>
      <w:r>
        <w:fldChar w:fldCharType="separate"/>
      </w:r>
      <w:r>
        <w:t>19</w:t>
      </w:r>
      <w:r>
        <w:fldChar w:fldCharType="end"/>
      </w:r>
    </w:p>
    <w:p w:rsidR="003E67DA" w:rsidRDefault="00645504">
      <w:pPr>
        <w:pStyle w:val="TOC8"/>
        <w:rPr>
          <w:rFonts w:asciiTheme="minorHAnsi" w:eastAsiaTheme="minorEastAsia" w:hAnsiTheme="minorHAnsi" w:cstheme="minorBidi"/>
          <w:szCs w:val="22"/>
        </w:rPr>
      </w:pPr>
      <w:r>
        <w:t>32.</w:t>
      </w:r>
      <w:r>
        <w:tab/>
        <w:t>Removal of stain from pet meat prohibited</w:t>
      </w:r>
      <w:r>
        <w:tab/>
      </w:r>
      <w:r>
        <w:fldChar w:fldCharType="begin"/>
      </w:r>
      <w:r>
        <w:instrText xml:space="preserve"> PAGEREF _Toc68767492 \h </w:instrText>
      </w:r>
      <w:r>
        <w:fldChar w:fldCharType="separate"/>
      </w:r>
      <w:r>
        <w:t>19</w:t>
      </w:r>
      <w:r>
        <w:fldChar w:fldCharType="end"/>
      </w:r>
    </w:p>
    <w:p w:rsidR="003E67DA" w:rsidRDefault="00645504">
      <w:pPr>
        <w:pStyle w:val="TOC6"/>
        <w:tabs>
          <w:tab w:val="right" w:leader="dot" w:pos="7077"/>
        </w:tabs>
        <w:rPr>
          <w:rFonts w:asciiTheme="minorHAnsi" w:eastAsiaTheme="minorEastAsia" w:hAnsiTheme="minorHAnsi" w:cstheme="minorBidi"/>
          <w:b w:val="0"/>
          <w:sz w:val="22"/>
          <w:szCs w:val="22"/>
        </w:rPr>
      </w:pPr>
      <w:r>
        <w:t>Subdivision 3 — Requirements relating to packaged and unpackaged pet meat</w:t>
      </w:r>
    </w:p>
    <w:p w:rsidR="003E67DA" w:rsidRDefault="00645504">
      <w:pPr>
        <w:pStyle w:val="TOC8"/>
        <w:rPr>
          <w:rFonts w:asciiTheme="minorHAnsi" w:eastAsiaTheme="minorEastAsia" w:hAnsiTheme="minorHAnsi" w:cstheme="minorBidi"/>
          <w:szCs w:val="22"/>
        </w:rPr>
      </w:pPr>
      <w:r>
        <w:t>33.</w:t>
      </w:r>
      <w:r>
        <w:tab/>
        <w:t>Pet meat sold by f</w:t>
      </w:r>
      <w:r>
        <w:t>ood businesses to be packaged</w:t>
      </w:r>
      <w:r>
        <w:tab/>
      </w:r>
      <w:r>
        <w:fldChar w:fldCharType="begin"/>
      </w:r>
      <w:r>
        <w:instrText xml:space="preserve"> PAGEREF _Toc68767494 \h </w:instrText>
      </w:r>
      <w:r>
        <w:fldChar w:fldCharType="separate"/>
      </w:r>
      <w:r>
        <w:t>19</w:t>
      </w:r>
      <w:r>
        <w:fldChar w:fldCharType="end"/>
      </w:r>
    </w:p>
    <w:p w:rsidR="003E67DA" w:rsidRDefault="00645504">
      <w:pPr>
        <w:pStyle w:val="TOC8"/>
        <w:rPr>
          <w:rFonts w:asciiTheme="minorHAnsi" w:eastAsiaTheme="minorEastAsia" w:hAnsiTheme="minorHAnsi" w:cstheme="minorBidi"/>
          <w:szCs w:val="22"/>
        </w:rPr>
      </w:pPr>
      <w:r>
        <w:t>34.</w:t>
      </w:r>
      <w:r>
        <w:tab/>
        <w:t>Unpackaged pet meat to be sold only at animal food processing premises or retail pet meat shops</w:t>
      </w:r>
      <w:r>
        <w:tab/>
      </w:r>
      <w:r>
        <w:fldChar w:fldCharType="begin"/>
      </w:r>
      <w:r>
        <w:instrText xml:space="preserve"> PAGEREF _Toc68767495 \h </w:instrText>
      </w:r>
      <w:r>
        <w:fldChar w:fldCharType="separate"/>
      </w:r>
      <w:r>
        <w:t>20</w:t>
      </w:r>
      <w:r>
        <w:fldChar w:fldCharType="end"/>
      </w:r>
    </w:p>
    <w:p w:rsidR="003E67DA" w:rsidRDefault="00645504">
      <w:pPr>
        <w:pStyle w:val="TOC8"/>
        <w:rPr>
          <w:rFonts w:asciiTheme="minorHAnsi" w:eastAsiaTheme="minorEastAsia" w:hAnsiTheme="minorHAnsi" w:cstheme="minorBidi"/>
          <w:szCs w:val="22"/>
        </w:rPr>
      </w:pPr>
      <w:r>
        <w:lastRenderedPageBreak/>
        <w:t>35.</w:t>
      </w:r>
      <w:r>
        <w:tab/>
        <w:t>Unpackaged pet meat to be stored at animal food processing premises and retail pet meat shops in marked containers</w:t>
      </w:r>
      <w:r>
        <w:tab/>
      </w:r>
      <w:r>
        <w:fldChar w:fldCharType="begin"/>
      </w:r>
      <w:r>
        <w:instrText xml:space="preserve"> PAGEREF _Toc68767496 \h </w:instrText>
      </w:r>
      <w:r>
        <w:fldChar w:fldCharType="separate"/>
      </w:r>
      <w:r>
        <w:t>20</w:t>
      </w:r>
      <w:r>
        <w:fldChar w:fldCharType="end"/>
      </w:r>
    </w:p>
    <w:p w:rsidR="003E67DA" w:rsidRDefault="00645504">
      <w:pPr>
        <w:pStyle w:val="TOC8"/>
        <w:rPr>
          <w:rFonts w:asciiTheme="minorHAnsi" w:eastAsiaTheme="minorEastAsia" w:hAnsiTheme="minorHAnsi" w:cstheme="minorBidi"/>
          <w:szCs w:val="22"/>
        </w:rPr>
      </w:pPr>
      <w:r>
        <w:t>36.</w:t>
      </w:r>
      <w:r>
        <w:tab/>
        <w:t>Unpackaged pet meat and food not to be processed, handled or sold at same food business premises</w:t>
      </w:r>
      <w:r>
        <w:tab/>
      </w:r>
      <w:r>
        <w:fldChar w:fldCharType="begin"/>
      </w:r>
      <w:r>
        <w:instrText xml:space="preserve"> PAGEREF _Toc68767497 \h </w:instrText>
      </w:r>
      <w:r>
        <w:fldChar w:fldCharType="separate"/>
      </w:r>
      <w:r>
        <w:t>21</w:t>
      </w:r>
      <w:r>
        <w:fldChar w:fldCharType="end"/>
      </w:r>
    </w:p>
    <w:p w:rsidR="003E67DA" w:rsidRDefault="00645504">
      <w:pPr>
        <w:pStyle w:val="TOC6"/>
        <w:tabs>
          <w:tab w:val="right" w:leader="dot" w:pos="7077"/>
        </w:tabs>
        <w:rPr>
          <w:rFonts w:asciiTheme="minorHAnsi" w:eastAsiaTheme="minorEastAsia" w:hAnsiTheme="minorHAnsi" w:cstheme="minorBidi"/>
          <w:b w:val="0"/>
          <w:sz w:val="22"/>
          <w:szCs w:val="22"/>
        </w:rPr>
      </w:pPr>
      <w:r>
        <w:t>Subdivision 4 — Other requirements</w:t>
      </w:r>
    </w:p>
    <w:p w:rsidR="003E67DA" w:rsidRDefault="00645504">
      <w:pPr>
        <w:pStyle w:val="TOC8"/>
        <w:rPr>
          <w:rFonts w:asciiTheme="minorHAnsi" w:eastAsiaTheme="minorEastAsia" w:hAnsiTheme="minorHAnsi" w:cstheme="minorBidi"/>
          <w:szCs w:val="22"/>
        </w:rPr>
      </w:pPr>
      <w:r>
        <w:t>37.</w:t>
      </w:r>
      <w:r>
        <w:tab/>
        <w:t>Proprietor of animal food processing premises to establish and maintain system for tracing pet meat</w:t>
      </w:r>
      <w:r>
        <w:tab/>
      </w:r>
      <w:r>
        <w:fldChar w:fldCharType="begin"/>
      </w:r>
      <w:r>
        <w:instrText xml:space="preserve"> PAGEREF _Toc68767499 \h </w:instrText>
      </w:r>
      <w:r>
        <w:fldChar w:fldCharType="separate"/>
      </w:r>
      <w:r>
        <w:t>22</w:t>
      </w:r>
      <w:r>
        <w:fldChar w:fldCharType="end"/>
      </w:r>
    </w:p>
    <w:p w:rsidR="003E67DA" w:rsidRDefault="00645504">
      <w:pPr>
        <w:pStyle w:val="TOC8"/>
        <w:rPr>
          <w:rFonts w:asciiTheme="minorHAnsi" w:eastAsiaTheme="minorEastAsia" w:hAnsiTheme="minorHAnsi" w:cstheme="minorBidi"/>
          <w:szCs w:val="22"/>
        </w:rPr>
      </w:pPr>
      <w:r>
        <w:t>38.</w:t>
      </w:r>
      <w:r>
        <w:tab/>
        <w:t>Meat and game meat for human consumption not to be stored in animal food processing premises</w:t>
      </w:r>
      <w:r>
        <w:tab/>
      </w:r>
      <w:r>
        <w:fldChar w:fldCharType="begin"/>
      </w:r>
      <w:r>
        <w:instrText xml:space="preserve"> PAGEREF _Toc68767500 \h </w:instrText>
      </w:r>
      <w:r>
        <w:fldChar w:fldCharType="separate"/>
      </w:r>
      <w:r>
        <w:t>22</w:t>
      </w:r>
      <w:r>
        <w:fldChar w:fldCharType="end"/>
      </w:r>
    </w:p>
    <w:p w:rsidR="003E67DA" w:rsidRDefault="00645504">
      <w:pPr>
        <w:pStyle w:val="TOC8"/>
        <w:rPr>
          <w:rFonts w:asciiTheme="minorHAnsi" w:eastAsiaTheme="minorEastAsia" w:hAnsiTheme="minorHAnsi" w:cstheme="minorBidi"/>
          <w:szCs w:val="22"/>
        </w:rPr>
      </w:pPr>
      <w:r>
        <w:t>39.</w:t>
      </w:r>
      <w:r>
        <w:tab/>
        <w:t>Pet meat not to be</w:t>
      </w:r>
      <w:r>
        <w:t xml:space="preserve"> sold as food</w:t>
      </w:r>
      <w:r>
        <w:tab/>
      </w:r>
      <w:r>
        <w:fldChar w:fldCharType="begin"/>
      </w:r>
      <w:r>
        <w:instrText xml:space="preserve"> PAGEREF _Toc68767501 \h </w:instrText>
      </w:r>
      <w:r>
        <w:fldChar w:fldCharType="separate"/>
      </w:r>
      <w:r>
        <w:t>23</w:t>
      </w:r>
      <w:r>
        <w:fldChar w:fldCharType="end"/>
      </w:r>
    </w:p>
    <w:p w:rsidR="003E67DA" w:rsidRDefault="00645504">
      <w:pPr>
        <w:pStyle w:val="TOC6"/>
        <w:tabs>
          <w:tab w:val="right" w:leader="dot" w:pos="7077"/>
        </w:tabs>
        <w:rPr>
          <w:rFonts w:asciiTheme="minorHAnsi" w:eastAsiaTheme="minorEastAsia" w:hAnsiTheme="minorHAnsi" w:cstheme="minorBidi"/>
          <w:b w:val="0"/>
          <w:sz w:val="22"/>
          <w:szCs w:val="22"/>
        </w:rPr>
      </w:pPr>
      <w:r>
        <w:t>Subdivision 5 — Notification of conduct of business at animal food processing premises and retail pet meat shops</w:t>
      </w:r>
    </w:p>
    <w:p w:rsidR="003E67DA" w:rsidRDefault="00645504">
      <w:pPr>
        <w:pStyle w:val="TOC8"/>
        <w:rPr>
          <w:rFonts w:asciiTheme="minorHAnsi" w:eastAsiaTheme="minorEastAsia" w:hAnsiTheme="minorHAnsi" w:cstheme="minorBidi"/>
          <w:szCs w:val="22"/>
        </w:rPr>
      </w:pPr>
      <w:r>
        <w:t>40.</w:t>
      </w:r>
      <w:r>
        <w:tab/>
        <w:t xml:space="preserve">Notification of conduct of </w:t>
      </w:r>
      <w:r>
        <w:t>business at animal food processing premises and retail pet meat shops</w:t>
      </w:r>
      <w:r>
        <w:tab/>
      </w:r>
      <w:r>
        <w:fldChar w:fldCharType="begin"/>
      </w:r>
      <w:r>
        <w:instrText xml:space="preserve"> PAGEREF _Toc68767503 \h </w:instrText>
      </w:r>
      <w:r>
        <w:fldChar w:fldCharType="separate"/>
      </w:r>
      <w:r>
        <w:t>23</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5 — Statements and inspection fees</w:t>
      </w:r>
    </w:p>
    <w:p w:rsidR="003E67DA" w:rsidRDefault="00645504">
      <w:pPr>
        <w:pStyle w:val="TOC8"/>
        <w:rPr>
          <w:rFonts w:asciiTheme="minorHAnsi" w:eastAsiaTheme="minorEastAsia" w:hAnsiTheme="minorHAnsi" w:cstheme="minorBidi"/>
          <w:szCs w:val="22"/>
        </w:rPr>
      </w:pPr>
      <w:r>
        <w:t>41.</w:t>
      </w:r>
      <w:r>
        <w:tab/>
        <w:t>Statements and inspection fees</w:t>
      </w:r>
      <w:r>
        <w:tab/>
      </w:r>
      <w:r>
        <w:fldChar w:fldCharType="begin"/>
      </w:r>
      <w:r>
        <w:instrText xml:space="preserve"> PAGEREF _Toc</w:instrText>
      </w:r>
      <w:r>
        <w:instrText xml:space="preserve">68767505 \h </w:instrText>
      </w:r>
      <w:r>
        <w:fldChar w:fldCharType="separate"/>
      </w:r>
      <w:r>
        <w:t>24</w:t>
      </w:r>
      <w:r>
        <w:fldChar w:fldCharType="end"/>
      </w:r>
    </w:p>
    <w:p w:rsidR="003E67DA" w:rsidRDefault="00645504">
      <w:pPr>
        <w:pStyle w:val="TOC8"/>
        <w:rPr>
          <w:rFonts w:asciiTheme="minorHAnsi" w:eastAsiaTheme="minorEastAsia" w:hAnsiTheme="minorHAnsi" w:cstheme="minorBidi"/>
          <w:szCs w:val="22"/>
        </w:rPr>
      </w:pPr>
      <w:r>
        <w:t>42.</w:t>
      </w:r>
      <w:r>
        <w:tab/>
        <w:t>Application of inspection fees</w:t>
      </w:r>
      <w:r>
        <w:tab/>
      </w:r>
      <w:r>
        <w:fldChar w:fldCharType="begin"/>
      </w:r>
      <w:r>
        <w:instrText xml:space="preserve"> PAGEREF _Toc68767506 \h </w:instrText>
      </w:r>
      <w:r>
        <w:fldChar w:fldCharType="separate"/>
      </w:r>
      <w:r>
        <w:t>24</w:t>
      </w:r>
      <w:r>
        <w:fldChar w:fldCharType="end"/>
      </w:r>
    </w:p>
    <w:p w:rsidR="003E67DA" w:rsidRDefault="00645504">
      <w:pPr>
        <w:pStyle w:val="TOC8"/>
        <w:rPr>
          <w:rFonts w:asciiTheme="minorHAnsi" w:eastAsiaTheme="minorEastAsia" w:hAnsiTheme="minorHAnsi" w:cstheme="minorBidi"/>
          <w:szCs w:val="22"/>
        </w:rPr>
      </w:pPr>
      <w:r>
        <w:t>43.</w:t>
      </w:r>
      <w:r>
        <w:tab/>
        <w:t>Local governments may require security</w:t>
      </w:r>
      <w:r>
        <w:tab/>
      </w:r>
      <w:r>
        <w:fldChar w:fldCharType="begin"/>
      </w:r>
      <w:r>
        <w:instrText xml:space="preserve"> </w:instrText>
      </w:r>
      <w:r>
        <w:instrText xml:space="preserve">PAGEREF _Toc68767507 \h </w:instrText>
      </w:r>
      <w:r>
        <w:fldChar w:fldCharType="separate"/>
      </w:r>
      <w:r>
        <w:t>25</w:t>
      </w:r>
      <w:r>
        <w:fldChar w:fldCharType="end"/>
      </w:r>
    </w:p>
    <w:p w:rsidR="003E67DA" w:rsidRDefault="00645504">
      <w:pPr>
        <w:pStyle w:val="TOC8"/>
        <w:rPr>
          <w:rFonts w:asciiTheme="minorHAnsi" w:eastAsiaTheme="minorEastAsia" w:hAnsiTheme="minorHAnsi" w:cstheme="minorBidi"/>
          <w:szCs w:val="22"/>
        </w:rPr>
      </w:pPr>
      <w:r>
        <w:t>44.</w:t>
      </w:r>
      <w:r>
        <w:tab/>
        <w:t>Application of security to recover unpaid fees</w:t>
      </w:r>
      <w:r>
        <w:tab/>
      </w:r>
      <w:r>
        <w:fldChar w:fldCharType="begin"/>
      </w:r>
      <w:r>
        <w:instrText xml:space="preserve"> PAGEREF _Toc68767508 \h </w:instrText>
      </w:r>
      <w:r>
        <w:fldChar w:fldCharType="separate"/>
      </w:r>
      <w:r>
        <w:t>25</w:t>
      </w:r>
      <w:r>
        <w:fldChar w:fldCharType="end"/>
      </w:r>
    </w:p>
    <w:p w:rsidR="003E67DA" w:rsidRDefault="00645504">
      <w:pPr>
        <w:pStyle w:val="TOC8"/>
        <w:rPr>
          <w:rFonts w:asciiTheme="minorHAnsi" w:eastAsiaTheme="minorEastAsia" w:hAnsiTheme="minorHAnsi" w:cstheme="minorBidi"/>
          <w:szCs w:val="22"/>
        </w:rPr>
      </w:pPr>
      <w:r>
        <w:t>45.</w:t>
      </w:r>
      <w:r>
        <w:tab/>
        <w:t>Withdrawal o</w:t>
      </w:r>
      <w:r>
        <w:t>f inspection services</w:t>
      </w:r>
      <w:r>
        <w:tab/>
      </w:r>
      <w:r>
        <w:fldChar w:fldCharType="begin"/>
      </w:r>
      <w:r>
        <w:instrText xml:space="preserve"> PAGEREF _Toc68767509 \h </w:instrText>
      </w:r>
      <w:r>
        <w:fldChar w:fldCharType="separate"/>
      </w:r>
      <w:r>
        <w:t>26</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6 — Premises used in meat production</w:t>
      </w:r>
    </w:p>
    <w:p w:rsidR="003E67DA" w:rsidRDefault="00645504">
      <w:pPr>
        <w:pStyle w:val="TOC8"/>
        <w:rPr>
          <w:rFonts w:asciiTheme="minorHAnsi" w:eastAsiaTheme="minorEastAsia" w:hAnsiTheme="minorHAnsi" w:cstheme="minorBidi"/>
          <w:szCs w:val="22"/>
        </w:rPr>
      </w:pPr>
      <w:r>
        <w:t>46.</w:t>
      </w:r>
      <w:r>
        <w:tab/>
        <w:t>Abattoirs and processing premises to comply with requirements of adopted standards</w:t>
      </w:r>
      <w:r>
        <w:tab/>
      </w:r>
      <w:r>
        <w:fldChar w:fldCharType="begin"/>
      </w:r>
      <w:r>
        <w:instrText xml:space="preserve"> PAGEREF _Toc68767511 \h </w:instrText>
      </w:r>
      <w:r>
        <w:fldChar w:fldCharType="separate"/>
      </w:r>
      <w:r>
        <w:t>26</w:t>
      </w:r>
      <w:r>
        <w:fldChar w:fldCharType="end"/>
      </w:r>
    </w:p>
    <w:p w:rsidR="003E67DA" w:rsidRDefault="00645504">
      <w:pPr>
        <w:pStyle w:val="TOC8"/>
        <w:rPr>
          <w:rFonts w:asciiTheme="minorHAnsi" w:eastAsiaTheme="minorEastAsia" w:hAnsiTheme="minorHAnsi" w:cstheme="minorBidi"/>
          <w:szCs w:val="22"/>
        </w:rPr>
      </w:pPr>
      <w:r>
        <w:t>47.</w:t>
      </w:r>
      <w:r>
        <w:tab/>
        <w:t>Slaughtering and processing to comply with requirements of adopted standards</w:t>
      </w:r>
      <w:r>
        <w:tab/>
      </w:r>
      <w:r>
        <w:fldChar w:fldCharType="begin"/>
      </w:r>
      <w:r>
        <w:instrText xml:space="preserve"> PAGEREF _Toc68767512 \h </w:instrText>
      </w:r>
      <w:r>
        <w:fldChar w:fldCharType="separate"/>
      </w:r>
      <w:r>
        <w:t>27</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7 — Premises used in game meat production</w:t>
      </w:r>
    </w:p>
    <w:p w:rsidR="003E67DA" w:rsidRDefault="00645504">
      <w:pPr>
        <w:pStyle w:val="TOC8"/>
        <w:rPr>
          <w:rFonts w:asciiTheme="minorHAnsi" w:eastAsiaTheme="minorEastAsia" w:hAnsiTheme="minorHAnsi" w:cstheme="minorBidi"/>
          <w:szCs w:val="22"/>
        </w:rPr>
      </w:pPr>
      <w:r>
        <w:t>48.</w:t>
      </w:r>
      <w:r>
        <w:tab/>
        <w:t>Field depots to comply with requirements of wild game standard</w:t>
      </w:r>
      <w:r>
        <w:tab/>
      </w:r>
      <w:r>
        <w:fldChar w:fldCharType="begin"/>
      </w:r>
      <w:r>
        <w:instrText xml:space="preserve"> PAGEREF _Toc68767514 \h </w:instrText>
      </w:r>
      <w:r>
        <w:fldChar w:fldCharType="separate"/>
      </w:r>
      <w:r>
        <w:t>27</w:t>
      </w:r>
      <w:r>
        <w:fldChar w:fldCharType="end"/>
      </w:r>
    </w:p>
    <w:p w:rsidR="003E67DA" w:rsidRDefault="00645504">
      <w:pPr>
        <w:pStyle w:val="TOC8"/>
        <w:rPr>
          <w:rFonts w:asciiTheme="minorHAnsi" w:eastAsiaTheme="minorEastAsia" w:hAnsiTheme="minorHAnsi" w:cstheme="minorBidi"/>
          <w:szCs w:val="22"/>
        </w:rPr>
      </w:pPr>
      <w:r>
        <w:t>49.</w:t>
      </w:r>
      <w:r>
        <w:tab/>
        <w:t xml:space="preserve">Wild game meat processing </w:t>
      </w:r>
      <w:r>
        <w:t>establishments to comply with requirements of wild game standard</w:t>
      </w:r>
      <w:r>
        <w:tab/>
      </w:r>
      <w:r>
        <w:fldChar w:fldCharType="begin"/>
      </w:r>
      <w:r>
        <w:instrText xml:space="preserve"> PAGEREF _Toc68767515 \h </w:instrText>
      </w:r>
      <w:r>
        <w:fldChar w:fldCharType="separate"/>
      </w:r>
      <w:r>
        <w:t>28</w:t>
      </w:r>
      <w:r>
        <w:fldChar w:fldCharType="end"/>
      </w:r>
    </w:p>
    <w:p w:rsidR="003E67DA" w:rsidRDefault="00645504">
      <w:pPr>
        <w:pStyle w:val="TOC4"/>
        <w:tabs>
          <w:tab w:val="right" w:leader="dot" w:pos="7077"/>
        </w:tabs>
        <w:rPr>
          <w:rFonts w:asciiTheme="minorHAnsi" w:eastAsiaTheme="minorEastAsia" w:hAnsiTheme="minorHAnsi" w:cstheme="minorBidi"/>
          <w:b w:val="0"/>
          <w:szCs w:val="22"/>
        </w:rPr>
      </w:pPr>
      <w:r>
        <w:t>Division 8 — Transporting meat and game meat</w:t>
      </w:r>
    </w:p>
    <w:p w:rsidR="003E67DA" w:rsidRDefault="00645504">
      <w:pPr>
        <w:pStyle w:val="TOC8"/>
        <w:rPr>
          <w:rFonts w:asciiTheme="minorHAnsi" w:eastAsiaTheme="minorEastAsia" w:hAnsiTheme="minorHAnsi" w:cstheme="minorBidi"/>
          <w:szCs w:val="22"/>
        </w:rPr>
      </w:pPr>
      <w:r>
        <w:t>50.</w:t>
      </w:r>
      <w:r>
        <w:tab/>
        <w:t>Vehicles transporting meat or game meat</w:t>
      </w:r>
      <w:r>
        <w:tab/>
      </w:r>
      <w:r>
        <w:fldChar w:fldCharType="begin"/>
      </w:r>
      <w:r>
        <w:instrText xml:space="preserve"> PAGERE</w:instrText>
      </w:r>
      <w:r>
        <w:instrText xml:space="preserve">F _Toc68767517 \h </w:instrText>
      </w:r>
      <w:r>
        <w:fldChar w:fldCharType="separate"/>
      </w:r>
      <w:r>
        <w:t>28</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lastRenderedPageBreak/>
        <w:t>Part 6 — Miscellaneous</w:t>
      </w:r>
    </w:p>
    <w:p w:rsidR="003E67DA" w:rsidRDefault="00645504">
      <w:pPr>
        <w:pStyle w:val="TOC8"/>
        <w:rPr>
          <w:rFonts w:asciiTheme="minorHAnsi" w:eastAsiaTheme="minorEastAsia" w:hAnsiTheme="minorHAnsi" w:cstheme="minorBidi"/>
          <w:szCs w:val="22"/>
        </w:rPr>
      </w:pPr>
      <w:r>
        <w:t>51.</w:t>
      </w:r>
      <w:r>
        <w:tab/>
        <w:t>Enforcement agency may make list of food businesses publicly available</w:t>
      </w:r>
      <w:r>
        <w:tab/>
      </w:r>
      <w:r>
        <w:fldChar w:fldCharType="begin"/>
      </w:r>
      <w:r>
        <w:instrText xml:space="preserve"> PAGEREF _Toc68767519 \h </w:instrText>
      </w:r>
      <w:r>
        <w:fldChar w:fldCharType="separate"/>
      </w:r>
      <w:r>
        <w:t>29</w:t>
      </w:r>
      <w:r>
        <w:fldChar w:fldCharType="end"/>
      </w:r>
    </w:p>
    <w:p w:rsidR="003E67DA" w:rsidRDefault="00645504">
      <w:pPr>
        <w:pStyle w:val="TOC8"/>
        <w:rPr>
          <w:rFonts w:asciiTheme="minorHAnsi" w:eastAsiaTheme="minorEastAsia" w:hAnsiTheme="minorHAnsi" w:cstheme="minorBidi"/>
          <w:szCs w:val="22"/>
        </w:rPr>
      </w:pPr>
      <w:r>
        <w:t>52.</w:t>
      </w:r>
      <w:r>
        <w:tab/>
        <w:t>Prescribed fees</w:t>
      </w:r>
      <w:r>
        <w:tab/>
      </w:r>
      <w:r>
        <w:fldChar w:fldCharType="begin"/>
      </w:r>
      <w:r>
        <w:instrText xml:space="preserve"> PAGEREF _Toc68767520 \h </w:instrText>
      </w:r>
      <w:r>
        <w:fldChar w:fldCharType="separate"/>
      </w:r>
      <w:r>
        <w:t>29</w:t>
      </w:r>
      <w:r>
        <w:fldChar w:fldCharType="end"/>
      </w:r>
    </w:p>
    <w:p w:rsidR="003E67DA" w:rsidRDefault="00645504">
      <w:pPr>
        <w:pStyle w:val="TOC8"/>
        <w:rPr>
          <w:rFonts w:asciiTheme="minorHAnsi" w:eastAsiaTheme="minorEastAsia" w:hAnsiTheme="minorHAnsi" w:cstheme="minorBidi"/>
          <w:szCs w:val="22"/>
        </w:rPr>
      </w:pPr>
      <w:r>
        <w:t>53.</w:t>
      </w:r>
      <w:r>
        <w:tab/>
        <w:t>Prescribed offences and modified penalties (s. 126)</w:t>
      </w:r>
      <w:r>
        <w:tab/>
      </w:r>
      <w:r>
        <w:fldChar w:fldCharType="begin"/>
      </w:r>
      <w:r>
        <w:instrText xml:space="preserve"> PAGEREF _Toc68767521 \h </w:instrText>
      </w:r>
      <w:r>
        <w:fldChar w:fldCharType="separate"/>
      </w:r>
      <w:r>
        <w:t>29</w:t>
      </w:r>
      <w:r>
        <w:fldChar w:fldCharType="end"/>
      </w:r>
    </w:p>
    <w:p w:rsidR="003E67DA" w:rsidRDefault="00645504">
      <w:pPr>
        <w:pStyle w:val="TOC8"/>
        <w:rPr>
          <w:rFonts w:asciiTheme="minorHAnsi" w:eastAsiaTheme="minorEastAsia" w:hAnsiTheme="minorHAnsi" w:cstheme="minorBidi"/>
          <w:szCs w:val="22"/>
        </w:rPr>
      </w:pPr>
      <w:r>
        <w:t>54.</w:t>
      </w:r>
      <w:r>
        <w:tab/>
        <w:t>Prescribed forms (s. 126(3) and (7))</w:t>
      </w:r>
      <w:r>
        <w:tab/>
      </w:r>
      <w:r>
        <w:fldChar w:fldCharType="begin"/>
      </w:r>
      <w:r>
        <w:instrText xml:space="preserve"> PAGEREF _Toc68767522 \h </w:instrText>
      </w:r>
      <w:r>
        <w:fldChar w:fldCharType="separate"/>
      </w:r>
      <w:r>
        <w:t>29</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t>Schedule 1 — Inspection fees</w:t>
      </w:r>
    </w:p>
    <w:p w:rsidR="003E67DA" w:rsidRDefault="00645504">
      <w:pPr>
        <w:pStyle w:val="TOC2"/>
        <w:tabs>
          <w:tab w:val="right" w:leader="dot" w:pos="7077"/>
        </w:tabs>
        <w:rPr>
          <w:rFonts w:asciiTheme="minorHAnsi" w:eastAsiaTheme="minorEastAsia" w:hAnsiTheme="minorHAnsi" w:cstheme="minorBidi"/>
          <w:b w:val="0"/>
          <w:sz w:val="22"/>
          <w:szCs w:val="22"/>
        </w:rPr>
      </w:pPr>
      <w:r>
        <w:t>Schedule 2 — Prescribed fees</w:t>
      </w:r>
    </w:p>
    <w:p w:rsidR="003E67DA" w:rsidRDefault="00645504">
      <w:pPr>
        <w:pStyle w:val="TOC2"/>
        <w:tabs>
          <w:tab w:val="right" w:leader="dot" w:pos="7077"/>
        </w:tabs>
        <w:rPr>
          <w:rFonts w:asciiTheme="minorHAnsi" w:eastAsiaTheme="minorEastAsia" w:hAnsiTheme="minorHAnsi" w:cstheme="minorBidi"/>
          <w:b w:val="0"/>
          <w:sz w:val="22"/>
          <w:szCs w:val="22"/>
        </w:rPr>
      </w:pPr>
      <w:r>
        <w:t xml:space="preserve">Schedule 3 — Prescribed </w:t>
      </w:r>
      <w:r>
        <w:t>offences and modified penalties</w:t>
      </w:r>
    </w:p>
    <w:p w:rsidR="003E67DA" w:rsidRDefault="00645504">
      <w:pPr>
        <w:pStyle w:val="TOC2"/>
        <w:tabs>
          <w:tab w:val="right" w:leader="dot" w:pos="7077"/>
        </w:tabs>
        <w:rPr>
          <w:rFonts w:asciiTheme="minorHAnsi" w:eastAsiaTheme="minorEastAsia" w:hAnsiTheme="minorHAnsi" w:cstheme="minorBidi"/>
          <w:b w:val="0"/>
          <w:sz w:val="22"/>
          <w:szCs w:val="22"/>
        </w:rPr>
      </w:pPr>
      <w:r>
        <w:t>Schedule 4 — Infringement notice</w:t>
      </w:r>
    </w:p>
    <w:p w:rsidR="003E67DA" w:rsidRDefault="00645504">
      <w:pPr>
        <w:pStyle w:val="TOC2"/>
        <w:tabs>
          <w:tab w:val="right" w:leader="dot" w:pos="7077"/>
        </w:tabs>
        <w:rPr>
          <w:rFonts w:asciiTheme="minorHAnsi" w:eastAsiaTheme="minorEastAsia" w:hAnsiTheme="minorHAnsi" w:cstheme="minorBidi"/>
          <w:b w:val="0"/>
          <w:sz w:val="22"/>
          <w:szCs w:val="22"/>
        </w:rPr>
      </w:pPr>
      <w:r>
        <w:t>Schedule 5 — Notice to withdraw infringement notice</w:t>
      </w:r>
    </w:p>
    <w:p w:rsidR="003E67DA" w:rsidRDefault="00645504">
      <w:pPr>
        <w:pStyle w:val="TOC2"/>
        <w:tabs>
          <w:tab w:val="right" w:leader="dot" w:pos="7077"/>
        </w:tabs>
        <w:rPr>
          <w:rFonts w:asciiTheme="minorHAnsi" w:eastAsiaTheme="minorEastAsia" w:hAnsiTheme="minorHAnsi" w:cstheme="minorBidi"/>
          <w:b w:val="0"/>
          <w:sz w:val="22"/>
          <w:szCs w:val="22"/>
        </w:rPr>
      </w:pPr>
      <w:r>
        <w:t>Notes</w:t>
      </w:r>
    </w:p>
    <w:p w:rsidR="003E67DA" w:rsidRDefault="00645504">
      <w:pPr>
        <w:pStyle w:val="TOC8"/>
        <w:rPr>
          <w:rFonts w:asciiTheme="minorHAnsi" w:eastAsiaTheme="minorEastAsia" w:hAnsiTheme="minorHAnsi" w:cstheme="minorBidi"/>
          <w:szCs w:val="22"/>
        </w:rPr>
      </w:pPr>
      <w:r>
        <w:tab/>
        <w:t>Compilation table</w:t>
      </w:r>
      <w:r>
        <w:tab/>
      </w:r>
      <w:r>
        <w:fldChar w:fldCharType="begin"/>
      </w:r>
      <w:r>
        <w:instrText xml:space="preserve"> PAGEREF _Toc68767529 \h </w:instrText>
      </w:r>
      <w:r>
        <w:fldChar w:fldCharType="separate"/>
      </w:r>
      <w:r>
        <w:t>38</w:t>
      </w:r>
      <w:r>
        <w:fldChar w:fldCharType="end"/>
      </w:r>
    </w:p>
    <w:p w:rsidR="003E67DA" w:rsidRDefault="00645504">
      <w:pPr>
        <w:pStyle w:val="TOC8"/>
        <w:rPr>
          <w:rFonts w:asciiTheme="minorHAnsi" w:eastAsiaTheme="minorEastAsia" w:hAnsiTheme="minorHAnsi" w:cstheme="minorBidi"/>
          <w:szCs w:val="22"/>
        </w:rPr>
      </w:pPr>
      <w:r>
        <w:tab/>
        <w:t>Other notes</w:t>
      </w:r>
      <w:r>
        <w:tab/>
      </w:r>
      <w:r>
        <w:fldChar w:fldCharType="begin"/>
      </w:r>
      <w:r>
        <w:instrText xml:space="preserve"> PAGEREF _Toc68767530 \h </w:instrText>
      </w:r>
      <w:r>
        <w:fldChar w:fldCharType="separate"/>
      </w:r>
      <w:r>
        <w:t>39</w:t>
      </w:r>
      <w:r>
        <w:fldChar w:fldCharType="end"/>
      </w:r>
    </w:p>
    <w:p w:rsidR="003E67DA" w:rsidRDefault="00645504">
      <w:pPr>
        <w:pStyle w:val="TOC2"/>
        <w:tabs>
          <w:tab w:val="right" w:leader="dot" w:pos="7077"/>
        </w:tabs>
        <w:rPr>
          <w:rFonts w:asciiTheme="minorHAnsi" w:eastAsiaTheme="minorEastAsia" w:hAnsiTheme="minorHAnsi" w:cstheme="minorBidi"/>
          <w:b w:val="0"/>
          <w:sz w:val="22"/>
          <w:szCs w:val="22"/>
        </w:rPr>
      </w:pPr>
      <w:r>
        <w:t>Defined terms</w:t>
      </w:r>
    </w:p>
    <w:p w:rsidR="003E67DA" w:rsidRDefault="0064550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3E67DA" w:rsidRDefault="003E67DA">
      <w:pPr>
        <w:pStyle w:val="NoteHeading"/>
        <w:sectPr w:rsidR="003E67DA">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3E67DA" w:rsidRDefault="00645504">
      <w:pPr>
        <w:pStyle w:val="PrincipalActReg"/>
      </w:pPr>
      <w:r>
        <w:lastRenderedPageBreak/>
        <w:t>Food Act 2008</w:t>
      </w:r>
    </w:p>
    <w:p w:rsidR="003E67DA" w:rsidRDefault="00645504">
      <w:pPr>
        <w:pStyle w:val="NameofActReg"/>
        <w:spacing w:before="960" w:after="800"/>
      </w:pPr>
      <w:r>
        <w:t>Food Regulations 2009</w:t>
      </w:r>
    </w:p>
    <w:p w:rsidR="003E67DA" w:rsidRDefault="00645504">
      <w:pPr>
        <w:pStyle w:val="Heading2"/>
        <w:pageBreakBefore w:val="0"/>
        <w:spacing w:before="240"/>
      </w:pPr>
      <w:bookmarkStart w:id="3" w:name="_Toc68693265"/>
      <w:bookmarkStart w:id="4" w:name="_Toc68696889"/>
      <w:bookmarkStart w:id="5" w:name="_Toc68767450"/>
      <w:r>
        <w:rPr>
          <w:rStyle w:val="CharPartNo"/>
        </w:rPr>
        <w:t>Part 1</w:t>
      </w:r>
      <w:r>
        <w:rPr>
          <w:rStyle w:val="CharDivNo"/>
        </w:rPr>
        <w:t> </w:t>
      </w:r>
      <w:r>
        <w:t>—</w:t>
      </w:r>
      <w:r>
        <w:rPr>
          <w:rStyle w:val="CharDivText"/>
        </w:rPr>
        <w:t> </w:t>
      </w:r>
      <w:r>
        <w:rPr>
          <w:rStyle w:val="CharPartText"/>
        </w:rPr>
        <w:t>Preliminary</w:t>
      </w:r>
      <w:bookmarkEnd w:id="3"/>
      <w:bookmarkEnd w:id="4"/>
      <w:bookmarkEnd w:id="5"/>
    </w:p>
    <w:p w:rsidR="003E67DA" w:rsidRDefault="00645504">
      <w:pPr>
        <w:pStyle w:val="Heading5"/>
      </w:pPr>
      <w:bookmarkStart w:id="6" w:name="_Toc68767451"/>
      <w:r>
        <w:rPr>
          <w:rStyle w:val="CharSectno"/>
        </w:rPr>
        <w:t>1</w:t>
      </w:r>
      <w:r>
        <w:t>.</w:t>
      </w:r>
      <w:r>
        <w:tab/>
        <w:t>Citation</w:t>
      </w:r>
      <w:bookmarkEnd w:id="6"/>
    </w:p>
    <w:p w:rsidR="003E67DA" w:rsidRDefault="00645504">
      <w:pPr>
        <w:pStyle w:val="Subsection"/>
      </w:pPr>
      <w:r>
        <w:tab/>
      </w:r>
      <w:r>
        <w:tab/>
      </w:r>
      <w:bookmarkStart w:id="7" w:name="Start_Cursor"/>
      <w:bookmarkEnd w:id="7"/>
      <w:r>
        <w:t xml:space="preserve">These regulations are the </w:t>
      </w:r>
      <w:r>
        <w:rPr>
          <w:i/>
        </w:rPr>
        <w:t>Food Regulations 2009</w:t>
      </w:r>
      <w:r>
        <w:t>.</w:t>
      </w:r>
    </w:p>
    <w:p w:rsidR="003E67DA" w:rsidRDefault="00645504">
      <w:pPr>
        <w:pStyle w:val="Heading5"/>
      </w:pPr>
      <w:bookmarkStart w:id="8" w:name="_Toc68767452"/>
      <w:r>
        <w:rPr>
          <w:rStyle w:val="CharSectno"/>
        </w:rPr>
        <w:t>2</w:t>
      </w:r>
      <w:r>
        <w:t>.</w:t>
      </w:r>
      <w:r>
        <w:tab/>
        <w:t>Commencement</w:t>
      </w:r>
      <w:bookmarkEnd w:id="8"/>
    </w:p>
    <w:p w:rsidR="003E67DA" w:rsidRDefault="00645504">
      <w:pPr>
        <w:pStyle w:val="Subsection"/>
      </w:pPr>
      <w:r>
        <w:tab/>
      </w:r>
      <w:r>
        <w:tab/>
        <w:t>These regulations come into operation as follows —</w:t>
      </w:r>
    </w:p>
    <w:p w:rsidR="003E67DA" w:rsidRDefault="00645504">
      <w:pPr>
        <w:pStyle w:val="Indenta"/>
      </w:pPr>
      <w:r>
        <w:tab/>
        <w:t>(a)</w:t>
      </w:r>
      <w:r>
        <w:tab/>
        <w:t>regulations 1 and 2 — on the d</w:t>
      </w:r>
      <w:r>
        <w:t xml:space="preserve">ay on which these regulations are published in the </w:t>
      </w:r>
      <w:r>
        <w:rPr>
          <w:i/>
          <w:iCs/>
        </w:rPr>
        <w:t>Gazette</w:t>
      </w:r>
      <w:r>
        <w:t>;</w:t>
      </w:r>
    </w:p>
    <w:p w:rsidR="003E67DA" w:rsidRDefault="00645504">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1</w:t>
      </w:r>
      <w:r>
        <w:t>.</w:t>
      </w:r>
    </w:p>
    <w:p w:rsidR="003E67DA" w:rsidRDefault="00645504">
      <w:pPr>
        <w:pStyle w:val="Heading5"/>
      </w:pPr>
      <w:bookmarkStart w:id="9" w:name="_Toc68767453"/>
      <w:r>
        <w:rPr>
          <w:rStyle w:val="CharSectno"/>
        </w:rPr>
        <w:t>3</w:t>
      </w:r>
      <w:r>
        <w:t>.</w:t>
      </w:r>
      <w:r>
        <w:tab/>
        <w:t>Terms used</w:t>
      </w:r>
      <w:bookmarkEnd w:id="9"/>
    </w:p>
    <w:p w:rsidR="003E67DA" w:rsidRDefault="00645504">
      <w:pPr>
        <w:pStyle w:val="Subsection"/>
      </w:pPr>
      <w:r>
        <w:tab/>
      </w:r>
      <w:r>
        <w:tab/>
        <w:t xml:space="preserve">In these regulations — </w:t>
      </w:r>
    </w:p>
    <w:p w:rsidR="003E67DA" w:rsidRDefault="00645504">
      <w:pPr>
        <w:pStyle w:val="Defstart"/>
      </w:pPr>
      <w:r>
        <w:tab/>
      </w:r>
      <w:r>
        <w:rPr>
          <w:rStyle w:val="CharDefText"/>
        </w:rPr>
        <w:t>abattoir</w:t>
      </w:r>
      <w:r>
        <w:t xml:space="preserve"> means premises used for or in con</w:t>
      </w:r>
      <w:r>
        <w:t>nection with the slaughtering of animals for human consumption, including holding yards and similar places;</w:t>
      </w:r>
    </w:p>
    <w:p w:rsidR="003E67DA" w:rsidRDefault="00645504">
      <w:pPr>
        <w:pStyle w:val="Defstart"/>
      </w:pPr>
      <w:r>
        <w:tab/>
      </w:r>
      <w:r>
        <w:rPr>
          <w:rStyle w:val="CharDefText"/>
        </w:rPr>
        <w:t>animal food processing premises</w:t>
      </w:r>
      <w:r>
        <w:t xml:space="preserve"> has the meaning given in regulation 17;</w:t>
      </w:r>
    </w:p>
    <w:p w:rsidR="003E67DA" w:rsidRDefault="00645504">
      <w:pPr>
        <w:pStyle w:val="Defstart"/>
      </w:pPr>
      <w:r>
        <w:tab/>
      </w:r>
      <w:r>
        <w:rPr>
          <w:rStyle w:val="CharDefText"/>
        </w:rPr>
        <w:t>district</w:t>
      </w:r>
      <w:r>
        <w:t xml:space="preserve"> means an area that has been declared to be a district under the </w:t>
      </w:r>
      <w:r>
        <w:rPr>
          <w:i/>
        </w:rPr>
        <w:t>L</w:t>
      </w:r>
      <w:r>
        <w:rPr>
          <w:i/>
        </w:rPr>
        <w:t>ocal Government Act 1995</w:t>
      </w:r>
      <w:r>
        <w:t>;</w:t>
      </w:r>
    </w:p>
    <w:p w:rsidR="003E67DA" w:rsidRDefault="00645504">
      <w:pPr>
        <w:pStyle w:val="Defstart"/>
      </w:pPr>
      <w:r>
        <w:tab/>
      </w:r>
      <w:r>
        <w:rPr>
          <w:rStyle w:val="CharDefText"/>
        </w:rPr>
        <w:t>FSC standard</w:t>
      </w:r>
      <w:r>
        <w:t xml:space="preserve"> means a standard that forms part of the Food Standards Code;</w:t>
      </w:r>
    </w:p>
    <w:p w:rsidR="003E67DA" w:rsidRDefault="00645504">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rsidR="003E67DA" w:rsidRDefault="00645504">
      <w:pPr>
        <w:pStyle w:val="Defstart"/>
      </w:pPr>
      <w:r>
        <w:lastRenderedPageBreak/>
        <w:tab/>
      </w:r>
      <w:r>
        <w:rPr>
          <w:rStyle w:val="CharDefText"/>
        </w:rPr>
        <w:t>retail pet meat shop</w:t>
      </w:r>
      <w:r>
        <w:t xml:space="preserve"> has the meaning given in regulation 17;</w:t>
      </w:r>
    </w:p>
    <w:p w:rsidR="003E67DA" w:rsidRDefault="00645504">
      <w:pPr>
        <w:pStyle w:val="Defstart"/>
      </w:pPr>
      <w:r>
        <w:tab/>
      </w:r>
      <w:r>
        <w:rPr>
          <w:rStyle w:val="CharDefText"/>
        </w:rPr>
        <w:t>wild game meat processing establishment</w:t>
      </w:r>
      <w:r>
        <w:t xml:space="preserve"> has the meaning given in the wild game standard;</w:t>
      </w:r>
    </w:p>
    <w:p w:rsidR="003E67DA" w:rsidRDefault="00645504">
      <w:pPr>
        <w:pStyle w:val="Defstart"/>
      </w:pPr>
      <w:r>
        <w:tab/>
      </w:r>
      <w:r>
        <w:rPr>
          <w:rStyle w:val="CharDefText"/>
        </w:rPr>
        <w:t>wild game standard</w:t>
      </w:r>
      <w:r>
        <w:t xml:space="preserve"> means the standard adopted under regulation 18(1)(e).</w:t>
      </w:r>
    </w:p>
    <w:p w:rsidR="003E67DA" w:rsidRDefault="00645504">
      <w:pPr>
        <w:pStyle w:val="Heading5"/>
      </w:pPr>
      <w:bookmarkStart w:id="10" w:name="_Toc68767454"/>
      <w:r>
        <w:rPr>
          <w:rStyle w:val="CharSectno"/>
        </w:rPr>
        <w:t>4</w:t>
      </w:r>
      <w:r>
        <w:t>.</w:t>
      </w:r>
      <w:r>
        <w:tab/>
        <w:t>Appropriate enforcement agency: CEO (s. 8)</w:t>
      </w:r>
      <w:bookmarkEnd w:id="10"/>
    </w:p>
    <w:p w:rsidR="003E67DA" w:rsidRDefault="00645504">
      <w:pPr>
        <w:pStyle w:val="Subsection"/>
      </w:pPr>
      <w:r>
        <w:tab/>
        <w:t>(1)</w:t>
      </w:r>
      <w:r>
        <w:tab/>
      </w:r>
      <w:r>
        <w:t xml:space="preserve">In this regulation — </w:t>
      </w:r>
    </w:p>
    <w:p w:rsidR="003E67DA" w:rsidRDefault="00645504">
      <w:pPr>
        <w:pStyle w:val="Defstart"/>
      </w:pPr>
      <w:r>
        <w:tab/>
      </w:r>
      <w:r>
        <w:rPr>
          <w:rStyle w:val="CharDefText"/>
        </w:rPr>
        <w:t>bivalve mollusc</w:t>
      </w:r>
      <w:r>
        <w:t xml:space="preserve"> has the meaning given in FSC standard 4.2.1;</w:t>
      </w:r>
    </w:p>
    <w:p w:rsidR="003E67DA" w:rsidRDefault="00645504">
      <w:pPr>
        <w:pStyle w:val="Defstart"/>
      </w:pPr>
      <w:r>
        <w:tab/>
      </w:r>
      <w:r>
        <w:rPr>
          <w:rStyle w:val="CharDefText"/>
        </w:rPr>
        <w:t>dairy primary production business</w:t>
      </w:r>
      <w:r>
        <w:t xml:space="preserve"> has the meaning given in FSC standard 4.2.4;</w:t>
      </w:r>
    </w:p>
    <w:p w:rsidR="003E67DA" w:rsidRDefault="00645504">
      <w:pPr>
        <w:pStyle w:val="Defstart"/>
      </w:pPr>
      <w:r>
        <w:tab/>
      </w:r>
      <w:r>
        <w:rPr>
          <w:rStyle w:val="CharDefText"/>
        </w:rPr>
        <w:t>dairy processing business</w:t>
      </w:r>
      <w:r>
        <w:t xml:space="preserve"> has the meaning given in FSC standard 4.2.4;</w:t>
      </w:r>
    </w:p>
    <w:p w:rsidR="003E67DA" w:rsidRDefault="00645504">
      <w:pPr>
        <w:pStyle w:val="Defstart"/>
      </w:pPr>
      <w:r>
        <w:tab/>
      </w:r>
      <w:r>
        <w:rPr>
          <w:rStyle w:val="CharDefText"/>
        </w:rPr>
        <w:t>dairy transport bus</w:t>
      </w:r>
      <w:r>
        <w:rPr>
          <w:rStyle w:val="CharDefText"/>
        </w:rPr>
        <w:t>iness</w:t>
      </w:r>
      <w:r>
        <w:t xml:space="preserve"> has the meaning given in FSC standard 4.2.4;</w:t>
      </w:r>
    </w:p>
    <w:p w:rsidR="003E67DA" w:rsidRDefault="00645504">
      <w:pPr>
        <w:pStyle w:val="Defstart"/>
      </w:pPr>
      <w:r>
        <w:tab/>
      </w:r>
      <w:r>
        <w:rPr>
          <w:rStyle w:val="CharDefText"/>
        </w:rPr>
        <w:t>King’s Park</w:t>
      </w:r>
      <w:r>
        <w:t xml:space="preserve"> means all of the land from time to time within Reserve No. 1720 classified as of Class A;</w:t>
      </w:r>
    </w:p>
    <w:p w:rsidR="003E67DA" w:rsidRDefault="00645504">
      <w:pPr>
        <w:pStyle w:val="Defstart"/>
      </w:pPr>
      <w:r>
        <w:tab/>
      </w:r>
      <w:r>
        <w:rPr>
          <w:rStyle w:val="CharDefText"/>
        </w:rPr>
        <w:t>manufacturing of seafood</w:t>
      </w:r>
      <w:r>
        <w:t xml:space="preserve"> has the meaning given in FSC standard 4.2.1;</w:t>
      </w:r>
    </w:p>
    <w:p w:rsidR="003E67DA" w:rsidRDefault="00645504">
      <w:pPr>
        <w:pStyle w:val="Defstart"/>
      </w:pPr>
      <w:r>
        <w:tab/>
      </w:r>
      <w:r>
        <w:rPr>
          <w:rStyle w:val="CharDefText"/>
        </w:rPr>
        <w:t>primary production of seafood</w:t>
      </w:r>
      <w:r>
        <w:t xml:space="preserve"> </w:t>
      </w:r>
      <w:r>
        <w:t>has the meaning given in FSC standard 4.2.1;</w:t>
      </w:r>
    </w:p>
    <w:p w:rsidR="003E67DA" w:rsidRDefault="00645504">
      <w:pPr>
        <w:pStyle w:val="Defstart"/>
      </w:pPr>
      <w:r>
        <w:tab/>
      </w:r>
      <w:r>
        <w:rPr>
          <w:rStyle w:val="CharDefText"/>
        </w:rPr>
        <w:t>public hospital</w:t>
      </w:r>
      <w:r>
        <w:t xml:space="preserve"> has the meaning given in the </w:t>
      </w:r>
      <w:r>
        <w:rPr>
          <w:i/>
        </w:rPr>
        <w:t xml:space="preserve">Health Services Act 2016 </w:t>
      </w:r>
      <w:r>
        <w:t>section 8(6);</w:t>
      </w:r>
    </w:p>
    <w:p w:rsidR="003E67DA" w:rsidRDefault="00645504">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rsidR="003E67DA" w:rsidRDefault="00645504">
      <w:pPr>
        <w:pStyle w:val="Subsection"/>
      </w:pPr>
      <w:r>
        <w:tab/>
        <w:t>(2)</w:t>
      </w:r>
      <w:r>
        <w:tab/>
        <w:t>For the</w:t>
      </w:r>
      <w:r>
        <w:t xml:space="preserv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rsidR="003E67DA" w:rsidRDefault="00645504">
      <w:pPr>
        <w:pStyle w:val="Indenta"/>
      </w:pPr>
      <w:r>
        <w:tab/>
        <w:t>(a)</w:t>
      </w:r>
      <w:r>
        <w:tab/>
        <w:t>is conducted at</w:t>
      </w:r>
      <w:r>
        <w:t xml:space="preserve"> a public hospital and prepares food for patients in the hospital; or</w:t>
      </w:r>
    </w:p>
    <w:p w:rsidR="003E67DA" w:rsidRDefault="00645504">
      <w:pPr>
        <w:pStyle w:val="Indenta"/>
      </w:pPr>
      <w:r>
        <w:lastRenderedPageBreak/>
        <w:tab/>
        <w:t>(b)</w:t>
      </w:r>
      <w:r>
        <w:tab/>
        <w:t>is a dairy primary production business, a dairy processing business or a dairy transport business; or</w:t>
      </w:r>
    </w:p>
    <w:p w:rsidR="003E67DA" w:rsidRDefault="00645504">
      <w:pPr>
        <w:pStyle w:val="Indenta"/>
      </w:pPr>
      <w:r>
        <w:tab/>
        <w:t>(c)</w:t>
      </w:r>
      <w:r>
        <w:tab/>
        <w:t>is engaged in the primary production of seafood, or the manufacturing of s</w:t>
      </w:r>
      <w:r>
        <w:t>eafood, if the seafood involved in that primary production or manufacturing consists of or includes bivalve molluscs; or</w:t>
      </w:r>
    </w:p>
    <w:p w:rsidR="003E67DA" w:rsidRDefault="00645504">
      <w:pPr>
        <w:pStyle w:val="Indenta"/>
      </w:pPr>
      <w:r>
        <w:tab/>
        <w:t>(da)</w:t>
      </w:r>
      <w:r>
        <w:tab/>
        <w:t>is conducted at premises located in King’s Park or on Rottnest Island; or</w:t>
      </w:r>
    </w:p>
    <w:p w:rsidR="003E67DA" w:rsidRDefault="00645504">
      <w:pPr>
        <w:pStyle w:val="Indenta"/>
      </w:pPr>
      <w:r>
        <w:tab/>
        <w:t>(d)</w:t>
      </w:r>
      <w:r>
        <w:tab/>
        <w:t>is not in a district.</w:t>
      </w:r>
    </w:p>
    <w:p w:rsidR="003E67DA" w:rsidRDefault="00645504">
      <w:pPr>
        <w:pStyle w:val="Footnotesection"/>
      </w:pPr>
      <w:r>
        <w:tab/>
        <w:t>[Regulation 4 amended: Gaze</w:t>
      </w:r>
      <w:r>
        <w:t>tte 20 Mar 2015 p. 905</w:t>
      </w:r>
      <w:r>
        <w:noBreakHyphen/>
        <w:t>6; 24 Jun 2016 p. 2312.]</w:t>
      </w:r>
    </w:p>
    <w:p w:rsidR="003E67DA" w:rsidRDefault="00645504">
      <w:pPr>
        <w:pStyle w:val="Heading5"/>
      </w:pPr>
      <w:bookmarkStart w:id="11" w:name="_Toc68767455"/>
      <w:r>
        <w:rPr>
          <w:rStyle w:val="CharSectno"/>
        </w:rPr>
        <w:t>5</w:t>
      </w:r>
      <w:r>
        <w:t>.</w:t>
      </w:r>
      <w:r>
        <w:tab/>
        <w:t>Appropriate enforcement agency: local government (s. 8)</w:t>
      </w:r>
      <w:bookmarkEnd w:id="11"/>
    </w:p>
    <w:p w:rsidR="003E67DA" w:rsidRDefault="00645504">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w:t>
      </w:r>
      <w:r>
        <w:t xml:space="preserve">oses of a provision — </w:t>
      </w:r>
    </w:p>
    <w:p w:rsidR="003E67DA" w:rsidRDefault="00645504">
      <w:pPr>
        <w:pStyle w:val="Indenta"/>
      </w:pPr>
      <w:r>
        <w:tab/>
        <w:t>(a)</w:t>
      </w:r>
      <w:r>
        <w:tab/>
        <w:t>if the CEO is not the appropriate enforcement agency for the purposes of the provision under regulation 4; and</w:t>
      </w:r>
    </w:p>
    <w:p w:rsidR="003E67DA" w:rsidRDefault="00645504">
      <w:pPr>
        <w:pStyle w:val="Indenta"/>
      </w:pPr>
      <w:r>
        <w:tab/>
        <w:t>(b)</w:t>
      </w:r>
      <w:r>
        <w:tab/>
        <w:t xml:space="preserve">to the extent to which the provision has effect in relation to — </w:t>
      </w:r>
    </w:p>
    <w:p w:rsidR="003E67DA" w:rsidRDefault="00645504">
      <w:pPr>
        <w:pStyle w:val="Indenti"/>
      </w:pPr>
      <w:r>
        <w:tab/>
        <w:t>(i)</w:t>
      </w:r>
      <w:r>
        <w:tab/>
        <w:t>a food business that is conducted at prem</w:t>
      </w:r>
      <w:r>
        <w:t>ises in the local government’s district; or</w:t>
      </w:r>
    </w:p>
    <w:p w:rsidR="003E67DA" w:rsidRDefault="00645504">
      <w:pPr>
        <w:pStyle w:val="Indenti"/>
      </w:pPr>
      <w:r>
        <w:tab/>
        <w:t>(ii)</w:t>
      </w:r>
      <w:r>
        <w:tab/>
        <w:t>animal food processing premises in the local government’s district; or</w:t>
      </w:r>
    </w:p>
    <w:p w:rsidR="003E67DA" w:rsidRDefault="00645504">
      <w:pPr>
        <w:pStyle w:val="Indenti"/>
      </w:pPr>
      <w:r>
        <w:tab/>
        <w:t>(iii)</w:t>
      </w:r>
      <w:r>
        <w:tab/>
        <w:t>a retail pet meat shop in the local government’s district.</w:t>
      </w:r>
    </w:p>
    <w:p w:rsidR="003E67DA" w:rsidRDefault="00645504">
      <w:pPr>
        <w:pStyle w:val="Heading5"/>
      </w:pPr>
      <w:bookmarkStart w:id="12" w:name="_Toc68767456"/>
      <w:r>
        <w:rPr>
          <w:rStyle w:val="CharSectno"/>
        </w:rPr>
        <w:t>6</w:t>
      </w:r>
      <w:r>
        <w:t>.</w:t>
      </w:r>
      <w:r>
        <w:tab/>
        <w:t xml:space="preserve">Food production activities that are not primary food production </w:t>
      </w:r>
      <w:r>
        <w:t>(s. 11(2))</w:t>
      </w:r>
      <w:bookmarkEnd w:id="12"/>
    </w:p>
    <w:p w:rsidR="003E67DA" w:rsidRDefault="00645504">
      <w:pPr>
        <w:pStyle w:val="Subsection"/>
      </w:pPr>
      <w:r>
        <w:tab/>
      </w:r>
      <w:r>
        <w:tab/>
        <w:t>For section 11(2) of the Act, any food production activity to which a standard in Chapter 4 of the Food Standards Code applies is prescribed.</w:t>
      </w:r>
    </w:p>
    <w:p w:rsidR="003E67DA" w:rsidRDefault="00645504">
      <w:pPr>
        <w:pStyle w:val="Heading2"/>
      </w:pPr>
      <w:bookmarkStart w:id="13" w:name="_Toc68693272"/>
      <w:bookmarkStart w:id="14" w:name="_Toc68696896"/>
      <w:bookmarkStart w:id="15" w:name="_Toc68767457"/>
      <w:r>
        <w:rPr>
          <w:rStyle w:val="CharPartNo"/>
        </w:rPr>
        <w:lastRenderedPageBreak/>
        <w:t>Part 2</w:t>
      </w:r>
      <w:r>
        <w:rPr>
          <w:rStyle w:val="CharDivNo"/>
        </w:rPr>
        <w:t> </w:t>
      </w:r>
      <w:r>
        <w:t>—</w:t>
      </w:r>
      <w:r>
        <w:rPr>
          <w:rStyle w:val="CharDivText"/>
        </w:rPr>
        <w:t> </w:t>
      </w:r>
      <w:r>
        <w:rPr>
          <w:rStyle w:val="CharPartText"/>
        </w:rPr>
        <w:t>Adoption of Food Standards Code</w:t>
      </w:r>
      <w:bookmarkEnd w:id="13"/>
      <w:bookmarkEnd w:id="14"/>
      <w:bookmarkEnd w:id="15"/>
    </w:p>
    <w:p w:rsidR="003E67DA" w:rsidRDefault="00645504">
      <w:pPr>
        <w:pStyle w:val="Heading5"/>
      </w:pPr>
      <w:bookmarkStart w:id="16" w:name="_Toc68767458"/>
      <w:r>
        <w:rPr>
          <w:rStyle w:val="CharSectno"/>
        </w:rPr>
        <w:t>7</w:t>
      </w:r>
      <w:r>
        <w:t>.</w:t>
      </w:r>
      <w:r>
        <w:tab/>
        <w:t>Adoption of Food Standards Code (s. 144(7))</w:t>
      </w:r>
      <w:bookmarkEnd w:id="16"/>
    </w:p>
    <w:p w:rsidR="003E67DA" w:rsidRDefault="00645504">
      <w:pPr>
        <w:pStyle w:val="Subsection"/>
      </w:pPr>
      <w:r>
        <w:tab/>
      </w:r>
      <w:r>
        <w:tab/>
        <w:t>Under secti</w:t>
      </w:r>
      <w:r>
        <w:t>on 144(7) of the Act, the Food Standards Code is adopted as in force from time to time.</w:t>
      </w:r>
    </w:p>
    <w:p w:rsidR="003E67DA" w:rsidRDefault="00645504">
      <w:pPr>
        <w:pStyle w:val="Heading5"/>
      </w:pPr>
      <w:bookmarkStart w:id="17" w:name="_Toc68767459"/>
      <w:r>
        <w:rPr>
          <w:rStyle w:val="CharSectno"/>
        </w:rPr>
        <w:t>8</w:t>
      </w:r>
      <w:r>
        <w:t>.</w:t>
      </w:r>
      <w:r>
        <w:tab/>
        <w:t>FSC standard 4.2.4 clause 15: express provision for goat’s milk</w:t>
      </w:r>
      <w:bookmarkEnd w:id="17"/>
    </w:p>
    <w:p w:rsidR="003E67DA" w:rsidRDefault="00645504">
      <w:pPr>
        <w:pStyle w:val="Subsection"/>
      </w:pPr>
      <w:r>
        <w:tab/>
      </w:r>
      <w:r>
        <w:tab/>
        <w:t>Clause 15 of FSC standard 4.2.4 does not apply to goat’s milk.</w:t>
      </w:r>
    </w:p>
    <w:p w:rsidR="003E67DA" w:rsidRDefault="00645504">
      <w:pPr>
        <w:pStyle w:val="Heading2"/>
      </w:pPr>
      <w:bookmarkStart w:id="18" w:name="_Toc68693275"/>
      <w:bookmarkStart w:id="19" w:name="_Toc68696899"/>
      <w:bookmarkStart w:id="20" w:name="_Toc68767460"/>
      <w:r>
        <w:rPr>
          <w:rStyle w:val="CharPartNo"/>
        </w:rPr>
        <w:lastRenderedPageBreak/>
        <w:t>Part 3</w:t>
      </w:r>
      <w:r>
        <w:rPr>
          <w:rStyle w:val="CharDivNo"/>
        </w:rPr>
        <w:t> </w:t>
      </w:r>
      <w:r>
        <w:t>—</w:t>
      </w:r>
      <w:r>
        <w:rPr>
          <w:rStyle w:val="CharDivText"/>
        </w:rPr>
        <w:t> </w:t>
      </w:r>
      <w:r>
        <w:rPr>
          <w:rStyle w:val="CharPartText"/>
        </w:rPr>
        <w:t>Exempted food businesses</w:t>
      </w:r>
      <w:bookmarkEnd w:id="18"/>
      <w:bookmarkEnd w:id="19"/>
      <w:bookmarkEnd w:id="20"/>
    </w:p>
    <w:p w:rsidR="003E67DA" w:rsidRDefault="00645504">
      <w:pPr>
        <w:pStyle w:val="Heading5"/>
      </w:pPr>
      <w:bookmarkStart w:id="21" w:name="_Toc68767461"/>
      <w:r>
        <w:rPr>
          <w:rStyle w:val="CharSectno"/>
        </w:rPr>
        <w:t>9</w:t>
      </w:r>
      <w:r>
        <w:t>.</w:t>
      </w:r>
      <w:r>
        <w:tab/>
        <w:t>Term used: potentially hazardous food</w:t>
      </w:r>
      <w:bookmarkEnd w:id="21"/>
    </w:p>
    <w:p w:rsidR="003E67DA" w:rsidRDefault="00645504">
      <w:pPr>
        <w:pStyle w:val="Subsection"/>
      </w:pPr>
      <w:r>
        <w:tab/>
      </w:r>
      <w:r>
        <w:tab/>
        <w:t xml:space="preserve">In this Part — </w:t>
      </w:r>
    </w:p>
    <w:p w:rsidR="003E67DA" w:rsidRDefault="00645504">
      <w:pPr>
        <w:pStyle w:val="Defstart"/>
      </w:pPr>
      <w:r>
        <w:tab/>
      </w:r>
      <w:r>
        <w:rPr>
          <w:rStyle w:val="CharDefText"/>
        </w:rPr>
        <w:t>potentially hazardous food</w:t>
      </w:r>
      <w:r>
        <w:t xml:space="preserve"> has the meaning given in FSC standard 3.2.2.</w:t>
      </w:r>
    </w:p>
    <w:p w:rsidR="003E67DA" w:rsidRDefault="00645504">
      <w:pPr>
        <w:pStyle w:val="Heading5"/>
      </w:pPr>
      <w:bookmarkStart w:id="22" w:name="_Toc68767462"/>
      <w:r>
        <w:rPr>
          <w:rStyle w:val="CharSectno"/>
        </w:rPr>
        <w:t>10</w:t>
      </w:r>
      <w:r>
        <w:t>.</w:t>
      </w:r>
      <w:r>
        <w:tab/>
        <w:t>Food businesses conducted as fundraising events (s. 109)</w:t>
      </w:r>
      <w:bookmarkEnd w:id="22"/>
    </w:p>
    <w:p w:rsidR="003E67DA" w:rsidRDefault="00645504">
      <w:pPr>
        <w:pStyle w:val="Subsection"/>
      </w:pPr>
      <w:r>
        <w:tab/>
        <w:t>(1)</w:t>
      </w:r>
      <w:r>
        <w:tab/>
        <w:t>For section 109 of the Act, a food business conducted at any</w:t>
      </w:r>
      <w:r>
        <w:t xml:space="preserve"> premises is an </w:t>
      </w:r>
      <w:r>
        <w:rPr>
          <w:rStyle w:val="CharDefText"/>
        </w:rPr>
        <w:t>exempted food business</w:t>
      </w:r>
      <w:r>
        <w:rPr>
          <w:b/>
          <w:bCs/>
          <w:i/>
          <w:iCs/>
        </w:rPr>
        <w:t xml:space="preserve"> </w:t>
      </w:r>
      <w:r>
        <w:t xml:space="preserve">in respect of those premises if — </w:t>
      </w:r>
    </w:p>
    <w:p w:rsidR="003E67DA" w:rsidRDefault="00645504">
      <w:pPr>
        <w:pStyle w:val="Indenta"/>
      </w:pPr>
      <w:r>
        <w:tab/>
        <w:t>(a)</w:t>
      </w:r>
      <w:r>
        <w:tab/>
        <w:t>the food business is conducted to raise money solely for purposes that are of a charitable or community nature; and</w:t>
      </w:r>
    </w:p>
    <w:p w:rsidR="003E67DA" w:rsidRDefault="00645504">
      <w:pPr>
        <w:pStyle w:val="Indenta"/>
      </w:pPr>
      <w:r>
        <w:tab/>
        <w:t>(b)</w:t>
      </w:r>
      <w:r>
        <w:tab/>
        <w:t>any food handled in the course of conducting the food bu</w:t>
      </w:r>
      <w:r>
        <w:t xml:space="preserve">siness — </w:t>
      </w:r>
    </w:p>
    <w:p w:rsidR="003E67DA" w:rsidRDefault="00645504">
      <w:pPr>
        <w:pStyle w:val="Indenti"/>
      </w:pPr>
      <w:r>
        <w:tab/>
        <w:t>(i)</w:t>
      </w:r>
      <w:r>
        <w:tab/>
        <w:t>is not potentially hazardous food; or</w:t>
      </w:r>
    </w:p>
    <w:p w:rsidR="003E67DA" w:rsidRDefault="00645504">
      <w:pPr>
        <w:pStyle w:val="Indenti"/>
      </w:pPr>
      <w:r>
        <w:tab/>
        <w:t>(ii)</w:t>
      </w:r>
      <w:r>
        <w:tab/>
        <w:t>after being appropriately cooked, is provided by the food business for immediate consumption.</w:t>
      </w:r>
    </w:p>
    <w:p w:rsidR="003E67DA" w:rsidRDefault="00645504">
      <w:pPr>
        <w:pStyle w:val="Subsection"/>
      </w:pPr>
      <w:r>
        <w:tab/>
        <w:t>(2)</w:t>
      </w:r>
      <w:r>
        <w:tab/>
        <w:t xml:space="preserve">If — </w:t>
      </w:r>
    </w:p>
    <w:p w:rsidR="003E67DA" w:rsidRDefault="00645504">
      <w:pPr>
        <w:pStyle w:val="Indenta"/>
        <w:spacing w:before="76"/>
      </w:pPr>
      <w:r>
        <w:tab/>
        <w:t>(a)</w:t>
      </w:r>
      <w:r>
        <w:tab/>
        <w:t>a food business conducted at any premises is an exempted food business under subregulat</w:t>
      </w:r>
      <w:r>
        <w:t>ion (1); and</w:t>
      </w:r>
    </w:p>
    <w:p w:rsidR="003E67DA" w:rsidRDefault="00645504">
      <w:pPr>
        <w:pStyle w:val="Indenta"/>
        <w:spacing w:before="76"/>
      </w:pPr>
      <w:r>
        <w:tab/>
        <w:t>(b)</w:t>
      </w:r>
      <w:r>
        <w:tab/>
        <w:t>notification is given by the proprietor of the food business under section 107(1) of the Act in respect of those premises,</w:t>
      </w:r>
    </w:p>
    <w:p w:rsidR="003E67DA" w:rsidRDefault="00645504">
      <w:pPr>
        <w:pStyle w:val="Subsection"/>
        <w:spacing w:before="120"/>
      </w:pPr>
      <w:r>
        <w:tab/>
      </w:r>
      <w:r>
        <w:tab/>
        <w:t>the requirement for the notification to be accompanied by a fee under section 107(3) or (4) of the Act does not a</w:t>
      </w:r>
      <w:r>
        <w:t>pply.</w:t>
      </w:r>
    </w:p>
    <w:p w:rsidR="003E67DA" w:rsidRDefault="00645504">
      <w:pPr>
        <w:pStyle w:val="Heading5"/>
      </w:pPr>
      <w:bookmarkStart w:id="23" w:name="_Toc68767463"/>
      <w:r>
        <w:rPr>
          <w:rStyle w:val="CharSectno"/>
        </w:rPr>
        <w:t>11</w:t>
      </w:r>
      <w:r>
        <w:t>.</w:t>
      </w:r>
      <w:r>
        <w:tab/>
        <w:t>Food businesses that sell certain packaged food (s. 109)</w:t>
      </w:r>
      <w:bookmarkEnd w:id="23"/>
    </w:p>
    <w:p w:rsidR="003E67DA" w:rsidRDefault="00645504">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rsidR="003E67DA" w:rsidRDefault="00645504">
      <w:pPr>
        <w:pStyle w:val="Indenta"/>
      </w:pPr>
      <w:r>
        <w:tab/>
        <w:t>(a</w:t>
      </w:r>
      <w:r>
        <w:t>)</w:t>
      </w:r>
      <w:r>
        <w:tab/>
        <w:t>that is not potentially hazardous food; and</w:t>
      </w:r>
    </w:p>
    <w:p w:rsidR="003E67DA" w:rsidRDefault="00645504">
      <w:pPr>
        <w:pStyle w:val="Indenta"/>
      </w:pPr>
      <w:r>
        <w:lastRenderedPageBreak/>
        <w:tab/>
        <w:t>(b)</w:t>
      </w:r>
      <w:r>
        <w:tab/>
        <w:t>that cannot be handled in the course of conducting the food business because the food is contained in a closed package.</w:t>
      </w:r>
    </w:p>
    <w:p w:rsidR="003E67DA" w:rsidRDefault="00645504">
      <w:pPr>
        <w:pStyle w:val="Heading5"/>
      </w:pPr>
      <w:bookmarkStart w:id="24" w:name="_Toc68767464"/>
      <w:r>
        <w:rPr>
          <w:rStyle w:val="CharSectno"/>
        </w:rPr>
        <w:t>12</w:t>
      </w:r>
      <w:r>
        <w:t>.</w:t>
      </w:r>
      <w:r>
        <w:tab/>
        <w:t xml:space="preserve">Food businesses that provide complimentary drinks in conjunction with another </w:t>
      </w:r>
      <w:r>
        <w:t>kind of business (s. 109)</w:t>
      </w:r>
      <w:bookmarkEnd w:id="24"/>
    </w:p>
    <w:p w:rsidR="003E67DA" w:rsidRDefault="00645504">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w:t>
      </w:r>
      <w:r>
        <w:t>usiness conducted at those premises that is not a food business.</w:t>
      </w:r>
    </w:p>
    <w:p w:rsidR="003E67DA" w:rsidRDefault="00645504">
      <w:pPr>
        <w:pStyle w:val="Heading5"/>
      </w:pPr>
      <w:bookmarkStart w:id="25" w:name="_Toc68767465"/>
      <w:r>
        <w:rPr>
          <w:rStyle w:val="CharSectno"/>
        </w:rPr>
        <w:t>13</w:t>
      </w:r>
      <w:r>
        <w:t>.</w:t>
      </w:r>
      <w:r>
        <w:tab/>
        <w:t>Food businesses conducted at registered establishments (s. 109)</w:t>
      </w:r>
      <w:bookmarkEnd w:id="25"/>
    </w:p>
    <w:p w:rsidR="003E67DA" w:rsidRDefault="00645504">
      <w:pPr>
        <w:pStyle w:val="Subsection"/>
      </w:pPr>
      <w:r>
        <w:tab/>
      </w:r>
      <w:r>
        <w:tab/>
        <w:t xml:space="preserve">For section 109 of the Act, a food business conducted at any premises is an </w:t>
      </w:r>
      <w:r>
        <w:rPr>
          <w:rStyle w:val="CharDefText"/>
        </w:rPr>
        <w:t>exempted food business</w:t>
      </w:r>
      <w:r>
        <w:t xml:space="preserve"> in respect of those pr</w:t>
      </w:r>
      <w:r>
        <w:t>emises if the premises are, or form part of, a registered establishment.</w:t>
      </w:r>
    </w:p>
    <w:p w:rsidR="003E67DA" w:rsidRDefault="00645504">
      <w:pPr>
        <w:pStyle w:val="Heading2"/>
      </w:pPr>
      <w:bookmarkStart w:id="26" w:name="_Toc68693281"/>
      <w:bookmarkStart w:id="27" w:name="_Toc68696905"/>
      <w:bookmarkStart w:id="28" w:name="_Toc68767466"/>
      <w:r>
        <w:rPr>
          <w:rStyle w:val="CharPartNo"/>
        </w:rPr>
        <w:lastRenderedPageBreak/>
        <w:t>Part 4</w:t>
      </w:r>
      <w:r>
        <w:rPr>
          <w:rStyle w:val="CharDivNo"/>
        </w:rPr>
        <w:t> </w:t>
      </w:r>
      <w:r>
        <w:t>—</w:t>
      </w:r>
      <w:r>
        <w:rPr>
          <w:rStyle w:val="CharDivText"/>
        </w:rPr>
        <w:t> </w:t>
      </w:r>
      <w:r>
        <w:rPr>
          <w:rStyle w:val="CharPartText"/>
        </w:rPr>
        <w:t>Control of pathogens</w:t>
      </w:r>
      <w:bookmarkEnd w:id="26"/>
      <w:bookmarkEnd w:id="27"/>
      <w:bookmarkEnd w:id="28"/>
    </w:p>
    <w:p w:rsidR="003E67DA" w:rsidRDefault="00645504">
      <w:pPr>
        <w:pStyle w:val="Heading5"/>
      </w:pPr>
      <w:bookmarkStart w:id="29" w:name="_Toc68767467"/>
      <w:r>
        <w:rPr>
          <w:rStyle w:val="CharSectno"/>
        </w:rPr>
        <w:t>14</w:t>
      </w:r>
      <w:r>
        <w:t>.</w:t>
      </w:r>
      <w:r>
        <w:tab/>
        <w:t>Term used: pathogen</w:t>
      </w:r>
      <w:bookmarkEnd w:id="29"/>
    </w:p>
    <w:p w:rsidR="003E67DA" w:rsidRDefault="00645504">
      <w:pPr>
        <w:pStyle w:val="Subsection"/>
      </w:pPr>
      <w:r>
        <w:tab/>
      </w:r>
      <w:r>
        <w:tab/>
        <w:t xml:space="preserve">In this Part — </w:t>
      </w:r>
    </w:p>
    <w:p w:rsidR="003E67DA" w:rsidRDefault="00645504">
      <w:pPr>
        <w:pStyle w:val="Defstart"/>
      </w:pPr>
      <w:r>
        <w:tab/>
      </w:r>
      <w:r>
        <w:rPr>
          <w:rStyle w:val="CharDefText"/>
        </w:rPr>
        <w:t>pathogen</w:t>
      </w:r>
      <w:r>
        <w:t xml:space="preserve"> means any of these pathogens — </w:t>
      </w:r>
    </w:p>
    <w:p w:rsidR="003E67DA" w:rsidRDefault="00645504">
      <w:pPr>
        <w:pStyle w:val="Defpara"/>
      </w:pPr>
      <w:r>
        <w:tab/>
        <w:t>(a)</w:t>
      </w:r>
      <w:r>
        <w:tab/>
      </w:r>
      <w:r>
        <w:rPr>
          <w:i/>
          <w:iCs/>
        </w:rPr>
        <w:t>Listeria monocytogenes</w:t>
      </w:r>
      <w:r>
        <w:t>;</w:t>
      </w:r>
    </w:p>
    <w:p w:rsidR="003E67DA" w:rsidRDefault="00645504">
      <w:pPr>
        <w:pStyle w:val="Defpara"/>
      </w:pPr>
      <w:r>
        <w:tab/>
        <w:t>(b)</w:t>
      </w:r>
      <w:r>
        <w:tab/>
        <w:t xml:space="preserve">all </w:t>
      </w:r>
      <w:r>
        <w:rPr>
          <w:i/>
          <w:iCs/>
        </w:rPr>
        <w:t>Salmonella</w:t>
      </w:r>
      <w:r>
        <w:t xml:space="preserve"> species;</w:t>
      </w:r>
    </w:p>
    <w:p w:rsidR="003E67DA" w:rsidRDefault="00645504">
      <w:pPr>
        <w:pStyle w:val="Defpara"/>
      </w:pPr>
      <w:r>
        <w:tab/>
        <w:t>(c)</w:t>
      </w:r>
      <w:r>
        <w:tab/>
        <w:t xml:space="preserve">all </w:t>
      </w:r>
      <w:r>
        <w:rPr>
          <w:i/>
          <w:iCs/>
        </w:rPr>
        <w:t xml:space="preserve">Shigella </w:t>
      </w:r>
      <w:r>
        <w:t>species;</w:t>
      </w:r>
    </w:p>
    <w:p w:rsidR="003E67DA" w:rsidRDefault="00645504">
      <w:pPr>
        <w:pStyle w:val="Defpara"/>
      </w:pPr>
      <w:r>
        <w:tab/>
        <w:t>(d)</w:t>
      </w:r>
      <w:r>
        <w:tab/>
        <w:t>verotoxigenic E. coli.</w:t>
      </w:r>
    </w:p>
    <w:p w:rsidR="003E67DA" w:rsidRDefault="00645504">
      <w:pPr>
        <w:pStyle w:val="Heading5"/>
      </w:pPr>
      <w:bookmarkStart w:id="30" w:name="_Toc68767468"/>
      <w:r>
        <w:rPr>
          <w:rStyle w:val="CharSectno"/>
        </w:rPr>
        <w:t>15</w:t>
      </w:r>
      <w:r>
        <w:t>.</w:t>
      </w:r>
      <w:r>
        <w:tab/>
        <w:t>CEO to be informed of isolation of pathogens associated with food businesses</w:t>
      </w:r>
      <w:bookmarkEnd w:id="30"/>
    </w:p>
    <w:p w:rsidR="003E67DA" w:rsidRDefault="00645504">
      <w:pPr>
        <w:pStyle w:val="Subsection"/>
      </w:pPr>
      <w:r>
        <w:tab/>
        <w:t>(1)</w:t>
      </w:r>
      <w:r>
        <w:tab/>
        <w:t xml:space="preserve">Subregulation (2) applies to a person if — </w:t>
      </w:r>
    </w:p>
    <w:p w:rsidR="003E67DA" w:rsidRDefault="00645504">
      <w:pPr>
        <w:pStyle w:val="Indenta"/>
      </w:pPr>
      <w:r>
        <w:tab/>
        <w:t>(a)</w:t>
      </w:r>
      <w:r>
        <w:tab/>
        <w:t>the person is the proprietor of a food business and is informed of the isol</w:t>
      </w:r>
      <w:r>
        <w:t>ation, or suspected isolation, of a pathogen from food, a person, premises, a vehicle or anything else associated with the food business; or</w:t>
      </w:r>
    </w:p>
    <w:p w:rsidR="003E67DA" w:rsidRDefault="00645504">
      <w:pPr>
        <w:pStyle w:val="Indenta"/>
      </w:pPr>
      <w:r>
        <w:tab/>
        <w:t>(b)</w:t>
      </w:r>
      <w:r>
        <w:tab/>
        <w:t>the person is in charge of a laboratory at which a pathogen is isolated, or suspected to have been isolated, f</w:t>
      </w:r>
      <w:r>
        <w:t>rom food, a person, premises, a vehicle or anything else associated with a food business.</w:t>
      </w:r>
    </w:p>
    <w:p w:rsidR="003E67DA" w:rsidRDefault="00645504">
      <w:pPr>
        <w:pStyle w:val="Subsection"/>
      </w:pPr>
      <w:r>
        <w:tab/>
        <w:t>(2)</w:t>
      </w:r>
      <w:r>
        <w:tab/>
        <w:t xml:space="preserve">The person — </w:t>
      </w:r>
    </w:p>
    <w:p w:rsidR="003E67DA" w:rsidRDefault="00645504">
      <w:pPr>
        <w:pStyle w:val="Indenta"/>
      </w:pPr>
      <w:r>
        <w:tab/>
        <w:t>(a)</w:t>
      </w:r>
      <w:r>
        <w:tab/>
        <w:t>must immediately give the CEO oral notice of the isolation, or suspected isolation, referred to in subregulation (1); and</w:t>
      </w:r>
    </w:p>
    <w:p w:rsidR="003E67DA" w:rsidRDefault="00645504">
      <w:pPr>
        <w:pStyle w:val="Indenta"/>
      </w:pPr>
      <w:r>
        <w:tab/>
        <w:t>(b)</w:t>
      </w:r>
      <w:r>
        <w:tab/>
        <w:t>within 24 hours</w:t>
      </w:r>
      <w:r>
        <w:t xml:space="preserve"> after giving the oral notice — must give the CEO written notice, in the approved form, confirming the oral notice.</w:t>
      </w:r>
    </w:p>
    <w:p w:rsidR="003E67DA" w:rsidRDefault="00645504">
      <w:pPr>
        <w:pStyle w:val="Penstart"/>
      </w:pPr>
      <w:r>
        <w:tab/>
        <w:t>Penalty: a fine of $5 000.</w:t>
      </w:r>
    </w:p>
    <w:p w:rsidR="003E67DA" w:rsidRDefault="00645504">
      <w:pPr>
        <w:pStyle w:val="Heading5"/>
      </w:pPr>
      <w:bookmarkStart w:id="31" w:name="_Toc68767469"/>
      <w:r>
        <w:rPr>
          <w:rStyle w:val="CharSectno"/>
        </w:rPr>
        <w:lastRenderedPageBreak/>
        <w:t>16</w:t>
      </w:r>
      <w:r>
        <w:t>.</w:t>
      </w:r>
      <w:r>
        <w:tab/>
        <w:t>CEO may give directions</w:t>
      </w:r>
      <w:bookmarkEnd w:id="31"/>
    </w:p>
    <w:p w:rsidR="003E67DA" w:rsidRDefault="00645504">
      <w:pPr>
        <w:pStyle w:val="Subsection"/>
      </w:pPr>
      <w:r>
        <w:tab/>
        <w:t>(1)</w:t>
      </w:r>
      <w:r>
        <w:tab/>
        <w:t>The CEO may give any person an oral or written direction as to the procedures t</w:t>
      </w:r>
      <w:r>
        <w:t>o be followed by the person in respect of a pathogen of which the CEO has been given notice under regulation 15.</w:t>
      </w:r>
    </w:p>
    <w:p w:rsidR="003E67DA" w:rsidRDefault="00645504">
      <w:pPr>
        <w:pStyle w:val="Subsection"/>
      </w:pPr>
      <w:r>
        <w:tab/>
        <w:t>(2)</w:t>
      </w:r>
      <w:r>
        <w:tab/>
        <w:t>A person must not, without reasonable excuse, fail to comply with a direction given to the person under subregulation (1).</w:t>
      </w:r>
    </w:p>
    <w:p w:rsidR="003E67DA" w:rsidRDefault="00645504">
      <w:pPr>
        <w:pStyle w:val="Penstart"/>
      </w:pPr>
      <w:r>
        <w:tab/>
        <w:t>Penalty: a fin</w:t>
      </w:r>
      <w:r>
        <w:t>e of $5 000.</w:t>
      </w:r>
    </w:p>
    <w:p w:rsidR="003E67DA" w:rsidRDefault="00645504">
      <w:pPr>
        <w:pStyle w:val="Subsection"/>
      </w:pPr>
      <w:r>
        <w:tab/>
        <w:t>(3)</w:t>
      </w:r>
      <w:r>
        <w:tab/>
        <w:t>If the CEO gives a person an oral direction under subregulation (1), the CEO must, as soon as is practicable, give the person a written direction confirming the oral direction.</w:t>
      </w:r>
    </w:p>
    <w:p w:rsidR="003E67DA" w:rsidRDefault="00645504">
      <w:pPr>
        <w:pStyle w:val="Subsection"/>
      </w:pPr>
      <w:r>
        <w:tab/>
        <w:t>(4)</w:t>
      </w:r>
      <w:r>
        <w:tab/>
        <w:t>Without limiting subregulation (1), the procedures in re</w:t>
      </w:r>
      <w:r>
        <w:t xml:space="preserve">lation to which a direction may be given under that subregulation include — </w:t>
      </w:r>
    </w:p>
    <w:p w:rsidR="003E67DA" w:rsidRDefault="00645504">
      <w:pPr>
        <w:pStyle w:val="Indenta"/>
      </w:pPr>
      <w:r>
        <w:tab/>
        <w:t>(a)</w:t>
      </w:r>
      <w:r>
        <w:tab/>
        <w:t>the preparation, packing, storing, handling, conveying, disposal or isolation of food that contains, or is suspected to contain, a pathogen; and</w:t>
      </w:r>
    </w:p>
    <w:p w:rsidR="003E67DA" w:rsidRDefault="00645504">
      <w:pPr>
        <w:pStyle w:val="Indenta"/>
      </w:pPr>
      <w:r>
        <w:tab/>
        <w:t>(b)</w:t>
      </w:r>
      <w:r>
        <w:tab/>
        <w:t>the procedures to be und</w:t>
      </w:r>
      <w:r>
        <w:t>ertaken to complete the identification of the micro</w:t>
      </w:r>
      <w:r>
        <w:noBreakHyphen/>
        <w:t>organism that is, or is suspected to be, a pathogen.</w:t>
      </w:r>
    </w:p>
    <w:p w:rsidR="003E67DA" w:rsidRDefault="00645504">
      <w:pPr>
        <w:pStyle w:val="Heading2"/>
      </w:pPr>
      <w:bookmarkStart w:id="32" w:name="_Toc68693285"/>
      <w:bookmarkStart w:id="33" w:name="_Toc68696909"/>
      <w:bookmarkStart w:id="34" w:name="_Toc68767470"/>
      <w:r>
        <w:rPr>
          <w:rStyle w:val="CharPartNo"/>
        </w:rPr>
        <w:lastRenderedPageBreak/>
        <w:t>Part 5</w:t>
      </w:r>
      <w:r>
        <w:t> — </w:t>
      </w:r>
      <w:r>
        <w:rPr>
          <w:rStyle w:val="CharPartText"/>
        </w:rPr>
        <w:t>Meat hygiene</w:t>
      </w:r>
      <w:bookmarkEnd w:id="32"/>
      <w:bookmarkEnd w:id="33"/>
      <w:bookmarkEnd w:id="34"/>
    </w:p>
    <w:p w:rsidR="003E67DA" w:rsidRDefault="00645504">
      <w:pPr>
        <w:pStyle w:val="Heading3"/>
      </w:pPr>
      <w:bookmarkStart w:id="35" w:name="_Toc68693286"/>
      <w:bookmarkStart w:id="36" w:name="_Toc68696910"/>
      <w:bookmarkStart w:id="37" w:name="_Toc68767471"/>
      <w:r>
        <w:rPr>
          <w:rStyle w:val="CharDivNo"/>
        </w:rPr>
        <w:t>Division 1</w:t>
      </w:r>
      <w:r>
        <w:t> — </w:t>
      </w:r>
      <w:r>
        <w:rPr>
          <w:rStyle w:val="CharDivText"/>
        </w:rPr>
        <w:t>Preliminary</w:t>
      </w:r>
      <w:bookmarkEnd w:id="35"/>
      <w:bookmarkEnd w:id="36"/>
      <w:bookmarkEnd w:id="37"/>
    </w:p>
    <w:p w:rsidR="003E67DA" w:rsidRDefault="00645504">
      <w:pPr>
        <w:pStyle w:val="Heading5"/>
      </w:pPr>
      <w:bookmarkStart w:id="38" w:name="_Toc68767472"/>
      <w:r>
        <w:rPr>
          <w:rStyle w:val="CharSectno"/>
        </w:rPr>
        <w:t>17</w:t>
      </w:r>
      <w:r>
        <w:t>.</w:t>
      </w:r>
      <w:r>
        <w:tab/>
        <w:t>Terms used</w:t>
      </w:r>
      <w:bookmarkEnd w:id="38"/>
    </w:p>
    <w:p w:rsidR="003E67DA" w:rsidRDefault="00645504">
      <w:pPr>
        <w:pStyle w:val="Subsection"/>
      </w:pPr>
      <w:r>
        <w:tab/>
      </w:r>
      <w:r>
        <w:tab/>
        <w:t xml:space="preserve">In this Part — </w:t>
      </w:r>
    </w:p>
    <w:p w:rsidR="003E67DA" w:rsidRDefault="00645504">
      <w:pPr>
        <w:pStyle w:val="Defstart"/>
      </w:pPr>
      <w:r>
        <w:tab/>
      </w:r>
      <w:r>
        <w:rPr>
          <w:rStyle w:val="CharDefText"/>
        </w:rPr>
        <w:t>adopted standard</w:t>
      </w:r>
      <w:r>
        <w:t xml:space="preserve"> means a standard adopted under regulation 18(1);</w:t>
      </w:r>
    </w:p>
    <w:p w:rsidR="003E67DA" w:rsidRDefault="00645504">
      <w:pPr>
        <w:pStyle w:val="Defstart"/>
      </w:pPr>
      <w:r>
        <w:tab/>
      </w:r>
      <w:r>
        <w:rPr>
          <w:rStyle w:val="CharDefText"/>
        </w:rPr>
        <w:t>animal</w:t>
      </w:r>
      <w:r>
        <w:t xml:space="preserve"> does not include a fish, crustacean or mollusc;</w:t>
      </w:r>
    </w:p>
    <w:p w:rsidR="003E67DA" w:rsidRDefault="00645504">
      <w:pPr>
        <w:pStyle w:val="Defstart"/>
      </w:pPr>
      <w:r>
        <w:tab/>
      </w:r>
      <w:r>
        <w:rPr>
          <w:rStyle w:val="CharDefText"/>
        </w:rPr>
        <w:t>animal food processing premises</w:t>
      </w:r>
      <w:r>
        <w:t xml:space="preserve"> means — </w:t>
      </w:r>
    </w:p>
    <w:p w:rsidR="003E67DA" w:rsidRDefault="00645504">
      <w:pPr>
        <w:pStyle w:val="Defpara"/>
      </w:pPr>
      <w:r>
        <w:tab/>
        <w:t>(a)</w:t>
      </w:r>
      <w:r>
        <w:tab/>
        <w:t>a pet meat processing establishment; or</w:t>
      </w:r>
    </w:p>
    <w:p w:rsidR="003E67DA" w:rsidRDefault="00645504">
      <w:pPr>
        <w:pStyle w:val="Defpara"/>
      </w:pPr>
      <w:r>
        <w:tab/>
        <w:t>(b)</w:t>
      </w:r>
      <w:r>
        <w:tab/>
        <w:t>a knackery;</w:t>
      </w:r>
    </w:p>
    <w:p w:rsidR="003E67DA" w:rsidRDefault="00645504">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rsidR="003E67DA" w:rsidRDefault="00645504">
      <w:pPr>
        <w:pStyle w:val="Defstart"/>
      </w:pPr>
      <w:r>
        <w:tab/>
      </w:r>
      <w:r>
        <w:rPr>
          <w:rStyle w:val="CharDefText"/>
        </w:rPr>
        <w:t>carcase</w:t>
      </w:r>
      <w:r>
        <w:t xml:space="preserve"> means the whole or part of the body of a slaughtered animal but does not include any part of the</w:t>
      </w:r>
      <w:r>
        <w:t xml:space="preserve"> body (such as blood, viscera, head or hide) removed or severed during or immediately following slaughter;</w:t>
      </w:r>
    </w:p>
    <w:p w:rsidR="003E67DA" w:rsidRDefault="00645504">
      <w:pPr>
        <w:pStyle w:val="Defstart"/>
      </w:pPr>
      <w:r>
        <w:tab/>
      </w:r>
      <w:r>
        <w:rPr>
          <w:rStyle w:val="CharDefText"/>
        </w:rPr>
        <w:t>field depot</w:t>
      </w:r>
      <w:r>
        <w:t xml:space="preserve"> has the meaning given in the wild game standard;</w:t>
      </w:r>
    </w:p>
    <w:p w:rsidR="003E67DA" w:rsidRDefault="00645504">
      <w:pPr>
        <w:pStyle w:val="Defstart"/>
      </w:pPr>
      <w:r>
        <w:tab/>
      </w:r>
      <w:r>
        <w:rPr>
          <w:rStyle w:val="CharDefText"/>
        </w:rPr>
        <w:t>game</w:t>
      </w:r>
      <w:r>
        <w:t xml:space="preserve"> means bird, buffalo, camel, deer, donkey, goat, hare, horse, kangaroo, rabbit, pi</w:t>
      </w:r>
      <w:r>
        <w:t>g, possum or wallaby;</w:t>
      </w:r>
    </w:p>
    <w:p w:rsidR="003E67DA" w:rsidRDefault="00645504">
      <w:pPr>
        <w:pStyle w:val="Defstart"/>
      </w:pPr>
      <w:r>
        <w:tab/>
      </w:r>
      <w:r>
        <w:rPr>
          <w:rStyle w:val="CharDefText"/>
        </w:rPr>
        <w:t>game meat</w:t>
      </w:r>
      <w:r>
        <w:t xml:space="preserve"> has the meaning given in FSC standard 1.6.2;</w:t>
      </w:r>
    </w:p>
    <w:p w:rsidR="003E67DA" w:rsidRDefault="00645504">
      <w:pPr>
        <w:pStyle w:val="Defstart"/>
      </w:pPr>
      <w:r>
        <w:tab/>
      </w:r>
      <w:r>
        <w:rPr>
          <w:rStyle w:val="CharDefText"/>
        </w:rPr>
        <w:t>knackery</w:t>
      </w:r>
      <w:r>
        <w:t xml:space="preserve"> means premises at which animals are slaughtered for the production of pet meat;</w:t>
      </w:r>
    </w:p>
    <w:p w:rsidR="003E67DA" w:rsidRDefault="00645504">
      <w:pPr>
        <w:pStyle w:val="Defstart"/>
      </w:pPr>
      <w:r>
        <w:tab/>
      </w:r>
      <w:r>
        <w:rPr>
          <w:rStyle w:val="CharDefText"/>
        </w:rPr>
        <w:t>meat</w:t>
      </w:r>
      <w:r>
        <w:t xml:space="preserve"> has the meaning given in FSC standard 2.2.1;</w:t>
      </w:r>
    </w:p>
    <w:p w:rsidR="003E67DA" w:rsidRDefault="00645504">
      <w:pPr>
        <w:pStyle w:val="Defstart"/>
      </w:pPr>
      <w:r>
        <w:tab/>
      </w:r>
      <w:r>
        <w:rPr>
          <w:rStyle w:val="CharDefText"/>
        </w:rPr>
        <w:t>meat standard</w:t>
      </w:r>
      <w:r>
        <w:t xml:space="preserve"> means the standard ado</w:t>
      </w:r>
      <w:r>
        <w:t>pted under regulation 18(1)(a);</w:t>
      </w:r>
    </w:p>
    <w:p w:rsidR="003E67DA" w:rsidRDefault="00645504">
      <w:pPr>
        <w:pStyle w:val="Defstart"/>
      </w:pPr>
      <w:r>
        <w:tab/>
      </w:r>
      <w:r>
        <w:rPr>
          <w:rStyle w:val="CharDefText"/>
        </w:rPr>
        <w:t>pet meat</w:t>
      </w:r>
      <w:r>
        <w:t xml:space="preserve"> means raw meat or raw game meat that is intended for consumption by animals that are domesticated or kept in captivity;</w:t>
      </w:r>
    </w:p>
    <w:p w:rsidR="003E67DA" w:rsidRDefault="00645504">
      <w:pPr>
        <w:pStyle w:val="Defstart"/>
      </w:pPr>
      <w:r>
        <w:lastRenderedPageBreak/>
        <w:t xml:space="preserve"> </w:t>
      </w:r>
      <w:r>
        <w:tab/>
      </w:r>
      <w:r>
        <w:rPr>
          <w:rStyle w:val="CharDefText"/>
        </w:rPr>
        <w:t>pet meat processing establishment</w:t>
      </w:r>
      <w:r>
        <w:t xml:space="preserve"> means premises at which pet meat is processed, identified,</w:t>
      </w:r>
      <w:r>
        <w:t xml:space="preserve"> handled, packed or stored;</w:t>
      </w:r>
    </w:p>
    <w:p w:rsidR="003E67DA" w:rsidRDefault="00645504">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rsidR="003E67DA" w:rsidRDefault="00645504">
      <w:pPr>
        <w:pStyle w:val="Defstart"/>
      </w:pPr>
      <w:r>
        <w:tab/>
      </w:r>
      <w:r>
        <w:rPr>
          <w:rStyle w:val="CharDefText"/>
        </w:rPr>
        <w:t>processing premises</w:t>
      </w:r>
      <w:r>
        <w:t xml:space="preserve"> means — </w:t>
      </w:r>
    </w:p>
    <w:p w:rsidR="003E67DA" w:rsidRDefault="00645504">
      <w:pPr>
        <w:pStyle w:val="Defpara"/>
      </w:pPr>
      <w:r>
        <w:tab/>
        <w:t>(a)</w:t>
      </w:r>
      <w:r>
        <w:tab/>
        <w:t>premises w</w:t>
      </w:r>
      <w:r>
        <w:t>here meat is processed for human consumption; or</w:t>
      </w:r>
    </w:p>
    <w:p w:rsidR="003E67DA" w:rsidRDefault="00645504">
      <w:pPr>
        <w:pStyle w:val="Defpara"/>
      </w:pPr>
      <w:r>
        <w:tab/>
        <w:t>(b)</w:t>
      </w:r>
      <w:r>
        <w:tab/>
        <w:t>premises where smallgoods are manufactured; or</w:t>
      </w:r>
    </w:p>
    <w:p w:rsidR="003E67DA" w:rsidRDefault="00645504">
      <w:pPr>
        <w:pStyle w:val="Defpara"/>
      </w:pPr>
      <w:r>
        <w:tab/>
        <w:t>(c)</w:t>
      </w:r>
      <w:r>
        <w:tab/>
        <w:t>butchers’ premises where the butcher supplies meat and meat products for further processing and sale (whether or not in conjunction with retail sales)</w:t>
      </w:r>
      <w:r>
        <w:t>,</w:t>
      </w:r>
    </w:p>
    <w:p w:rsidR="003E67DA" w:rsidRDefault="00645504">
      <w:pPr>
        <w:pStyle w:val="Defstart"/>
      </w:pPr>
      <w:r>
        <w:tab/>
        <w:t xml:space="preserve">but does not include — </w:t>
      </w:r>
    </w:p>
    <w:p w:rsidR="003E67DA" w:rsidRDefault="00645504">
      <w:pPr>
        <w:pStyle w:val="Defpara"/>
      </w:pPr>
      <w:r>
        <w:tab/>
        <w:t>(d)</w:t>
      </w:r>
      <w:r>
        <w:tab/>
        <w:t>butchers’ premises, or other premises, if the sales from the premises are predominantly retail sales; or</w:t>
      </w:r>
    </w:p>
    <w:p w:rsidR="003E67DA" w:rsidRDefault="00645504">
      <w:pPr>
        <w:pStyle w:val="Defpara"/>
      </w:pPr>
      <w:r>
        <w:tab/>
        <w:t>(e)</w:t>
      </w:r>
      <w:r>
        <w:tab/>
        <w:t>field depots or wild game meat processing establishments;</w:t>
      </w:r>
    </w:p>
    <w:p w:rsidR="003E67DA" w:rsidRDefault="00645504">
      <w:pPr>
        <w:pStyle w:val="Defstart"/>
      </w:pPr>
      <w:r>
        <w:tab/>
      </w:r>
      <w:r>
        <w:rPr>
          <w:rStyle w:val="CharDefText"/>
        </w:rPr>
        <w:t>proprietor</w:t>
      </w:r>
      <w:r>
        <w:t>, of an abattoir, processing premises or othe</w:t>
      </w:r>
      <w:r>
        <w:t>r premises at which a food business is conducted, means the proprietor of the food business conducted at those premises;</w:t>
      </w:r>
    </w:p>
    <w:p w:rsidR="003E67DA" w:rsidRDefault="00645504">
      <w:pPr>
        <w:pStyle w:val="Defstart"/>
      </w:pPr>
      <w:r>
        <w:tab/>
      </w:r>
      <w:r>
        <w:rPr>
          <w:rStyle w:val="CharDefText"/>
        </w:rPr>
        <w:t>proprietor</w:t>
      </w:r>
      <w:r>
        <w:t xml:space="preserve">, of animal food processing premises, means — </w:t>
      </w:r>
    </w:p>
    <w:p w:rsidR="003E67DA" w:rsidRDefault="00645504">
      <w:pPr>
        <w:pStyle w:val="Defpara"/>
      </w:pPr>
      <w:r>
        <w:tab/>
        <w:t>(a)</w:t>
      </w:r>
      <w:r>
        <w:tab/>
        <w:t>the person carrying on the business conducted at those premises; or</w:t>
      </w:r>
    </w:p>
    <w:p w:rsidR="003E67DA" w:rsidRDefault="00645504">
      <w:pPr>
        <w:pStyle w:val="Defpara"/>
      </w:pPr>
      <w:r>
        <w:tab/>
        <w:t>(b)</w:t>
      </w:r>
      <w:r>
        <w:tab/>
        <w:t>if that person cannot be identified — the person in charge of that business;</w:t>
      </w:r>
    </w:p>
    <w:p w:rsidR="003E67DA" w:rsidRDefault="00645504">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w:t>
      </w:r>
      <w:r>
        <w:t>sold).</w:t>
      </w:r>
    </w:p>
    <w:p w:rsidR="003E67DA" w:rsidRDefault="00645504">
      <w:pPr>
        <w:pStyle w:val="Heading3"/>
        <w:spacing w:before="900"/>
      </w:pPr>
      <w:bookmarkStart w:id="39" w:name="_Toc68693288"/>
      <w:bookmarkStart w:id="40" w:name="_Toc68696912"/>
      <w:bookmarkStart w:id="41" w:name="_Toc68767473"/>
      <w:r>
        <w:rPr>
          <w:rStyle w:val="CharDivNo"/>
        </w:rPr>
        <w:lastRenderedPageBreak/>
        <w:t>Division 2</w:t>
      </w:r>
      <w:r>
        <w:t> — </w:t>
      </w:r>
      <w:r>
        <w:rPr>
          <w:rStyle w:val="CharDivText"/>
        </w:rPr>
        <w:t>Adoption of certain Australian Standards</w:t>
      </w:r>
      <w:bookmarkEnd w:id="39"/>
      <w:bookmarkEnd w:id="40"/>
      <w:bookmarkEnd w:id="41"/>
    </w:p>
    <w:p w:rsidR="003E67DA" w:rsidRDefault="00645504">
      <w:pPr>
        <w:pStyle w:val="Heading5"/>
      </w:pPr>
      <w:bookmarkStart w:id="42" w:name="_Toc68767474"/>
      <w:r>
        <w:rPr>
          <w:rStyle w:val="CharSectno"/>
        </w:rPr>
        <w:t>18</w:t>
      </w:r>
      <w:r>
        <w:t>.</w:t>
      </w:r>
      <w:r>
        <w:tab/>
        <w:t>Adoption of certain Australian Standards (s. 144(6))</w:t>
      </w:r>
      <w:bookmarkEnd w:id="42"/>
    </w:p>
    <w:p w:rsidR="003E67DA" w:rsidRDefault="00645504">
      <w:pPr>
        <w:pStyle w:val="Subsection"/>
      </w:pPr>
      <w:r>
        <w:tab/>
        <w:t>(1)</w:t>
      </w:r>
      <w:r>
        <w:tab/>
        <w:t>Under section 144(6) of the Act, these standards are adopted as in force from time to time and with the modifications described in re</w:t>
      </w:r>
      <w:r>
        <w:t xml:space="preserve">gulation 19 — </w:t>
      </w:r>
    </w:p>
    <w:p w:rsidR="003E67DA" w:rsidRDefault="00645504">
      <w:pPr>
        <w:pStyle w:val="Indenta"/>
      </w:pPr>
      <w:r>
        <w:tab/>
        <w:t>(a)</w:t>
      </w:r>
      <w:r>
        <w:tab/>
        <w:t xml:space="preserve">the </w:t>
      </w:r>
      <w:r>
        <w:rPr>
          <w:i/>
          <w:iCs/>
        </w:rPr>
        <w:t>Australian Standard for the Hygienic Production and Transportation of Meat and Meat Products for Human Consumption</w:t>
      </w:r>
      <w:r>
        <w:t xml:space="preserve"> (AS 4696);</w:t>
      </w:r>
    </w:p>
    <w:p w:rsidR="003E67DA" w:rsidRDefault="00645504">
      <w:pPr>
        <w:pStyle w:val="Indenta"/>
      </w:pPr>
      <w:r>
        <w:tab/>
        <w:t>(b)</w:t>
      </w:r>
      <w:r>
        <w:tab/>
        <w:t xml:space="preserve">the </w:t>
      </w:r>
      <w:r>
        <w:rPr>
          <w:i/>
          <w:iCs/>
        </w:rPr>
        <w:t>Australian Standard for Hygienic Production of Rabbit Meat for Human Consumption</w:t>
      </w:r>
      <w:r>
        <w:t xml:space="preserve"> (AS 4466);</w:t>
      </w:r>
    </w:p>
    <w:p w:rsidR="003E67DA" w:rsidRDefault="00645504">
      <w:pPr>
        <w:pStyle w:val="Indenta"/>
      </w:pPr>
      <w:r>
        <w:tab/>
        <w:t>(c)</w:t>
      </w:r>
      <w:r>
        <w:tab/>
      </w:r>
      <w:r>
        <w:t xml:space="preserve">the </w:t>
      </w:r>
      <w:r>
        <w:rPr>
          <w:i/>
          <w:iCs/>
        </w:rPr>
        <w:t xml:space="preserve">Australian Standard for the Hygienic Production of Ratite (Emu/Ostrich) Meat for Human Consumption </w:t>
      </w:r>
      <w:r>
        <w:t>(AS 5010);</w:t>
      </w:r>
    </w:p>
    <w:p w:rsidR="003E67DA" w:rsidRDefault="00645504">
      <w:pPr>
        <w:pStyle w:val="Indenta"/>
      </w:pPr>
      <w:r>
        <w:tab/>
        <w:t>(d)</w:t>
      </w:r>
      <w:r>
        <w:tab/>
        <w:t xml:space="preserve">the </w:t>
      </w:r>
      <w:r>
        <w:rPr>
          <w:i/>
          <w:iCs/>
        </w:rPr>
        <w:t>Australian Standard for Hygienic Production of Crocodile Meat for Human Consumption</w:t>
      </w:r>
      <w:r>
        <w:t xml:space="preserve"> (AS 4467);</w:t>
      </w:r>
    </w:p>
    <w:p w:rsidR="003E67DA" w:rsidRDefault="00645504">
      <w:pPr>
        <w:pStyle w:val="Indenta"/>
      </w:pPr>
      <w:r>
        <w:tab/>
        <w:t>(e)</w:t>
      </w:r>
      <w:r>
        <w:tab/>
        <w:t xml:space="preserve">the </w:t>
      </w:r>
      <w:r>
        <w:rPr>
          <w:i/>
          <w:iCs/>
        </w:rPr>
        <w:t>Australian Standard for Hygie</w:t>
      </w:r>
      <w:r>
        <w:rPr>
          <w:i/>
          <w:iCs/>
        </w:rPr>
        <w:t>nic Production of Wild Game Meat for Human Consumption</w:t>
      </w:r>
      <w:r>
        <w:t xml:space="preserve"> (AS 4464);</w:t>
      </w:r>
    </w:p>
    <w:p w:rsidR="003E67DA" w:rsidRDefault="00645504">
      <w:pPr>
        <w:pStyle w:val="Indenta"/>
      </w:pPr>
      <w:r>
        <w:tab/>
        <w:t>(f)</w:t>
      </w:r>
      <w:r>
        <w:tab/>
        <w:t xml:space="preserve">the </w:t>
      </w:r>
      <w:r>
        <w:rPr>
          <w:i/>
          <w:iCs/>
        </w:rPr>
        <w:t>Australian Standard for Construction of Premises and Hygienic Production of Poultry Meat for Human Consumption</w:t>
      </w:r>
      <w:r>
        <w:t xml:space="preserve"> (AS 4465);</w:t>
      </w:r>
    </w:p>
    <w:p w:rsidR="003E67DA" w:rsidRDefault="00645504">
      <w:pPr>
        <w:pStyle w:val="Indenta"/>
      </w:pPr>
      <w:r>
        <w:tab/>
        <w:t>(g)</w:t>
      </w:r>
      <w:r>
        <w:tab/>
        <w:t xml:space="preserve">the </w:t>
      </w:r>
      <w:r>
        <w:rPr>
          <w:i/>
          <w:iCs/>
        </w:rPr>
        <w:t>Australian Standard for the Hygienic Production of</w:t>
      </w:r>
      <w:r>
        <w:rPr>
          <w:i/>
          <w:iCs/>
        </w:rPr>
        <w:t xml:space="preserve"> Natural Casings for Human Consumption</w:t>
      </w:r>
      <w:r>
        <w:t xml:space="preserve"> (AS 5011);</w:t>
      </w:r>
    </w:p>
    <w:p w:rsidR="003E67DA" w:rsidRDefault="00645504">
      <w:pPr>
        <w:pStyle w:val="Indenta"/>
      </w:pPr>
      <w:r>
        <w:tab/>
        <w:t>(h)</w:t>
      </w:r>
      <w:r>
        <w:tab/>
        <w:t xml:space="preserve">the </w:t>
      </w:r>
      <w:r>
        <w:rPr>
          <w:i/>
          <w:iCs/>
        </w:rPr>
        <w:t>Australian Standard for the Hygienic Rendering of Animal Products</w:t>
      </w:r>
      <w:r>
        <w:t xml:space="preserve"> (AS 5008).</w:t>
      </w:r>
    </w:p>
    <w:p w:rsidR="003E67DA" w:rsidRDefault="00645504">
      <w:pPr>
        <w:pStyle w:val="Subsection"/>
      </w:pPr>
      <w:r>
        <w:tab/>
        <w:t>(2)</w:t>
      </w:r>
      <w:r>
        <w:tab/>
        <w:t>The wild game standard is adopted only to the extent to which it applies to game.</w:t>
      </w:r>
    </w:p>
    <w:p w:rsidR="003E67DA" w:rsidRDefault="00645504">
      <w:pPr>
        <w:pStyle w:val="Subsection"/>
      </w:pPr>
      <w:r>
        <w:tab/>
        <w:t>(3)</w:t>
      </w:r>
      <w:r>
        <w:tab/>
        <w:t>The CEO is to make copies of</w:t>
      </w:r>
      <w:r>
        <w:t xml:space="preserve"> the adopted standards available for public inspection during normal business hours at the offices of the Department at Grace Vaughan House, 227 Stubbs Terrace, Shenton Park.</w:t>
      </w:r>
    </w:p>
    <w:p w:rsidR="003E67DA" w:rsidRDefault="00645504">
      <w:pPr>
        <w:pStyle w:val="Subsection"/>
        <w:keepNext/>
      </w:pPr>
      <w:r>
        <w:lastRenderedPageBreak/>
        <w:tab/>
        <w:t>(4)</w:t>
      </w:r>
      <w:r>
        <w:tab/>
        <w:t xml:space="preserve">In subregulation (3) — </w:t>
      </w:r>
    </w:p>
    <w:p w:rsidR="003E67DA" w:rsidRDefault="00645504">
      <w:pPr>
        <w:pStyle w:val="Defstart"/>
      </w:pPr>
      <w:r>
        <w:tab/>
      </w:r>
      <w:r>
        <w:rPr>
          <w:rStyle w:val="CharDefText"/>
        </w:rPr>
        <w:t>Department</w:t>
      </w:r>
      <w:r>
        <w:t xml:space="preserve"> means the department of the Public Servi</w:t>
      </w:r>
      <w:r>
        <w:t>ce principally assisting in the administration of the Act.</w:t>
      </w:r>
    </w:p>
    <w:p w:rsidR="003E67DA" w:rsidRDefault="00645504">
      <w:pPr>
        <w:pStyle w:val="Heading5"/>
      </w:pPr>
      <w:bookmarkStart w:id="43" w:name="_Toc68767475"/>
      <w:r>
        <w:rPr>
          <w:rStyle w:val="CharSectno"/>
        </w:rPr>
        <w:t>19</w:t>
      </w:r>
      <w:r>
        <w:t>.</w:t>
      </w:r>
      <w:r>
        <w:tab/>
        <w:t>Modification of adopted standards</w:t>
      </w:r>
      <w:bookmarkEnd w:id="43"/>
    </w:p>
    <w:p w:rsidR="003E67DA" w:rsidRDefault="00645504">
      <w:pPr>
        <w:pStyle w:val="Subsection"/>
      </w:pPr>
      <w:r>
        <w:tab/>
        <w:t>(1)</w:t>
      </w:r>
      <w:r>
        <w:tab/>
        <w:t>A reference in an adopted standard to the Controlling Authority is to be read as a reference to the CEO.</w:t>
      </w:r>
    </w:p>
    <w:p w:rsidR="003E67DA" w:rsidRDefault="00645504">
      <w:pPr>
        <w:pStyle w:val="Subsection"/>
      </w:pPr>
      <w:r>
        <w:tab/>
        <w:t>(2)</w:t>
      </w:r>
      <w:r>
        <w:tab/>
        <w:t>A reference in an adopted standard to an ins</w:t>
      </w:r>
      <w:r>
        <w:t>pector or a meat safety inspector is to be read as a reference to an authorised officer.</w:t>
      </w:r>
    </w:p>
    <w:p w:rsidR="003E67DA" w:rsidRDefault="00645504">
      <w:pPr>
        <w:pStyle w:val="Subsection"/>
      </w:pPr>
      <w:r>
        <w:tab/>
        <w:t>(3)</w:t>
      </w:r>
      <w:r>
        <w:tab/>
        <w:t>A reference in the meat standard to a meat transport vehicle or a meat carrying compartment is to be read as not including a reference to a vehicle, or any part o</w:t>
      </w:r>
      <w:r>
        <w:t>f a vehicle, used in the conduct of a food business for the purpose of transporting wrapped meat from retail premises to a customer who purchased the meat by way of retail sale.</w:t>
      </w:r>
    </w:p>
    <w:p w:rsidR="003E67DA" w:rsidRDefault="00645504">
      <w:pPr>
        <w:pStyle w:val="Subsection"/>
      </w:pPr>
      <w:r>
        <w:tab/>
        <w:t>(4)</w:t>
      </w:r>
      <w:r>
        <w:tab/>
        <w:t>The CEO, in the CEO’s capacity as the Controlling Authority referred to t</w:t>
      </w:r>
      <w:r>
        <w:t>he meat standard, wild game standard or a standard adopted under regulation 18(1)(b), (c) or (d), is not to approve a quality assurance programme or arrangement under the standard in respect of any premises unless satisfied that at least one authorised off</w:t>
      </w:r>
      <w:r>
        <w:t>icer will be present when any animals are slaughtered for human consumption at those premises.</w:t>
      </w:r>
    </w:p>
    <w:p w:rsidR="003E67DA" w:rsidRDefault="00645504">
      <w:pPr>
        <w:pStyle w:val="Heading3"/>
      </w:pPr>
      <w:bookmarkStart w:id="44" w:name="_Toc68693291"/>
      <w:bookmarkStart w:id="45" w:name="_Toc68696915"/>
      <w:bookmarkStart w:id="46" w:name="_Toc68767476"/>
      <w:r>
        <w:rPr>
          <w:rStyle w:val="CharDivNo"/>
        </w:rPr>
        <w:t>Division 3</w:t>
      </w:r>
      <w:r>
        <w:t> — </w:t>
      </w:r>
      <w:r>
        <w:rPr>
          <w:rStyle w:val="CharDivText"/>
        </w:rPr>
        <w:t>Inspection and branding</w:t>
      </w:r>
      <w:bookmarkEnd w:id="44"/>
      <w:bookmarkEnd w:id="45"/>
      <w:bookmarkEnd w:id="46"/>
    </w:p>
    <w:p w:rsidR="003E67DA" w:rsidRDefault="00645504">
      <w:pPr>
        <w:pStyle w:val="Heading5"/>
      </w:pPr>
      <w:bookmarkStart w:id="47" w:name="_Toc68767477"/>
      <w:r>
        <w:rPr>
          <w:rStyle w:val="CharSectno"/>
        </w:rPr>
        <w:t>20</w:t>
      </w:r>
      <w:r>
        <w:t>.</w:t>
      </w:r>
      <w:r>
        <w:tab/>
        <w:t>Application of Division to primary producers</w:t>
      </w:r>
      <w:bookmarkEnd w:id="47"/>
    </w:p>
    <w:p w:rsidR="003E67DA" w:rsidRDefault="00645504">
      <w:pPr>
        <w:pStyle w:val="Subsection"/>
      </w:pPr>
      <w:r>
        <w:tab/>
        <w:t>(1)</w:t>
      </w:r>
      <w:r>
        <w:tab/>
        <w:t xml:space="preserve">In this regulation — </w:t>
      </w:r>
    </w:p>
    <w:p w:rsidR="003E67DA" w:rsidRDefault="00645504">
      <w:pPr>
        <w:pStyle w:val="Defstart"/>
      </w:pPr>
      <w:r>
        <w:tab/>
      </w:r>
      <w:r>
        <w:rPr>
          <w:rStyle w:val="CharDefText"/>
        </w:rPr>
        <w:t>primary producer</w:t>
      </w:r>
      <w:r>
        <w:t xml:space="preserve"> means a person who carries on a farming or grazing business on land that is — </w:t>
      </w:r>
    </w:p>
    <w:p w:rsidR="003E67DA" w:rsidRDefault="00645504">
      <w:pPr>
        <w:pStyle w:val="Defpara"/>
      </w:pPr>
      <w:r>
        <w:tab/>
        <w:t>(a)</w:t>
      </w:r>
      <w:r>
        <w:tab/>
        <w:t xml:space="preserve">zoned for rural purposes under a local planning scheme under the </w:t>
      </w:r>
      <w:r>
        <w:rPr>
          <w:i/>
        </w:rPr>
        <w:t>Planning and Development Act 2005</w:t>
      </w:r>
      <w:r>
        <w:t>; and</w:t>
      </w:r>
    </w:p>
    <w:p w:rsidR="003E67DA" w:rsidRDefault="00645504">
      <w:pPr>
        <w:pStyle w:val="Defpara"/>
      </w:pPr>
      <w:r>
        <w:tab/>
        <w:t>(b)</w:t>
      </w:r>
      <w:r>
        <w:tab/>
        <w:t xml:space="preserve">used solely or principally for farming or grazing purposes or </w:t>
      </w:r>
      <w:r>
        <w:t>for both of those purposes.</w:t>
      </w:r>
    </w:p>
    <w:p w:rsidR="003E67DA" w:rsidRDefault="00645504">
      <w:pPr>
        <w:pStyle w:val="Subsection"/>
      </w:pPr>
      <w:r>
        <w:lastRenderedPageBreak/>
        <w:tab/>
        <w:t>(2)</w:t>
      </w:r>
      <w:r>
        <w:tab/>
        <w:t xml:space="preserve">This Division does not apply in relation to an animal that is to be slaughtered — </w:t>
      </w:r>
    </w:p>
    <w:p w:rsidR="003E67DA" w:rsidRDefault="00645504">
      <w:pPr>
        <w:pStyle w:val="Indenta"/>
      </w:pPr>
      <w:r>
        <w:tab/>
        <w:t>(a)</w:t>
      </w:r>
      <w:r>
        <w:tab/>
        <w:t>by or for a primary producer; and</w:t>
      </w:r>
    </w:p>
    <w:p w:rsidR="003E67DA" w:rsidRDefault="00645504">
      <w:pPr>
        <w:pStyle w:val="Indenta"/>
      </w:pPr>
      <w:r>
        <w:tab/>
        <w:t>(b)</w:t>
      </w:r>
      <w:r>
        <w:tab/>
        <w:t>on the land on which the primary producer carries on the farming or grazing business; and</w:t>
      </w:r>
    </w:p>
    <w:p w:rsidR="003E67DA" w:rsidRDefault="00645504">
      <w:pPr>
        <w:pStyle w:val="Indenta"/>
      </w:pPr>
      <w:r>
        <w:tab/>
        <w:t>(c)</w:t>
      </w:r>
      <w:r>
        <w:tab/>
        <w:t>f</w:t>
      </w:r>
      <w:r>
        <w:t>or consumption by the primary producer or the primary producer’s family or employees.</w:t>
      </w:r>
    </w:p>
    <w:p w:rsidR="003E67DA" w:rsidRDefault="00645504">
      <w:pPr>
        <w:pStyle w:val="Heading5"/>
      </w:pPr>
      <w:bookmarkStart w:id="48" w:name="_Toc68767478"/>
      <w:r>
        <w:rPr>
          <w:rStyle w:val="CharSectno"/>
        </w:rPr>
        <w:t>21</w:t>
      </w:r>
      <w:r>
        <w:t>.</w:t>
      </w:r>
      <w:r>
        <w:tab/>
        <w:t>Inspection of animals and carcases at abattoirs</w:t>
      </w:r>
      <w:bookmarkEnd w:id="48"/>
    </w:p>
    <w:p w:rsidR="003E67DA" w:rsidRDefault="00645504">
      <w:pPr>
        <w:pStyle w:val="Subsection"/>
      </w:pPr>
      <w:r>
        <w:tab/>
        <w:t>(1)</w:t>
      </w:r>
      <w:r>
        <w:tab/>
        <w:t>Subregulation (2) applies if an adopted standard requires an animal to be inspected before it is slaughtered.</w:t>
      </w:r>
    </w:p>
    <w:p w:rsidR="003E67DA" w:rsidRDefault="00645504">
      <w:pPr>
        <w:pStyle w:val="Subsection"/>
      </w:pPr>
      <w:r>
        <w:tab/>
        <w:t>(2</w:t>
      </w:r>
      <w:r>
        <w:t>)</w:t>
      </w:r>
      <w:r>
        <w:tab/>
        <w:t>The proprietor of an abattoir must ensure that, before an animal is slaughtered, it is inspected by an authorised officer in accordance with the adopted standard.</w:t>
      </w:r>
    </w:p>
    <w:p w:rsidR="003E67DA" w:rsidRDefault="00645504">
      <w:pPr>
        <w:pStyle w:val="Penstart"/>
      </w:pPr>
      <w:r>
        <w:tab/>
        <w:t>Penalty: a fine of $5 000.</w:t>
      </w:r>
    </w:p>
    <w:p w:rsidR="003E67DA" w:rsidRDefault="00645504">
      <w:pPr>
        <w:pStyle w:val="Subsection"/>
      </w:pPr>
      <w:r>
        <w:tab/>
        <w:t>(3)</w:t>
      </w:r>
      <w:r>
        <w:tab/>
        <w:t xml:space="preserve">Subregulation (4) applies if an adopted standard requires </w:t>
      </w:r>
      <w:r>
        <w:t>the carcase to be inspected after an animal is slaughtered.</w:t>
      </w:r>
    </w:p>
    <w:p w:rsidR="003E67DA" w:rsidRDefault="00645504">
      <w:pPr>
        <w:pStyle w:val="Subsection"/>
      </w:pPr>
      <w:r>
        <w:tab/>
        <w:t>(4)</w:t>
      </w:r>
      <w:r>
        <w:tab/>
        <w:t>The proprietor of an abattoir must ensure that, after an animal is slaughtered, the carcase is inspected by an authorised officer in accordance with the adopted standard.</w:t>
      </w:r>
    </w:p>
    <w:p w:rsidR="003E67DA" w:rsidRDefault="00645504">
      <w:pPr>
        <w:pStyle w:val="Penstart"/>
      </w:pPr>
      <w:r>
        <w:tab/>
        <w:t xml:space="preserve">Penalty: a fine of </w:t>
      </w:r>
      <w:r>
        <w:t>$5 000.</w:t>
      </w:r>
    </w:p>
    <w:p w:rsidR="003E67DA" w:rsidRDefault="00645504">
      <w:pPr>
        <w:pStyle w:val="Subsection"/>
      </w:pPr>
      <w:r>
        <w:tab/>
        <w:t>(5)</w:t>
      </w:r>
      <w:r>
        <w:tab/>
        <w:t xml:space="preserve">This regulation does not apply to — </w:t>
      </w:r>
    </w:p>
    <w:p w:rsidR="003E67DA" w:rsidRDefault="00645504">
      <w:pPr>
        <w:pStyle w:val="Indenta"/>
      </w:pPr>
      <w:r>
        <w:tab/>
        <w:t>(a)</w:t>
      </w:r>
      <w:r>
        <w:tab/>
        <w:t>the proprietor of an abattoir in the district of Kellerberrin or Kondinin; or</w:t>
      </w:r>
    </w:p>
    <w:p w:rsidR="003E67DA" w:rsidRDefault="00645504">
      <w:pPr>
        <w:pStyle w:val="Indenta"/>
      </w:pPr>
      <w:r>
        <w:tab/>
        <w:t>(b)</w:t>
      </w:r>
      <w:r>
        <w:tab/>
        <w:t>the proprietor of an abattoir that is a registered establishment.</w:t>
      </w:r>
    </w:p>
    <w:p w:rsidR="003E67DA" w:rsidRDefault="00645504">
      <w:pPr>
        <w:pStyle w:val="Heading5"/>
      </w:pPr>
      <w:bookmarkStart w:id="49" w:name="_Toc68767479"/>
      <w:r>
        <w:rPr>
          <w:rStyle w:val="CharSectno"/>
        </w:rPr>
        <w:t>22</w:t>
      </w:r>
      <w:r>
        <w:t>.</w:t>
      </w:r>
      <w:r>
        <w:tab/>
        <w:t>Branding carcases if fit for human consumption</w:t>
      </w:r>
      <w:bookmarkEnd w:id="49"/>
    </w:p>
    <w:p w:rsidR="003E67DA" w:rsidRDefault="00645504">
      <w:pPr>
        <w:pStyle w:val="Subsection"/>
      </w:pPr>
      <w:r>
        <w:tab/>
      </w:r>
      <w:r>
        <w:t>(1)</w:t>
      </w:r>
      <w:r>
        <w:tab/>
        <w:t xml:space="preserve">The proprietor of an abattoir at which a carcase is inspected and passed as fit for human consumption must ensure the carcase is branded in accordance with regulation 24 by the use of an </w:t>
      </w:r>
      <w:r>
        <w:lastRenderedPageBreak/>
        <w:t>appropriate brand approved by the CEO for the purposes of this re</w:t>
      </w:r>
      <w:r>
        <w:t>gulation.</w:t>
      </w:r>
    </w:p>
    <w:p w:rsidR="003E67DA" w:rsidRDefault="00645504">
      <w:pPr>
        <w:pStyle w:val="Penstart"/>
      </w:pPr>
      <w:r>
        <w:tab/>
        <w:t>Penalty: a fine of $5 000.</w:t>
      </w:r>
    </w:p>
    <w:p w:rsidR="003E67DA" w:rsidRDefault="00645504">
      <w:pPr>
        <w:pStyle w:val="Subsection"/>
        <w:spacing w:before="150"/>
      </w:pPr>
      <w:r>
        <w:tab/>
        <w:t>(2)</w:t>
      </w:r>
      <w:r>
        <w:tab/>
        <w:t>A brand approved by the CEO to brand a carcase for the purposes of this regulation is to include a means of identifying the premises at which the animal was slaughtered.</w:t>
      </w:r>
    </w:p>
    <w:p w:rsidR="003E67DA" w:rsidRDefault="00645504">
      <w:pPr>
        <w:pStyle w:val="Subsection"/>
        <w:spacing w:before="150"/>
      </w:pPr>
      <w:r>
        <w:tab/>
        <w:t>(3)</w:t>
      </w:r>
      <w:r>
        <w:tab/>
        <w:t>Subregulation (1) does not apply in re</w:t>
      </w:r>
      <w:r>
        <w:t xml:space="preserve">lation to — </w:t>
      </w:r>
    </w:p>
    <w:p w:rsidR="003E67DA" w:rsidRDefault="00645504">
      <w:pPr>
        <w:pStyle w:val="Indenta"/>
        <w:spacing w:before="60"/>
      </w:pPr>
      <w:r>
        <w:tab/>
        <w:t>(a)</w:t>
      </w:r>
      <w:r>
        <w:tab/>
        <w:t>a carcase of poultry; or</w:t>
      </w:r>
    </w:p>
    <w:p w:rsidR="003E67DA" w:rsidRDefault="00645504">
      <w:pPr>
        <w:pStyle w:val="Indenta"/>
        <w:spacing w:before="60"/>
      </w:pPr>
      <w:r>
        <w:tab/>
        <w:t>(b)</w:t>
      </w:r>
      <w:r>
        <w:tab/>
        <w:t>a carcase of an animal slaughtered in the district of Kellerberrin or Kondinin; or</w:t>
      </w:r>
    </w:p>
    <w:p w:rsidR="003E67DA" w:rsidRDefault="00645504">
      <w:pPr>
        <w:pStyle w:val="Indenta"/>
        <w:spacing w:before="60"/>
      </w:pPr>
      <w:r>
        <w:tab/>
        <w:t>(c)</w:t>
      </w:r>
      <w:r>
        <w:tab/>
        <w:t>a carcase that is to be processed in a boning room (whether located at the abattoir or at separate premises) if the carc</w:t>
      </w:r>
      <w:r>
        <w:t>ase is tagged with a tag specifying the name of the abattoir and the date on which the animal was slaughtered.</w:t>
      </w:r>
    </w:p>
    <w:p w:rsidR="003E67DA" w:rsidRDefault="00645504">
      <w:pPr>
        <w:pStyle w:val="Footnotesection"/>
      </w:pPr>
      <w:r>
        <w:tab/>
        <w:t>[Regulation 22 amended: Gazette 11 Aug 2015 p. 3219.]</w:t>
      </w:r>
    </w:p>
    <w:p w:rsidR="003E67DA" w:rsidRDefault="00645504">
      <w:pPr>
        <w:pStyle w:val="Heading5"/>
      </w:pPr>
      <w:bookmarkStart w:id="50" w:name="_Toc68767480"/>
      <w:r>
        <w:rPr>
          <w:rStyle w:val="CharSectno"/>
        </w:rPr>
        <w:t>23</w:t>
      </w:r>
      <w:r>
        <w:t>.</w:t>
      </w:r>
      <w:r>
        <w:tab/>
        <w:t>Branding carcases if fit for consumption by animals</w:t>
      </w:r>
      <w:bookmarkEnd w:id="50"/>
    </w:p>
    <w:p w:rsidR="003E67DA" w:rsidRDefault="00645504">
      <w:pPr>
        <w:pStyle w:val="Subsection"/>
        <w:spacing w:before="150"/>
      </w:pPr>
      <w:r>
        <w:tab/>
        <w:t>(1)</w:t>
      </w:r>
      <w:r>
        <w:tab/>
        <w:t>The proprietor of animal food</w:t>
      </w:r>
      <w:r>
        <w:t xml:space="preserve"> processing premises at which a carcase is inspected and passed as fit for consumption by animals must ensure that the carcase is branded in accordance with regulation 24 by the use of an appropriate brand approved by the CEO for the purposes of this regul</w:t>
      </w:r>
      <w:r>
        <w:t>ation.</w:t>
      </w:r>
    </w:p>
    <w:p w:rsidR="003E67DA" w:rsidRDefault="00645504">
      <w:pPr>
        <w:pStyle w:val="Penstart"/>
      </w:pPr>
      <w:r>
        <w:tab/>
        <w:t>Penalty: a fine of $5 000.</w:t>
      </w:r>
    </w:p>
    <w:p w:rsidR="003E67DA" w:rsidRDefault="00645504">
      <w:pPr>
        <w:pStyle w:val="Subsection"/>
        <w:spacing w:before="150"/>
      </w:pPr>
      <w:r>
        <w:tab/>
        <w:t>(2)</w:t>
      </w:r>
      <w:r>
        <w:tab/>
        <w:t>A brand approved by the CEO to brand a carcase for the purposes of this regulation is to include a means of identifying the premises at which the animal was slaughtered.</w:t>
      </w:r>
    </w:p>
    <w:p w:rsidR="003E67DA" w:rsidRDefault="00645504">
      <w:pPr>
        <w:pStyle w:val="Subsection"/>
        <w:spacing w:before="150"/>
      </w:pPr>
      <w:r>
        <w:tab/>
        <w:t>(3)</w:t>
      </w:r>
      <w:r>
        <w:tab/>
        <w:t>Subregulation (1) does not apply in relat</w:t>
      </w:r>
      <w:r>
        <w:t>ion to a carcase of poultry.</w:t>
      </w:r>
    </w:p>
    <w:p w:rsidR="003E67DA" w:rsidRDefault="00645504">
      <w:pPr>
        <w:pStyle w:val="Heading5"/>
      </w:pPr>
      <w:bookmarkStart w:id="51" w:name="_Toc68767481"/>
      <w:r>
        <w:rPr>
          <w:rStyle w:val="CharSectno"/>
        </w:rPr>
        <w:t>24</w:t>
      </w:r>
      <w:r>
        <w:t>.</w:t>
      </w:r>
      <w:r>
        <w:tab/>
        <w:t>How carcases are to be branded</w:t>
      </w:r>
      <w:bookmarkEnd w:id="51"/>
    </w:p>
    <w:p w:rsidR="003E67DA" w:rsidRDefault="00645504">
      <w:pPr>
        <w:pStyle w:val="Subsection"/>
        <w:spacing w:before="150"/>
      </w:pPr>
      <w:r>
        <w:tab/>
        <w:t>(1)</w:t>
      </w:r>
      <w:r>
        <w:tab/>
        <w:t>This regulation applies to a carcase that is to be branded under regulation 22 or 23.</w:t>
      </w:r>
    </w:p>
    <w:p w:rsidR="003E67DA" w:rsidRDefault="00645504">
      <w:pPr>
        <w:pStyle w:val="Subsection"/>
        <w:spacing w:before="150"/>
      </w:pPr>
      <w:r>
        <w:lastRenderedPageBreak/>
        <w:tab/>
        <w:t>(2)</w:t>
      </w:r>
      <w:r>
        <w:tab/>
        <w:t>Except for rabbits, the carcase is to be branded on each side.</w:t>
      </w:r>
    </w:p>
    <w:p w:rsidR="003E67DA" w:rsidRDefault="00645504">
      <w:pPr>
        <w:pStyle w:val="Subsection"/>
        <w:spacing w:before="150"/>
      </w:pPr>
      <w:r>
        <w:tab/>
        <w:t>(3)</w:t>
      </w:r>
      <w:r>
        <w:tab/>
        <w:t>For a bovine, the carcase is</w:t>
      </w:r>
      <w:r>
        <w:t xml:space="preserve"> to be branded — </w:t>
      </w:r>
    </w:p>
    <w:p w:rsidR="003E67DA" w:rsidRDefault="00645504">
      <w:pPr>
        <w:pStyle w:val="Indenta"/>
        <w:spacing w:before="60"/>
      </w:pPr>
      <w:r>
        <w:tab/>
        <w:t>(a)</w:t>
      </w:r>
      <w:r>
        <w:tab/>
        <w:t>on the outside of the buttock; and</w:t>
      </w:r>
    </w:p>
    <w:p w:rsidR="003E67DA" w:rsidRDefault="00645504">
      <w:pPr>
        <w:pStyle w:val="Indenta"/>
        <w:spacing w:before="60"/>
      </w:pPr>
      <w:r>
        <w:tab/>
        <w:t>(b)</w:t>
      </w:r>
      <w:r>
        <w:tab/>
        <w:t>on the outside of the ribs; and</w:t>
      </w:r>
    </w:p>
    <w:p w:rsidR="003E67DA" w:rsidRDefault="00645504">
      <w:pPr>
        <w:pStyle w:val="Indenta"/>
        <w:spacing w:before="60"/>
      </w:pPr>
      <w:r>
        <w:tab/>
        <w:t>(c)</w:t>
      </w:r>
      <w:r>
        <w:tab/>
        <w:t>on the shoulder.</w:t>
      </w:r>
    </w:p>
    <w:p w:rsidR="003E67DA" w:rsidRDefault="00645504">
      <w:pPr>
        <w:pStyle w:val="Subsection"/>
      </w:pPr>
      <w:r>
        <w:tab/>
        <w:t>(4)</w:t>
      </w:r>
      <w:r>
        <w:tab/>
        <w:t xml:space="preserve">For a sheep, goat or deer, the carcase is to be branded — </w:t>
      </w:r>
    </w:p>
    <w:p w:rsidR="003E67DA" w:rsidRDefault="00645504">
      <w:pPr>
        <w:pStyle w:val="Indenta"/>
      </w:pPr>
      <w:r>
        <w:tab/>
        <w:t>(a)</w:t>
      </w:r>
      <w:r>
        <w:tab/>
        <w:t>on the outside of the leg; and</w:t>
      </w:r>
    </w:p>
    <w:p w:rsidR="003E67DA" w:rsidRDefault="00645504">
      <w:pPr>
        <w:pStyle w:val="Indenta"/>
      </w:pPr>
      <w:r>
        <w:tab/>
        <w:t>(b)</w:t>
      </w:r>
      <w:r>
        <w:tab/>
        <w:t>on the shoulder.</w:t>
      </w:r>
    </w:p>
    <w:p w:rsidR="003E67DA" w:rsidRDefault="00645504">
      <w:pPr>
        <w:pStyle w:val="Subsection"/>
      </w:pPr>
      <w:r>
        <w:tab/>
        <w:t>(5)</w:t>
      </w:r>
      <w:r>
        <w:tab/>
        <w:t>For a pig, t</w:t>
      </w:r>
      <w:r>
        <w:t xml:space="preserve">he carcase is to be branded — </w:t>
      </w:r>
    </w:p>
    <w:p w:rsidR="003E67DA" w:rsidRDefault="00645504">
      <w:pPr>
        <w:pStyle w:val="Indenta"/>
      </w:pPr>
      <w:r>
        <w:tab/>
        <w:t>(a)</w:t>
      </w:r>
      <w:r>
        <w:tab/>
        <w:t>on the outside of the leg; and</w:t>
      </w:r>
    </w:p>
    <w:p w:rsidR="003E67DA" w:rsidRDefault="00645504">
      <w:pPr>
        <w:pStyle w:val="Indenta"/>
      </w:pPr>
      <w:r>
        <w:tab/>
        <w:t>(b)</w:t>
      </w:r>
      <w:r>
        <w:tab/>
        <w:t>on the outside of the loin; and</w:t>
      </w:r>
    </w:p>
    <w:p w:rsidR="003E67DA" w:rsidRDefault="00645504">
      <w:pPr>
        <w:pStyle w:val="Indenta"/>
      </w:pPr>
      <w:r>
        <w:tab/>
        <w:t>(c)</w:t>
      </w:r>
      <w:r>
        <w:tab/>
        <w:t>on the shoulder; and</w:t>
      </w:r>
    </w:p>
    <w:p w:rsidR="003E67DA" w:rsidRDefault="00645504">
      <w:pPr>
        <w:pStyle w:val="Indenta"/>
      </w:pPr>
      <w:r>
        <w:tab/>
        <w:t>(d)</w:t>
      </w:r>
      <w:r>
        <w:tab/>
        <w:t>on the outside of the cheek.</w:t>
      </w:r>
    </w:p>
    <w:p w:rsidR="003E67DA" w:rsidRDefault="00645504">
      <w:pPr>
        <w:pStyle w:val="Subsection"/>
      </w:pPr>
      <w:r>
        <w:tab/>
        <w:t>(6)</w:t>
      </w:r>
      <w:r>
        <w:tab/>
        <w:t xml:space="preserve">For game other than a rabbit, goat, deer or pig, the carcase is to be branded — </w:t>
      </w:r>
    </w:p>
    <w:p w:rsidR="003E67DA" w:rsidRDefault="00645504">
      <w:pPr>
        <w:pStyle w:val="Indenta"/>
      </w:pPr>
      <w:r>
        <w:tab/>
        <w:t>(a)</w:t>
      </w:r>
      <w:r>
        <w:tab/>
        <w:t>o</w:t>
      </w:r>
      <w:r>
        <w:t>n the outside of the buttock; and</w:t>
      </w:r>
    </w:p>
    <w:p w:rsidR="003E67DA" w:rsidRDefault="00645504">
      <w:pPr>
        <w:pStyle w:val="Indenta"/>
      </w:pPr>
      <w:r>
        <w:tab/>
        <w:t>(b)</w:t>
      </w:r>
      <w:r>
        <w:tab/>
        <w:t>on the shoulder.</w:t>
      </w:r>
    </w:p>
    <w:p w:rsidR="003E67DA" w:rsidRDefault="00645504">
      <w:pPr>
        <w:pStyle w:val="Subsection"/>
      </w:pPr>
      <w:r>
        <w:tab/>
        <w:t>(7)</w:t>
      </w:r>
      <w:r>
        <w:tab/>
        <w:t>For a rabbit, the carcase is to be branded on one side of the neck.</w:t>
      </w:r>
    </w:p>
    <w:p w:rsidR="003E67DA" w:rsidRDefault="00645504">
      <w:pPr>
        <w:pStyle w:val="Subsection"/>
      </w:pPr>
      <w:r>
        <w:tab/>
        <w:t>(8)</w:t>
      </w:r>
      <w:r>
        <w:tab/>
        <w:t xml:space="preserve">A brand applied to a carcase under this regulation is to be — </w:t>
      </w:r>
    </w:p>
    <w:p w:rsidR="003E67DA" w:rsidRDefault="00645504">
      <w:pPr>
        <w:pStyle w:val="Indenta"/>
      </w:pPr>
      <w:r>
        <w:tab/>
        <w:t>(a)</w:t>
      </w:r>
      <w:r>
        <w:tab/>
        <w:t>coloured red for a carcase passed as fit for human con</w:t>
      </w:r>
      <w:r>
        <w:t>sumption or blue for a carcase passed as fit for consumption by animals; and</w:t>
      </w:r>
    </w:p>
    <w:p w:rsidR="003E67DA" w:rsidRDefault="00645504">
      <w:pPr>
        <w:pStyle w:val="Indenta"/>
      </w:pPr>
      <w:r>
        <w:tab/>
        <w:t>(b)</w:t>
      </w:r>
      <w:r>
        <w:tab/>
        <w:t>made from a substance listed in a Schedule to FSC standard 1.3.1.</w:t>
      </w:r>
    </w:p>
    <w:p w:rsidR="003E67DA" w:rsidRDefault="00645504">
      <w:pPr>
        <w:pStyle w:val="Heading5"/>
      </w:pPr>
      <w:bookmarkStart w:id="52" w:name="_Toc68767482"/>
      <w:r>
        <w:rPr>
          <w:rStyle w:val="CharSectno"/>
        </w:rPr>
        <w:t>25</w:t>
      </w:r>
      <w:r>
        <w:t>.</w:t>
      </w:r>
      <w:r>
        <w:tab/>
        <w:t>Branding carcases if unfit for human consumption or unfit for consumption by animals</w:t>
      </w:r>
      <w:bookmarkEnd w:id="52"/>
    </w:p>
    <w:p w:rsidR="003E67DA" w:rsidRDefault="00645504">
      <w:pPr>
        <w:pStyle w:val="Subsection"/>
      </w:pPr>
      <w:r>
        <w:tab/>
        <w:t>(1)</w:t>
      </w:r>
      <w:r>
        <w:tab/>
        <w:t>The proprietor</w:t>
      </w:r>
      <w:r>
        <w:t xml:space="preserve"> of an abattoir must ensure that a carcase, other than a carcase of poultry, that is rejected, or a portion of which </w:t>
      </w:r>
      <w:r>
        <w:lastRenderedPageBreak/>
        <w:t>is rejected, as unfit for human consumption is branded in accordance with subregulation (3).</w:t>
      </w:r>
    </w:p>
    <w:p w:rsidR="003E67DA" w:rsidRDefault="00645504">
      <w:pPr>
        <w:pStyle w:val="Penstart"/>
      </w:pPr>
      <w:r>
        <w:tab/>
        <w:t>Penalty: a fine of $5 000.</w:t>
      </w:r>
    </w:p>
    <w:p w:rsidR="003E67DA" w:rsidRDefault="00645504">
      <w:pPr>
        <w:pStyle w:val="Subsection"/>
      </w:pPr>
      <w:r>
        <w:tab/>
        <w:t>(2)</w:t>
      </w:r>
      <w:r>
        <w:tab/>
        <w:t>The proprieto</w:t>
      </w:r>
      <w:r>
        <w:t>r of animal food processing premises must ensure that a carcase, other than a carcase of poultry, that is rejected, or a portion of which is rejected, as unfit for consumption by animals is branded in accordance with subregulation (3).</w:t>
      </w:r>
    </w:p>
    <w:p w:rsidR="003E67DA" w:rsidRDefault="00645504">
      <w:pPr>
        <w:pStyle w:val="Penstart"/>
        <w:spacing w:before="70"/>
      </w:pPr>
      <w:r>
        <w:tab/>
        <w:t xml:space="preserve">Penalty: a fine of </w:t>
      </w:r>
      <w:r>
        <w:t>$5 000.</w:t>
      </w:r>
    </w:p>
    <w:p w:rsidR="003E67DA" w:rsidRDefault="00645504">
      <w:pPr>
        <w:pStyle w:val="Subsection"/>
        <w:spacing w:before="140"/>
      </w:pPr>
      <w:r>
        <w:tab/>
        <w:t>(3)</w:t>
      </w:r>
      <w:r>
        <w:tab/>
        <w:t>The carcase is to be branded on the shoulders, loins and legs, or on the portion of the carcase that is rejected, with a brand approved by the CEO for the purposes of this regulation.</w:t>
      </w:r>
    </w:p>
    <w:p w:rsidR="003E67DA" w:rsidRDefault="00645504">
      <w:pPr>
        <w:pStyle w:val="Subsection"/>
        <w:spacing w:before="140"/>
      </w:pPr>
      <w:r>
        <w:tab/>
        <w:t>(4)</w:t>
      </w:r>
      <w:r>
        <w:tab/>
        <w:t>A brand approved by the CEO to brand a carcase for the</w:t>
      </w:r>
      <w:r>
        <w:t xml:space="preserve"> purposes of this regulation is to include a means of identifying the premises at which the animal was slaughtered.</w:t>
      </w:r>
    </w:p>
    <w:p w:rsidR="003E67DA" w:rsidRDefault="00645504">
      <w:pPr>
        <w:pStyle w:val="Subsection"/>
        <w:spacing w:before="140"/>
      </w:pPr>
      <w:r>
        <w:tab/>
        <w:t>(5)</w:t>
      </w:r>
      <w:r>
        <w:tab/>
        <w:t>A brand applied to a carcase under this regulation is to be coloured blue and made from a substance listed in a Schedule to FSC standar</w:t>
      </w:r>
      <w:r>
        <w:t>d 1.3.1.</w:t>
      </w:r>
    </w:p>
    <w:p w:rsidR="003E67DA" w:rsidRDefault="00645504">
      <w:pPr>
        <w:pStyle w:val="Heading5"/>
        <w:spacing w:before="200"/>
      </w:pPr>
      <w:bookmarkStart w:id="53" w:name="_Toc68767483"/>
      <w:r>
        <w:rPr>
          <w:rStyle w:val="CharSectno"/>
        </w:rPr>
        <w:t>26</w:t>
      </w:r>
      <w:r>
        <w:t>.</w:t>
      </w:r>
      <w:r>
        <w:tab/>
        <w:t>Offences relating to brands or tags</w:t>
      </w:r>
      <w:bookmarkEnd w:id="53"/>
    </w:p>
    <w:p w:rsidR="003E67DA" w:rsidRDefault="00645504">
      <w:pPr>
        <w:pStyle w:val="Subsection"/>
        <w:spacing w:before="140"/>
      </w:pPr>
      <w:r>
        <w:tab/>
        <w:t>(1)</w:t>
      </w:r>
      <w:r>
        <w:tab/>
        <w:t>A person other than an authorised officer or a person acting on the direction of an authorised officer must not brand or tag a carcase for the purposes of regulation 22.</w:t>
      </w:r>
    </w:p>
    <w:p w:rsidR="003E67DA" w:rsidRDefault="00645504">
      <w:pPr>
        <w:pStyle w:val="Penstart"/>
        <w:spacing w:before="70"/>
      </w:pPr>
      <w:r>
        <w:tab/>
        <w:t>Penalty: a fine of $5 000.</w:t>
      </w:r>
    </w:p>
    <w:p w:rsidR="003E67DA" w:rsidRDefault="00645504">
      <w:pPr>
        <w:pStyle w:val="Subsection"/>
        <w:spacing w:before="130"/>
      </w:pPr>
      <w:r>
        <w:tab/>
        <w:t>(2)</w:t>
      </w:r>
      <w:r>
        <w:tab/>
        <w:t>Subregulation (1) does not apply to a carcase branded or tagged at a registered establishment.</w:t>
      </w:r>
    </w:p>
    <w:p w:rsidR="003E67DA" w:rsidRDefault="00645504">
      <w:pPr>
        <w:pStyle w:val="Subsection"/>
        <w:spacing w:before="130"/>
      </w:pPr>
      <w:r>
        <w:tab/>
        <w:t>(3)</w:t>
      </w:r>
      <w:r>
        <w:tab/>
        <w:t>A person must not, for a purpose relating to fitness for consumption, brand or tag a carcase or cause a carcase to be branded or tagged except in accordanc</w:t>
      </w:r>
      <w:r>
        <w:t>e with this Division.</w:t>
      </w:r>
    </w:p>
    <w:p w:rsidR="003E67DA" w:rsidRDefault="00645504">
      <w:pPr>
        <w:pStyle w:val="Penstart"/>
        <w:spacing w:before="70"/>
      </w:pPr>
      <w:r>
        <w:tab/>
        <w:t>Penalty: a fine of $5 000.</w:t>
      </w:r>
    </w:p>
    <w:p w:rsidR="003E67DA" w:rsidRDefault="00645504">
      <w:pPr>
        <w:pStyle w:val="Subsection"/>
        <w:keepNext/>
        <w:spacing w:before="130"/>
      </w:pPr>
      <w:r>
        <w:lastRenderedPageBreak/>
        <w:tab/>
        <w:t>(4)</w:t>
      </w:r>
      <w:r>
        <w:tab/>
        <w:t>A person must not remove from a carcase before it is sold by way of retail sale a brand applied to the carcase under this Division.</w:t>
      </w:r>
    </w:p>
    <w:p w:rsidR="003E67DA" w:rsidRDefault="00645504">
      <w:pPr>
        <w:pStyle w:val="Penstart"/>
        <w:spacing w:before="70"/>
      </w:pPr>
      <w:r>
        <w:tab/>
        <w:t>Penalty: a fine of $5 000.</w:t>
      </w:r>
    </w:p>
    <w:p w:rsidR="003E67DA" w:rsidRDefault="00645504">
      <w:pPr>
        <w:pStyle w:val="Subsection"/>
        <w:spacing w:before="130"/>
      </w:pPr>
      <w:r>
        <w:tab/>
        <w:t>(5)</w:t>
      </w:r>
      <w:r>
        <w:tab/>
        <w:t>A person must not remove from a carc</w:t>
      </w:r>
      <w:r>
        <w:t>ase before it is processed in a boning room a tag attached to the carcase under regulation 22(3)(c).</w:t>
      </w:r>
    </w:p>
    <w:p w:rsidR="003E67DA" w:rsidRDefault="00645504">
      <w:pPr>
        <w:pStyle w:val="Penstart"/>
        <w:spacing w:before="70"/>
      </w:pPr>
      <w:r>
        <w:tab/>
        <w:t>Penalty: a fine of $5 000.</w:t>
      </w:r>
    </w:p>
    <w:p w:rsidR="003E67DA" w:rsidRDefault="00645504">
      <w:pPr>
        <w:pStyle w:val="Footnotesection"/>
      </w:pPr>
      <w:r>
        <w:tab/>
        <w:t>[Regulation 26 amended: Gazette 11 Aug 2015 p. 3220.]</w:t>
      </w:r>
    </w:p>
    <w:p w:rsidR="003E67DA" w:rsidRDefault="00645504">
      <w:pPr>
        <w:pStyle w:val="Heading5"/>
        <w:spacing w:before="200"/>
      </w:pPr>
      <w:bookmarkStart w:id="54" w:name="_Toc68767484"/>
      <w:r>
        <w:rPr>
          <w:rStyle w:val="CharSectno"/>
        </w:rPr>
        <w:t>27</w:t>
      </w:r>
      <w:r>
        <w:t>.</w:t>
      </w:r>
      <w:r>
        <w:tab/>
        <w:t>Restrictions on sale of carcases</w:t>
      </w:r>
      <w:bookmarkEnd w:id="54"/>
    </w:p>
    <w:p w:rsidR="003E67DA" w:rsidRDefault="00645504">
      <w:pPr>
        <w:pStyle w:val="Subsection"/>
        <w:spacing w:before="130"/>
      </w:pPr>
      <w:r>
        <w:tab/>
        <w:t>(1)</w:t>
      </w:r>
      <w:r>
        <w:tab/>
        <w:t>Unless a carcase is branded in</w:t>
      </w:r>
      <w:r>
        <w:t xml:space="preserve"> accordance with this Division, a person must not — </w:t>
      </w:r>
    </w:p>
    <w:p w:rsidR="003E67DA" w:rsidRDefault="00645504">
      <w:pPr>
        <w:pStyle w:val="Indenta"/>
        <w:spacing w:before="60"/>
      </w:pPr>
      <w:r>
        <w:tab/>
        <w:t>(a)</w:t>
      </w:r>
      <w:r>
        <w:tab/>
        <w:t>sell the carcase; or</w:t>
      </w:r>
    </w:p>
    <w:p w:rsidR="003E67DA" w:rsidRDefault="00645504">
      <w:pPr>
        <w:pStyle w:val="Indenta"/>
      </w:pPr>
      <w:r>
        <w:tab/>
        <w:t>(b)</w:t>
      </w:r>
      <w:r>
        <w:tab/>
        <w:t>offer or expose the carcase for sale; or</w:t>
      </w:r>
    </w:p>
    <w:p w:rsidR="003E67DA" w:rsidRDefault="00645504">
      <w:pPr>
        <w:pStyle w:val="Indenta"/>
      </w:pPr>
      <w:r>
        <w:tab/>
        <w:t>(c)</w:t>
      </w:r>
      <w:r>
        <w:tab/>
        <w:t>possess the carcase for the purpose of sale.</w:t>
      </w:r>
    </w:p>
    <w:p w:rsidR="003E67DA" w:rsidRDefault="00645504">
      <w:pPr>
        <w:pStyle w:val="Penstart"/>
      </w:pPr>
      <w:r>
        <w:tab/>
        <w:t>Penalty: a fine of $5 000.</w:t>
      </w:r>
    </w:p>
    <w:p w:rsidR="003E67DA" w:rsidRDefault="00645504">
      <w:pPr>
        <w:pStyle w:val="Subsection"/>
      </w:pPr>
      <w:r>
        <w:tab/>
        <w:t>(2)</w:t>
      </w:r>
      <w:r>
        <w:tab/>
        <w:t>Subregulation (1) does not apply to a carcase in</w:t>
      </w:r>
      <w:r>
        <w:t xml:space="preserve">tended for human consumption that — </w:t>
      </w:r>
    </w:p>
    <w:p w:rsidR="003E67DA" w:rsidRDefault="00645504">
      <w:pPr>
        <w:pStyle w:val="Indenta"/>
      </w:pPr>
      <w:r>
        <w:tab/>
        <w:t>(a)</w:t>
      </w:r>
      <w:r>
        <w:tab/>
        <w:t>under regulation 22(3)(a) or (c) is not required to be branded; or</w:t>
      </w:r>
    </w:p>
    <w:p w:rsidR="003E67DA" w:rsidRDefault="00645504">
      <w:pPr>
        <w:pStyle w:val="Indenta"/>
      </w:pPr>
      <w:r>
        <w:tab/>
        <w:t>(b)</w:t>
      </w:r>
      <w:r>
        <w:tab/>
        <w:t xml:space="preserve">under regulation 22(3)(b) is not required to be branded and is sold, offered or exposed for sale, or possessed for the purpose of sale in the </w:t>
      </w:r>
      <w:r>
        <w:t>district of Kellerberrin or Kondinin.</w:t>
      </w:r>
    </w:p>
    <w:p w:rsidR="003E67DA" w:rsidRDefault="00645504">
      <w:pPr>
        <w:pStyle w:val="Footnotesection"/>
      </w:pPr>
      <w:r>
        <w:tab/>
        <w:t>[Regulation 27 amended: Gazette 11 Aug 2015 p. 3220.]</w:t>
      </w:r>
    </w:p>
    <w:p w:rsidR="003E67DA" w:rsidRDefault="00645504">
      <w:pPr>
        <w:pStyle w:val="Heading3"/>
        <w:pageBreakBefore/>
        <w:spacing w:before="0"/>
      </w:pPr>
      <w:bookmarkStart w:id="55" w:name="_Toc68693300"/>
      <w:bookmarkStart w:id="56" w:name="_Toc68696924"/>
      <w:bookmarkStart w:id="57" w:name="_Toc68767485"/>
      <w:r>
        <w:rPr>
          <w:rStyle w:val="CharDivNo"/>
        </w:rPr>
        <w:lastRenderedPageBreak/>
        <w:t>Division 4</w:t>
      </w:r>
      <w:r>
        <w:t> — </w:t>
      </w:r>
      <w:r>
        <w:rPr>
          <w:rStyle w:val="CharDivText"/>
        </w:rPr>
        <w:t>Pet meat</w:t>
      </w:r>
      <w:bookmarkEnd w:id="55"/>
      <w:bookmarkEnd w:id="56"/>
      <w:bookmarkEnd w:id="57"/>
    </w:p>
    <w:p w:rsidR="003E67DA" w:rsidRDefault="00645504">
      <w:pPr>
        <w:pStyle w:val="Heading4"/>
      </w:pPr>
      <w:bookmarkStart w:id="58" w:name="_Toc68693301"/>
      <w:bookmarkStart w:id="59" w:name="_Toc68696925"/>
      <w:bookmarkStart w:id="60" w:name="_Toc68767486"/>
      <w:r>
        <w:t>Subdivision 1 — Preliminary</w:t>
      </w:r>
      <w:bookmarkEnd w:id="58"/>
      <w:bookmarkEnd w:id="59"/>
      <w:bookmarkEnd w:id="60"/>
    </w:p>
    <w:p w:rsidR="003E67DA" w:rsidRDefault="00645504">
      <w:pPr>
        <w:pStyle w:val="Heading5"/>
      </w:pPr>
      <w:bookmarkStart w:id="61" w:name="_Toc68767487"/>
      <w:r>
        <w:rPr>
          <w:rStyle w:val="CharSectno"/>
        </w:rPr>
        <w:t>28</w:t>
      </w:r>
      <w:r>
        <w:t>.</w:t>
      </w:r>
      <w:r>
        <w:tab/>
        <w:t>Term used: proprietor</w:t>
      </w:r>
      <w:bookmarkEnd w:id="61"/>
    </w:p>
    <w:p w:rsidR="003E67DA" w:rsidRDefault="00645504">
      <w:pPr>
        <w:pStyle w:val="Subsection"/>
      </w:pPr>
      <w:r>
        <w:tab/>
      </w:r>
      <w:r>
        <w:tab/>
        <w:t xml:space="preserve">In this Division — </w:t>
      </w:r>
    </w:p>
    <w:p w:rsidR="003E67DA" w:rsidRDefault="00645504">
      <w:pPr>
        <w:pStyle w:val="Defstart"/>
      </w:pPr>
      <w:r>
        <w:tab/>
      </w:r>
      <w:r>
        <w:rPr>
          <w:rStyle w:val="CharDefText"/>
        </w:rPr>
        <w:t>proprietor</w:t>
      </w:r>
      <w:r>
        <w:t xml:space="preserve">, of a retail pet meat shop, means — </w:t>
      </w:r>
    </w:p>
    <w:p w:rsidR="003E67DA" w:rsidRDefault="00645504">
      <w:pPr>
        <w:pStyle w:val="Defpara"/>
      </w:pPr>
      <w:r>
        <w:tab/>
        <w:t>(a)</w:t>
      </w:r>
      <w:r>
        <w:tab/>
        <w:t xml:space="preserve">the person </w:t>
      </w:r>
      <w:r>
        <w:t>carrying on the business conducted at the retail pet meat shop; or</w:t>
      </w:r>
    </w:p>
    <w:p w:rsidR="003E67DA" w:rsidRDefault="00645504">
      <w:pPr>
        <w:pStyle w:val="Defpara"/>
      </w:pPr>
      <w:r>
        <w:tab/>
        <w:t>(b)</w:t>
      </w:r>
      <w:r>
        <w:tab/>
        <w:t>if that person cannot be identified — the person in charge of that business.</w:t>
      </w:r>
    </w:p>
    <w:p w:rsidR="003E67DA" w:rsidRDefault="00645504">
      <w:pPr>
        <w:pStyle w:val="Heading4"/>
      </w:pPr>
      <w:bookmarkStart w:id="62" w:name="_Toc68693303"/>
      <w:bookmarkStart w:id="63" w:name="_Toc68696927"/>
      <w:bookmarkStart w:id="64" w:name="_Toc68767488"/>
      <w:r>
        <w:t>Subdivision 2 — Staining of pet meat</w:t>
      </w:r>
      <w:bookmarkEnd w:id="62"/>
      <w:bookmarkEnd w:id="63"/>
      <w:bookmarkEnd w:id="64"/>
    </w:p>
    <w:p w:rsidR="003E67DA" w:rsidRDefault="00645504">
      <w:pPr>
        <w:pStyle w:val="Heading5"/>
        <w:spacing w:before="120"/>
      </w:pPr>
      <w:bookmarkStart w:id="65" w:name="_Toc68767489"/>
      <w:r>
        <w:rPr>
          <w:rStyle w:val="CharSectno"/>
        </w:rPr>
        <w:t>29</w:t>
      </w:r>
      <w:r>
        <w:t>.</w:t>
      </w:r>
      <w:r>
        <w:tab/>
        <w:t>Term used: dressing</w:t>
      </w:r>
      <w:bookmarkEnd w:id="65"/>
    </w:p>
    <w:p w:rsidR="003E67DA" w:rsidRDefault="00645504">
      <w:pPr>
        <w:pStyle w:val="Subsection"/>
      </w:pPr>
      <w:r>
        <w:tab/>
      </w:r>
      <w:r>
        <w:tab/>
        <w:t xml:space="preserve">In this Subdivision — </w:t>
      </w:r>
    </w:p>
    <w:p w:rsidR="003E67DA" w:rsidRDefault="00645504">
      <w:pPr>
        <w:pStyle w:val="Defstart"/>
      </w:pPr>
      <w:r>
        <w:tab/>
      </w:r>
      <w:r>
        <w:rPr>
          <w:rStyle w:val="CharDefText"/>
        </w:rPr>
        <w:t>dressing</w:t>
      </w:r>
      <w:r>
        <w:t>, of an anim</w:t>
      </w:r>
      <w:r>
        <w:t>al, means the process by which a dead animal becomes a carcase, which includes the removal, as appropriate, of the head, feet, hide, skin, hair, feathers, viscera, genital organs and urinary tract.</w:t>
      </w:r>
    </w:p>
    <w:p w:rsidR="003E67DA" w:rsidRDefault="00645504">
      <w:pPr>
        <w:pStyle w:val="Heading5"/>
      </w:pPr>
      <w:bookmarkStart w:id="66" w:name="_Toc68767490"/>
      <w:r>
        <w:rPr>
          <w:rStyle w:val="CharSectno"/>
        </w:rPr>
        <w:t>30</w:t>
      </w:r>
      <w:r>
        <w:t>.</w:t>
      </w:r>
      <w:r>
        <w:tab/>
        <w:t>Requirement for pet meat to be stained</w:t>
      </w:r>
      <w:bookmarkEnd w:id="66"/>
    </w:p>
    <w:p w:rsidR="003E67DA" w:rsidRDefault="00645504">
      <w:pPr>
        <w:pStyle w:val="Subsection"/>
      </w:pPr>
      <w:r>
        <w:tab/>
        <w:t>(1)</w:t>
      </w:r>
      <w:r>
        <w:tab/>
        <w:t>The propri</w:t>
      </w:r>
      <w:r>
        <w:t xml:space="preserve">etor of animal food processing premises must ensure that any pet meat produced at those premises — </w:t>
      </w:r>
    </w:p>
    <w:p w:rsidR="003E67DA" w:rsidRDefault="00645504">
      <w:pPr>
        <w:pStyle w:val="Indenta"/>
      </w:pPr>
      <w:r>
        <w:tab/>
        <w:t>(a)</w:t>
      </w:r>
      <w:r>
        <w:tab/>
        <w:t>is subjected to a heat treatment process approved by the appropriate enforcement agency; or</w:t>
      </w:r>
    </w:p>
    <w:p w:rsidR="003E67DA" w:rsidRDefault="00645504">
      <w:pPr>
        <w:pStyle w:val="Indenta"/>
      </w:pPr>
      <w:r>
        <w:tab/>
        <w:t>(b)</w:t>
      </w:r>
      <w:r>
        <w:tab/>
        <w:t>is stained in accordance with regulation 31.</w:t>
      </w:r>
    </w:p>
    <w:p w:rsidR="003E67DA" w:rsidRDefault="00645504">
      <w:pPr>
        <w:pStyle w:val="Penstart"/>
      </w:pPr>
      <w:r>
        <w:tab/>
        <w:t>Penalty:</w:t>
      </w:r>
      <w:r>
        <w:t xml:space="preserve"> a fine of $5 000.</w:t>
      </w:r>
    </w:p>
    <w:p w:rsidR="003E67DA" w:rsidRDefault="00645504">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rsidR="003E67DA" w:rsidRDefault="00645504">
      <w:pPr>
        <w:pStyle w:val="Indenta"/>
      </w:pPr>
      <w:r>
        <w:tab/>
        <w:t>(a)</w:t>
      </w:r>
      <w:r>
        <w:tab/>
        <w:t>that c</w:t>
      </w:r>
      <w:r>
        <w:t>omplies with the requirements for a closed package in regulation 33(1); and</w:t>
      </w:r>
    </w:p>
    <w:p w:rsidR="003E67DA" w:rsidRDefault="00645504">
      <w:pPr>
        <w:pStyle w:val="Indenta"/>
      </w:pPr>
      <w:r>
        <w:lastRenderedPageBreak/>
        <w:tab/>
        <w:t>(b)</w:t>
      </w:r>
      <w:r>
        <w:tab/>
        <w:t>that has a mass not greater than 1 kg.</w:t>
      </w:r>
    </w:p>
    <w:p w:rsidR="003E67DA" w:rsidRDefault="00645504">
      <w:pPr>
        <w:pStyle w:val="Heading5"/>
      </w:pPr>
      <w:bookmarkStart w:id="67" w:name="_Toc68767491"/>
      <w:r>
        <w:rPr>
          <w:rStyle w:val="CharSectno"/>
        </w:rPr>
        <w:t>31</w:t>
      </w:r>
      <w:r>
        <w:t>.</w:t>
      </w:r>
      <w:r>
        <w:tab/>
        <w:t>How pet meat is to be stained</w:t>
      </w:r>
      <w:bookmarkEnd w:id="67"/>
    </w:p>
    <w:p w:rsidR="003E67DA" w:rsidRDefault="00645504">
      <w:pPr>
        <w:pStyle w:val="Subsection"/>
      </w:pPr>
      <w:r>
        <w:tab/>
      </w:r>
      <w:r>
        <w:tab/>
        <w:t>For the purposes of regulation 30(1)(b), pet meat is to be stained with a blue dye made from a subst</w:t>
      </w:r>
      <w:r>
        <w:t xml:space="preserve">ance listed in a Schedule to FSC standard 1.3.1 — </w:t>
      </w:r>
    </w:p>
    <w:p w:rsidR="003E67DA" w:rsidRDefault="00645504">
      <w:pPr>
        <w:pStyle w:val="Indenta"/>
      </w:pPr>
      <w:r>
        <w:tab/>
        <w:t>(a)</w:t>
      </w:r>
      <w:r>
        <w:tab/>
        <w:t>after the dressing of the animal from which the pet meat is produced; and</w:t>
      </w:r>
    </w:p>
    <w:p w:rsidR="003E67DA" w:rsidRDefault="00645504">
      <w:pPr>
        <w:pStyle w:val="Indenta"/>
      </w:pPr>
      <w:r>
        <w:tab/>
        <w:t>(b)</w:t>
      </w:r>
      <w:r>
        <w:tab/>
        <w:t>in such a manner that the staining remains visible if the pet meat is broken up for sale.</w:t>
      </w:r>
    </w:p>
    <w:p w:rsidR="003E67DA" w:rsidRDefault="00645504">
      <w:pPr>
        <w:pStyle w:val="Heading5"/>
      </w:pPr>
      <w:bookmarkStart w:id="68" w:name="_Toc68767492"/>
      <w:r>
        <w:rPr>
          <w:rStyle w:val="CharSectno"/>
        </w:rPr>
        <w:t>32</w:t>
      </w:r>
      <w:r>
        <w:t>.</w:t>
      </w:r>
      <w:r>
        <w:tab/>
        <w:t xml:space="preserve">Removal of stain from pet </w:t>
      </w:r>
      <w:r>
        <w:t>meat prohibited</w:t>
      </w:r>
      <w:bookmarkEnd w:id="68"/>
    </w:p>
    <w:p w:rsidR="003E67DA" w:rsidRDefault="00645504">
      <w:pPr>
        <w:pStyle w:val="Subsection"/>
      </w:pPr>
      <w:r>
        <w:tab/>
      </w:r>
      <w:r>
        <w:tab/>
        <w:t>A person must not remove, or attempt to remove, the stain applied to pet meat in accordance with regulation 31.</w:t>
      </w:r>
    </w:p>
    <w:p w:rsidR="003E67DA" w:rsidRDefault="00645504">
      <w:pPr>
        <w:pStyle w:val="Penstart"/>
      </w:pPr>
      <w:r>
        <w:tab/>
        <w:t>Penalty: a fine of $5 000.</w:t>
      </w:r>
    </w:p>
    <w:p w:rsidR="003E67DA" w:rsidRDefault="00645504">
      <w:pPr>
        <w:pStyle w:val="Heading4"/>
      </w:pPr>
      <w:bookmarkStart w:id="69" w:name="_Toc68693308"/>
      <w:bookmarkStart w:id="70" w:name="_Toc68696932"/>
      <w:bookmarkStart w:id="71" w:name="_Toc68767493"/>
      <w:r>
        <w:t>Subdivision 3 — Requirements relating to packaged and unpackaged pet meat</w:t>
      </w:r>
      <w:bookmarkEnd w:id="69"/>
      <w:bookmarkEnd w:id="70"/>
      <w:bookmarkEnd w:id="71"/>
    </w:p>
    <w:p w:rsidR="003E67DA" w:rsidRDefault="00645504">
      <w:pPr>
        <w:pStyle w:val="Heading5"/>
      </w:pPr>
      <w:bookmarkStart w:id="72" w:name="_Toc68767494"/>
      <w:r>
        <w:rPr>
          <w:rStyle w:val="CharSectno"/>
        </w:rPr>
        <w:t>33</w:t>
      </w:r>
      <w:r>
        <w:t>.</w:t>
      </w:r>
      <w:r>
        <w:tab/>
        <w:t>Pet meat sold by foo</w:t>
      </w:r>
      <w:r>
        <w:t>d businesses to be packaged</w:t>
      </w:r>
      <w:bookmarkEnd w:id="72"/>
    </w:p>
    <w:p w:rsidR="003E67DA" w:rsidRDefault="00645504">
      <w:pPr>
        <w:pStyle w:val="Subsection"/>
      </w:pPr>
      <w:r>
        <w:tab/>
        <w:t>(1)</w:t>
      </w:r>
      <w:r>
        <w:tab/>
        <w:t xml:space="preserve">The proprietor of a food business must ensure that pet meat is not sold from premises at which the business is conducted unless the pet meat is in a closed package — </w:t>
      </w:r>
    </w:p>
    <w:p w:rsidR="003E67DA" w:rsidRDefault="00645504">
      <w:pPr>
        <w:pStyle w:val="Indenta"/>
      </w:pPr>
      <w:r>
        <w:tab/>
        <w:t>(a)</w:t>
      </w:r>
      <w:r>
        <w:tab/>
        <w:t>that is not damaged; and</w:t>
      </w:r>
    </w:p>
    <w:p w:rsidR="003E67DA" w:rsidRDefault="00645504">
      <w:pPr>
        <w:pStyle w:val="Indenta"/>
      </w:pPr>
      <w:r>
        <w:tab/>
        <w:t>(b)</w:t>
      </w:r>
      <w:r>
        <w:tab/>
        <w:t>that is made of an im</w:t>
      </w:r>
      <w:r>
        <w:t>pervious material; and</w:t>
      </w:r>
    </w:p>
    <w:p w:rsidR="003E67DA" w:rsidRDefault="00645504">
      <w:pPr>
        <w:pStyle w:val="Indenta"/>
      </w:pPr>
      <w:r>
        <w:tab/>
        <w:t>(c)</w:t>
      </w:r>
      <w:r>
        <w:tab/>
        <w:t xml:space="preserve">that is sealed in such a way that — </w:t>
      </w:r>
    </w:p>
    <w:p w:rsidR="003E67DA" w:rsidRDefault="00645504">
      <w:pPr>
        <w:pStyle w:val="Indenti"/>
      </w:pPr>
      <w:r>
        <w:tab/>
        <w:t>(i)</w:t>
      </w:r>
      <w:r>
        <w:tab/>
        <w:t>the package cannot be opened and resealed without it being evident that the package has been opened and resealed; and</w:t>
      </w:r>
    </w:p>
    <w:p w:rsidR="003E67DA" w:rsidRDefault="00645504">
      <w:pPr>
        <w:pStyle w:val="Indenti"/>
      </w:pPr>
      <w:r>
        <w:tab/>
        <w:t>(ii)</w:t>
      </w:r>
      <w:r>
        <w:tab/>
        <w:t>liquid cannot escape from the package;</w:t>
      </w:r>
    </w:p>
    <w:p w:rsidR="003E67DA" w:rsidRDefault="00645504">
      <w:pPr>
        <w:pStyle w:val="Indenta"/>
      </w:pPr>
      <w:r>
        <w:tab/>
      </w:r>
      <w:r>
        <w:tab/>
        <w:t>and</w:t>
      </w:r>
    </w:p>
    <w:p w:rsidR="003E67DA" w:rsidRDefault="00645504">
      <w:pPr>
        <w:pStyle w:val="Indenta"/>
      </w:pPr>
      <w:r>
        <w:lastRenderedPageBreak/>
        <w:tab/>
        <w:t>(d)</w:t>
      </w:r>
      <w:r>
        <w:tab/>
        <w:t>that has “Pe</w:t>
      </w:r>
      <w:r>
        <w:t>t Meat — Not for Human Consumption” prominently displayed on it in letters not less than 5 mm in height.</w:t>
      </w:r>
    </w:p>
    <w:p w:rsidR="003E67DA" w:rsidRDefault="00645504">
      <w:pPr>
        <w:pStyle w:val="Penstart"/>
      </w:pPr>
      <w:r>
        <w:tab/>
        <w:t>Penalty: a fine of $5 000.</w:t>
      </w:r>
    </w:p>
    <w:p w:rsidR="003E67DA" w:rsidRDefault="00645504">
      <w:pPr>
        <w:pStyle w:val="Subsection"/>
      </w:pPr>
      <w:r>
        <w:tab/>
        <w:t>(2)</w:t>
      </w:r>
      <w:r>
        <w:tab/>
        <w:t>The proprietor of a food business must ensure that, if both food and packages of pet meat are stored or displayed at p</w:t>
      </w:r>
      <w:r>
        <w:t>remises at which the business is conducted, an impervious barrier separates the food and the packages of pet meat.</w:t>
      </w:r>
    </w:p>
    <w:p w:rsidR="003E67DA" w:rsidRDefault="00645504">
      <w:pPr>
        <w:pStyle w:val="Penstart"/>
      </w:pPr>
      <w:r>
        <w:tab/>
        <w:t>Penalty: a fine of $5 000.</w:t>
      </w:r>
    </w:p>
    <w:p w:rsidR="003E67DA" w:rsidRDefault="00645504">
      <w:pPr>
        <w:pStyle w:val="Heading5"/>
      </w:pPr>
      <w:bookmarkStart w:id="73" w:name="_Toc68767495"/>
      <w:r>
        <w:rPr>
          <w:rStyle w:val="CharSectno"/>
        </w:rPr>
        <w:t>34</w:t>
      </w:r>
      <w:r>
        <w:t>.</w:t>
      </w:r>
      <w:r>
        <w:tab/>
        <w:t>Unpackaged pet meat to be sold only at animal food processing premises or retail pet meat shops</w:t>
      </w:r>
      <w:bookmarkEnd w:id="73"/>
    </w:p>
    <w:p w:rsidR="003E67DA" w:rsidRDefault="00645504">
      <w:pPr>
        <w:pStyle w:val="Subsection"/>
      </w:pPr>
      <w:r>
        <w:tab/>
      </w:r>
      <w:r>
        <w:tab/>
        <w:t>A person mu</w:t>
      </w:r>
      <w:r>
        <w:t>st not sell pet meat that is not in a closed package except at animal food processing premises, or a retail pet meat shop, in respect of which notification has been given under regulation 40.</w:t>
      </w:r>
    </w:p>
    <w:p w:rsidR="003E67DA" w:rsidRDefault="00645504">
      <w:pPr>
        <w:pStyle w:val="Penstart"/>
      </w:pPr>
      <w:r>
        <w:tab/>
        <w:t>Penalty: a fine of $5 000.</w:t>
      </w:r>
    </w:p>
    <w:p w:rsidR="003E67DA" w:rsidRDefault="00645504">
      <w:pPr>
        <w:pStyle w:val="Heading5"/>
      </w:pPr>
      <w:bookmarkStart w:id="74" w:name="_Toc68767496"/>
      <w:r>
        <w:rPr>
          <w:rStyle w:val="CharSectno"/>
        </w:rPr>
        <w:t>35</w:t>
      </w:r>
      <w:r>
        <w:t>.</w:t>
      </w:r>
      <w:r>
        <w:tab/>
        <w:t>Unpackaged pet meat to be stored</w:t>
      </w:r>
      <w:r>
        <w:t xml:space="preserve"> at animal food processing premises and retail pet meat shops in marked containers</w:t>
      </w:r>
      <w:bookmarkEnd w:id="74"/>
    </w:p>
    <w:p w:rsidR="003E67DA" w:rsidRDefault="00645504">
      <w:pPr>
        <w:pStyle w:val="Subsection"/>
      </w:pPr>
      <w:r>
        <w:tab/>
        <w:t>(1)</w:t>
      </w:r>
      <w:r>
        <w:tab/>
        <w:t xml:space="preserve">The proprietor of animal food processing premises, or a retail pet meat shop, must ensure that any pet meat — </w:t>
      </w:r>
    </w:p>
    <w:p w:rsidR="003E67DA" w:rsidRDefault="00645504">
      <w:pPr>
        <w:pStyle w:val="Indenta"/>
      </w:pPr>
      <w:r>
        <w:tab/>
        <w:t>(a)</w:t>
      </w:r>
      <w:r>
        <w:tab/>
        <w:t>that is not in a closed package; and</w:t>
      </w:r>
    </w:p>
    <w:p w:rsidR="003E67DA" w:rsidRDefault="00645504">
      <w:pPr>
        <w:pStyle w:val="Indenta"/>
      </w:pPr>
      <w:r>
        <w:tab/>
        <w:t>(b)</w:t>
      </w:r>
      <w:r>
        <w:tab/>
        <w:t>that is st</w:t>
      </w:r>
      <w:r>
        <w:t>ored at the premises or shop for the purpose of sale,</w:t>
      </w:r>
    </w:p>
    <w:p w:rsidR="003E67DA" w:rsidRDefault="00645504">
      <w:pPr>
        <w:pStyle w:val="Subsection"/>
      </w:pPr>
      <w:r>
        <w:tab/>
      </w:r>
      <w:r>
        <w:tab/>
        <w:t>is stored in a container that complies with subregulation (2).</w:t>
      </w:r>
    </w:p>
    <w:p w:rsidR="003E67DA" w:rsidRDefault="00645504">
      <w:pPr>
        <w:pStyle w:val="Penstart"/>
      </w:pPr>
      <w:r>
        <w:tab/>
        <w:t>Penalty: a fine of $5 000.</w:t>
      </w:r>
    </w:p>
    <w:p w:rsidR="003E67DA" w:rsidRDefault="00645504">
      <w:pPr>
        <w:pStyle w:val="Subsection"/>
      </w:pPr>
      <w:r>
        <w:tab/>
        <w:t>(2)</w:t>
      </w:r>
      <w:r>
        <w:tab/>
        <w:t xml:space="preserve">The container is to have displayed on it — </w:t>
      </w:r>
    </w:p>
    <w:p w:rsidR="003E67DA" w:rsidRDefault="00645504">
      <w:pPr>
        <w:pStyle w:val="Indenta"/>
      </w:pPr>
      <w:r>
        <w:tab/>
        <w:t>(a)</w:t>
      </w:r>
      <w:r>
        <w:tab/>
        <w:t>in the case of animal food processing premises — the ad</w:t>
      </w:r>
      <w:r>
        <w:t>dress of the premises and the name of the business conducted at those premises; and</w:t>
      </w:r>
    </w:p>
    <w:p w:rsidR="003E67DA" w:rsidRDefault="00645504">
      <w:pPr>
        <w:pStyle w:val="Indenta"/>
      </w:pPr>
      <w:r>
        <w:lastRenderedPageBreak/>
        <w:tab/>
        <w:t>(b)</w:t>
      </w:r>
      <w:r>
        <w:tab/>
        <w:t xml:space="preserve">in the case of a retail pet meat shop — the address of the animal food processing premises from which the pet meat was supplied and the name of the business conducted </w:t>
      </w:r>
      <w:r>
        <w:t>at those premises; and</w:t>
      </w:r>
    </w:p>
    <w:p w:rsidR="003E67DA" w:rsidRDefault="00645504">
      <w:pPr>
        <w:pStyle w:val="Indenta"/>
      </w:pPr>
      <w:r>
        <w:tab/>
        <w:t>(c)</w:t>
      </w:r>
      <w:r>
        <w:tab/>
        <w:t>in either case — “Pet Meat — Not for Human Consumption” in letters not less than 10 mm in height.</w:t>
      </w:r>
    </w:p>
    <w:p w:rsidR="003E67DA" w:rsidRDefault="00645504">
      <w:pPr>
        <w:pStyle w:val="Heading5"/>
      </w:pPr>
      <w:bookmarkStart w:id="75" w:name="_Toc68767497"/>
      <w:r>
        <w:rPr>
          <w:rStyle w:val="CharSectno"/>
        </w:rPr>
        <w:t>36</w:t>
      </w:r>
      <w:r>
        <w:t>.</w:t>
      </w:r>
      <w:r>
        <w:tab/>
        <w:t>Unpackaged pet meat and food not to be processed, handled or sold at same food business premises</w:t>
      </w:r>
      <w:bookmarkEnd w:id="75"/>
    </w:p>
    <w:p w:rsidR="003E67DA" w:rsidRDefault="00645504">
      <w:pPr>
        <w:pStyle w:val="Subsection"/>
      </w:pPr>
      <w:r>
        <w:tab/>
        <w:t>(1A)</w:t>
      </w:r>
      <w:r>
        <w:tab/>
        <w:t xml:space="preserve">In this regulation — </w:t>
      </w:r>
    </w:p>
    <w:p w:rsidR="003E67DA" w:rsidRDefault="00645504">
      <w:pPr>
        <w:pStyle w:val="Defstart"/>
      </w:pPr>
      <w:r>
        <w:tab/>
      </w:r>
      <w:r>
        <w:rPr>
          <w:rStyle w:val="CharDefText"/>
        </w:rPr>
        <w:t>poultry processing premises</w:t>
      </w:r>
      <w:r>
        <w:t xml:space="preserve"> has the same meaning as in the poultry standard;</w:t>
      </w:r>
    </w:p>
    <w:p w:rsidR="003E67DA" w:rsidRDefault="00645504">
      <w:pPr>
        <w:pStyle w:val="Defstart"/>
      </w:pPr>
      <w:r>
        <w:tab/>
      </w:r>
      <w:r>
        <w:rPr>
          <w:rStyle w:val="CharDefText"/>
        </w:rPr>
        <w:t>poultry standard</w:t>
      </w:r>
      <w:r>
        <w:t xml:space="preserve"> means the standard adopted under regulation 18(1)(f).</w:t>
      </w:r>
    </w:p>
    <w:p w:rsidR="003E67DA" w:rsidRDefault="00645504">
      <w:pPr>
        <w:pStyle w:val="Subsection"/>
      </w:pPr>
      <w:r>
        <w:tab/>
        <w:t>(1)</w:t>
      </w:r>
      <w:r>
        <w:tab/>
        <w:t>The proprietor of a food business must ensure that no pet meat other than pet meat that is in a closed</w:t>
      </w:r>
      <w:r>
        <w:t xml:space="preserve"> package is processed, handled, stored or sold in or from the premises in or from which food is processed, handled, stored or sold.</w:t>
      </w:r>
    </w:p>
    <w:p w:rsidR="003E67DA" w:rsidRDefault="00645504">
      <w:pPr>
        <w:pStyle w:val="Penstart"/>
      </w:pPr>
      <w:r>
        <w:tab/>
        <w:t>Penalty: a fine of $5 000.</w:t>
      </w:r>
    </w:p>
    <w:p w:rsidR="003E67DA" w:rsidRDefault="00645504">
      <w:pPr>
        <w:pStyle w:val="Subsection"/>
      </w:pPr>
      <w:r>
        <w:tab/>
        <w:t>(2)</w:t>
      </w:r>
      <w:r>
        <w:tab/>
        <w:t>Subregulation (1) does not apply to the handling or storage of pet meat in an abattoir if t</w:t>
      </w:r>
      <w:r>
        <w:t>he requirements stated in clauses 17.1 to 17.9 and 17.12 to 17.14 of the meat standard are, to the extent applicable, complied with in relation to the handling or storage of that pet meat.</w:t>
      </w:r>
    </w:p>
    <w:p w:rsidR="003E67DA" w:rsidRDefault="00645504">
      <w:pPr>
        <w:pStyle w:val="Subsection"/>
        <w:spacing w:before="140"/>
      </w:pPr>
      <w:r>
        <w:tab/>
        <w:t>(3)</w:t>
      </w:r>
      <w:r>
        <w:tab/>
        <w:t>Subregulation (1) does not apply to the handling or storage of</w:t>
      </w:r>
      <w:r>
        <w:t xml:space="preserve"> pet meat in a wild game meat processing establishment if the requirements stated in Section 13 (Animal Food and Pharmaceutical Material) of the wild game standard are, to the extent applicable, complied with in relation to the handling or storage of that </w:t>
      </w:r>
      <w:r>
        <w:t>pet meat.</w:t>
      </w:r>
    </w:p>
    <w:p w:rsidR="003E67DA" w:rsidRDefault="00645504">
      <w:pPr>
        <w:pStyle w:val="Subsection"/>
        <w:spacing w:before="140"/>
      </w:pPr>
      <w:r>
        <w:tab/>
        <w:t>(4)</w:t>
      </w:r>
      <w:r>
        <w:tab/>
        <w:t xml:space="preserve">Subregulation (1) does not apply to the handling or storage of pet meat in poultry processing premises if the requirements stated in clauses 15.148 and 15.149 of the poultry standard are, </w:t>
      </w:r>
      <w:r>
        <w:lastRenderedPageBreak/>
        <w:t>to the extent applicable, complied with in relation t</w:t>
      </w:r>
      <w:r>
        <w:t>o the handling or storage of that pet meat.</w:t>
      </w:r>
    </w:p>
    <w:p w:rsidR="003E67DA" w:rsidRDefault="00645504">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rsidR="003E67DA" w:rsidRDefault="00645504">
      <w:pPr>
        <w:pStyle w:val="Footnotesection"/>
        <w:spacing w:before="100"/>
      </w:pPr>
      <w:r>
        <w:tab/>
      </w:r>
      <w:r>
        <w:t>[Regulation 36 amended: Gazette 20 Apr 2012 p. 1697.]</w:t>
      </w:r>
    </w:p>
    <w:p w:rsidR="003E67DA" w:rsidRDefault="00645504">
      <w:pPr>
        <w:pStyle w:val="Heading4"/>
      </w:pPr>
      <w:bookmarkStart w:id="76" w:name="_Toc68693313"/>
      <w:bookmarkStart w:id="77" w:name="_Toc68696937"/>
      <w:bookmarkStart w:id="78" w:name="_Toc68767498"/>
      <w:r>
        <w:t>Subdivision 4 — Other requirements</w:t>
      </w:r>
      <w:bookmarkEnd w:id="76"/>
      <w:bookmarkEnd w:id="77"/>
      <w:bookmarkEnd w:id="78"/>
    </w:p>
    <w:p w:rsidR="003E67DA" w:rsidRDefault="00645504">
      <w:pPr>
        <w:pStyle w:val="Heading5"/>
        <w:spacing w:before="200"/>
      </w:pPr>
      <w:bookmarkStart w:id="79" w:name="_Toc68767499"/>
      <w:r>
        <w:rPr>
          <w:rStyle w:val="CharSectno"/>
        </w:rPr>
        <w:t>37</w:t>
      </w:r>
      <w:r>
        <w:t>.</w:t>
      </w:r>
      <w:r>
        <w:tab/>
        <w:t>Proprietor of animal food processing premises to establish and maintain system for tracing pet meat</w:t>
      </w:r>
      <w:bookmarkEnd w:id="79"/>
    </w:p>
    <w:p w:rsidR="003E67DA" w:rsidRDefault="00645504">
      <w:pPr>
        <w:pStyle w:val="Subsection"/>
        <w:spacing w:before="140"/>
      </w:pPr>
      <w:r>
        <w:tab/>
      </w:r>
      <w:r>
        <w:tab/>
        <w:t xml:space="preserve">The proprietor of animal food processing premises — </w:t>
      </w:r>
    </w:p>
    <w:p w:rsidR="003E67DA" w:rsidRDefault="00645504">
      <w:pPr>
        <w:pStyle w:val="Indenta"/>
        <w:spacing w:before="60"/>
      </w:pPr>
      <w:r>
        <w:tab/>
        <w:t>(a)</w:t>
      </w:r>
      <w:r>
        <w:tab/>
      </w:r>
      <w:r>
        <w:t xml:space="preserve">must establish and maintain a system that enables, to the extent reasonably possible, any pet meat supplied from those premises — </w:t>
      </w:r>
    </w:p>
    <w:p w:rsidR="003E67DA" w:rsidRDefault="00645504">
      <w:pPr>
        <w:pStyle w:val="Indenti"/>
        <w:spacing w:before="60"/>
      </w:pPr>
      <w:r>
        <w:tab/>
        <w:t>(i)</w:t>
      </w:r>
      <w:r>
        <w:tab/>
        <w:t>to be identified as having been supplied from those premises; and</w:t>
      </w:r>
    </w:p>
    <w:p w:rsidR="003E67DA" w:rsidRDefault="00645504">
      <w:pPr>
        <w:pStyle w:val="Indenti"/>
        <w:spacing w:before="60"/>
      </w:pPr>
      <w:r>
        <w:tab/>
        <w:t>(ii)</w:t>
      </w:r>
      <w:r>
        <w:tab/>
        <w:t>to be traced by the proprietor to the person who</w:t>
      </w:r>
      <w:r>
        <w:t xml:space="preserve"> supplied to those premises the carcases from which the pet meat was produced; and</w:t>
      </w:r>
    </w:p>
    <w:p w:rsidR="003E67DA" w:rsidRDefault="00645504">
      <w:pPr>
        <w:pStyle w:val="Indenti"/>
      </w:pPr>
      <w:r>
        <w:tab/>
        <w:t>(iii)</w:t>
      </w:r>
      <w:r>
        <w:tab/>
        <w:t>to be recalled by the proprietor;</w:t>
      </w:r>
    </w:p>
    <w:p w:rsidR="003E67DA" w:rsidRDefault="00645504">
      <w:pPr>
        <w:pStyle w:val="Indenta"/>
      </w:pPr>
      <w:r>
        <w:tab/>
      </w:r>
      <w:r>
        <w:tab/>
        <w:t>and</w:t>
      </w:r>
    </w:p>
    <w:p w:rsidR="003E67DA" w:rsidRDefault="00645504">
      <w:pPr>
        <w:pStyle w:val="Indenta"/>
      </w:pPr>
      <w:r>
        <w:tab/>
        <w:t>(b)</w:t>
      </w:r>
      <w:r>
        <w:tab/>
        <w:t>must have a written plan that documents that system.</w:t>
      </w:r>
    </w:p>
    <w:p w:rsidR="003E67DA" w:rsidRDefault="00645504">
      <w:pPr>
        <w:pStyle w:val="Penstart"/>
      </w:pPr>
      <w:r>
        <w:tab/>
        <w:t>Penalty: a fine of $5 000.</w:t>
      </w:r>
    </w:p>
    <w:p w:rsidR="003E67DA" w:rsidRDefault="00645504">
      <w:pPr>
        <w:pStyle w:val="Heading5"/>
      </w:pPr>
      <w:bookmarkStart w:id="80" w:name="_Toc68767500"/>
      <w:r>
        <w:rPr>
          <w:rStyle w:val="CharSectno"/>
        </w:rPr>
        <w:t>38</w:t>
      </w:r>
      <w:r>
        <w:t>.</w:t>
      </w:r>
      <w:r>
        <w:tab/>
        <w:t>Meat and game meat for human consump</w:t>
      </w:r>
      <w:r>
        <w:t>tion not to be stored in animal food processing premises</w:t>
      </w:r>
      <w:bookmarkEnd w:id="80"/>
    </w:p>
    <w:p w:rsidR="003E67DA" w:rsidRDefault="00645504">
      <w:pPr>
        <w:pStyle w:val="Subsection"/>
      </w:pPr>
      <w:r>
        <w:tab/>
      </w:r>
      <w:r>
        <w:tab/>
        <w:t>The proprietor of animal food processing premises must ensure that no meat or game meat, for human consumption, is stored at those premises.</w:t>
      </w:r>
    </w:p>
    <w:p w:rsidR="003E67DA" w:rsidRDefault="00645504">
      <w:pPr>
        <w:pStyle w:val="Penstart"/>
      </w:pPr>
      <w:r>
        <w:tab/>
        <w:t>Penalty: a fine of $5 000.</w:t>
      </w:r>
    </w:p>
    <w:p w:rsidR="003E67DA" w:rsidRDefault="00645504">
      <w:pPr>
        <w:pStyle w:val="Heading5"/>
      </w:pPr>
      <w:bookmarkStart w:id="81" w:name="_Toc68767501"/>
      <w:r>
        <w:rPr>
          <w:rStyle w:val="CharSectno"/>
        </w:rPr>
        <w:lastRenderedPageBreak/>
        <w:t>39</w:t>
      </w:r>
      <w:r>
        <w:t>.</w:t>
      </w:r>
      <w:r>
        <w:tab/>
        <w:t xml:space="preserve">Pet meat not to be sold </w:t>
      </w:r>
      <w:r>
        <w:t>as food</w:t>
      </w:r>
      <w:bookmarkEnd w:id="81"/>
    </w:p>
    <w:p w:rsidR="003E67DA" w:rsidRDefault="00645504">
      <w:pPr>
        <w:pStyle w:val="Subsection"/>
      </w:pPr>
      <w:r>
        <w:tab/>
        <w:t>(1)</w:t>
      </w:r>
      <w:r>
        <w:tab/>
        <w:t xml:space="preserve">In this regulation — </w:t>
      </w:r>
    </w:p>
    <w:p w:rsidR="003E67DA" w:rsidRDefault="00645504">
      <w:pPr>
        <w:pStyle w:val="Defstart"/>
      </w:pPr>
      <w:r>
        <w:tab/>
      </w:r>
      <w:r>
        <w:rPr>
          <w:rStyle w:val="CharDefText"/>
        </w:rPr>
        <w:t>proprietor</w:t>
      </w:r>
      <w:r>
        <w:t xml:space="preserve">, of a business, in relation to premises at which the business is conducted, means — </w:t>
      </w:r>
    </w:p>
    <w:p w:rsidR="003E67DA" w:rsidRDefault="00645504">
      <w:pPr>
        <w:pStyle w:val="Defpara"/>
      </w:pPr>
      <w:r>
        <w:tab/>
        <w:t>(a)</w:t>
      </w:r>
      <w:r>
        <w:tab/>
        <w:t>the person carrying on the business conducted at those premises; or</w:t>
      </w:r>
    </w:p>
    <w:p w:rsidR="003E67DA" w:rsidRDefault="00645504">
      <w:pPr>
        <w:pStyle w:val="Defpara"/>
      </w:pPr>
      <w:r>
        <w:tab/>
        <w:t>(b)</w:t>
      </w:r>
      <w:r>
        <w:tab/>
        <w:t>if that person cannot be identified — the pers</w:t>
      </w:r>
      <w:r>
        <w:t>on in charge of that business.</w:t>
      </w:r>
    </w:p>
    <w:p w:rsidR="003E67DA" w:rsidRDefault="00645504">
      <w:pPr>
        <w:pStyle w:val="Subsection"/>
      </w:pPr>
      <w:r>
        <w:tab/>
        <w:t>(2)</w:t>
      </w:r>
      <w:r>
        <w:tab/>
        <w:t>The proprietor of a business must ensure that no pet meat branded as fit for consumption by animals is sold as food from premises at which the business is conducted.</w:t>
      </w:r>
    </w:p>
    <w:p w:rsidR="003E67DA" w:rsidRDefault="00645504">
      <w:pPr>
        <w:pStyle w:val="Penstart"/>
      </w:pPr>
      <w:r>
        <w:tab/>
        <w:t>Penalty: a fine of $5 000.</w:t>
      </w:r>
    </w:p>
    <w:p w:rsidR="003E67DA" w:rsidRDefault="00645504">
      <w:pPr>
        <w:pStyle w:val="Heading4"/>
      </w:pPr>
      <w:bookmarkStart w:id="82" w:name="_Toc68693317"/>
      <w:bookmarkStart w:id="83" w:name="_Toc68696941"/>
      <w:bookmarkStart w:id="84" w:name="_Toc68767502"/>
      <w:r>
        <w:t>Subdivision 5 — Notificati</w:t>
      </w:r>
      <w:r>
        <w:t>on of conduct of business at animal food processing premises and retail pet meat shops</w:t>
      </w:r>
      <w:bookmarkEnd w:id="82"/>
      <w:bookmarkEnd w:id="83"/>
      <w:bookmarkEnd w:id="84"/>
    </w:p>
    <w:p w:rsidR="003E67DA" w:rsidRDefault="00645504">
      <w:pPr>
        <w:pStyle w:val="Heading5"/>
      </w:pPr>
      <w:bookmarkStart w:id="85" w:name="_Toc68767503"/>
      <w:r>
        <w:rPr>
          <w:rStyle w:val="CharSectno"/>
        </w:rPr>
        <w:t>40</w:t>
      </w:r>
      <w:r>
        <w:t>.</w:t>
      </w:r>
      <w:r>
        <w:tab/>
        <w:t>Notification of conduct of business at animal food processing premises and retail pet meat shops</w:t>
      </w:r>
      <w:bookmarkEnd w:id="85"/>
    </w:p>
    <w:p w:rsidR="003E67DA" w:rsidRDefault="00645504">
      <w:pPr>
        <w:pStyle w:val="Subsection"/>
      </w:pPr>
      <w:r>
        <w:tab/>
      </w:r>
      <w:r>
        <w:tab/>
        <w:t xml:space="preserve">The proprietor of animal food processing premises, or of a retail </w:t>
      </w:r>
      <w:r>
        <w:t xml:space="preserve">pet meat shop, must not conduct business at those premises or that shop unless the proprietor has given written notification, in the approved form, to the appropriate enforcement agency that sets out — </w:t>
      </w:r>
    </w:p>
    <w:p w:rsidR="003E67DA" w:rsidRDefault="00645504">
      <w:pPr>
        <w:pStyle w:val="Indenta"/>
      </w:pPr>
      <w:r>
        <w:tab/>
        <w:t>(a)</w:t>
      </w:r>
      <w:r>
        <w:tab/>
        <w:t>the contact details for the premises or shop, in</w:t>
      </w:r>
      <w:r>
        <w:t>cluding the name of the business conducted at the premises or shop, the address of the premises or shop and the name and address of the proprietor; and</w:t>
      </w:r>
    </w:p>
    <w:p w:rsidR="003E67DA" w:rsidRDefault="00645504">
      <w:pPr>
        <w:pStyle w:val="Indenta"/>
      </w:pPr>
      <w:r>
        <w:tab/>
        <w:t>(b)</w:t>
      </w:r>
      <w:r>
        <w:tab/>
        <w:t>a description of the business that is conducted at the premises or shop.</w:t>
      </w:r>
    </w:p>
    <w:p w:rsidR="003E67DA" w:rsidRDefault="00645504">
      <w:pPr>
        <w:pStyle w:val="Penstart"/>
      </w:pPr>
      <w:r>
        <w:tab/>
        <w:t>Penalty: a fine of $5 000</w:t>
      </w:r>
      <w:r>
        <w:t>.</w:t>
      </w:r>
    </w:p>
    <w:p w:rsidR="003E67DA" w:rsidRDefault="00645504">
      <w:pPr>
        <w:pStyle w:val="Heading3"/>
      </w:pPr>
      <w:bookmarkStart w:id="86" w:name="_Toc68693319"/>
      <w:bookmarkStart w:id="87" w:name="_Toc68696943"/>
      <w:bookmarkStart w:id="88" w:name="_Toc68767504"/>
      <w:r>
        <w:rPr>
          <w:rStyle w:val="CharDivNo"/>
        </w:rPr>
        <w:lastRenderedPageBreak/>
        <w:t>Division 5</w:t>
      </w:r>
      <w:r>
        <w:t> — </w:t>
      </w:r>
      <w:r>
        <w:rPr>
          <w:rStyle w:val="CharDivText"/>
        </w:rPr>
        <w:t>Statements and inspection fees</w:t>
      </w:r>
      <w:bookmarkEnd w:id="86"/>
      <w:bookmarkEnd w:id="87"/>
      <w:bookmarkEnd w:id="88"/>
    </w:p>
    <w:p w:rsidR="003E67DA" w:rsidRDefault="00645504">
      <w:pPr>
        <w:pStyle w:val="Heading5"/>
      </w:pPr>
      <w:bookmarkStart w:id="89" w:name="_Toc68767505"/>
      <w:r>
        <w:rPr>
          <w:rStyle w:val="CharSectno"/>
        </w:rPr>
        <w:t>41</w:t>
      </w:r>
      <w:r>
        <w:t>.</w:t>
      </w:r>
      <w:r>
        <w:tab/>
        <w:t>Statements and inspection fees</w:t>
      </w:r>
      <w:bookmarkEnd w:id="89"/>
    </w:p>
    <w:p w:rsidR="003E67DA" w:rsidRDefault="00645504">
      <w:pPr>
        <w:pStyle w:val="Subsection"/>
      </w:pPr>
      <w:r>
        <w:tab/>
        <w:t>(1)</w:t>
      </w:r>
      <w:r>
        <w:tab/>
        <w:t>The proprietor of an abattoir at which animals or carcases are inspected as required under this Part must lodge with the appropriate enforcement agency a signed statement</w:t>
      </w:r>
      <w:r>
        <w:t>, in a form approved by and at the times determined by the enforcement agency, setting out the information required by the enforcement agency about animals slaughtered at the abattoir.</w:t>
      </w:r>
    </w:p>
    <w:p w:rsidR="003E67DA" w:rsidRDefault="00645504">
      <w:pPr>
        <w:pStyle w:val="Penstart"/>
      </w:pPr>
      <w:r>
        <w:tab/>
        <w:t>Penalty: a fine of $5 000.</w:t>
      </w:r>
    </w:p>
    <w:p w:rsidR="003E67DA" w:rsidRDefault="00645504">
      <w:pPr>
        <w:pStyle w:val="Subsection"/>
      </w:pPr>
      <w:r>
        <w:tab/>
        <w:t>(2)</w:t>
      </w:r>
      <w:r>
        <w:tab/>
        <w:t>The proprietor of an abattoir at which</w:t>
      </w:r>
      <w:r>
        <w:t xml:space="preserve"> animals or carcases are inspected as required under this Part must pay to the appropriate enforcement agency, in accordance with subregulation (3), the appropriate fee set out in Schedule 1 for each inspection.</w:t>
      </w:r>
    </w:p>
    <w:p w:rsidR="003E67DA" w:rsidRDefault="00645504">
      <w:pPr>
        <w:pStyle w:val="Penstart"/>
      </w:pPr>
      <w:r>
        <w:tab/>
        <w:t>Penalty: a fine of $5 000.</w:t>
      </w:r>
    </w:p>
    <w:p w:rsidR="003E67DA" w:rsidRDefault="00645504">
      <w:pPr>
        <w:pStyle w:val="Subsection"/>
      </w:pPr>
      <w:r>
        <w:tab/>
        <w:t>(3)</w:t>
      </w:r>
      <w:r>
        <w:tab/>
        <w:t xml:space="preserve">Fees under </w:t>
      </w:r>
      <w:r>
        <w:t xml:space="preserve">subregulation (2) — </w:t>
      </w:r>
    </w:p>
    <w:p w:rsidR="003E67DA" w:rsidRDefault="00645504">
      <w:pPr>
        <w:pStyle w:val="Indenta"/>
      </w:pPr>
      <w:r>
        <w:tab/>
        <w:t>(a)</w:t>
      </w:r>
      <w:r>
        <w:tab/>
        <w:t>are payable weekly, fortnightly or monthly, as determined by the appropriate enforcement agency; and</w:t>
      </w:r>
    </w:p>
    <w:p w:rsidR="003E67DA" w:rsidRDefault="00645504">
      <w:pPr>
        <w:pStyle w:val="Indenta"/>
      </w:pPr>
      <w:r>
        <w:tab/>
        <w:t>(b)</w:t>
      </w:r>
      <w:r>
        <w:tab/>
        <w:t>are to be paid within 7 days after the end of the week, fortnight or month in which the inspections are carried out.</w:t>
      </w:r>
    </w:p>
    <w:p w:rsidR="003E67DA" w:rsidRDefault="00645504">
      <w:pPr>
        <w:pStyle w:val="Subsection"/>
      </w:pPr>
      <w:r>
        <w:tab/>
        <w:t>(4)</w:t>
      </w:r>
      <w:r>
        <w:tab/>
        <w:t>If</w:t>
      </w:r>
      <w:r>
        <w:t xml:space="preserve"> the appropriate enforcement agency does not make a determination for the purposes of subregulation (3) in relation to a fee, the fee is payable monthly.</w:t>
      </w:r>
    </w:p>
    <w:p w:rsidR="003E67DA" w:rsidRDefault="00645504">
      <w:pPr>
        <w:pStyle w:val="Heading5"/>
      </w:pPr>
      <w:bookmarkStart w:id="90" w:name="_Toc68767506"/>
      <w:r>
        <w:rPr>
          <w:rStyle w:val="CharSectno"/>
        </w:rPr>
        <w:t>42</w:t>
      </w:r>
      <w:r>
        <w:t>.</w:t>
      </w:r>
      <w:r>
        <w:tab/>
        <w:t>Application of inspection fees</w:t>
      </w:r>
      <w:bookmarkEnd w:id="90"/>
    </w:p>
    <w:p w:rsidR="003E67DA" w:rsidRDefault="00645504">
      <w:pPr>
        <w:pStyle w:val="Subsection"/>
      </w:pPr>
      <w:r>
        <w:tab/>
        <w:t>(1)</w:t>
      </w:r>
      <w:r>
        <w:tab/>
        <w:t xml:space="preserve">A local government to which a fee is paid under regulation 41 </w:t>
      </w:r>
      <w:r>
        <w:t xml:space="preserve">is to credit the amount of the payment to an account — </w:t>
      </w:r>
    </w:p>
    <w:p w:rsidR="003E67DA" w:rsidRDefault="00645504">
      <w:pPr>
        <w:pStyle w:val="Indenta"/>
      </w:pPr>
      <w:r>
        <w:tab/>
        <w:t>(a)</w:t>
      </w:r>
      <w:r>
        <w:tab/>
        <w:t>established and maintained by the local government for the purposes of this subregulation; and</w:t>
      </w:r>
    </w:p>
    <w:p w:rsidR="003E67DA" w:rsidRDefault="00645504">
      <w:pPr>
        <w:pStyle w:val="Indenta"/>
      </w:pPr>
      <w:r>
        <w:tab/>
        <w:t>(b)</w:t>
      </w:r>
      <w:r>
        <w:tab/>
        <w:t>to be called the [</w:t>
      </w:r>
      <w:r>
        <w:rPr>
          <w:i/>
          <w:iCs/>
        </w:rPr>
        <w:t>name of local government</w:t>
      </w:r>
      <w:r>
        <w:t>] Meat Inspection Account.</w:t>
      </w:r>
    </w:p>
    <w:p w:rsidR="003E67DA" w:rsidRDefault="00645504">
      <w:pPr>
        <w:pStyle w:val="Subsection"/>
      </w:pPr>
      <w:r>
        <w:lastRenderedPageBreak/>
        <w:tab/>
        <w:t>(2)</w:t>
      </w:r>
      <w:r>
        <w:tab/>
        <w:t>Any funds standing to</w:t>
      </w:r>
      <w:r>
        <w:t xml:space="preserve"> the credit of an account referred to in subregulation (1)(b) are to be applied by the local government only to the payment of the costs of inspections carried out by authorised officers under Division 3 at premises in the district of the local government.</w:t>
      </w:r>
    </w:p>
    <w:p w:rsidR="003E67DA" w:rsidRDefault="00645504">
      <w:pPr>
        <w:pStyle w:val="Subsection"/>
      </w:pPr>
      <w:r>
        <w:tab/>
        <w:t>(3)</w:t>
      </w:r>
      <w:r>
        <w:tab/>
        <w:t xml:space="preserve">An account maintained by a local government under the </w:t>
      </w:r>
      <w:r>
        <w:rPr>
          <w:i/>
        </w:rPr>
        <w:t>Health (Miscellaneous Provisions) Act 1911</w:t>
      </w:r>
      <w:r>
        <w:t xml:space="preserve"> section 246F(4)(b)</w:t>
      </w:r>
      <w:r>
        <w:rPr>
          <w:vertAlign w:val="superscript"/>
        </w:rPr>
        <w:t> 2</w:t>
      </w:r>
      <w:r>
        <w:t xml:space="preserve"> immediately before the commencement of this regulation may be used by the local government for the purposes of subregulation (1).</w:t>
      </w:r>
    </w:p>
    <w:p w:rsidR="003E67DA" w:rsidRDefault="00645504">
      <w:pPr>
        <w:pStyle w:val="Footnotesection"/>
      </w:pPr>
      <w:r>
        <w:tab/>
      </w:r>
      <w:r>
        <w:t>[Regulation 42 amended: Gazette 10 Jan 2017 p. 254.]</w:t>
      </w:r>
    </w:p>
    <w:p w:rsidR="003E67DA" w:rsidRDefault="00645504">
      <w:pPr>
        <w:pStyle w:val="Heading5"/>
      </w:pPr>
      <w:bookmarkStart w:id="91" w:name="_Toc68767507"/>
      <w:r>
        <w:rPr>
          <w:rStyle w:val="CharSectno"/>
        </w:rPr>
        <w:t>43</w:t>
      </w:r>
      <w:r>
        <w:t>.</w:t>
      </w:r>
      <w:r>
        <w:tab/>
        <w:t>Local governments may require security</w:t>
      </w:r>
      <w:bookmarkEnd w:id="91"/>
    </w:p>
    <w:p w:rsidR="003E67DA" w:rsidRDefault="00645504">
      <w:pPr>
        <w:pStyle w:val="Subsection"/>
      </w:pPr>
      <w:r>
        <w:tab/>
        <w:t>(1)</w:t>
      </w:r>
      <w:r>
        <w:tab/>
        <w:t>A local government may require a person to provide security, in a form approved by the local government, for the payment of fees by the person to the local</w:t>
      </w:r>
      <w:r>
        <w:t xml:space="preserve"> government under regulation 41.</w:t>
      </w:r>
    </w:p>
    <w:p w:rsidR="003E67DA" w:rsidRDefault="00645504">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rsidR="003E67DA" w:rsidRDefault="00645504">
      <w:pPr>
        <w:pStyle w:val="Subsection"/>
      </w:pPr>
      <w:r>
        <w:tab/>
        <w:t>(3)</w:t>
      </w:r>
      <w:r>
        <w:tab/>
        <w:t>A person who has provided security to a local government under subregulation (1) may apply in writing to the local government for the security to be discharged.</w:t>
      </w:r>
    </w:p>
    <w:p w:rsidR="003E67DA" w:rsidRDefault="00645504">
      <w:pPr>
        <w:pStyle w:val="Heading5"/>
      </w:pPr>
      <w:bookmarkStart w:id="92" w:name="_Toc68767508"/>
      <w:r>
        <w:rPr>
          <w:rStyle w:val="CharSectno"/>
        </w:rPr>
        <w:t>44</w:t>
      </w:r>
      <w:r>
        <w:t>.</w:t>
      </w:r>
      <w:r>
        <w:tab/>
        <w:t>Application of security to recover unpaid fees</w:t>
      </w:r>
      <w:bookmarkEnd w:id="92"/>
    </w:p>
    <w:p w:rsidR="003E67DA" w:rsidRDefault="00645504">
      <w:pPr>
        <w:pStyle w:val="Subsection"/>
      </w:pPr>
      <w:r>
        <w:tab/>
        <w:t>(1)</w:t>
      </w:r>
      <w:r>
        <w:tab/>
        <w:t xml:space="preserve">If any fees — </w:t>
      </w:r>
    </w:p>
    <w:p w:rsidR="003E67DA" w:rsidRDefault="00645504">
      <w:pPr>
        <w:pStyle w:val="Indenta"/>
      </w:pPr>
      <w:r>
        <w:tab/>
        <w:t>(a)</w:t>
      </w:r>
      <w:r>
        <w:tab/>
        <w:t>are due and p</w:t>
      </w:r>
      <w:r>
        <w:t>ayable by a person under regulation 41 to a local government; and</w:t>
      </w:r>
    </w:p>
    <w:p w:rsidR="003E67DA" w:rsidRDefault="00645504">
      <w:pPr>
        <w:pStyle w:val="Indenta"/>
      </w:pPr>
      <w:r>
        <w:tab/>
        <w:t>(b)</w:t>
      </w:r>
      <w:r>
        <w:tab/>
        <w:t>have not been paid within 30 days after notice requiring the fees to be paid is served on the person by the local government,</w:t>
      </w:r>
    </w:p>
    <w:p w:rsidR="003E67DA" w:rsidRDefault="00645504">
      <w:pPr>
        <w:pStyle w:val="Subsection"/>
        <w:spacing w:before="120"/>
      </w:pPr>
      <w:r>
        <w:tab/>
      </w:r>
      <w:r>
        <w:tab/>
      </w:r>
      <w:r>
        <w:rPr>
          <w:spacing w:val="-4"/>
        </w:rPr>
        <w:t>the local government may use any security provided by the</w:t>
      </w:r>
      <w:r>
        <w:rPr>
          <w:spacing w:val="-4"/>
        </w:rPr>
        <w:t xml:space="preserve"> person under regulation 43(1) to recover the amount of the unpaid fees</w:t>
      </w:r>
      <w:r>
        <w:t>.</w:t>
      </w:r>
    </w:p>
    <w:p w:rsidR="003E67DA" w:rsidRDefault="00645504">
      <w:pPr>
        <w:pStyle w:val="Subsection"/>
      </w:pPr>
      <w:r>
        <w:lastRenderedPageBreak/>
        <w:tab/>
        <w:t>(2)</w:t>
      </w:r>
      <w:r>
        <w:tab/>
        <w:t>Subregulation (1) does not limit the means by which unpaid fees that are due and payable to a local government under regulation 41 may be recovered.</w:t>
      </w:r>
    </w:p>
    <w:p w:rsidR="003E67DA" w:rsidRDefault="00645504">
      <w:pPr>
        <w:pStyle w:val="Heading5"/>
      </w:pPr>
      <w:bookmarkStart w:id="93" w:name="_Toc68767509"/>
      <w:r>
        <w:rPr>
          <w:rStyle w:val="CharSectno"/>
        </w:rPr>
        <w:t>45</w:t>
      </w:r>
      <w:r>
        <w:t>.</w:t>
      </w:r>
      <w:r>
        <w:tab/>
        <w:t xml:space="preserve">Withdrawal of inspection </w:t>
      </w:r>
      <w:r>
        <w:t>services</w:t>
      </w:r>
      <w:bookmarkEnd w:id="93"/>
    </w:p>
    <w:p w:rsidR="003E67DA" w:rsidRDefault="00645504">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rsidR="003E67DA" w:rsidRDefault="00645504">
      <w:pPr>
        <w:pStyle w:val="Indenta"/>
      </w:pPr>
      <w:r>
        <w:tab/>
        <w:t>(a)</w:t>
      </w:r>
      <w:r>
        <w:tab/>
        <w:t>pays any fees due and payable under the Ac</w:t>
      </w:r>
      <w:r>
        <w:t>t or these regulations to the local government by the proprietor; or</w:t>
      </w:r>
    </w:p>
    <w:p w:rsidR="003E67DA" w:rsidRDefault="00645504">
      <w:pPr>
        <w:pStyle w:val="Indenta"/>
      </w:pPr>
      <w:r>
        <w:tab/>
        <w:t>(b)</w:t>
      </w:r>
      <w:r>
        <w:tab/>
        <w:t>complies with any order or direction lawfully given to the proprietor under the Act or these regulations; or</w:t>
      </w:r>
    </w:p>
    <w:p w:rsidR="003E67DA" w:rsidRDefault="00645504">
      <w:pPr>
        <w:pStyle w:val="Indenta"/>
      </w:pPr>
      <w:r>
        <w:tab/>
        <w:t>(c)</w:t>
      </w:r>
      <w:r>
        <w:tab/>
      </w:r>
      <w:r>
        <w:rPr>
          <w:spacing w:val="-4"/>
        </w:rPr>
        <w:t>provides any security that the local government has required the pro</w:t>
      </w:r>
      <w:r>
        <w:rPr>
          <w:spacing w:val="-4"/>
        </w:rPr>
        <w:t>prietor to provide under regulation 43(1).</w:t>
      </w:r>
    </w:p>
    <w:p w:rsidR="003E67DA" w:rsidRDefault="00645504">
      <w:pPr>
        <w:pStyle w:val="Subsection"/>
      </w:pPr>
      <w:r>
        <w:tab/>
        <w:t>(2)</w:t>
      </w:r>
      <w:r>
        <w:tab/>
        <w:t xml:space="preserve">A local government is not to make a decision under subregulation (1)(a) or (c) unless the local government — </w:t>
      </w:r>
    </w:p>
    <w:p w:rsidR="003E67DA" w:rsidRDefault="00645504">
      <w:pPr>
        <w:pStyle w:val="Indenta"/>
      </w:pPr>
      <w:r>
        <w:tab/>
        <w:t>(a)</w:t>
      </w:r>
      <w:r>
        <w:tab/>
        <w:t>has given written notice of the local government’s intention to make the decision to the prop</w:t>
      </w:r>
      <w:r>
        <w:t>rietor of the abattoir; and</w:t>
      </w:r>
    </w:p>
    <w:p w:rsidR="003E67DA" w:rsidRDefault="00645504">
      <w:pPr>
        <w:pStyle w:val="Indenta"/>
      </w:pPr>
      <w:r>
        <w:tab/>
        <w:t>(b)</w:t>
      </w:r>
      <w:r>
        <w:tab/>
        <w:t>has stated in the notice that the proprietor has a period (which is to be at least 7 days after the notice is given) to make submissions to the local government in relation to that intention; and</w:t>
      </w:r>
    </w:p>
    <w:p w:rsidR="003E67DA" w:rsidRDefault="00645504">
      <w:pPr>
        <w:pStyle w:val="Indenta"/>
      </w:pPr>
      <w:r>
        <w:tab/>
        <w:t>(c)</w:t>
      </w:r>
      <w:r>
        <w:tab/>
      </w:r>
      <w:r>
        <w:rPr>
          <w:spacing w:val="-4"/>
        </w:rPr>
        <w:t xml:space="preserve">has had regard to any </w:t>
      </w:r>
      <w:r>
        <w:rPr>
          <w:spacing w:val="-4"/>
        </w:rPr>
        <w:t>submissions made within that period</w:t>
      </w:r>
      <w:r>
        <w:t>.</w:t>
      </w:r>
    </w:p>
    <w:p w:rsidR="003E67DA" w:rsidRDefault="00645504">
      <w:pPr>
        <w:pStyle w:val="Heading3"/>
      </w:pPr>
      <w:bookmarkStart w:id="94" w:name="_Toc68693325"/>
      <w:bookmarkStart w:id="95" w:name="_Toc68696949"/>
      <w:bookmarkStart w:id="96" w:name="_Toc68767510"/>
      <w:r>
        <w:rPr>
          <w:rStyle w:val="CharDivNo"/>
        </w:rPr>
        <w:t>Division 6</w:t>
      </w:r>
      <w:r>
        <w:t> — </w:t>
      </w:r>
      <w:r>
        <w:rPr>
          <w:rStyle w:val="CharDivText"/>
        </w:rPr>
        <w:t>Premises used in meat production</w:t>
      </w:r>
      <w:bookmarkEnd w:id="94"/>
      <w:bookmarkEnd w:id="95"/>
      <w:bookmarkEnd w:id="96"/>
    </w:p>
    <w:p w:rsidR="003E67DA" w:rsidRDefault="00645504">
      <w:pPr>
        <w:pStyle w:val="Heading5"/>
      </w:pPr>
      <w:bookmarkStart w:id="97" w:name="_Toc68767511"/>
      <w:r>
        <w:rPr>
          <w:rStyle w:val="CharSectno"/>
        </w:rPr>
        <w:t>46</w:t>
      </w:r>
      <w:r>
        <w:t>.</w:t>
      </w:r>
      <w:r>
        <w:tab/>
        <w:t>Abattoirs and processing premises to comply with requirements of adopted standards</w:t>
      </w:r>
      <w:bookmarkEnd w:id="97"/>
    </w:p>
    <w:p w:rsidR="003E67DA" w:rsidRDefault="00645504">
      <w:pPr>
        <w:pStyle w:val="Subsection"/>
      </w:pPr>
      <w:r>
        <w:tab/>
        <w:t>(1)</w:t>
      </w:r>
      <w:r>
        <w:tab/>
        <w:t>The proprietor of an abattoir must ensure that the abattoir complies with the req</w:t>
      </w:r>
      <w:r>
        <w:t>uirements of any adopted standard that apply to the abattoir.</w:t>
      </w:r>
    </w:p>
    <w:p w:rsidR="003E67DA" w:rsidRDefault="00645504">
      <w:pPr>
        <w:pStyle w:val="Penstart"/>
      </w:pPr>
      <w:r>
        <w:tab/>
        <w:t>Penalty: a fine of $5 000.</w:t>
      </w:r>
    </w:p>
    <w:p w:rsidR="003E67DA" w:rsidRDefault="00645504">
      <w:pPr>
        <w:pStyle w:val="Subsection"/>
      </w:pPr>
      <w:r>
        <w:lastRenderedPageBreak/>
        <w:tab/>
        <w:t>(2)</w:t>
      </w:r>
      <w:r>
        <w:tab/>
        <w:t>The proprietor of processing premises must ensure that the premises comply with the requirements of any adopted standard that apply to the premises.</w:t>
      </w:r>
    </w:p>
    <w:p w:rsidR="003E67DA" w:rsidRDefault="00645504">
      <w:pPr>
        <w:pStyle w:val="Penstart"/>
      </w:pPr>
      <w:r>
        <w:tab/>
        <w:t xml:space="preserve">Penalty: a </w:t>
      </w:r>
      <w:r>
        <w:t>fine of $5 000.</w:t>
      </w:r>
    </w:p>
    <w:p w:rsidR="003E67DA" w:rsidRDefault="00645504">
      <w:pPr>
        <w:pStyle w:val="Heading5"/>
      </w:pPr>
      <w:bookmarkStart w:id="98" w:name="_Toc68767512"/>
      <w:r>
        <w:rPr>
          <w:rStyle w:val="CharSectno"/>
        </w:rPr>
        <w:t>47</w:t>
      </w:r>
      <w:r>
        <w:t>.</w:t>
      </w:r>
      <w:r>
        <w:tab/>
        <w:t>Slaughtering and processing to comply with requirements of adopted standards</w:t>
      </w:r>
      <w:bookmarkEnd w:id="98"/>
    </w:p>
    <w:p w:rsidR="003E67DA" w:rsidRDefault="00645504">
      <w:pPr>
        <w:pStyle w:val="Subsection"/>
      </w:pPr>
      <w:r>
        <w:tab/>
        <w:t>(1)</w:t>
      </w:r>
      <w:r>
        <w:tab/>
        <w:t xml:space="preserve">The proprietor of an abattoir must ensure that the slaughtering of any animal at the abattoir complies with the requirements of any adopted standard that </w:t>
      </w:r>
      <w:r>
        <w:t>apply to that slaughtering.</w:t>
      </w:r>
    </w:p>
    <w:p w:rsidR="003E67DA" w:rsidRDefault="00645504">
      <w:pPr>
        <w:pStyle w:val="Penstart"/>
      </w:pPr>
      <w:r>
        <w:tab/>
        <w:t>Penalty: a fine of $5 000.</w:t>
      </w:r>
    </w:p>
    <w:p w:rsidR="003E67DA" w:rsidRDefault="00645504">
      <w:pPr>
        <w:pStyle w:val="Subsection"/>
      </w:pPr>
      <w:r>
        <w:tab/>
        <w:t>(2)</w:t>
      </w:r>
      <w:r>
        <w:tab/>
        <w:t>Despite subregulation (1), the proprietor of an abattoir in the district of Kellerberrin or Kondinin is not required to comply with clauses 10.1, 10.2, 10.3, 10.5 and 10.11 of the meat standard.</w:t>
      </w:r>
    </w:p>
    <w:p w:rsidR="003E67DA" w:rsidRDefault="00645504">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rsidR="003E67DA" w:rsidRDefault="00645504">
      <w:pPr>
        <w:pStyle w:val="Penstart"/>
      </w:pPr>
      <w:r>
        <w:tab/>
        <w:t>Penalty: a fine of $5 </w:t>
      </w:r>
      <w:r>
        <w:t>000.</w:t>
      </w:r>
    </w:p>
    <w:p w:rsidR="003E67DA" w:rsidRDefault="00645504">
      <w:pPr>
        <w:pStyle w:val="Heading3"/>
      </w:pPr>
      <w:bookmarkStart w:id="99" w:name="_Toc68693328"/>
      <w:bookmarkStart w:id="100" w:name="_Toc68696952"/>
      <w:bookmarkStart w:id="101" w:name="_Toc68767513"/>
      <w:r>
        <w:rPr>
          <w:rStyle w:val="CharDivNo"/>
        </w:rPr>
        <w:t>Division 7</w:t>
      </w:r>
      <w:r>
        <w:t> — </w:t>
      </w:r>
      <w:r>
        <w:rPr>
          <w:rStyle w:val="CharDivText"/>
        </w:rPr>
        <w:t>Premises used in game meat production</w:t>
      </w:r>
      <w:bookmarkEnd w:id="99"/>
      <w:bookmarkEnd w:id="100"/>
      <w:bookmarkEnd w:id="101"/>
    </w:p>
    <w:p w:rsidR="003E67DA" w:rsidRDefault="00645504">
      <w:pPr>
        <w:pStyle w:val="Heading5"/>
      </w:pPr>
      <w:bookmarkStart w:id="102" w:name="_Toc68767514"/>
      <w:r>
        <w:rPr>
          <w:rStyle w:val="CharSectno"/>
        </w:rPr>
        <w:t>48</w:t>
      </w:r>
      <w:r>
        <w:t>.</w:t>
      </w:r>
      <w:r>
        <w:tab/>
        <w:t>Field depots to comply with requirements of wild game standard</w:t>
      </w:r>
      <w:bookmarkEnd w:id="102"/>
    </w:p>
    <w:p w:rsidR="003E67DA" w:rsidRDefault="00645504">
      <w:pPr>
        <w:pStyle w:val="Subsection"/>
      </w:pPr>
      <w:r>
        <w:tab/>
        <w:t>(1)</w:t>
      </w:r>
      <w:r>
        <w:tab/>
        <w:t>The proprietor of a field depot must ensure that the field depot complies with the requirements of the wild game standard that a</w:t>
      </w:r>
      <w:r>
        <w:t>pply to the field depot.</w:t>
      </w:r>
    </w:p>
    <w:p w:rsidR="003E67DA" w:rsidRDefault="00645504">
      <w:pPr>
        <w:pStyle w:val="Penstart"/>
      </w:pPr>
      <w:r>
        <w:tab/>
        <w:t>Penalty: a fine of $5 000.</w:t>
      </w:r>
    </w:p>
    <w:p w:rsidR="003E67DA" w:rsidRDefault="00645504">
      <w:pPr>
        <w:pStyle w:val="Subsection"/>
      </w:pPr>
      <w:r>
        <w:tab/>
        <w:t>(2)</w:t>
      </w:r>
      <w:r>
        <w:tab/>
        <w:t xml:space="preserve">The proprietor of a field depot must not cause or permit a carcase of game to be stored at the field depot unless — </w:t>
      </w:r>
    </w:p>
    <w:p w:rsidR="003E67DA" w:rsidRDefault="00645504">
      <w:pPr>
        <w:pStyle w:val="Indenta"/>
      </w:pPr>
      <w:r>
        <w:tab/>
        <w:t>(a)</w:t>
      </w:r>
      <w:r>
        <w:tab/>
        <w:t>the game was slaughtered and the carcase is tagged in accordance with the wi</w:t>
      </w:r>
      <w:r>
        <w:t>ld game standard; and</w:t>
      </w:r>
    </w:p>
    <w:p w:rsidR="003E67DA" w:rsidRDefault="00645504">
      <w:pPr>
        <w:pStyle w:val="Indenta"/>
      </w:pPr>
      <w:r>
        <w:lastRenderedPageBreak/>
        <w:tab/>
        <w:t>(b)</w:t>
      </w:r>
      <w:r>
        <w:tab/>
        <w:t>any other requirement of that standard relating to the storage of a carcase of game is complied with.</w:t>
      </w:r>
    </w:p>
    <w:p w:rsidR="003E67DA" w:rsidRDefault="00645504">
      <w:pPr>
        <w:pStyle w:val="Penstart"/>
      </w:pPr>
      <w:r>
        <w:tab/>
        <w:t>Penalty: a fine of $5 000.</w:t>
      </w:r>
    </w:p>
    <w:p w:rsidR="003E67DA" w:rsidRDefault="00645504">
      <w:pPr>
        <w:pStyle w:val="Heading5"/>
      </w:pPr>
      <w:bookmarkStart w:id="103" w:name="_Toc68767515"/>
      <w:r>
        <w:rPr>
          <w:rStyle w:val="CharSectno"/>
        </w:rPr>
        <w:t>49</w:t>
      </w:r>
      <w:r>
        <w:t>.</w:t>
      </w:r>
      <w:r>
        <w:tab/>
        <w:t>Wild game meat processing establishments to comply with requirements of wild game standard</w:t>
      </w:r>
      <w:bookmarkEnd w:id="103"/>
    </w:p>
    <w:p w:rsidR="003E67DA" w:rsidRDefault="00645504">
      <w:pPr>
        <w:pStyle w:val="Subsection"/>
      </w:pPr>
      <w:r>
        <w:tab/>
        <w:t>(1)</w:t>
      </w:r>
      <w:r>
        <w:tab/>
        <w:t xml:space="preserve">In this regulation — </w:t>
      </w:r>
    </w:p>
    <w:p w:rsidR="003E67DA" w:rsidRDefault="00645504">
      <w:pPr>
        <w:pStyle w:val="Defstart"/>
      </w:pPr>
      <w:r>
        <w:tab/>
      </w:r>
      <w:r>
        <w:rPr>
          <w:rStyle w:val="CharDefText"/>
        </w:rPr>
        <w:t>requirements of the wild game standard</w:t>
      </w:r>
      <w:r>
        <w:t xml:space="preserve"> means the requirements of that standard that relate to game.</w:t>
      </w:r>
    </w:p>
    <w:p w:rsidR="003E67DA" w:rsidRDefault="00645504">
      <w:pPr>
        <w:pStyle w:val="Subsection"/>
      </w:pPr>
      <w:r>
        <w:tab/>
        <w:t>(2)</w:t>
      </w:r>
      <w:r>
        <w:tab/>
        <w:t>The proprietor of a wild game meat processing establishment must ensure that the establishment complies with the requirements o</w:t>
      </w:r>
      <w:r>
        <w:t>f the wild game standard that apply to the establishment.</w:t>
      </w:r>
    </w:p>
    <w:p w:rsidR="003E67DA" w:rsidRDefault="00645504">
      <w:pPr>
        <w:pStyle w:val="Penstart"/>
      </w:pPr>
      <w:r>
        <w:tab/>
        <w:t>Penalty: a fine of $5 000.</w:t>
      </w:r>
    </w:p>
    <w:p w:rsidR="003E67DA" w:rsidRDefault="00645504">
      <w:pPr>
        <w:pStyle w:val="Subsection"/>
      </w:pPr>
      <w:r>
        <w:tab/>
        <w:t>(3)</w:t>
      </w:r>
      <w:r>
        <w:tab/>
        <w:t>The proprietor of a wild game meat processing establishment must ensure that the food business conducted at the establishment complies with the requirements of the w</w:t>
      </w:r>
      <w:r>
        <w:t>ild game standard that apply to that food business.</w:t>
      </w:r>
    </w:p>
    <w:p w:rsidR="003E67DA" w:rsidRDefault="00645504">
      <w:pPr>
        <w:pStyle w:val="Penstart"/>
      </w:pPr>
      <w:r>
        <w:tab/>
        <w:t>Penalty: a fine of $5 000.</w:t>
      </w:r>
    </w:p>
    <w:p w:rsidR="003E67DA" w:rsidRDefault="00645504">
      <w:pPr>
        <w:pStyle w:val="Heading3"/>
      </w:pPr>
      <w:bookmarkStart w:id="104" w:name="_Toc68693331"/>
      <w:bookmarkStart w:id="105" w:name="_Toc68696955"/>
      <w:bookmarkStart w:id="106" w:name="_Toc68767516"/>
      <w:r>
        <w:rPr>
          <w:rStyle w:val="CharDivNo"/>
        </w:rPr>
        <w:t>Division 8</w:t>
      </w:r>
      <w:r>
        <w:t> — </w:t>
      </w:r>
      <w:r>
        <w:rPr>
          <w:rStyle w:val="CharDivText"/>
        </w:rPr>
        <w:t>Transporting meat and game meat</w:t>
      </w:r>
      <w:bookmarkEnd w:id="104"/>
      <w:bookmarkEnd w:id="105"/>
      <w:bookmarkEnd w:id="106"/>
    </w:p>
    <w:p w:rsidR="003E67DA" w:rsidRDefault="00645504">
      <w:pPr>
        <w:pStyle w:val="Heading5"/>
      </w:pPr>
      <w:bookmarkStart w:id="107" w:name="_Toc68767517"/>
      <w:r>
        <w:rPr>
          <w:rStyle w:val="CharSectno"/>
        </w:rPr>
        <w:t>50</w:t>
      </w:r>
      <w:r>
        <w:t>.</w:t>
      </w:r>
      <w:r>
        <w:tab/>
        <w:t>Vehicles transporting meat or game meat</w:t>
      </w:r>
      <w:bookmarkEnd w:id="107"/>
    </w:p>
    <w:p w:rsidR="003E67DA" w:rsidRDefault="00645504">
      <w:pPr>
        <w:pStyle w:val="Subsection"/>
      </w:pPr>
      <w:r>
        <w:tab/>
      </w:r>
      <w:r>
        <w:tab/>
        <w:t>The proprietor of a food business in which a food transport vehicle is used for the t</w:t>
      </w:r>
      <w:r>
        <w:t>ransport of meat or game meat must ensure that the vehicle complies with, and is operated in accordance with, the requirements of any adopted standard that apply to, or to the operation of, the vehicle.</w:t>
      </w:r>
    </w:p>
    <w:p w:rsidR="003E67DA" w:rsidRDefault="00645504">
      <w:pPr>
        <w:pStyle w:val="Penstart"/>
      </w:pPr>
      <w:r>
        <w:tab/>
        <w:t>Penalty: a fine of $5 000.</w:t>
      </w:r>
    </w:p>
    <w:p w:rsidR="003E67DA" w:rsidRDefault="00645504">
      <w:pPr>
        <w:pStyle w:val="Heading2"/>
      </w:pPr>
      <w:bookmarkStart w:id="108" w:name="_Toc68693333"/>
      <w:bookmarkStart w:id="109" w:name="_Toc68696957"/>
      <w:bookmarkStart w:id="110" w:name="_Toc68767518"/>
      <w:r>
        <w:rPr>
          <w:rStyle w:val="CharPartNo"/>
        </w:rPr>
        <w:lastRenderedPageBreak/>
        <w:t>Part 6</w:t>
      </w:r>
      <w:r>
        <w:rPr>
          <w:rStyle w:val="CharDivNo"/>
        </w:rPr>
        <w:t> </w:t>
      </w:r>
      <w:r>
        <w:t>—</w:t>
      </w:r>
      <w:r>
        <w:rPr>
          <w:rStyle w:val="CharDivText"/>
        </w:rPr>
        <w:t> </w:t>
      </w:r>
      <w:r>
        <w:rPr>
          <w:rStyle w:val="CharPartText"/>
        </w:rPr>
        <w:t>Miscellaneous</w:t>
      </w:r>
      <w:bookmarkEnd w:id="108"/>
      <w:bookmarkEnd w:id="109"/>
      <w:bookmarkEnd w:id="110"/>
    </w:p>
    <w:p w:rsidR="003E67DA" w:rsidRDefault="00645504">
      <w:pPr>
        <w:pStyle w:val="Heading5"/>
      </w:pPr>
      <w:bookmarkStart w:id="111" w:name="_Toc68767519"/>
      <w:r>
        <w:rPr>
          <w:rStyle w:val="CharSectno"/>
        </w:rPr>
        <w:t>51</w:t>
      </w:r>
      <w:r>
        <w:t>.</w:t>
      </w:r>
      <w:r>
        <w:tab/>
        <w:t>Enforcement agency may make list of food businesses publicly available</w:t>
      </w:r>
      <w:bookmarkEnd w:id="111"/>
    </w:p>
    <w:p w:rsidR="003E67DA" w:rsidRDefault="00645504">
      <w:pPr>
        <w:pStyle w:val="Subsection"/>
      </w:pPr>
      <w:r>
        <w:tab/>
      </w:r>
      <w:r>
        <w:tab/>
        <w:t>An enforcement agency may make a list of food businesses maintained by the agency under section 115(a) or (b) of the Act, or any part of such a list, publicly available.</w:t>
      </w:r>
    </w:p>
    <w:p w:rsidR="003E67DA" w:rsidRDefault="00645504">
      <w:pPr>
        <w:pStyle w:val="Heading5"/>
      </w:pPr>
      <w:bookmarkStart w:id="112" w:name="_Toc68767520"/>
      <w:r>
        <w:rPr>
          <w:rStyle w:val="CharSectno"/>
        </w:rPr>
        <w:t>52</w:t>
      </w:r>
      <w:r>
        <w:t>.</w:t>
      </w:r>
      <w:r>
        <w:tab/>
      </w:r>
      <w:r>
        <w:t>Prescribed fees</w:t>
      </w:r>
      <w:bookmarkEnd w:id="112"/>
    </w:p>
    <w:p w:rsidR="003E67DA" w:rsidRDefault="00645504">
      <w:pPr>
        <w:pStyle w:val="Subsection"/>
      </w:pPr>
      <w:r>
        <w:tab/>
      </w:r>
      <w:r>
        <w:tab/>
        <w:t>The fee specified in Schedule 2 column 3 opposite a provision of the Act specified in Schedule 2 column 2 is the prescribed fee for that provision of the Act.</w:t>
      </w:r>
    </w:p>
    <w:p w:rsidR="003E67DA" w:rsidRDefault="00645504">
      <w:pPr>
        <w:pStyle w:val="Heading5"/>
      </w:pPr>
      <w:bookmarkStart w:id="113" w:name="_Toc68767521"/>
      <w:r>
        <w:rPr>
          <w:rStyle w:val="CharSectno"/>
        </w:rPr>
        <w:t>53</w:t>
      </w:r>
      <w:r>
        <w:t>.</w:t>
      </w:r>
      <w:r>
        <w:tab/>
        <w:t>Prescribed offences and modified penalties (s. 126)</w:t>
      </w:r>
      <w:bookmarkEnd w:id="113"/>
    </w:p>
    <w:p w:rsidR="003E67DA" w:rsidRDefault="00645504">
      <w:pPr>
        <w:pStyle w:val="Subsection"/>
      </w:pPr>
      <w:r>
        <w:tab/>
      </w:r>
      <w:r>
        <w:tab/>
        <w:t>For section 126 of th</w:t>
      </w:r>
      <w:r>
        <w:t xml:space="preserve">e Act — </w:t>
      </w:r>
    </w:p>
    <w:p w:rsidR="003E67DA" w:rsidRDefault="00645504">
      <w:pPr>
        <w:pStyle w:val="Indenta"/>
      </w:pPr>
      <w:r>
        <w:tab/>
        <w:t>(a)</w:t>
      </w:r>
      <w:r>
        <w:tab/>
        <w:t>the offences specified in Schedule 3 column 2 are prescribed offences; and</w:t>
      </w:r>
    </w:p>
    <w:p w:rsidR="003E67DA" w:rsidRDefault="00645504">
      <w:pPr>
        <w:pStyle w:val="Indenta"/>
      </w:pPr>
      <w:r>
        <w:tab/>
        <w:t>(b)</w:t>
      </w:r>
      <w:r>
        <w:tab/>
        <w:t>the amount of money specified in Schedule 3 column 3 opposite an offence specified in Schedule 3 column 2 is the modified penalty for that offence if committed by</w:t>
      </w:r>
      <w:r>
        <w:t xml:space="preserve"> an individual; and</w:t>
      </w:r>
    </w:p>
    <w:p w:rsidR="003E67DA" w:rsidRDefault="00645504">
      <w:pPr>
        <w:pStyle w:val="Indenta"/>
      </w:pPr>
      <w:r>
        <w:tab/>
        <w:t>(c)</w:t>
      </w:r>
      <w:r>
        <w:tab/>
        <w:t>the amount of money specified in Schedule 3 column 4 opposite an offence specified in Schedule 3 column 2 is the modified penalty for that offence if committed by a body corporate.</w:t>
      </w:r>
    </w:p>
    <w:p w:rsidR="003E67DA" w:rsidRDefault="00645504">
      <w:pPr>
        <w:pStyle w:val="Heading5"/>
      </w:pPr>
      <w:bookmarkStart w:id="114" w:name="_Toc68767522"/>
      <w:r>
        <w:rPr>
          <w:rStyle w:val="CharSectno"/>
        </w:rPr>
        <w:t>54</w:t>
      </w:r>
      <w:r>
        <w:t>.</w:t>
      </w:r>
      <w:r>
        <w:tab/>
        <w:t>Prescribed forms (s. 126(3) and (7))</w:t>
      </w:r>
      <w:bookmarkEnd w:id="114"/>
    </w:p>
    <w:p w:rsidR="003E67DA" w:rsidRDefault="00645504">
      <w:pPr>
        <w:pStyle w:val="Subsection"/>
      </w:pPr>
      <w:r>
        <w:tab/>
        <w:t>(1)</w:t>
      </w:r>
      <w:r>
        <w:tab/>
        <w:t xml:space="preserve">For </w:t>
      </w:r>
      <w:r>
        <w:t>section 126(3) of the Act, the prescribed form of an infringement notice is set out in Schedule 4.</w:t>
      </w:r>
    </w:p>
    <w:p w:rsidR="003E67DA" w:rsidRDefault="00645504">
      <w:pPr>
        <w:pStyle w:val="Subsection"/>
      </w:pPr>
      <w:r>
        <w:tab/>
        <w:t>(2)</w:t>
      </w:r>
      <w:r>
        <w:tab/>
        <w:t>For section 126(7) of the Act, the prescribed form of a notice to withdraw an infringement notice is set out in Schedule 5.</w:t>
      </w:r>
    </w:p>
    <w:p w:rsidR="003E67DA" w:rsidRDefault="00645504">
      <w:pPr>
        <w:pStyle w:val="Ednotepart"/>
      </w:pPr>
      <w:r>
        <w:t>[Part 7 (r. 55</w:t>
      </w:r>
      <w:r>
        <w:noBreakHyphen/>
        <w:t xml:space="preserve">63) deleted: </w:t>
      </w:r>
      <w:r>
        <w:t>Gazette 20 Apr 2012 p. 1697.]</w:t>
      </w:r>
    </w:p>
    <w:p w:rsidR="003E67DA" w:rsidRDefault="003E67DA">
      <w:pPr>
        <w:sectPr w:rsidR="003E67DA">
          <w:headerReference w:type="even" r:id="rId21"/>
          <w:headerReference w:type="default" r:id="rId22"/>
          <w:headerReference w:type="first" r:id="rId23"/>
          <w:endnotePr>
            <w:numFmt w:val="decimal"/>
          </w:endnotePr>
          <w:pgSz w:w="11907" w:h="16840" w:code="9"/>
          <w:pgMar w:top="2381" w:right="2410" w:bottom="3544" w:left="2410" w:header="720" w:footer="3380" w:gutter="0"/>
          <w:pgNumType w:start="1"/>
          <w:cols w:space="720"/>
          <w:noEndnote/>
          <w:titlePg/>
          <w:docGrid w:linePitch="326"/>
        </w:sectPr>
      </w:pPr>
    </w:p>
    <w:p w:rsidR="003E67DA" w:rsidRDefault="00645504">
      <w:pPr>
        <w:pStyle w:val="yScheduleHeading"/>
      </w:pPr>
      <w:bookmarkStart w:id="115" w:name="_Toc68693338"/>
      <w:bookmarkStart w:id="116" w:name="_Toc68696962"/>
      <w:bookmarkStart w:id="117" w:name="_Toc68767523"/>
      <w:r>
        <w:rPr>
          <w:rStyle w:val="CharSchNo"/>
        </w:rPr>
        <w:lastRenderedPageBreak/>
        <w:t>Schedule 1</w:t>
      </w:r>
      <w:r>
        <w:rPr>
          <w:rStyle w:val="CharSDivNo"/>
        </w:rPr>
        <w:t> </w:t>
      </w:r>
      <w:r>
        <w:t>—</w:t>
      </w:r>
      <w:r>
        <w:rPr>
          <w:rStyle w:val="CharSDivText"/>
        </w:rPr>
        <w:t> </w:t>
      </w:r>
      <w:r>
        <w:rPr>
          <w:rStyle w:val="CharSchText"/>
        </w:rPr>
        <w:t>Inspection fees</w:t>
      </w:r>
      <w:bookmarkEnd w:id="115"/>
      <w:bookmarkEnd w:id="116"/>
      <w:bookmarkEnd w:id="117"/>
    </w:p>
    <w:p w:rsidR="003E67DA" w:rsidRDefault="00645504">
      <w:pPr>
        <w:pStyle w:val="yShoulderClause"/>
        <w:spacing w:after="60"/>
      </w:pPr>
      <w:r>
        <w:t>[r. 41]</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rsidR="003E67DA">
        <w:trPr>
          <w:cantSplit/>
          <w:tblHeader/>
        </w:trPr>
        <w:tc>
          <w:tcPr>
            <w:tcW w:w="709" w:type="dxa"/>
            <w:vMerge w:val="restart"/>
            <w:tcBorders>
              <w:top w:val="single" w:sz="4" w:space="0" w:color="auto"/>
              <w:left w:val="nil"/>
              <w:bottom w:val="single" w:sz="4" w:space="0" w:color="auto"/>
              <w:right w:val="nil"/>
            </w:tcBorders>
          </w:tcPr>
          <w:p w:rsidR="003E67DA" w:rsidRDefault="003E67DA">
            <w:pPr>
              <w:pStyle w:val="yTableNAm"/>
            </w:pPr>
          </w:p>
        </w:tc>
        <w:tc>
          <w:tcPr>
            <w:tcW w:w="2763" w:type="dxa"/>
            <w:vMerge w:val="restart"/>
            <w:tcBorders>
              <w:top w:val="single" w:sz="4" w:space="0" w:color="auto"/>
              <w:left w:val="nil"/>
              <w:bottom w:val="single" w:sz="4" w:space="0" w:color="auto"/>
              <w:right w:val="nil"/>
            </w:tcBorders>
          </w:tcPr>
          <w:p w:rsidR="003E67DA" w:rsidRDefault="003E67DA">
            <w:pPr>
              <w:pStyle w:val="yTableNAm"/>
            </w:pPr>
          </w:p>
          <w:p w:rsidR="003E67DA" w:rsidRDefault="00645504">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rsidR="003E67DA" w:rsidRDefault="00645504">
            <w:pPr>
              <w:pStyle w:val="yTableNAm"/>
            </w:pPr>
            <w:r>
              <w:rPr>
                <w:b/>
              </w:rPr>
              <w:t>Fee per animal ($)</w:t>
            </w:r>
          </w:p>
        </w:tc>
      </w:tr>
      <w:tr w:rsidR="003E67DA">
        <w:trPr>
          <w:cantSplit/>
          <w:tblHeader/>
        </w:trPr>
        <w:tc>
          <w:tcPr>
            <w:tcW w:w="709" w:type="dxa"/>
            <w:vMerge/>
            <w:tcBorders>
              <w:top w:val="nil"/>
              <w:left w:val="nil"/>
              <w:bottom w:val="single" w:sz="4" w:space="0" w:color="auto"/>
              <w:right w:val="nil"/>
            </w:tcBorders>
          </w:tcPr>
          <w:p w:rsidR="003E67DA" w:rsidRDefault="003E67DA">
            <w:pPr>
              <w:pStyle w:val="yTableNAm"/>
            </w:pPr>
          </w:p>
        </w:tc>
        <w:tc>
          <w:tcPr>
            <w:tcW w:w="2763" w:type="dxa"/>
            <w:vMerge/>
            <w:tcBorders>
              <w:top w:val="nil"/>
              <w:left w:val="nil"/>
              <w:bottom w:val="single" w:sz="4" w:space="0" w:color="auto"/>
              <w:right w:val="nil"/>
            </w:tcBorders>
          </w:tcPr>
          <w:p w:rsidR="003E67DA" w:rsidRDefault="003E67DA">
            <w:pPr>
              <w:pStyle w:val="yTableNAm"/>
            </w:pPr>
          </w:p>
        </w:tc>
        <w:tc>
          <w:tcPr>
            <w:tcW w:w="923" w:type="dxa"/>
            <w:tcBorders>
              <w:top w:val="single" w:sz="4" w:space="0" w:color="auto"/>
              <w:left w:val="nil"/>
              <w:bottom w:val="single" w:sz="4" w:space="0" w:color="auto"/>
              <w:right w:val="nil"/>
            </w:tcBorders>
          </w:tcPr>
          <w:p w:rsidR="003E67DA" w:rsidRDefault="00645504">
            <w:pPr>
              <w:pStyle w:val="yTableNAm"/>
            </w:pPr>
            <w:r>
              <w:rPr>
                <w:b/>
              </w:rPr>
              <w:t>Pigs</w:t>
            </w:r>
          </w:p>
        </w:tc>
        <w:tc>
          <w:tcPr>
            <w:tcW w:w="1559" w:type="dxa"/>
            <w:tcBorders>
              <w:top w:val="single" w:sz="4" w:space="0" w:color="auto"/>
              <w:left w:val="nil"/>
              <w:bottom w:val="single" w:sz="4" w:space="0" w:color="auto"/>
              <w:right w:val="nil"/>
            </w:tcBorders>
          </w:tcPr>
          <w:p w:rsidR="003E67DA" w:rsidRDefault="00645504">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rsidR="003E67DA" w:rsidRDefault="00645504">
            <w:pPr>
              <w:pStyle w:val="yTableNAm"/>
            </w:pPr>
            <w:r>
              <w:rPr>
                <w:b/>
              </w:rPr>
              <w:t xml:space="preserve">Bovines </w:t>
            </w:r>
            <w:r>
              <w:rPr>
                <w:sz w:val="18"/>
              </w:rPr>
              <w:t>(over 70 kg)</w:t>
            </w:r>
          </w:p>
        </w:tc>
      </w:tr>
      <w:tr w:rsidR="003E67DA">
        <w:trPr>
          <w:cantSplit/>
        </w:trPr>
        <w:tc>
          <w:tcPr>
            <w:tcW w:w="709" w:type="dxa"/>
            <w:tcBorders>
              <w:top w:val="nil"/>
              <w:left w:val="nil"/>
              <w:bottom w:val="nil"/>
              <w:right w:val="nil"/>
            </w:tcBorders>
          </w:tcPr>
          <w:p w:rsidR="003E67DA" w:rsidRDefault="00645504">
            <w:pPr>
              <w:pStyle w:val="yTableNAm"/>
            </w:pPr>
            <w:r>
              <w:rPr>
                <w:bCs/>
              </w:rPr>
              <w:t>1.</w:t>
            </w:r>
          </w:p>
        </w:tc>
        <w:tc>
          <w:tcPr>
            <w:tcW w:w="2763" w:type="dxa"/>
            <w:tcBorders>
              <w:top w:val="nil"/>
              <w:left w:val="nil"/>
              <w:bottom w:val="nil"/>
              <w:right w:val="nil"/>
            </w:tcBorders>
          </w:tcPr>
          <w:p w:rsidR="003E67DA" w:rsidRDefault="00645504">
            <w:pPr>
              <w:pStyle w:val="yTableNAm"/>
              <w:rPr>
                <w:bCs/>
              </w:rPr>
            </w:pPr>
            <w:r>
              <w:t>Bunbury................................</w:t>
            </w:r>
          </w:p>
        </w:tc>
        <w:tc>
          <w:tcPr>
            <w:tcW w:w="923" w:type="dxa"/>
            <w:tcBorders>
              <w:top w:val="nil"/>
              <w:left w:val="nil"/>
              <w:bottom w:val="nil"/>
              <w:right w:val="nil"/>
            </w:tcBorders>
          </w:tcPr>
          <w:p w:rsidR="003E67DA" w:rsidRDefault="00645504">
            <w:pPr>
              <w:pStyle w:val="yTableNAm"/>
              <w:rPr>
                <w:bCs/>
              </w:rPr>
            </w:pPr>
            <w:r>
              <w:rPr>
                <w:bCs/>
              </w:rPr>
              <w:t>2.10</w:t>
            </w:r>
          </w:p>
        </w:tc>
        <w:tc>
          <w:tcPr>
            <w:tcW w:w="1559" w:type="dxa"/>
            <w:tcBorders>
              <w:top w:val="nil"/>
              <w:left w:val="nil"/>
              <w:bottom w:val="nil"/>
              <w:right w:val="nil"/>
            </w:tcBorders>
          </w:tcPr>
          <w:p w:rsidR="003E67DA" w:rsidRDefault="00645504">
            <w:pPr>
              <w:pStyle w:val="yTableNAm"/>
              <w:rPr>
                <w:bCs/>
              </w:rPr>
            </w:pPr>
            <w:r>
              <w:rPr>
                <w:bCs/>
              </w:rPr>
              <w:t>0.50</w:t>
            </w:r>
          </w:p>
        </w:tc>
        <w:tc>
          <w:tcPr>
            <w:tcW w:w="1134" w:type="dxa"/>
            <w:tcBorders>
              <w:top w:val="nil"/>
              <w:left w:val="nil"/>
              <w:bottom w:val="nil"/>
              <w:right w:val="nil"/>
            </w:tcBorders>
          </w:tcPr>
          <w:p w:rsidR="003E67DA" w:rsidRDefault="00645504">
            <w:pPr>
              <w:pStyle w:val="yTableNAm"/>
              <w:rPr>
                <w:bCs/>
              </w:rPr>
            </w:pPr>
            <w:r>
              <w:rPr>
                <w:bCs/>
              </w:rPr>
              <w:t>2.80</w:t>
            </w:r>
          </w:p>
        </w:tc>
      </w:tr>
      <w:tr w:rsidR="003E67DA">
        <w:trPr>
          <w:cantSplit/>
        </w:trPr>
        <w:tc>
          <w:tcPr>
            <w:tcW w:w="709" w:type="dxa"/>
            <w:tcBorders>
              <w:top w:val="nil"/>
              <w:left w:val="nil"/>
              <w:bottom w:val="nil"/>
              <w:right w:val="nil"/>
            </w:tcBorders>
          </w:tcPr>
          <w:p w:rsidR="003E67DA" w:rsidRDefault="00645504">
            <w:pPr>
              <w:pStyle w:val="yTableNAm"/>
            </w:pPr>
            <w:r>
              <w:t>2.</w:t>
            </w:r>
          </w:p>
        </w:tc>
        <w:tc>
          <w:tcPr>
            <w:tcW w:w="2763" w:type="dxa"/>
            <w:tcBorders>
              <w:top w:val="nil"/>
              <w:left w:val="nil"/>
              <w:bottom w:val="nil"/>
              <w:right w:val="nil"/>
            </w:tcBorders>
          </w:tcPr>
          <w:p w:rsidR="003E67DA" w:rsidRDefault="00645504">
            <w:pPr>
              <w:pStyle w:val="yTableNAm"/>
            </w:pPr>
            <w:r>
              <w:t>Canning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1.38</w:t>
            </w:r>
          </w:p>
        </w:tc>
        <w:tc>
          <w:tcPr>
            <w:tcW w:w="1134" w:type="dxa"/>
            <w:tcBorders>
              <w:top w:val="nil"/>
              <w:left w:val="nil"/>
              <w:bottom w:val="nil"/>
              <w:right w:val="nil"/>
            </w:tcBorders>
          </w:tcPr>
          <w:p w:rsidR="003E67DA" w:rsidRDefault="00645504">
            <w:pPr>
              <w:pStyle w:val="yTableNAm"/>
            </w:pPr>
            <w:r>
              <w:t>—</w:t>
            </w:r>
          </w:p>
        </w:tc>
      </w:tr>
      <w:tr w:rsidR="003E67DA">
        <w:trPr>
          <w:cantSplit/>
        </w:trPr>
        <w:tc>
          <w:tcPr>
            <w:tcW w:w="709" w:type="dxa"/>
            <w:tcBorders>
              <w:top w:val="nil"/>
              <w:left w:val="nil"/>
              <w:bottom w:val="nil"/>
              <w:right w:val="nil"/>
            </w:tcBorders>
          </w:tcPr>
          <w:p w:rsidR="003E67DA" w:rsidRDefault="00645504">
            <w:pPr>
              <w:pStyle w:val="yTableNAm"/>
            </w:pPr>
            <w:r>
              <w:t>3.</w:t>
            </w:r>
          </w:p>
        </w:tc>
        <w:tc>
          <w:tcPr>
            <w:tcW w:w="2763" w:type="dxa"/>
            <w:tcBorders>
              <w:top w:val="nil"/>
              <w:left w:val="nil"/>
              <w:bottom w:val="nil"/>
              <w:right w:val="nil"/>
            </w:tcBorders>
          </w:tcPr>
          <w:p w:rsidR="003E67DA" w:rsidRDefault="00645504">
            <w:pPr>
              <w:pStyle w:val="yTableNAm"/>
            </w:pPr>
            <w:r>
              <w:t>Coolgardie ...........................</w:t>
            </w:r>
          </w:p>
        </w:tc>
        <w:tc>
          <w:tcPr>
            <w:tcW w:w="923" w:type="dxa"/>
            <w:tcBorders>
              <w:top w:val="nil"/>
              <w:left w:val="nil"/>
              <w:bottom w:val="nil"/>
              <w:right w:val="nil"/>
            </w:tcBorders>
          </w:tcPr>
          <w:p w:rsidR="003E67DA" w:rsidRDefault="00645504">
            <w:pPr>
              <w:pStyle w:val="yTableNAm"/>
            </w:pPr>
            <w:r>
              <w:t>9.90</w:t>
            </w:r>
          </w:p>
        </w:tc>
        <w:tc>
          <w:tcPr>
            <w:tcW w:w="1559" w:type="dxa"/>
            <w:tcBorders>
              <w:top w:val="nil"/>
              <w:left w:val="nil"/>
              <w:bottom w:val="nil"/>
              <w:right w:val="nil"/>
            </w:tcBorders>
          </w:tcPr>
          <w:p w:rsidR="003E67DA" w:rsidRDefault="00645504">
            <w:pPr>
              <w:pStyle w:val="yTableNAm"/>
            </w:pPr>
            <w:r>
              <w:t>3.85</w:t>
            </w:r>
          </w:p>
        </w:tc>
        <w:tc>
          <w:tcPr>
            <w:tcW w:w="1134" w:type="dxa"/>
            <w:tcBorders>
              <w:top w:val="nil"/>
              <w:left w:val="nil"/>
              <w:bottom w:val="nil"/>
              <w:right w:val="nil"/>
            </w:tcBorders>
          </w:tcPr>
          <w:p w:rsidR="003E67DA" w:rsidRDefault="00645504">
            <w:pPr>
              <w:pStyle w:val="yTableNAm"/>
            </w:pPr>
            <w:r>
              <w:t>—</w:t>
            </w:r>
          </w:p>
        </w:tc>
      </w:tr>
      <w:tr w:rsidR="003E67DA">
        <w:trPr>
          <w:cantSplit/>
        </w:trPr>
        <w:tc>
          <w:tcPr>
            <w:tcW w:w="709" w:type="dxa"/>
            <w:tcBorders>
              <w:top w:val="nil"/>
              <w:left w:val="nil"/>
              <w:bottom w:val="nil"/>
              <w:right w:val="nil"/>
            </w:tcBorders>
          </w:tcPr>
          <w:p w:rsidR="003E67DA" w:rsidRDefault="00645504">
            <w:pPr>
              <w:pStyle w:val="yTableNAm"/>
            </w:pPr>
            <w:r>
              <w:t>4.</w:t>
            </w:r>
          </w:p>
        </w:tc>
        <w:tc>
          <w:tcPr>
            <w:tcW w:w="2763" w:type="dxa"/>
            <w:tcBorders>
              <w:top w:val="nil"/>
              <w:left w:val="nil"/>
              <w:bottom w:val="nil"/>
              <w:right w:val="nil"/>
            </w:tcBorders>
          </w:tcPr>
          <w:p w:rsidR="003E67DA" w:rsidRDefault="00645504">
            <w:pPr>
              <w:pStyle w:val="yTableNAm"/>
              <w:rPr>
                <w:spacing w:val="-2"/>
              </w:rPr>
            </w:pPr>
            <w:r>
              <w:t>Corrigin ...............................</w:t>
            </w:r>
          </w:p>
        </w:tc>
        <w:tc>
          <w:tcPr>
            <w:tcW w:w="923" w:type="dxa"/>
            <w:tcBorders>
              <w:top w:val="nil"/>
              <w:left w:val="nil"/>
              <w:bottom w:val="nil"/>
              <w:right w:val="nil"/>
            </w:tcBorders>
          </w:tcPr>
          <w:p w:rsidR="003E67DA" w:rsidRDefault="00645504">
            <w:pPr>
              <w:pStyle w:val="yTableNAm"/>
            </w:pPr>
            <w:r>
              <w:t>5.88</w:t>
            </w:r>
          </w:p>
        </w:tc>
        <w:tc>
          <w:tcPr>
            <w:tcW w:w="1559" w:type="dxa"/>
            <w:tcBorders>
              <w:top w:val="nil"/>
              <w:left w:val="nil"/>
              <w:bottom w:val="nil"/>
              <w:right w:val="nil"/>
            </w:tcBorders>
          </w:tcPr>
          <w:p w:rsidR="003E67DA" w:rsidRDefault="00645504">
            <w:pPr>
              <w:pStyle w:val="yTableNAm"/>
            </w:pPr>
            <w:r>
              <w:t>1.65</w:t>
            </w:r>
          </w:p>
        </w:tc>
        <w:tc>
          <w:tcPr>
            <w:tcW w:w="1134" w:type="dxa"/>
            <w:tcBorders>
              <w:top w:val="nil"/>
              <w:left w:val="nil"/>
              <w:bottom w:val="nil"/>
              <w:right w:val="nil"/>
            </w:tcBorders>
          </w:tcPr>
          <w:p w:rsidR="003E67DA" w:rsidRDefault="00645504">
            <w:pPr>
              <w:pStyle w:val="yTableNAm"/>
            </w:pPr>
            <w:r>
              <w:t>9.00</w:t>
            </w:r>
          </w:p>
        </w:tc>
      </w:tr>
      <w:tr w:rsidR="003E67DA">
        <w:trPr>
          <w:cantSplit/>
        </w:trPr>
        <w:tc>
          <w:tcPr>
            <w:tcW w:w="709" w:type="dxa"/>
            <w:tcBorders>
              <w:top w:val="nil"/>
              <w:left w:val="nil"/>
              <w:bottom w:val="nil"/>
              <w:right w:val="nil"/>
            </w:tcBorders>
          </w:tcPr>
          <w:p w:rsidR="003E67DA" w:rsidRDefault="00645504">
            <w:pPr>
              <w:pStyle w:val="yTableNAm"/>
            </w:pPr>
            <w:r>
              <w:t>5.</w:t>
            </w:r>
          </w:p>
        </w:tc>
        <w:tc>
          <w:tcPr>
            <w:tcW w:w="2763" w:type="dxa"/>
            <w:tcBorders>
              <w:top w:val="nil"/>
              <w:left w:val="nil"/>
              <w:bottom w:val="nil"/>
              <w:right w:val="nil"/>
            </w:tcBorders>
          </w:tcPr>
          <w:p w:rsidR="003E67DA" w:rsidRDefault="00645504">
            <w:pPr>
              <w:pStyle w:val="yTableNAm"/>
            </w:pPr>
            <w:r>
              <w:t>Esperance ............................</w:t>
            </w:r>
          </w:p>
        </w:tc>
        <w:tc>
          <w:tcPr>
            <w:tcW w:w="923" w:type="dxa"/>
            <w:tcBorders>
              <w:top w:val="nil"/>
              <w:left w:val="nil"/>
              <w:bottom w:val="nil"/>
              <w:right w:val="nil"/>
            </w:tcBorders>
          </w:tcPr>
          <w:p w:rsidR="003E67DA" w:rsidRDefault="00645504">
            <w:pPr>
              <w:pStyle w:val="yTableNAm"/>
            </w:pPr>
            <w:r>
              <w:rPr>
                <w:szCs w:val="22"/>
              </w:rPr>
              <w:t>2.20</w:t>
            </w:r>
          </w:p>
        </w:tc>
        <w:tc>
          <w:tcPr>
            <w:tcW w:w="1559" w:type="dxa"/>
            <w:tcBorders>
              <w:top w:val="nil"/>
              <w:left w:val="nil"/>
              <w:bottom w:val="nil"/>
              <w:right w:val="nil"/>
            </w:tcBorders>
          </w:tcPr>
          <w:p w:rsidR="003E67DA" w:rsidRDefault="00645504">
            <w:pPr>
              <w:pStyle w:val="yTableNAm"/>
            </w:pPr>
            <w:r>
              <w:rPr>
                <w:szCs w:val="22"/>
              </w:rPr>
              <w:t>0.52</w:t>
            </w:r>
          </w:p>
        </w:tc>
        <w:tc>
          <w:tcPr>
            <w:tcW w:w="1134" w:type="dxa"/>
            <w:tcBorders>
              <w:top w:val="nil"/>
              <w:left w:val="nil"/>
              <w:bottom w:val="nil"/>
              <w:right w:val="nil"/>
            </w:tcBorders>
          </w:tcPr>
          <w:p w:rsidR="003E67DA" w:rsidRDefault="00645504">
            <w:pPr>
              <w:pStyle w:val="yTableNAm"/>
            </w:pPr>
            <w:r>
              <w:rPr>
                <w:szCs w:val="22"/>
              </w:rPr>
              <w:t>4.11</w:t>
            </w:r>
          </w:p>
        </w:tc>
      </w:tr>
      <w:tr w:rsidR="003E67DA">
        <w:trPr>
          <w:cantSplit/>
        </w:trPr>
        <w:tc>
          <w:tcPr>
            <w:tcW w:w="709" w:type="dxa"/>
            <w:tcBorders>
              <w:top w:val="nil"/>
              <w:left w:val="nil"/>
              <w:bottom w:val="nil"/>
              <w:right w:val="nil"/>
            </w:tcBorders>
          </w:tcPr>
          <w:p w:rsidR="003E67DA" w:rsidRDefault="00645504">
            <w:pPr>
              <w:pStyle w:val="yTableNAm"/>
            </w:pPr>
            <w:r>
              <w:t>6.</w:t>
            </w:r>
          </w:p>
        </w:tc>
        <w:tc>
          <w:tcPr>
            <w:tcW w:w="2763" w:type="dxa"/>
            <w:tcBorders>
              <w:top w:val="nil"/>
              <w:left w:val="nil"/>
              <w:bottom w:val="nil"/>
              <w:right w:val="nil"/>
            </w:tcBorders>
          </w:tcPr>
          <w:p w:rsidR="003E67DA" w:rsidRDefault="00645504">
            <w:pPr>
              <w:pStyle w:val="yTableNAm"/>
            </w:pPr>
            <w:r>
              <w:t>Gingin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0.33</w:t>
            </w:r>
          </w:p>
        </w:tc>
        <w:tc>
          <w:tcPr>
            <w:tcW w:w="1134" w:type="dxa"/>
            <w:tcBorders>
              <w:top w:val="nil"/>
              <w:left w:val="nil"/>
              <w:bottom w:val="nil"/>
              <w:right w:val="nil"/>
            </w:tcBorders>
          </w:tcPr>
          <w:p w:rsidR="003E67DA" w:rsidRDefault="00645504">
            <w:pPr>
              <w:pStyle w:val="yTableNAm"/>
            </w:pPr>
            <w:r>
              <w:t>4.23</w:t>
            </w:r>
          </w:p>
        </w:tc>
      </w:tr>
      <w:tr w:rsidR="003E67DA">
        <w:trPr>
          <w:cantSplit/>
        </w:trPr>
        <w:tc>
          <w:tcPr>
            <w:tcW w:w="709" w:type="dxa"/>
            <w:tcBorders>
              <w:top w:val="nil"/>
              <w:left w:val="nil"/>
              <w:bottom w:val="nil"/>
              <w:right w:val="nil"/>
            </w:tcBorders>
          </w:tcPr>
          <w:p w:rsidR="003E67DA" w:rsidRDefault="00645504">
            <w:pPr>
              <w:pStyle w:val="yTableNAm"/>
            </w:pPr>
            <w:r>
              <w:t>7.</w:t>
            </w:r>
          </w:p>
        </w:tc>
        <w:tc>
          <w:tcPr>
            <w:tcW w:w="2763" w:type="dxa"/>
            <w:tcBorders>
              <w:top w:val="nil"/>
              <w:left w:val="nil"/>
              <w:bottom w:val="nil"/>
              <w:right w:val="nil"/>
            </w:tcBorders>
          </w:tcPr>
          <w:p w:rsidR="003E67DA" w:rsidRDefault="00645504">
            <w:pPr>
              <w:pStyle w:val="yTableNAm"/>
            </w:pPr>
            <w:r>
              <w:t>Greenough ...........................</w:t>
            </w:r>
          </w:p>
        </w:tc>
        <w:tc>
          <w:tcPr>
            <w:tcW w:w="923" w:type="dxa"/>
            <w:tcBorders>
              <w:top w:val="nil"/>
              <w:left w:val="nil"/>
              <w:bottom w:val="nil"/>
              <w:right w:val="nil"/>
            </w:tcBorders>
          </w:tcPr>
          <w:p w:rsidR="003E67DA" w:rsidRDefault="00645504">
            <w:pPr>
              <w:pStyle w:val="yTableNAm"/>
            </w:pPr>
            <w:r>
              <w:t>6.50</w:t>
            </w:r>
          </w:p>
        </w:tc>
        <w:tc>
          <w:tcPr>
            <w:tcW w:w="1559" w:type="dxa"/>
            <w:tcBorders>
              <w:top w:val="nil"/>
              <w:left w:val="nil"/>
              <w:bottom w:val="nil"/>
              <w:right w:val="nil"/>
            </w:tcBorders>
          </w:tcPr>
          <w:p w:rsidR="003E67DA" w:rsidRDefault="00645504">
            <w:pPr>
              <w:pStyle w:val="yTableNAm"/>
            </w:pPr>
            <w:r>
              <w:t>1.85</w:t>
            </w:r>
          </w:p>
        </w:tc>
        <w:tc>
          <w:tcPr>
            <w:tcW w:w="1134" w:type="dxa"/>
            <w:tcBorders>
              <w:top w:val="nil"/>
              <w:left w:val="nil"/>
              <w:bottom w:val="nil"/>
              <w:right w:val="nil"/>
            </w:tcBorders>
          </w:tcPr>
          <w:p w:rsidR="003E67DA" w:rsidRDefault="00645504">
            <w:pPr>
              <w:pStyle w:val="yTableNAm"/>
            </w:pPr>
            <w:r>
              <w:t>10.20</w:t>
            </w:r>
          </w:p>
        </w:tc>
      </w:tr>
      <w:tr w:rsidR="003E67DA">
        <w:trPr>
          <w:cantSplit/>
        </w:trPr>
        <w:tc>
          <w:tcPr>
            <w:tcW w:w="709" w:type="dxa"/>
            <w:tcBorders>
              <w:top w:val="nil"/>
              <w:left w:val="nil"/>
              <w:bottom w:val="nil"/>
              <w:right w:val="nil"/>
            </w:tcBorders>
          </w:tcPr>
          <w:p w:rsidR="003E67DA" w:rsidRDefault="00645504">
            <w:pPr>
              <w:pStyle w:val="yTableNAm"/>
            </w:pPr>
            <w:r>
              <w:t>8.</w:t>
            </w:r>
          </w:p>
        </w:tc>
        <w:tc>
          <w:tcPr>
            <w:tcW w:w="2763" w:type="dxa"/>
            <w:tcBorders>
              <w:top w:val="nil"/>
              <w:left w:val="nil"/>
              <w:bottom w:val="nil"/>
              <w:right w:val="nil"/>
            </w:tcBorders>
          </w:tcPr>
          <w:p w:rsidR="003E67DA" w:rsidRDefault="00645504">
            <w:pPr>
              <w:pStyle w:val="yTableNAm"/>
            </w:pPr>
            <w:r>
              <w:t xml:space="preserve">Harvey </w:t>
            </w:r>
            <w:r>
              <w:t>.................................</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1.19</w:t>
            </w:r>
          </w:p>
        </w:tc>
        <w:tc>
          <w:tcPr>
            <w:tcW w:w="1134" w:type="dxa"/>
            <w:tcBorders>
              <w:top w:val="nil"/>
              <w:left w:val="nil"/>
              <w:bottom w:val="nil"/>
              <w:right w:val="nil"/>
            </w:tcBorders>
          </w:tcPr>
          <w:p w:rsidR="003E67DA" w:rsidRDefault="00645504">
            <w:pPr>
              <w:pStyle w:val="yTableNAm"/>
            </w:pPr>
            <w:r>
              <w:t>7.60</w:t>
            </w:r>
          </w:p>
        </w:tc>
      </w:tr>
      <w:tr w:rsidR="003E67DA">
        <w:trPr>
          <w:cantSplit/>
        </w:trPr>
        <w:tc>
          <w:tcPr>
            <w:tcW w:w="709" w:type="dxa"/>
            <w:tcBorders>
              <w:top w:val="nil"/>
              <w:left w:val="nil"/>
              <w:bottom w:val="nil"/>
              <w:right w:val="nil"/>
            </w:tcBorders>
          </w:tcPr>
          <w:p w:rsidR="003E67DA" w:rsidRDefault="00645504">
            <w:pPr>
              <w:pStyle w:val="yTableNAm"/>
            </w:pPr>
            <w:r>
              <w:t>9.</w:t>
            </w:r>
          </w:p>
        </w:tc>
        <w:tc>
          <w:tcPr>
            <w:tcW w:w="2763" w:type="dxa"/>
            <w:tcBorders>
              <w:top w:val="nil"/>
              <w:left w:val="nil"/>
              <w:bottom w:val="nil"/>
              <w:right w:val="nil"/>
            </w:tcBorders>
          </w:tcPr>
          <w:p w:rsidR="003E67DA" w:rsidRDefault="00645504">
            <w:pPr>
              <w:pStyle w:val="yTableNAm"/>
            </w:pPr>
            <w:r>
              <w:t>Northam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0.85</w:t>
            </w:r>
          </w:p>
        </w:tc>
        <w:tc>
          <w:tcPr>
            <w:tcW w:w="1134" w:type="dxa"/>
            <w:tcBorders>
              <w:top w:val="nil"/>
              <w:left w:val="nil"/>
              <w:bottom w:val="nil"/>
              <w:right w:val="nil"/>
            </w:tcBorders>
          </w:tcPr>
          <w:p w:rsidR="003E67DA" w:rsidRDefault="00645504">
            <w:pPr>
              <w:pStyle w:val="yTableNAm"/>
            </w:pPr>
            <w:r>
              <w:t>7.59</w:t>
            </w:r>
          </w:p>
        </w:tc>
      </w:tr>
      <w:tr w:rsidR="003E67DA">
        <w:trPr>
          <w:cantSplit/>
        </w:trPr>
        <w:tc>
          <w:tcPr>
            <w:tcW w:w="709" w:type="dxa"/>
            <w:tcBorders>
              <w:top w:val="nil"/>
              <w:left w:val="nil"/>
              <w:bottom w:val="nil"/>
              <w:right w:val="nil"/>
            </w:tcBorders>
          </w:tcPr>
          <w:p w:rsidR="003E67DA" w:rsidRDefault="00645504">
            <w:pPr>
              <w:pStyle w:val="yTableNAm"/>
            </w:pPr>
            <w:r>
              <w:t>10.</w:t>
            </w:r>
          </w:p>
        </w:tc>
        <w:tc>
          <w:tcPr>
            <w:tcW w:w="2763" w:type="dxa"/>
            <w:tcBorders>
              <w:top w:val="nil"/>
              <w:left w:val="nil"/>
              <w:bottom w:val="nil"/>
              <w:right w:val="nil"/>
            </w:tcBorders>
          </w:tcPr>
          <w:p w:rsidR="003E67DA" w:rsidRDefault="00645504">
            <w:pPr>
              <w:pStyle w:val="yTableNAm"/>
            </w:pPr>
            <w:r>
              <w:t>Rockingham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0.60</w:t>
            </w:r>
          </w:p>
        </w:tc>
        <w:tc>
          <w:tcPr>
            <w:tcW w:w="1134" w:type="dxa"/>
            <w:tcBorders>
              <w:top w:val="nil"/>
              <w:left w:val="nil"/>
              <w:bottom w:val="nil"/>
              <w:right w:val="nil"/>
            </w:tcBorders>
          </w:tcPr>
          <w:p w:rsidR="003E67DA" w:rsidRDefault="00645504">
            <w:pPr>
              <w:pStyle w:val="yTableNAm"/>
            </w:pPr>
            <w:r>
              <w:t>—</w:t>
            </w:r>
          </w:p>
        </w:tc>
      </w:tr>
      <w:tr w:rsidR="003E67DA">
        <w:trPr>
          <w:cantSplit/>
        </w:trPr>
        <w:tc>
          <w:tcPr>
            <w:tcW w:w="709" w:type="dxa"/>
            <w:tcBorders>
              <w:top w:val="nil"/>
              <w:left w:val="nil"/>
              <w:bottom w:val="nil"/>
              <w:right w:val="nil"/>
            </w:tcBorders>
          </w:tcPr>
          <w:p w:rsidR="003E67DA" w:rsidRDefault="00645504">
            <w:pPr>
              <w:pStyle w:val="yTableNAm"/>
            </w:pPr>
            <w:r>
              <w:t>11.</w:t>
            </w:r>
          </w:p>
        </w:tc>
        <w:tc>
          <w:tcPr>
            <w:tcW w:w="2763" w:type="dxa"/>
            <w:tcBorders>
              <w:top w:val="nil"/>
              <w:left w:val="nil"/>
              <w:bottom w:val="nil"/>
              <w:right w:val="nil"/>
            </w:tcBorders>
          </w:tcPr>
          <w:p w:rsidR="003E67DA" w:rsidRDefault="00645504">
            <w:pPr>
              <w:pStyle w:val="yTableNAm"/>
            </w:pPr>
            <w:r>
              <w:t>Tammin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1.00</w:t>
            </w:r>
          </w:p>
        </w:tc>
        <w:tc>
          <w:tcPr>
            <w:tcW w:w="1134" w:type="dxa"/>
            <w:tcBorders>
              <w:top w:val="nil"/>
              <w:left w:val="nil"/>
              <w:bottom w:val="nil"/>
              <w:right w:val="nil"/>
            </w:tcBorders>
          </w:tcPr>
          <w:p w:rsidR="003E67DA" w:rsidRDefault="00645504">
            <w:pPr>
              <w:pStyle w:val="yTableNAm"/>
            </w:pPr>
            <w:r>
              <w:t>—</w:t>
            </w:r>
          </w:p>
        </w:tc>
      </w:tr>
      <w:tr w:rsidR="003E67DA">
        <w:trPr>
          <w:cantSplit/>
        </w:trPr>
        <w:tc>
          <w:tcPr>
            <w:tcW w:w="709" w:type="dxa"/>
            <w:tcBorders>
              <w:top w:val="nil"/>
              <w:left w:val="nil"/>
              <w:bottom w:val="nil"/>
              <w:right w:val="nil"/>
            </w:tcBorders>
          </w:tcPr>
          <w:p w:rsidR="003E67DA" w:rsidRDefault="00645504">
            <w:pPr>
              <w:pStyle w:val="yTableNAm"/>
            </w:pPr>
            <w:r>
              <w:t>12.</w:t>
            </w:r>
          </w:p>
        </w:tc>
        <w:tc>
          <w:tcPr>
            <w:tcW w:w="2763" w:type="dxa"/>
            <w:tcBorders>
              <w:top w:val="nil"/>
              <w:left w:val="nil"/>
              <w:bottom w:val="nil"/>
              <w:right w:val="nil"/>
            </w:tcBorders>
          </w:tcPr>
          <w:p w:rsidR="003E67DA" w:rsidRDefault="00645504">
            <w:pPr>
              <w:pStyle w:val="yTableNAm"/>
            </w:pPr>
            <w:r>
              <w:t>Wyndham/East Kimberley ..</w:t>
            </w:r>
          </w:p>
        </w:tc>
        <w:tc>
          <w:tcPr>
            <w:tcW w:w="923" w:type="dxa"/>
            <w:tcBorders>
              <w:top w:val="nil"/>
              <w:left w:val="nil"/>
              <w:bottom w:val="nil"/>
              <w:right w:val="nil"/>
            </w:tcBorders>
          </w:tcPr>
          <w:p w:rsidR="003E67DA" w:rsidRDefault="00645504">
            <w:pPr>
              <w:pStyle w:val="yTableNAm"/>
            </w:pPr>
            <w:r>
              <w:t>—</w:t>
            </w:r>
          </w:p>
        </w:tc>
        <w:tc>
          <w:tcPr>
            <w:tcW w:w="1559" w:type="dxa"/>
            <w:tcBorders>
              <w:top w:val="nil"/>
              <w:left w:val="nil"/>
              <w:bottom w:val="nil"/>
              <w:right w:val="nil"/>
            </w:tcBorders>
          </w:tcPr>
          <w:p w:rsidR="003E67DA" w:rsidRDefault="00645504">
            <w:pPr>
              <w:pStyle w:val="yTableNAm"/>
            </w:pPr>
            <w:r>
              <w:t>0.55</w:t>
            </w:r>
          </w:p>
        </w:tc>
        <w:tc>
          <w:tcPr>
            <w:tcW w:w="1134" w:type="dxa"/>
            <w:tcBorders>
              <w:top w:val="nil"/>
              <w:left w:val="nil"/>
              <w:bottom w:val="nil"/>
              <w:right w:val="nil"/>
            </w:tcBorders>
          </w:tcPr>
          <w:p w:rsidR="003E67DA" w:rsidRDefault="00645504">
            <w:pPr>
              <w:pStyle w:val="yTableNAm"/>
            </w:pPr>
            <w:r>
              <w:t>4.40</w:t>
            </w:r>
          </w:p>
        </w:tc>
      </w:tr>
      <w:tr w:rsidR="003E67DA">
        <w:trPr>
          <w:cantSplit/>
        </w:trPr>
        <w:tc>
          <w:tcPr>
            <w:tcW w:w="709" w:type="dxa"/>
            <w:tcBorders>
              <w:top w:val="nil"/>
              <w:left w:val="nil"/>
              <w:bottom w:val="single" w:sz="4" w:space="0" w:color="auto"/>
              <w:right w:val="nil"/>
            </w:tcBorders>
          </w:tcPr>
          <w:p w:rsidR="003E67DA" w:rsidRDefault="00645504">
            <w:pPr>
              <w:pStyle w:val="yTableNAm"/>
            </w:pPr>
            <w:r>
              <w:t>13.</w:t>
            </w:r>
          </w:p>
        </w:tc>
        <w:tc>
          <w:tcPr>
            <w:tcW w:w="2763" w:type="dxa"/>
            <w:tcBorders>
              <w:top w:val="nil"/>
              <w:left w:val="nil"/>
              <w:bottom w:val="single" w:sz="4" w:space="0" w:color="auto"/>
              <w:right w:val="nil"/>
            </w:tcBorders>
          </w:tcPr>
          <w:p w:rsidR="003E67DA" w:rsidRDefault="00645504">
            <w:pPr>
              <w:pStyle w:val="yTableNAm"/>
            </w:pPr>
            <w:r>
              <w:t>Waroona ..............................</w:t>
            </w:r>
          </w:p>
        </w:tc>
        <w:tc>
          <w:tcPr>
            <w:tcW w:w="923" w:type="dxa"/>
            <w:tcBorders>
              <w:top w:val="nil"/>
              <w:left w:val="nil"/>
              <w:bottom w:val="single" w:sz="4" w:space="0" w:color="auto"/>
              <w:right w:val="nil"/>
            </w:tcBorders>
          </w:tcPr>
          <w:p w:rsidR="003E67DA" w:rsidRDefault="00645504">
            <w:pPr>
              <w:pStyle w:val="yTableNAm"/>
            </w:pPr>
            <w:r>
              <w:t>1.38</w:t>
            </w:r>
          </w:p>
        </w:tc>
        <w:tc>
          <w:tcPr>
            <w:tcW w:w="1559" w:type="dxa"/>
            <w:tcBorders>
              <w:top w:val="nil"/>
              <w:left w:val="nil"/>
              <w:bottom w:val="single" w:sz="4" w:space="0" w:color="auto"/>
              <w:right w:val="nil"/>
            </w:tcBorders>
          </w:tcPr>
          <w:p w:rsidR="003E67DA" w:rsidRDefault="00645504">
            <w:pPr>
              <w:pStyle w:val="yTableNAm"/>
            </w:pPr>
            <w:r>
              <w:t>0.85</w:t>
            </w:r>
          </w:p>
        </w:tc>
        <w:tc>
          <w:tcPr>
            <w:tcW w:w="1134" w:type="dxa"/>
            <w:tcBorders>
              <w:top w:val="nil"/>
              <w:left w:val="nil"/>
              <w:bottom w:val="single" w:sz="4" w:space="0" w:color="auto"/>
              <w:right w:val="nil"/>
            </w:tcBorders>
          </w:tcPr>
          <w:p w:rsidR="003E67DA" w:rsidRDefault="00645504">
            <w:pPr>
              <w:pStyle w:val="yTableNAm"/>
            </w:pPr>
            <w:r>
              <w:t>—</w:t>
            </w:r>
          </w:p>
        </w:tc>
      </w:tr>
    </w:tbl>
    <w:p w:rsidR="003E67DA" w:rsidRDefault="00645504">
      <w:pPr>
        <w:pStyle w:val="yFootnotesection"/>
        <w:rPr>
          <w:rStyle w:val="CharSchNo"/>
        </w:rPr>
      </w:pPr>
      <w:r>
        <w:rPr>
          <w:rStyle w:val="CharSchNo"/>
        </w:rPr>
        <w:tab/>
        <w:t xml:space="preserve">[Schedule 1 </w:t>
      </w:r>
      <w:r>
        <w:t>amended: Gazette 20 Sep 2011 p. 3799; 20 Mar 2015 p. 906; 28 Jul 2015 p. 3083; SL 2021/40 r. 4.]</w:t>
      </w:r>
    </w:p>
    <w:p w:rsidR="003E67DA" w:rsidRDefault="00645504">
      <w:pPr>
        <w:pStyle w:val="yScheduleHeading"/>
      </w:pPr>
      <w:bookmarkStart w:id="118" w:name="_Toc68693339"/>
      <w:bookmarkStart w:id="119" w:name="_Toc68696963"/>
      <w:bookmarkStart w:id="120" w:name="_Toc68767524"/>
      <w:r>
        <w:rPr>
          <w:rStyle w:val="CharSchNo"/>
        </w:rPr>
        <w:lastRenderedPageBreak/>
        <w:t>Schedule 2</w:t>
      </w:r>
      <w:r>
        <w:t> — </w:t>
      </w:r>
      <w:r>
        <w:rPr>
          <w:rStyle w:val="CharSchText"/>
        </w:rPr>
        <w:t>Prescribed fees</w:t>
      </w:r>
      <w:bookmarkEnd w:id="118"/>
      <w:bookmarkEnd w:id="119"/>
      <w:bookmarkEnd w:id="120"/>
    </w:p>
    <w:p w:rsidR="003E67DA" w:rsidRDefault="00645504">
      <w:pPr>
        <w:pStyle w:val="yShoulderClause"/>
      </w:pPr>
      <w:r>
        <w:t>[r. 52]</w:t>
      </w:r>
    </w:p>
    <w:p w:rsidR="003E67DA" w:rsidRDefault="00645504">
      <w:pPr>
        <w:pStyle w:val="yFootnoteheading"/>
        <w:spacing w:after="120"/>
      </w:pPr>
      <w:r>
        <w:tab/>
        <w:t>[Heading inserted: SL 2020/97 r. 4.]</w:t>
      </w:r>
    </w:p>
    <w:tbl>
      <w:tblPr>
        <w:tblW w:w="0" w:type="auto"/>
        <w:jc w:val="center"/>
        <w:tblLayout w:type="fixed"/>
        <w:tblLook w:val="0000" w:firstRow="0" w:lastRow="0" w:firstColumn="0" w:lastColumn="0" w:noHBand="0" w:noVBand="0"/>
      </w:tblPr>
      <w:tblGrid>
        <w:gridCol w:w="1276"/>
        <w:gridCol w:w="2410"/>
        <w:gridCol w:w="1984"/>
      </w:tblGrid>
      <w:tr w:rsidR="003E67DA">
        <w:trPr>
          <w:tblHeader/>
          <w:jc w:val="center"/>
        </w:trPr>
        <w:tc>
          <w:tcPr>
            <w:tcW w:w="1276" w:type="dxa"/>
            <w:shd w:val="clear" w:color="auto" w:fill="auto"/>
            <w:noWrap/>
          </w:tcPr>
          <w:p w:rsidR="003E67DA" w:rsidRDefault="00645504">
            <w:pPr>
              <w:pStyle w:val="yTableNAm"/>
              <w:rPr>
                <w:b/>
              </w:rPr>
            </w:pPr>
            <w:r>
              <w:rPr>
                <w:b/>
              </w:rPr>
              <w:t>Item</w:t>
            </w:r>
          </w:p>
        </w:tc>
        <w:tc>
          <w:tcPr>
            <w:tcW w:w="2410" w:type="dxa"/>
            <w:shd w:val="clear" w:color="auto" w:fill="auto"/>
            <w:noWrap/>
          </w:tcPr>
          <w:p w:rsidR="003E67DA" w:rsidRDefault="00645504">
            <w:pPr>
              <w:pStyle w:val="yTableNAm"/>
              <w:rPr>
                <w:b/>
              </w:rPr>
            </w:pPr>
            <w:r>
              <w:rPr>
                <w:b/>
              </w:rPr>
              <w:t xml:space="preserve">Provision of </w:t>
            </w:r>
            <w:r>
              <w:rPr>
                <w:b/>
                <w:i/>
                <w:iCs/>
              </w:rPr>
              <w:t>Food Act 2008</w:t>
            </w:r>
          </w:p>
        </w:tc>
        <w:tc>
          <w:tcPr>
            <w:tcW w:w="1984" w:type="dxa"/>
            <w:shd w:val="clear" w:color="auto" w:fill="auto"/>
            <w:noWrap/>
          </w:tcPr>
          <w:p w:rsidR="003E67DA" w:rsidRDefault="00645504">
            <w:pPr>
              <w:pStyle w:val="yTableNAm"/>
              <w:rPr>
                <w:b/>
              </w:rPr>
            </w:pPr>
            <w:r>
              <w:rPr>
                <w:b/>
              </w:rPr>
              <w:t>Prescribed fee</w:t>
            </w:r>
          </w:p>
        </w:tc>
      </w:tr>
      <w:tr w:rsidR="003E67DA">
        <w:trPr>
          <w:jc w:val="center"/>
        </w:trPr>
        <w:tc>
          <w:tcPr>
            <w:tcW w:w="1276" w:type="dxa"/>
            <w:shd w:val="clear" w:color="auto" w:fill="auto"/>
            <w:noWrap/>
          </w:tcPr>
          <w:p w:rsidR="003E67DA" w:rsidRDefault="00645504">
            <w:pPr>
              <w:pStyle w:val="yTableNAm"/>
            </w:pPr>
            <w:r>
              <w:t>1.</w:t>
            </w:r>
          </w:p>
        </w:tc>
        <w:tc>
          <w:tcPr>
            <w:tcW w:w="2410" w:type="dxa"/>
            <w:shd w:val="clear" w:color="auto" w:fill="auto"/>
            <w:noWrap/>
          </w:tcPr>
          <w:p w:rsidR="003E67DA" w:rsidRDefault="00645504">
            <w:pPr>
              <w:pStyle w:val="yTableNAm"/>
            </w:pPr>
            <w:r>
              <w:t>s. 82(3)(b)</w:t>
            </w:r>
          </w:p>
        </w:tc>
        <w:tc>
          <w:tcPr>
            <w:tcW w:w="1984" w:type="dxa"/>
            <w:shd w:val="clear" w:color="auto" w:fill="auto"/>
            <w:noWrap/>
          </w:tcPr>
          <w:p w:rsidR="003E67DA" w:rsidRDefault="00645504">
            <w:pPr>
              <w:pStyle w:val="yTableNAm"/>
            </w:pPr>
            <w:r>
              <w:rPr>
                <w:szCs w:val="22"/>
              </w:rPr>
              <w:t>$223</w:t>
            </w:r>
          </w:p>
        </w:tc>
      </w:tr>
      <w:tr w:rsidR="003E67DA">
        <w:trPr>
          <w:jc w:val="center"/>
        </w:trPr>
        <w:tc>
          <w:tcPr>
            <w:tcW w:w="1276" w:type="dxa"/>
            <w:shd w:val="clear" w:color="auto" w:fill="auto"/>
            <w:noWrap/>
          </w:tcPr>
          <w:p w:rsidR="003E67DA" w:rsidRDefault="00645504">
            <w:pPr>
              <w:pStyle w:val="yTableNAm"/>
            </w:pPr>
            <w:r>
              <w:t>2.</w:t>
            </w:r>
          </w:p>
        </w:tc>
        <w:tc>
          <w:tcPr>
            <w:tcW w:w="2410" w:type="dxa"/>
            <w:shd w:val="clear" w:color="auto" w:fill="auto"/>
            <w:noWrap/>
          </w:tcPr>
          <w:p w:rsidR="003E67DA" w:rsidRDefault="00645504">
            <w:pPr>
              <w:pStyle w:val="yTableNAm"/>
            </w:pPr>
            <w:r>
              <w:t>s. 88(3)(b)</w:t>
            </w:r>
          </w:p>
        </w:tc>
        <w:tc>
          <w:tcPr>
            <w:tcW w:w="1984" w:type="dxa"/>
            <w:shd w:val="clear" w:color="auto" w:fill="auto"/>
            <w:noWrap/>
          </w:tcPr>
          <w:p w:rsidR="003E67DA" w:rsidRDefault="00645504">
            <w:pPr>
              <w:pStyle w:val="yTableNAm"/>
            </w:pPr>
            <w:r>
              <w:rPr>
                <w:szCs w:val="22"/>
              </w:rPr>
              <w:t>$223</w:t>
            </w:r>
          </w:p>
        </w:tc>
      </w:tr>
      <w:tr w:rsidR="003E67DA">
        <w:trPr>
          <w:jc w:val="center"/>
        </w:trPr>
        <w:tc>
          <w:tcPr>
            <w:tcW w:w="1276" w:type="dxa"/>
            <w:shd w:val="clear" w:color="auto" w:fill="auto"/>
            <w:noWrap/>
          </w:tcPr>
          <w:p w:rsidR="003E67DA" w:rsidRDefault="00645504">
            <w:pPr>
              <w:pStyle w:val="yTableNAm"/>
            </w:pPr>
            <w:r>
              <w:t>3.</w:t>
            </w:r>
          </w:p>
        </w:tc>
        <w:tc>
          <w:tcPr>
            <w:tcW w:w="2410" w:type="dxa"/>
            <w:shd w:val="clear" w:color="auto" w:fill="auto"/>
            <w:noWrap/>
          </w:tcPr>
          <w:p w:rsidR="003E67DA" w:rsidRDefault="00645504">
            <w:pPr>
              <w:pStyle w:val="yTableNAm"/>
            </w:pPr>
            <w:r>
              <w:t>s. 94(3)(b)</w:t>
            </w:r>
          </w:p>
        </w:tc>
        <w:tc>
          <w:tcPr>
            <w:tcW w:w="1984" w:type="dxa"/>
            <w:shd w:val="clear" w:color="auto" w:fill="auto"/>
            <w:noWrap/>
          </w:tcPr>
          <w:p w:rsidR="003E67DA" w:rsidRDefault="00645504">
            <w:pPr>
              <w:pStyle w:val="yTableNAm"/>
            </w:pPr>
            <w:r>
              <w:rPr>
                <w:szCs w:val="22"/>
              </w:rPr>
              <w:t>$228</w:t>
            </w:r>
          </w:p>
        </w:tc>
      </w:tr>
      <w:tr w:rsidR="003E67DA">
        <w:trPr>
          <w:jc w:val="center"/>
        </w:trPr>
        <w:tc>
          <w:tcPr>
            <w:tcW w:w="1276" w:type="dxa"/>
            <w:shd w:val="clear" w:color="auto" w:fill="auto"/>
            <w:noWrap/>
          </w:tcPr>
          <w:p w:rsidR="003E67DA" w:rsidRDefault="00645504">
            <w:pPr>
              <w:pStyle w:val="yTableNAm"/>
            </w:pPr>
            <w:r>
              <w:t>4.</w:t>
            </w:r>
          </w:p>
        </w:tc>
        <w:tc>
          <w:tcPr>
            <w:tcW w:w="2410" w:type="dxa"/>
            <w:shd w:val="clear" w:color="auto" w:fill="auto"/>
            <w:noWrap/>
          </w:tcPr>
          <w:p w:rsidR="003E67DA" w:rsidRDefault="00645504">
            <w:pPr>
              <w:pStyle w:val="yTableNAm"/>
            </w:pPr>
            <w:r>
              <w:t>s. 107(3)</w:t>
            </w:r>
          </w:p>
        </w:tc>
        <w:tc>
          <w:tcPr>
            <w:tcW w:w="1984" w:type="dxa"/>
            <w:shd w:val="clear" w:color="auto" w:fill="auto"/>
            <w:noWrap/>
          </w:tcPr>
          <w:p w:rsidR="003E67DA" w:rsidRDefault="00645504">
            <w:pPr>
              <w:pStyle w:val="yTableNAm"/>
            </w:pPr>
            <w:r>
              <w:rPr>
                <w:szCs w:val="22"/>
              </w:rPr>
              <w:t>$75</w:t>
            </w:r>
          </w:p>
        </w:tc>
      </w:tr>
      <w:tr w:rsidR="003E67DA">
        <w:trPr>
          <w:jc w:val="center"/>
        </w:trPr>
        <w:tc>
          <w:tcPr>
            <w:tcW w:w="1276" w:type="dxa"/>
            <w:shd w:val="clear" w:color="auto" w:fill="auto"/>
            <w:noWrap/>
          </w:tcPr>
          <w:p w:rsidR="003E67DA" w:rsidRDefault="00645504">
            <w:pPr>
              <w:pStyle w:val="yTableNAm"/>
            </w:pPr>
            <w:r>
              <w:t>5.</w:t>
            </w:r>
          </w:p>
        </w:tc>
        <w:tc>
          <w:tcPr>
            <w:tcW w:w="2410" w:type="dxa"/>
            <w:shd w:val="clear" w:color="auto" w:fill="auto"/>
            <w:noWrap/>
          </w:tcPr>
          <w:p w:rsidR="003E67DA" w:rsidRDefault="00645504">
            <w:pPr>
              <w:pStyle w:val="yTableNAm"/>
            </w:pPr>
            <w:r>
              <w:t>s. 110(3)(c)</w:t>
            </w:r>
          </w:p>
        </w:tc>
        <w:tc>
          <w:tcPr>
            <w:tcW w:w="1984" w:type="dxa"/>
            <w:shd w:val="clear" w:color="auto" w:fill="auto"/>
            <w:noWrap/>
          </w:tcPr>
          <w:p w:rsidR="003E67DA" w:rsidRDefault="00645504">
            <w:pPr>
              <w:pStyle w:val="yTableNAm"/>
            </w:pPr>
            <w:r>
              <w:rPr>
                <w:szCs w:val="22"/>
              </w:rPr>
              <w:t>$228</w:t>
            </w:r>
          </w:p>
        </w:tc>
      </w:tr>
    </w:tbl>
    <w:p w:rsidR="003E67DA" w:rsidRDefault="00645504">
      <w:pPr>
        <w:pStyle w:val="yFootnotesection"/>
        <w:rPr>
          <w:rStyle w:val="CharSchNo"/>
          <w:b/>
        </w:rPr>
      </w:pPr>
      <w:r>
        <w:rPr>
          <w:rStyle w:val="CharSchNo"/>
        </w:rPr>
        <w:tab/>
        <w:t>[Schedule 2 inserted: SL 2020/97 r. 4.]</w:t>
      </w:r>
    </w:p>
    <w:p w:rsidR="003E67DA" w:rsidRDefault="00645504">
      <w:pPr>
        <w:pStyle w:val="yScheduleHeading"/>
      </w:pPr>
      <w:bookmarkStart w:id="121" w:name="_Toc68693340"/>
      <w:bookmarkStart w:id="122" w:name="_Toc68696964"/>
      <w:bookmarkStart w:id="123" w:name="_Toc68767525"/>
      <w:r>
        <w:rPr>
          <w:rStyle w:val="CharSchNo"/>
        </w:rPr>
        <w:lastRenderedPageBreak/>
        <w:t>Schedule 3</w:t>
      </w:r>
      <w:r>
        <w:rPr>
          <w:rStyle w:val="CharSDivNo"/>
        </w:rPr>
        <w:t> </w:t>
      </w:r>
      <w:r>
        <w:t>—</w:t>
      </w:r>
      <w:r>
        <w:rPr>
          <w:rStyle w:val="CharSDivText"/>
        </w:rPr>
        <w:t> </w:t>
      </w:r>
      <w:r>
        <w:rPr>
          <w:rStyle w:val="CharSchText"/>
        </w:rPr>
        <w:t>Prescribed offences and modified penalties</w:t>
      </w:r>
      <w:bookmarkEnd w:id="121"/>
      <w:bookmarkEnd w:id="122"/>
      <w:bookmarkEnd w:id="123"/>
    </w:p>
    <w:p w:rsidR="003E67DA" w:rsidRDefault="00645504">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rsidR="003E67DA">
        <w:tc>
          <w:tcPr>
            <w:tcW w:w="851" w:type="dxa"/>
          </w:tcPr>
          <w:p w:rsidR="003E67DA" w:rsidRDefault="00645504">
            <w:pPr>
              <w:pStyle w:val="yTableNAm"/>
              <w:rPr>
                <w:b/>
              </w:rPr>
            </w:pPr>
            <w:r>
              <w:rPr>
                <w:b/>
              </w:rPr>
              <w:t>Item</w:t>
            </w:r>
          </w:p>
        </w:tc>
        <w:tc>
          <w:tcPr>
            <w:tcW w:w="2173" w:type="dxa"/>
          </w:tcPr>
          <w:p w:rsidR="003E67DA" w:rsidRDefault="00645504">
            <w:pPr>
              <w:pStyle w:val="yTableNAm"/>
              <w:rPr>
                <w:b/>
              </w:rPr>
            </w:pPr>
            <w:r>
              <w:rPr>
                <w:b/>
              </w:rPr>
              <w:t xml:space="preserve">Offence under </w:t>
            </w:r>
            <w:r>
              <w:rPr>
                <w:b/>
                <w:i/>
                <w:iCs/>
              </w:rPr>
              <w:t>Food Act 2008</w:t>
            </w:r>
          </w:p>
        </w:tc>
        <w:tc>
          <w:tcPr>
            <w:tcW w:w="2032" w:type="dxa"/>
          </w:tcPr>
          <w:p w:rsidR="003E67DA" w:rsidRDefault="00645504">
            <w:pPr>
              <w:pStyle w:val="yTableNAm"/>
              <w:rPr>
                <w:b/>
              </w:rPr>
            </w:pPr>
            <w:r>
              <w:rPr>
                <w:b/>
              </w:rPr>
              <w:t>Modified penalty (individual)</w:t>
            </w:r>
          </w:p>
        </w:tc>
        <w:tc>
          <w:tcPr>
            <w:tcW w:w="2032" w:type="dxa"/>
          </w:tcPr>
          <w:p w:rsidR="003E67DA" w:rsidRDefault="00645504">
            <w:pPr>
              <w:pStyle w:val="yTableNAm"/>
              <w:rPr>
                <w:b/>
              </w:rPr>
            </w:pPr>
            <w:r>
              <w:rPr>
                <w:b/>
              </w:rPr>
              <w:t>Modified penalty</w:t>
            </w:r>
            <w:r>
              <w:rPr>
                <w:b/>
              </w:rPr>
              <w:br/>
              <w:t>(body corporate)</w:t>
            </w:r>
          </w:p>
        </w:tc>
      </w:tr>
      <w:tr w:rsidR="003E67DA">
        <w:tc>
          <w:tcPr>
            <w:tcW w:w="851" w:type="dxa"/>
          </w:tcPr>
          <w:p w:rsidR="003E67DA" w:rsidRDefault="00645504">
            <w:pPr>
              <w:pStyle w:val="yTableNAm"/>
            </w:pPr>
            <w:r>
              <w:t>1.</w:t>
            </w:r>
          </w:p>
        </w:tc>
        <w:tc>
          <w:tcPr>
            <w:tcW w:w="2173" w:type="dxa"/>
          </w:tcPr>
          <w:p w:rsidR="003E67DA" w:rsidRDefault="00645504">
            <w:pPr>
              <w:pStyle w:val="yTableNAm"/>
            </w:pPr>
            <w:r>
              <w:t>s. 19(2)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w:t>
            </w:r>
          </w:p>
        </w:tc>
        <w:tc>
          <w:tcPr>
            <w:tcW w:w="2173" w:type="dxa"/>
          </w:tcPr>
          <w:p w:rsidR="003E67DA" w:rsidRDefault="00645504">
            <w:pPr>
              <w:pStyle w:val="yTableNAm"/>
            </w:pPr>
            <w:r>
              <w:t>s. 19(3)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w:t>
            </w:r>
          </w:p>
        </w:tc>
        <w:tc>
          <w:tcPr>
            <w:tcW w:w="2173" w:type="dxa"/>
          </w:tcPr>
          <w:p w:rsidR="003E67DA" w:rsidRDefault="00645504">
            <w:pPr>
              <w:pStyle w:val="yTableNAm"/>
            </w:pPr>
            <w:r>
              <w:t>s. 22(1)</w:t>
            </w:r>
          </w:p>
        </w:tc>
        <w:tc>
          <w:tcPr>
            <w:tcW w:w="2032" w:type="dxa"/>
          </w:tcPr>
          <w:p w:rsidR="003E67DA" w:rsidRDefault="00645504">
            <w:pPr>
              <w:pStyle w:val="yTableNAm"/>
            </w:pPr>
            <w:r>
              <w:t>$250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w:t>
            </w:r>
          </w:p>
        </w:tc>
        <w:tc>
          <w:tcPr>
            <w:tcW w:w="2173" w:type="dxa"/>
          </w:tcPr>
          <w:p w:rsidR="003E67DA" w:rsidRDefault="00645504">
            <w:pPr>
              <w:pStyle w:val="yTableNAm"/>
            </w:pPr>
            <w:r>
              <w:t>s. 22(2)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5.</w:t>
            </w:r>
          </w:p>
        </w:tc>
        <w:tc>
          <w:tcPr>
            <w:tcW w:w="2173" w:type="dxa"/>
          </w:tcPr>
          <w:p w:rsidR="003E67DA" w:rsidRDefault="00645504">
            <w:pPr>
              <w:pStyle w:val="yTableNAm"/>
            </w:pPr>
            <w:r>
              <w:t>s. 22(3)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6.</w:t>
            </w:r>
          </w:p>
        </w:tc>
        <w:tc>
          <w:tcPr>
            <w:tcW w:w="2173" w:type="dxa"/>
          </w:tcPr>
          <w:p w:rsidR="003E67DA" w:rsidRDefault="00645504">
            <w:pPr>
              <w:pStyle w:val="yTableNAm"/>
            </w:pPr>
            <w:r>
              <w:t>s. 22(4)</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7A.</w:t>
            </w:r>
          </w:p>
        </w:tc>
        <w:tc>
          <w:tcPr>
            <w:tcW w:w="2173" w:type="dxa"/>
          </w:tcPr>
          <w:p w:rsidR="003E67DA" w:rsidRDefault="00645504">
            <w:pPr>
              <w:pStyle w:val="yTableNAm"/>
            </w:pPr>
            <w:r>
              <w:t>s. 36</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7B.</w:t>
            </w:r>
          </w:p>
        </w:tc>
        <w:tc>
          <w:tcPr>
            <w:tcW w:w="2173" w:type="dxa"/>
          </w:tcPr>
          <w:p w:rsidR="003E67DA" w:rsidRDefault="00645504">
            <w:pPr>
              <w:pStyle w:val="yTableNAm"/>
            </w:pPr>
            <w:r>
              <w:t>s. 45(1)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7C.</w:t>
            </w:r>
          </w:p>
        </w:tc>
        <w:tc>
          <w:tcPr>
            <w:tcW w:w="2173" w:type="dxa"/>
          </w:tcPr>
          <w:p w:rsidR="003E67DA" w:rsidRDefault="00645504">
            <w:pPr>
              <w:pStyle w:val="yTableNAm"/>
            </w:pPr>
            <w:r>
              <w:t>s. 46</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7D.</w:t>
            </w:r>
          </w:p>
        </w:tc>
        <w:tc>
          <w:tcPr>
            <w:tcW w:w="2173" w:type="dxa"/>
          </w:tcPr>
          <w:p w:rsidR="003E67DA" w:rsidRDefault="00645504">
            <w:pPr>
              <w:pStyle w:val="yTableNAm"/>
            </w:pPr>
            <w:r>
              <w:t>s. 48(1)</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7E.</w:t>
            </w:r>
          </w:p>
        </w:tc>
        <w:tc>
          <w:tcPr>
            <w:tcW w:w="2173" w:type="dxa"/>
          </w:tcPr>
          <w:p w:rsidR="003E67DA" w:rsidRDefault="00645504">
            <w:pPr>
              <w:pStyle w:val="yTableNAm"/>
            </w:pPr>
            <w:r>
              <w:t>s. 48(2)</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7F.</w:t>
            </w:r>
          </w:p>
        </w:tc>
        <w:tc>
          <w:tcPr>
            <w:tcW w:w="2173" w:type="dxa"/>
          </w:tcPr>
          <w:p w:rsidR="003E67DA" w:rsidRDefault="00645504">
            <w:pPr>
              <w:pStyle w:val="yTableNAm"/>
            </w:pPr>
            <w:r>
              <w:t>s. 48(3)</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7.</w:t>
            </w:r>
          </w:p>
        </w:tc>
        <w:tc>
          <w:tcPr>
            <w:tcW w:w="2173" w:type="dxa"/>
          </w:tcPr>
          <w:p w:rsidR="003E67DA" w:rsidRDefault="00645504">
            <w:pPr>
              <w:pStyle w:val="yTableNAm"/>
            </w:pPr>
            <w:r>
              <w:t>s. 68</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8.</w:t>
            </w:r>
          </w:p>
        </w:tc>
        <w:tc>
          <w:tcPr>
            <w:tcW w:w="2173" w:type="dxa"/>
          </w:tcPr>
          <w:p w:rsidR="003E67DA" w:rsidRDefault="00645504">
            <w:pPr>
              <w:pStyle w:val="yTableNAm"/>
            </w:pPr>
            <w:r>
              <w:t>s. 84</w:t>
            </w:r>
          </w:p>
        </w:tc>
        <w:tc>
          <w:tcPr>
            <w:tcW w:w="2032" w:type="dxa"/>
          </w:tcPr>
          <w:p w:rsidR="003E67DA" w:rsidRDefault="00645504">
            <w:pPr>
              <w:pStyle w:val="yTableNAm"/>
            </w:pPr>
            <w:r>
              <w:t>$150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9.</w:t>
            </w:r>
          </w:p>
        </w:tc>
        <w:tc>
          <w:tcPr>
            <w:tcW w:w="2173" w:type="dxa"/>
          </w:tcPr>
          <w:p w:rsidR="003E67DA" w:rsidRDefault="00645504">
            <w:pPr>
              <w:pStyle w:val="yTableNAm"/>
            </w:pPr>
            <w:r>
              <w:t>s. 90</w:t>
            </w:r>
          </w:p>
        </w:tc>
        <w:tc>
          <w:tcPr>
            <w:tcW w:w="2032" w:type="dxa"/>
          </w:tcPr>
          <w:p w:rsidR="003E67DA" w:rsidRDefault="00645504">
            <w:pPr>
              <w:pStyle w:val="yTableNAm"/>
            </w:pPr>
            <w:r>
              <w:t>$150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10.</w:t>
            </w:r>
          </w:p>
        </w:tc>
        <w:tc>
          <w:tcPr>
            <w:tcW w:w="2173" w:type="dxa"/>
          </w:tcPr>
          <w:p w:rsidR="003E67DA" w:rsidRDefault="00645504">
            <w:pPr>
              <w:pStyle w:val="yTableNAm"/>
            </w:pPr>
            <w:r>
              <w:t>s. 96(1)</w:t>
            </w:r>
          </w:p>
        </w:tc>
        <w:tc>
          <w:tcPr>
            <w:tcW w:w="2032" w:type="dxa"/>
          </w:tcPr>
          <w:p w:rsidR="003E67DA" w:rsidRDefault="00645504">
            <w:pPr>
              <w:pStyle w:val="yTableNAm"/>
            </w:pPr>
            <w:r>
              <w:t>$150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11.</w:t>
            </w:r>
          </w:p>
        </w:tc>
        <w:tc>
          <w:tcPr>
            <w:tcW w:w="2173" w:type="dxa"/>
          </w:tcPr>
          <w:p w:rsidR="003E67DA" w:rsidRDefault="00645504">
            <w:pPr>
              <w:pStyle w:val="yTableNAm"/>
            </w:pPr>
            <w:r>
              <w:t>s. 99(2)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12.</w:t>
            </w:r>
          </w:p>
        </w:tc>
        <w:tc>
          <w:tcPr>
            <w:tcW w:w="2173" w:type="dxa"/>
          </w:tcPr>
          <w:p w:rsidR="003E67DA" w:rsidRDefault="00645504">
            <w:pPr>
              <w:pStyle w:val="yTableNAm"/>
            </w:pPr>
            <w:r>
              <w:t>s. 106(1)</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13.</w:t>
            </w:r>
          </w:p>
        </w:tc>
        <w:tc>
          <w:tcPr>
            <w:tcW w:w="2173" w:type="dxa"/>
          </w:tcPr>
          <w:p w:rsidR="003E67DA" w:rsidRDefault="00645504">
            <w:pPr>
              <w:pStyle w:val="yTableNAm"/>
            </w:pPr>
            <w:r>
              <w:t>s. 106(2)</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14.</w:t>
            </w:r>
          </w:p>
        </w:tc>
        <w:tc>
          <w:tcPr>
            <w:tcW w:w="2173" w:type="dxa"/>
          </w:tcPr>
          <w:p w:rsidR="003E67DA" w:rsidRDefault="00645504">
            <w:pPr>
              <w:pStyle w:val="yTableNAm"/>
            </w:pPr>
            <w:r>
              <w:t>s. 106(3)</w:t>
            </w:r>
          </w:p>
        </w:tc>
        <w:tc>
          <w:tcPr>
            <w:tcW w:w="2032" w:type="dxa"/>
          </w:tcPr>
          <w:p w:rsidR="003E67DA" w:rsidRDefault="00645504">
            <w:pPr>
              <w:pStyle w:val="yTableNAm"/>
            </w:pPr>
            <w:r>
              <w:t>$500</w:t>
            </w:r>
          </w:p>
        </w:tc>
        <w:tc>
          <w:tcPr>
            <w:tcW w:w="2032" w:type="dxa"/>
          </w:tcPr>
          <w:p w:rsidR="003E67DA" w:rsidRDefault="00645504">
            <w:pPr>
              <w:pStyle w:val="yTableNAm"/>
            </w:pPr>
            <w:r>
              <w:noBreakHyphen/>
            </w:r>
          </w:p>
        </w:tc>
      </w:tr>
      <w:tr w:rsidR="003E67DA">
        <w:tc>
          <w:tcPr>
            <w:tcW w:w="851" w:type="dxa"/>
          </w:tcPr>
          <w:p w:rsidR="003E67DA" w:rsidRDefault="00645504">
            <w:pPr>
              <w:pStyle w:val="yTableNAm"/>
            </w:pPr>
            <w:r>
              <w:t>15.</w:t>
            </w:r>
          </w:p>
        </w:tc>
        <w:tc>
          <w:tcPr>
            <w:tcW w:w="2173" w:type="dxa"/>
          </w:tcPr>
          <w:p w:rsidR="003E67DA" w:rsidRDefault="00645504">
            <w:pPr>
              <w:pStyle w:val="yTableNAm"/>
            </w:pPr>
            <w:r>
              <w:t>s. 107(1)</w:t>
            </w:r>
          </w:p>
        </w:tc>
        <w:tc>
          <w:tcPr>
            <w:tcW w:w="2032" w:type="dxa"/>
          </w:tcPr>
          <w:p w:rsidR="003E67DA" w:rsidRDefault="00645504">
            <w:pPr>
              <w:pStyle w:val="yTableNAm"/>
            </w:pPr>
            <w:r>
              <w:t>$250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16.</w:t>
            </w:r>
          </w:p>
        </w:tc>
        <w:tc>
          <w:tcPr>
            <w:tcW w:w="2173" w:type="dxa"/>
          </w:tcPr>
          <w:p w:rsidR="003E67DA" w:rsidRDefault="00645504">
            <w:pPr>
              <w:pStyle w:val="yTableNAm"/>
            </w:pPr>
            <w:r>
              <w:t>s. 109(1)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17.</w:t>
            </w:r>
          </w:p>
        </w:tc>
        <w:tc>
          <w:tcPr>
            <w:tcW w:w="2173" w:type="dxa"/>
          </w:tcPr>
          <w:p w:rsidR="003E67DA" w:rsidRDefault="00645504">
            <w:pPr>
              <w:pStyle w:val="yTableNAm"/>
            </w:pPr>
            <w:r>
              <w:t>s. 113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bl>
    <w:p w:rsidR="003E67DA" w:rsidRDefault="003E67DA">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rsidR="003E67DA">
        <w:trPr>
          <w:tblHeader/>
        </w:trPr>
        <w:tc>
          <w:tcPr>
            <w:tcW w:w="851" w:type="dxa"/>
          </w:tcPr>
          <w:p w:rsidR="003E67DA" w:rsidRDefault="00645504">
            <w:pPr>
              <w:pStyle w:val="yTableNAm"/>
              <w:rPr>
                <w:b/>
              </w:rPr>
            </w:pPr>
            <w:r>
              <w:rPr>
                <w:b/>
              </w:rPr>
              <w:lastRenderedPageBreak/>
              <w:t>Item</w:t>
            </w:r>
          </w:p>
        </w:tc>
        <w:tc>
          <w:tcPr>
            <w:tcW w:w="2173" w:type="dxa"/>
          </w:tcPr>
          <w:p w:rsidR="003E67DA" w:rsidRDefault="00645504">
            <w:pPr>
              <w:pStyle w:val="yTableNAm"/>
              <w:rPr>
                <w:b/>
              </w:rPr>
            </w:pPr>
            <w:r>
              <w:rPr>
                <w:b/>
              </w:rPr>
              <w:t xml:space="preserve">Offence under </w:t>
            </w:r>
            <w:r>
              <w:rPr>
                <w:b/>
                <w:i/>
                <w:iCs/>
              </w:rPr>
              <w:t>Food Regulations 2009</w:t>
            </w:r>
          </w:p>
        </w:tc>
        <w:tc>
          <w:tcPr>
            <w:tcW w:w="2032" w:type="dxa"/>
          </w:tcPr>
          <w:p w:rsidR="003E67DA" w:rsidRDefault="00645504">
            <w:pPr>
              <w:pStyle w:val="yTableNAm"/>
              <w:rPr>
                <w:b/>
              </w:rPr>
            </w:pPr>
            <w:r>
              <w:rPr>
                <w:b/>
              </w:rPr>
              <w:t>Modified penalty (individual)</w:t>
            </w:r>
          </w:p>
        </w:tc>
        <w:tc>
          <w:tcPr>
            <w:tcW w:w="2032" w:type="dxa"/>
          </w:tcPr>
          <w:p w:rsidR="003E67DA" w:rsidRDefault="00645504">
            <w:pPr>
              <w:pStyle w:val="yTableNAm"/>
              <w:rPr>
                <w:b/>
              </w:rPr>
            </w:pPr>
            <w:r>
              <w:rPr>
                <w:b/>
              </w:rPr>
              <w:t>Modified penalty</w:t>
            </w:r>
            <w:r>
              <w:rPr>
                <w:b/>
              </w:rPr>
              <w:br/>
              <w:t>(body corporate)</w:t>
            </w:r>
          </w:p>
        </w:tc>
      </w:tr>
      <w:tr w:rsidR="003E67DA">
        <w:tc>
          <w:tcPr>
            <w:tcW w:w="851" w:type="dxa"/>
          </w:tcPr>
          <w:p w:rsidR="003E67DA" w:rsidRDefault="00645504">
            <w:pPr>
              <w:pStyle w:val="yTableNAm"/>
            </w:pPr>
            <w:r>
              <w:t>18.</w:t>
            </w:r>
          </w:p>
        </w:tc>
        <w:tc>
          <w:tcPr>
            <w:tcW w:w="2173" w:type="dxa"/>
          </w:tcPr>
          <w:p w:rsidR="003E67DA" w:rsidRDefault="00645504">
            <w:pPr>
              <w:pStyle w:val="yTableNAm"/>
            </w:pPr>
            <w:r>
              <w:t xml:space="preserve">r. 15(2)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19.</w:t>
            </w:r>
          </w:p>
        </w:tc>
        <w:tc>
          <w:tcPr>
            <w:tcW w:w="2173" w:type="dxa"/>
          </w:tcPr>
          <w:p w:rsidR="003E67DA" w:rsidRDefault="00645504">
            <w:pPr>
              <w:pStyle w:val="yTableNAm"/>
            </w:pPr>
            <w:r>
              <w:t>r. 16(2)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20.</w:t>
            </w:r>
          </w:p>
        </w:tc>
        <w:tc>
          <w:tcPr>
            <w:tcW w:w="2173" w:type="dxa"/>
          </w:tcPr>
          <w:p w:rsidR="003E67DA" w:rsidRDefault="00645504">
            <w:pPr>
              <w:pStyle w:val="yTableNAm"/>
            </w:pPr>
            <w:r>
              <w:t>r. 21(2)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21.</w:t>
            </w:r>
          </w:p>
        </w:tc>
        <w:tc>
          <w:tcPr>
            <w:tcW w:w="2173" w:type="dxa"/>
          </w:tcPr>
          <w:p w:rsidR="003E67DA" w:rsidRDefault="00645504">
            <w:pPr>
              <w:pStyle w:val="yTableNAm"/>
            </w:pPr>
            <w:r>
              <w:t>r. 21(4)</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22.</w:t>
            </w:r>
          </w:p>
        </w:tc>
        <w:tc>
          <w:tcPr>
            <w:tcW w:w="2173" w:type="dxa"/>
          </w:tcPr>
          <w:p w:rsidR="003E67DA" w:rsidRDefault="00645504">
            <w:pPr>
              <w:pStyle w:val="yTableNAm"/>
            </w:pPr>
            <w:r>
              <w:t>r. 22(1)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23</w:t>
            </w:r>
          </w:p>
        </w:tc>
        <w:tc>
          <w:tcPr>
            <w:tcW w:w="2173" w:type="dxa"/>
          </w:tcPr>
          <w:p w:rsidR="003E67DA" w:rsidRDefault="00645504">
            <w:pPr>
              <w:pStyle w:val="yTableNAm"/>
            </w:pPr>
            <w:r>
              <w:t>r. 23(1)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24.</w:t>
            </w:r>
          </w:p>
        </w:tc>
        <w:tc>
          <w:tcPr>
            <w:tcW w:w="2173" w:type="dxa"/>
          </w:tcPr>
          <w:p w:rsidR="003E67DA" w:rsidRDefault="00645504">
            <w:pPr>
              <w:pStyle w:val="yTableNAm"/>
            </w:pPr>
            <w:r>
              <w:t xml:space="preserve">r. 25(1)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25.</w:t>
            </w:r>
          </w:p>
        </w:tc>
        <w:tc>
          <w:tcPr>
            <w:tcW w:w="2173" w:type="dxa"/>
          </w:tcPr>
          <w:p w:rsidR="003E67DA" w:rsidRDefault="00645504">
            <w:pPr>
              <w:pStyle w:val="yTableNAm"/>
            </w:pPr>
            <w:r>
              <w:t>r. 25(2)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26.</w:t>
            </w:r>
          </w:p>
        </w:tc>
        <w:tc>
          <w:tcPr>
            <w:tcW w:w="2173" w:type="dxa"/>
          </w:tcPr>
          <w:p w:rsidR="003E67DA" w:rsidRDefault="00645504">
            <w:pPr>
              <w:pStyle w:val="yTableNAm"/>
            </w:pPr>
            <w:r>
              <w:t xml:space="preserve">r. 26(1)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27.</w:t>
            </w:r>
          </w:p>
        </w:tc>
        <w:tc>
          <w:tcPr>
            <w:tcW w:w="2173" w:type="dxa"/>
          </w:tcPr>
          <w:p w:rsidR="003E67DA" w:rsidRDefault="00645504">
            <w:pPr>
              <w:pStyle w:val="yTableNAm"/>
            </w:pPr>
            <w:r>
              <w:t>r. 26(3)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28.</w:t>
            </w:r>
          </w:p>
        </w:tc>
        <w:tc>
          <w:tcPr>
            <w:tcW w:w="2173" w:type="dxa"/>
          </w:tcPr>
          <w:p w:rsidR="003E67DA" w:rsidRDefault="00645504">
            <w:pPr>
              <w:pStyle w:val="yTableNAm"/>
            </w:pPr>
            <w:r>
              <w:t>r. 26(4)</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29.</w:t>
            </w:r>
          </w:p>
        </w:tc>
        <w:tc>
          <w:tcPr>
            <w:tcW w:w="2173" w:type="dxa"/>
          </w:tcPr>
          <w:p w:rsidR="003E67DA" w:rsidRDefault="00645504">
            <w:pPr>
              <w:pStyle w:val="yTableNAm"/>
            </w:pPr>
            <w:r>
              <w:t>r. 27(1)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30.</w:t>
            </w:r>
          </w:p>
        </w:tc>
        <w:tc>
          <w:tcPr>
            <w:tcW w:w="2173" w:type="dxa"/>
          </w:tcPr>
          <w:p w:rsidR="003E67DA" w:rsidRDefault="00645504">
            <w:pPr>
              <w:pStyle w:val="yTableNAm"/>
            </w:pPr>
            <w:r>
              <w:t>r. 30(1)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31.</w:t>
            </w:r>
          </w:p>
        </w:tc>
        <w:tc>
          <w:tcPr>
            <w:tcW w:w="2173" w:type="dxa"/>
          </w:tcPr>
          <w:p w:rsidR="003E67DA" w:rsidRDefault="00645504">
            <w:pPr>
              <w:pStyle w:val="yTableNAm"/>
            </w:pPr>
            <w:r>
              <w:t>r. 32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32.</w:t>
            </w:r>
          </w:p>
        </w:tc>
        <w:tc>
          <w:tcPr>
            <w:tcW w:w="2173" w:type="dxa"/>
          </w:tcPr>
          <w:p w:rsidR="003E67DA" w:rsidRDefault="00645504">
            <w:pPr>
              <w:pStyle w:val="yTableNAm"/>
            </w:pPr>
            <w:r>
              <w:t>r. 33(1)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33.</w:t>
            </w:r>
          </w:p>
        </w:tc>
        <w:tc>
          <w:tcPr>
            <w:tcW w:w="2173" w:type="dxa"/>
          </w:tcPr>
          <w:p w:rsidR="003E67DA" w:rsidRDefault="00645504">
            <w:pPr>
              <w:pStyle w:val="yTableNAm"/>
            </w:pPr>
            <w:r>
              <w:t>r. 33(2)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34.</w:t>
            </w:r>
          </w:p>
        </w:tc>
        <w:tc>
          <w:tcPr>
            <w:tcW w:w="2173" w:type="dxa"/>
          </w:tcPr>
          <w:p w:rsidR="003E67DA" w:rsidRDefault="00645504">
            <w:pPr>
              <w:pStyle w:val="yTableNAm"/>
            </w:pPr>
            <w:r>
              <w:t>r. 34</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35.</w:t>
            </w:r>
          </w:p>
        </w:tc>
        <w:tc>
          <w:tcPr>
            <w:tcW w:w="2173" w:type="dxa"/>
          </w:tcPr>
          <w:p w:rsidR="003E67DA" w:rsidRDefault="00645504">
            <w:pPr>
              <w:pStyle w:val="yTableNAm"/>
            </w:pPr>
            <w:r>
              <w:t>r. 35(1)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36.</w:t>
            </w:r>
          </w:p>
        </w:tc>
        <w:tc>
          <w:tcPr>
            <w:tcW w:w="2173" w:type="dxa"/>
          </w:tcPr>
          <w:p w:rsidR="003E67DA" w:rsidRDefault="00645504">
            <w:pPr>
              <w:pStyle w:val="yTableNAm"/>
            </w:pPr>
            <w:r>
              <w:t>r. 36(1)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37.</w:t>
            </w:r>
          </w:p>
        </w:tc>
        <w:tc>
          <w:tcPr>
            <w:tcW w:w="2173" w:type="dxa"/>
          </w:tcPr>
          <w:p w:rsidR="003E67DA" w:rsidRDefault="00645504">
            <w:pPr>
              <w:pStyle w:val="yTableNAm"/>
            </w:pPr>
            <w:r>
              <w:t>r. 37</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38.</w:t>
            </w:r>
          </w:p>
        </w:tc>
        <w:tc>
          <w:tcPr>
            <w:tcW w:w="2173" w:type="dxa"/>
          </w:tcPr>
          <w:p w:rsidR="003E67DA" w:rsidRDefault="00645504">
            <w:pPr>
              <w:pStyle w:val="yTableNAm"/>
            </w:pPr>
            <w:r>
              <w:t>r. 38</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39.</w:t>
            </w:r>
          </w:p>
        </w:tc>
        <w:tc>
          <w:tcPr>
            <w:tcW w:w="2173" w:type="dxa"/>
          </w:tcPr>
          <w:p w:rsidR="003E67DA" w:rsidRDefault="00645504">
            <w:pPr>
              <w:pStyle w:val="yTableNAm"/>
            </w:pPr>
            <w:r>
              <w:t xml:space="preserve">r. </w:t>
            </w:r>
            <w:r>
              <w:t>39(2)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40.</w:t>
            </w:r>
          </w:p>
        </w:tc>
        <w:tc>
          <w:tcPr>
            <w:tcW w:w="2173" w:type="dxa"/>
          </w:tcPr>
          <w:p w:rsidR="003E67DA" w:rsidRDefault="00645504">
            <w:pPr>
              <w:pStyle w:val="yTableNAm"/>
            </w:pPr>
            <w:r>
              <w:t>r. 40</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41.</w:t>
            </w:r>
          </w:p>
        </w:tc>
        <w:tc>
          <w:tcPr>
            <w:tcW w:w="2173" w:type="dxa"/>
          </w:tcPr>
          <w:p w:rsidR="003E67DA" w:rsidRDefault="00645504">
            <w:pPr>
              <w:pStyle w:val="yTableNAm"/>
            </w:pPr>
            <w:r>
              <w:t xml:space="preserve">r. 41(1)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42</w:t>
            </w:r>
          </w:p>
        </w:tc>
        <w:tc>
          <w:tcPr>
            <w:tcW w:w="2173" w:type="dxa"/>
          </w:tcPr>
          <w:p w:rsidR="003E67DA" w:rsidRDefault="00645504">
            <w:pPr>
              <w:pStyle w:val="yTableNAm"/>
            </w:pPr>
            <w:r>
              <w:t>r. 41(2)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43.</w:t>
            </w:r>
          </w:p>
        </w:tc>
        <w:tc>
          <w:tcPr>
            <w:tcW w:w="2173" w:type="dxa"/>
          </w:tcPr>
          <w:p w:rsidR="003E67DA" w:rsidRDefault="00645504">
            <w:pPr>
              <w:pStyle w:val="yTableNAm"/>
            </w:pPr>
            <w:r>
              <w:t>r. 46(1)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lastRenderedPageBreak/>
              <w:t>44.</w:t>
            </w:r>
          </w:p>
        </w:tc>
        <w:tc>
          <w:tcPr>
            <w:tcW w:w="2173" w:type="dxa"/>
          </w:tcPr>
          <w:p w:rsidR="003E67DA" w:rsidRDefault="00645504">
            <w:pPr>
              <w:pStyle w:val="yTableNAm"/>
            </w:pPr>
            <w:r>
              <w:t>r. 46(2)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45.</w:t>
            </w:r>
          </w:p>
        </w:tc>
        <w:tc>
          <w:tcPr>
            <w:tcW w:w="2173" w:type="dxa"/>
          </w:tcPr>
          <w:p w:rsidR="003E67DA" w:rsidRDefault="00645504">
            <w:pPr>
              <w:pStyle w:val="yTableNAm"/>
            </w:pPr>
            <w:r>
              <w:t>r. 47(1)</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46.</w:t>
            </w:r>
          </w:p>
        </w:tc>
        <w:tc>
          <w:tcPr>
            <w:tcW w:w="2173" w:type="dxa"/>
          </w:tcPr>
          <w:p w:rsidR="003E67DA" w:rsidRDefault="00645504">
            <w:pPr>
              <w:pStyle w:val="yTableNAm"/>
            </w:pPr>
            <w:r>
              <w:t>r. 47(3)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47.</w:t>
            </w:r>
          </w:p>
        </w:tc>
        <w:tc>
          <w:tcPr>
            <w:tcW w:w="2173" w:type="dxa"/>
          </w:tcPr>
          <w:p w:rsidR="003E67DA" w:rsidRDefault="00645504">
            <w:pPr>
              <w:pStyle w:val="yTableNAm"/>
            </w:pPr>
            <w:r>
              <w:t xml:space="preserve">r. 48(1)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48.</w:t>
            </w:r>
          </w:p>
        </w:tc>
        <w:tc>
          <w:tcPr>
            <w:tcW w:w="2173" w:type="dxa"/>
          </w:tcPr>
          <w:p w:rsidR="003E67DA" w:rsidRDefault="00645504">
            <w:pPr>
              <w:pStyle w:val="yTableNAm"/>
            </w:pPr>
            <w:r>
              <w:t>r. 48(2)</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49.</w:t>
            </w:r>
          </w:p>
        </w:tc>
        <w:tc>
          <w:tcPr>
            <w:tcW w:w="2173" w:type="dxa"/>
          </w:tcPr>
          <w:p w:rsidR="003E67DA" w:rsidRDefault="00645504">
            <w:pPr>
              <w:pStyle w:val="yTableNAm"/>
            </w:pPr>
            <w:r>
              <w:t xml:space="preserve">r. 49(2) </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50.</w:t>
            </w:r>
          </w:p>
        </w:tc>
        <w:tc>
          <w:tcPr>
            <w:tcW w:w="2173" w:type="dxa"/>
          </w:tcPr>
          <w:p w:rsidR="003E67DA" w:rsidRDefault="00645504">
            <w:pPr>
              <w:pStyle w:val="yTableNAm"/>
            </w:pPr>
            <w:r>
              <w:t>r. 49(3)</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r w:rsidR="003E67DA">
        <w:tc>
          <w:tcPr>
            <w:tcW w:w="851" w:type="dxa"/>
          </w:tcPr>
          <w:p w:rsidR="003E67DA" w:rsidRDefault="00645504">
            <w:pPr>
              <w:pStyle w:val="yTableNAm"/>
            </w:pPr>
            <w:r>
              <w:t>51.</w:t>
            </w:r>
          </w:p>
        </w:tc>
        <w:tc>
          <w:tcPr>
            <w:tcW w:w="2173" w:type="dxa"/>
          </w:tcPr>
          <w:p w:rsidR="003E67DA" w:rsidRDefault="00645504">
            <w:pPr>
              <w:pStyle w:val="yTableNAm"/>
            </w:pPr>
            <w:r>
              <w:t>r. 50</w:t>
            </w:r>
          </w:p>
        </w:tc>
        <w:tc>
          <w:tcPr>
            <w:tcW w:w="2032" w:type="dxa"/>
          </w:tcPr>
          <w:p w:rsidR="003E67DA" w:rsidRDefault="00645504">
            <w:pPr>
              <w:pStyle w:val="yTableNAm"/>
            </w:pPr>
            <w:r>
              <w:t>$500</w:t>
            </w:r>
          </w:p>
        </w:tc>
        <w:tc>
          <w:tcPr>
            <w:tcW w:w="2032" w:type="dxa"/>
          </w:tcPr>
          <w:p w:rsidR="003E67DA" w:rsidRDefault="00645504">
            <w:pPr>
              <w:pStyle w:val="yTableNAm"/>
            </w:pPr>
            <w:r>
              <w:t>$1 000</w:t>
            </w:r>
          </w:p>
        </w:tc>
      </w:tr>
    </w:tbl>
    <w:p w:rsidR="003E67DA" w:rsidRDefault="00645504">
      <w:pPr>
        <w:pStyle w:val="yFootnotesection"/>
      </w:pPr>
      <w:r>
        <w:tab/>
        <w:t>[Schedule 3 amended: Gazette 20 Apr 2012 p. 1697</w:t>
      </w:r>
      <w:r>
        <w:noBreakHyphen/>
        <w:t>8.]</w:t>
      </w:r>
    </w:p>
    <w:p w:rsidR="003E67DA" w:rsidRDefault="00645504">
      <w:pPr>
        <w:pStyle w:val="yScheduleHeading"/>
      </w:pPr>
      <w:bookmarkStart w:id="124" w:name="_Toc68693341"/>
      <w:bookmarkStart w:id="125" w:name="_Toc68696965"/>
      <w:bookmarkStart w:id="126" w:name="_Toc68767526"/>
      <w:r>
        <w:rPr>
          <w:rStyle w:val="CharSchNo"/>
        </w:rPr>
        <w:lastRenderedPageBreak/>
        <w:t>Schedule 4</w:t>
      </w:r>
      <w:r>
        <w:rPr>
          <w:rStyle w:val="CharSDivNo"/>
        </w:rPr>
        <w:t> </w:t>
      </w:r>
      <w:r>
        <w:t>—</w:t>
      </w:r>
      <w:r>
        <w:rPr>
          <w:rStyle w:val="CharSDivText"/>
        </w:rPr>
        <w:t> </w:t>
      </w:r>
      <w:r>
        <w:rPr>
          <w:rStyle w:val="CharSchText"/>
        </w:rPr>
        <w:t>Infringement notice</w:t>
      </w:r>
      <w:bookmarkEnd w:id="124"/>
      <w:bookmarkEnd w:id="125"/>
      <w:bookmarkEnd w:id="126"/>
    </w:p>
    <w:p w:rsidR="003E67DA" w:rsidRDefault="00645504">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rsidR="003E67DA">
        <w:trPr>
          <w:cantSplit/>
          <w:trHeight w:val="282"/>
        </w:trPr>
        <w:tc>
          <w:tcPr>
            <w:tcW w:w="5245" w:type="dxa"/>
            <w:gridSpan w:val="4"/>
          </w:tcPr>
          <w:p w:rsidR="003E67DA" w:rsidRDefault="00645504">
            <w:pPr>
              <w:pStyle w:val="yTableNAm"/>
              <w:spacing w:before="60"/>
              <w:rPr>
                <w:i/>
                <w:sz w:val="20"/>
              </w:rPr>
            </w:pPr>
            <w:r>
              <w:rPr>
                <w:i/>
                <w:sz w:val="20"/>
              </w:rPr>
              <w:t>Food Act 2008 s. 126(3) and Food Regulations 2009 r. </w:t>
            </w:r>
            <w:r>
              <w:rPr>
                <w:i/>
                <w:iCs/>
                <w:sz w:val="20"/>
              </w:rPr>
              <w:t>54(1)</w:t>
            </w:r>
          </w:p>
          <w:p w:rsidR="003E67DA" w:rsidRDefault="00645504">
            <w:pPr>
              <w:pStyle w:val="yTableNAm"/>
              <w:spacing w:before="60" w:after="20"/>
              <w:rPr>
                <w:b/>
                <w:szCs w:val="22"/>
              </w:rPr>
            </w:pPr>
            <w:r>
              <w:rPr>
                <w:b/>
                <w:szCs w:val="22"/>
              </w:rPr>
              <w:t>Infringement Notice</w:t>
            </w:r>
          </w:p>
        </w:tc>
        <w:tc>
          <w:tcPr>
            <w:tcW w:w="1843" w:type="dxa"/>
            <w:gridSpan w:val="2"/>
            <w:tcBorders>
              <w:bottom w:val="single" w:sz="4" w:space="0" w:color="auto"/>
            </w:tcBorders>
          </w:tcPr>
          <w:p w:rsidR="003E67DA" w:rsidRDefault="00645504">
            <w:pPr>
              <w:pStyle w:val="yTableNAm"/>
              <w:spacing w:before="60"/>
              <w:rPr>
                <w:sz w:val="20"/>
              </w:rPr>
            </w:pPr>
            <w:r>
              <w:rPr>
                <w:sz w:val="20"/>
              </w:rPr>
              <w:t xml:space="preserve">Notice </w:t>
            </w:r>
            <w:r>
              <w:rPr>
                <w:sz w:val="20"/>
              </w:rPr>
              <w:t>No.</w:t>
            </w:r>
          </w:p>
        </w:tc>
      </w:tr>
      <w:tr w:rsidR="003E67DA">
        <w:trPr>
          <w:cantSplit/>
        </w:trPr>
        <w:tc>
          <w:tcPr>
            <w:tcW w:w="1560" w:type="dxa"/>
            <w:vMerge w:val="restart"/>
          </w:tcPr>
          <w:p w:rsidR="003E67DA" w:rsidRDefault="00645504">
            <w:pPr>
              <w:pStyle w:val="yTableNAm"/>
              <w:spacing w:before="60"/>
              <w:rPr>
                <w:b/>
                <w:sz w:val="20"/>
              </w:rPr>
            </w:pPr>
            <w:r>
              <w:rPr>
                <w:b/>
                <w:sz w:val="20"/>
              </w:rPr>
              <w:t>Alleged offender</w:t>
            </w:r>
          </w:p>
        </w:tc>
        <w:tc>
          <w:tcPr>
            <w:tcW w:w="5528" w:type="dxa"/>
            <w:gridSpan w:val="5"/>
          </w:tcPr>
          <w:p w:rsidR="003E67DA" w:rsidRDefault="00645504">
            <w:pPr>
              <w:pStyle w:val="yTableNAm"/>
              <w:spacing w:before="60"/>
              <w:rPr>
                <w:sz w:val="20"/>
              </w:rPr>
            </w:pPr>
            <w:r>
              <w:rPr>
                <w:sz w:val="20"/>
              </w:rPr>
              <w:t>Family name or</w:t>
            </w:r>
            <w:r>
              <w:rPr>
                <w:sz w:val="20"/>
              </w:rPr>
              <w:br/>
              <w:t>body corporate name and ACN</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Other names</w:t>
            </w:r>
          </w:p>
        </w:tc>
      </w:tr>
      <w:tr w:rsidR="003E67DA">
        <w:trPr>
          <w:cantSplit/>
          <w:trHeight w:val="282"/>
        </w:trPr>
        <w:tc>
          <w:tcPr>
            <w:tcW w:w="1560" w:type="dxa"/>
            <w:vMerge/>
          </w:tcPr>
          <w:p w:rsidR="003E67DA" w:rsidRDefault="003E67DA">
            <w:pPr>
              <w:pStyle w:val="yTableNAm"/>
              <w:spacing w:before="60"/>
              <w:rPr>
                <w:sz w:val="20"/>
              </w:rPr>
            </w:pPr>
          </w:p>
        </w:tc>
        <w:tc>
          <w:tcPr>
            <w:tcW w:w="992" w:type="dxa"/>
            <w:vMerge w:val="restart"/>
            <w:tcBorders>
              <w:bottom w:val="nil"/>
            </w:tcBorders>
          </w:tcPr>
          <w:p w:rsidR="003E67DA" w:rsidRDefault="00645504">
            <w:pPr>
              <w:pStyle w:val="yTableNAm"/>
              <w:spacing w:before="60"/>
              <w:rPr>
                <w:sz w:val="20"/>
              </w:rPr>
            </w:pPr>
            <w:r>
              <w:rPr>
                <w:sz w:val="20"/>
              </w:rPr>
              <w:t>Address</w:t>
            </w:r>
          </w:p>
        </w:tc>
        <w:tc>
          <w:tcPr>
            <w:tcW w:w="850" w:type="dxa"/>
            <w:tcBorders>
              <w:bottom w:val="single" w:sz="4" w:space="0" w:color="auto"/>
            </w:tcBorders>
          </w:tcPr>
          <w:p w:rsidR="003E67DA" w:rsidRDefault="00645504">
            <w:pPr>
              <w:pStyle w:val="yTableNAm"/>
              <w:spacing w:before="60"/>
              <w:rPr>
                <w:sz w:val="20"/>
              </w:rPr>
            </w:pPr>
            <w:r>
              <w:rPr>
                <w:sz w:val="20"/>
              </w:rPr>
              <w:t>No.</w:t>
            </w:r>
          </w:p>
        </w:tc>
        <w:tc>
          <w:tcPr>
            <w:tcW w:w="3686" w:type="dxa"/>
            <w:gridSpan w:val="3"/>
            <w:tcBorders>
              <w:bottom w:val="single" w:sz="4" w:space="0" w:color="auto"/>
            </w:tcBorders>
          </w:tcPr>
          <w:p w:rsidR="003E67DA" w:rsidRDefault="00645504">
            <w:pPr>
              <w:pStyle w:val="yTableNAm"/>
              <w:spacing w:before="60"/>
              <w:rPr>
                <w:sz w:val="20"/>
              </w:rPr>
            </w:pPr>
            <w:r>
              <w:rPr>
                <w:sz w:val="20"/>
              </w:rPr>
              <w:t>Street name</w:t>
            </w:r>
          </w:p>
        </w:tc>
      </w:tr>
      <w:tr w:rsidR="003E67DA">
        <w:trPr>
          <w:cantSplit/>
          <w:trHeight w:val="282"/>
        </w:trPr>
        <w:tc>
          <w:tcPr>
            <w:tcW w:w="1560" w:type="dxa"/>
            <w:vMerge/>
          </w:tcPr>
          <w:p w:rsidR="003E67DA" w:rsidRDefault="003E67DA">
            <w:pPr>
              <w:pStyle w:val="yTableNAm"/>
              <w:spacing w:before="60"/>
              <w:rPr>
                <w:sz w:val="20"/>
              </w:rPr>
            </w:pPr>
          </w:p>
        </w:tc>
        <w:tc>
          <w:tcPr>
            <w:tcW w:w="992" w:type="dxa"/>
            <w:vMerge/>
            <w:tcBorders>
              <w:bottom w:val="single" w:sz="4" w:space="0" w:color="auto"/>
            </w:tcBorders>
          </w:tcPr>
          <w:p w:rsidR="003E67DA" w:rsidRDefault="003E67DA">
            <w:pPr>
              <w:pStyle w:val="yTableNAm"/>
              <w:spacing w:before="60"/>
              <w:rPr>
                <w:sz w:val="20"/>
              </w:rPr>
            </w:pPr>
          </w:p>
        </w:tc>
        <w:tc>
          <w:tcPr>
            <w:tcW w:w="2835" w:type="dxa"/>
            <w:gridSpan w:val="3"/>
            <w:tcBorders>
              <w:bottom w:val="single" w:sz="4" w:space="0" w:color="auto"/>
            </w:tcBorders>
          </w:tcPr>
          <w:p w:rsidR="003E67DA" w:rsidRDefault="003E67DA">
            <w:pPr>
              <w:pStyle w:val="yTableNAm"/>
              <w:spacing w:before="60"/>
              <w:rPr>
                <w:sz w:val="20"/>
              </w:rPr>
            </w:pPr>
          </w:p>
        </w:tc>
        <w:tc>
          <w:tcPr>
            <w:tcW w:w="1701" w:type="dxa"/>
            <w:tcBorders>
              <w:bottom w:val="single" w:sz="4" w:space="0" w:color="auto"/>
            </w:tcBorders>
          </w:tcPr>
          <w:p w:rsidR="003E67DA" w:rsidRDefault="00645504">
            <w:pPr>
              <w:pStyle w:val="yTableNAm"/>
              <w:spacing w:before="60"/>
              <w:rPr>
                <w:sz w:val="20"/>
              </w:rPr>
            </w:pPr>
            <w:r>
              <w:rPr>
                <w:sz w:val="20"/>
              </w:rPr>
              <w:t>Postcode</w:t>
            </w:r>
          </w:p>
        </w:tc>
      </w:tr>
      <w:tr w:rsidR="003E67DA">
        <w:trPr>
          <w:cantSplit/>
        </w:trPr>
        <w:tc>
          <w:tcPr>
            <w:tcW w:w="1560" w:type="dxa"/>
            <w:vMerge w:val="restart"/>
          </w:tcPr>
          <w:p w:rsidR="003E67DA" w:rsidRDefault="00645504">
            <w:pPr>
              <w:pStyle w:val="yTableNAm"/>
              <w:spacing w:before="60"/>
              <w:rPr>
                <w:b/>
                <w:sz w:val="20"/>
              </w:rPr>
            </w:pPr>
            <w:r>
              <w:rPr>
                <w:b/>
                <w:sz w:val="20"/>
              </w:rPr>
              <w:t>Alleged offence</w:t>
            </w:r>
          </w:p>
          <w:p w:rsidR="003E67DA" w:rsidRDefault="003E67DA">
            <w:pPr>
              <w:pStyle w:val="yTableNAm"/>
              <w:spacing w:before="60"/>
              <w:rPr>
                <w:sz w:val="20"/>
              </w:rPr>
            </w:pPr>
          </w:p>
          <w:p w:rsidR="003E67DA" w:rsidRDefault="00645504">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rsidR="003E67DA" w:rsidRDefault="00645504">
            <w:pPr>
              <w:pStyle w:val="yTableNAm"/>
              <w:spacing w:before="60"/>
              <w:rPr>
                <w:sz w:val="20"/>
              </w:rPr>
            </w:pPr>
            <w:r>
              <w:rPr>
                <w:sz w:val="20"/>
              </w:rPr>
              <w:t>Description of offence</w:t>
            </w:r>
          </w:p>
          <w:p w:rsidR="003E67DA" w:rsidRDefault="003E67DA">
            <w:pPr>
              <w:pStyle w:val="yTableNAm"/>
              <w:spacing w:before="60"/>
              <w:rPr>
                <w:sz w:val="20"/>
              </w:rPr>
            </w:pP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w:t>
            </w:r>
            <w:r>
              <w:rPr>
                <w:i/>
                <w:iCs/>
                <w:sz w:val="20"/>
              </w:rPr>
              <w:t>Food Act 2008</w:t>
            </w:r>
            <w:r>
              <w:rPr>
                <w:sz w:val="20"/>
              </w:rPr>
              <w:t xml:space="preserve"> s. ________</w:t>
            </w:r>
          </w:p>
          <w:p w:rsidR="003E67DA" w:rsidRDefault="00645504">
            <w:pPr>
              <w:pStyle w:val="yTableNAm"/>
              <w:spacing w:before="60"/>
              <w:rPr>
                <w:sz w:val="20"/>
              </w:rPr>
            </w:pPr>
            <w:r>
              <w:rPr>
                <w:sz w:val="20"/>
              </w:rPr>
              <w:t>*</w:t>
            </w:r>
            <w:r>
              <w:rPr>
                <w:i/>
                <w:iCs/>
                <w:sz w:val="20"/>
              </w:rPr>
              <w:t>Food Regulations 2009</w:t>
            </w:r>
            <w:r>
              <w:rPr>
                <w:sz w:val="20"/>
              </w:rPr>
              <w:t xml:space="preserve"> r. ________</w:t>
            </w:r>
          </w:p>
          <w:p w:rsidR="003E67DA" w:rsidRDefault="00645504">
            <w:pPr>
              <w:pStyle w:val="yTableNAm"/>
              <w:spacing w:before="60"/>
              <w:rPr>
                <w:sz w:val="20"/>
              </w:rPr>
            </w:pPr>
            <w:r>
              <w:rPr>
                <w:sz w:val="20"/>
              </w:rPr>
              <w:t>The modified penalty for the offence is $</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Where and when offence committed</w:t>
            </w:r>
          </w:p>
          <w:p w:rsidR="003E67DA" w:rsidRDefault="003E67DA">
            <w:pPr>
              <w:pStyle w:val="yTableNAm"/>
              <w:spacing w:before="60"/>
              <w:rPr>
                <w:sz w:val="20"/>
              </w:rPr>
            </w:pPr>
          </w:p>
        </w:tc>
      </w:tr>
      <w:tr w:rsidR="003E67DA">
        <w:trPr>
          <w:cantSplit/>
        </w:trPr>
        <w:tc>
          <w:tcPr>
            <w:tcW w:w="1560" w:type="dxa"/>
            <w:vMerge w:val="restart"/>
          </w:tcPr>
          <w:p w:rsidR="003E67DA" w:rsidRDefault="00645504">
            <w:pPr>
              <w:pStyle w:val="yTableNAm"/>
              <w:spacing w:before="60"/>
              <w:rPr>
                <w:b/>
                <w:sz w:val="20"/>
              </w:rPr>
            </w:pPr>
            <w:r>
              <w:rPr>
                <w:b/>
                <w:sz w:val="20"/>
              </w:rPr>
              <w:t>Designated officer issuing notice</w:t>
            </w:r>
          </w:p>
        </w:tc>
        <w:tc>
          <w:tcPr>
            <w:tcW w:w="5528" w:type="dxa"/>
            <w:gridSpan w:val="5"/>
          </w:tcPr>
          <w:p w:rsidR="003E67DA" w:rsidRDefault="00645504">
            <w:pPr>
              <w:pStyle w:val="yTableNAm"/>
              <w:spacing w:before="60"/>
              <w:rPr>
                <w:sz w:val="20"/>
              </w:rPr>
            </w:pPr>
            <w:r>
              <w:rPr>
                <w:sz w:val="20"/>
              </w:rPr>
              <w:t>Name and title of officer and</w:t>
            </w:r>
            <w:r>
              <w:rPr>
                <w:sz w:val="20"/>
              </w:rPr>
              <w:br/>
              <w:t>name of enforcement agency</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Signature</w:t>
            </w:r>
          </w:p>
        </w:tc>
      </w:tr>
      <w:tr w:rsidR="003E67DA">
        <w:trPr>
          <w:cantSplit/>
        </w:trPr>
        <w:tc>
          <w:tcPr>
            <w:tcW w:w="1560" w:type="dxa"/>
            <w:vMerge/>
            <w:tcBorders>
              <w:bottom w:val="single" w:sz="4" w:space="0" w:color="auto"/>
            </w:tcBorders>
          </w:tcPr>
          <w:p w:rsidR="003E67DA" w:rsidRDefault="003E67DA">
            <w:pPr>
              <w:pStyle w:val="yTableNAm"/>
              <w:spacing w:before="60"/>
              <w:rPr>
                <w:sz w:val="20"/>
              </w:rPr>
            </w:pPr>
          </w:p>
        </w:tc>
        <w:tc>
          <w:tcPr>
            <w:tcW w:w="5528" w:type="dxa"/>
            <w:gridSpan w:val="5"/>
            <w:tcBorders>
              <w:bottom w:val="single" w:sz="4" w:space="0" w:color="auto"/>
            </w:tcBorders>
          </w:tcPr>
          <w:p w:rsidR="003E67DA" w:rsidRDefault="00645504">
            <w:pPr>
              <w:pStyle w:val="yTableNAm"/>
              <w:spacing w:before="60"/>
              <w:rPr>
                <w:sz w:val="20"/>
              </w:rPr>
            </w:pPr>
            <w:r>
              <w:rPr>
                <w:sz w:val="20"/>
              </w:rPr>
              <w:t>Date of notice</w:t>
            </w:r>
          </w:p>
        </w:tc>
      </w:tr>
      <w:tr w:rsidR="003E67DA">
        <w:trPr>
          <w:cantSplit/>
        </w:trPr>
        <w:tc>
          <w:tcPr>
            <w:tcW w:w="1560" w:type="dxa"/>
            <w:tcBorders>
              <w:bottom w:val="nil"/>
            </w:tcBorders>
          </w:tcPr>
          <w:p w:rsidR="003E67DA" w:rsidRDefault="00645504">
            <w:pPr>
              <w:pStyle w:val="yTableNAm"/>
              <w:spacing w:before="60"/>
              <w:rPr>
                <w:b/>
                <w:sz w:val="20"/>
              </w:rPr>
            </w:pPr>
            <w:r>
              <w:rPr>
                <w:b/>
                <w:sz w:val="20"/>
              </w:rPr>
              <w:t>Notice to alleged offender</w:t>
            </w:r>
          </w:p>
        </w:tc>
        <w:tc>
          <w:tcPr>
            <w:tcW w:w="5528" w:type="dxa"/>
            <w:gridSpan w:val="5"/>
            <w:tcBorders>
              <w:bottom w:val="nil"/>
            </w:tcBorders>
          </w:tcPr>
          <w:p w:rsidR="003E67DA" w:rsidRDefault="00645504">
            <w:pPr>
              <w:pStyle w:val="yTableNAm"/>
              <w:spacing w:before="60"/>
              <w:rPr>
                <w:sz w:val="20"/>
              </w:rPr>
            </w:pPr>
            <w:r>
              <w:rPr>
                <w:sz w:val="20"/>
              </w:rPr>
              <w:t xml:space="preserve">It is alleged </w:t>
            </w:r>
            <w:r>
              <w:rPr>
                <w:sz w:val="20"/>
              </w:rPr>
              <w:t>that you have committed the above offence.</w:t>
            </w:r>
          </w:p>
          <w:p w:rsidR="003E67DA" w:rsidRDefault="00645504">
            <w:pPr>
              <w:pStyle w:val="yTableNAm"/>
              <w:spacing w:before="60"/>
              <w:rPr>
                <w:sz w:val="20"/>
              </w:rPr>
            </w:pPr>
            <w:r>
              <w:rPr>
                <w:sz w:val="20"/>
              </w:rPr>
              <w:t>If you do not wish to be prosecuted for the alleged offence in a court, you may pay the modified penalty within 28 days after the date of this notice.</w:t>
            </w:r>
          </w:p>
        </w:tc>
      </w:tr>
      <w:tr w:rsidR="003E67DA">
        <w:trPr>
          <w:cantSplit/>
        </w:trPr>
        <w:tc>
          <w:tcPr>
            <w:tcW w:w="1560" w:type="dxa"/>
            <w:tcBorders>
              <w:top w:val="nil"/>
              <w:bottom w:val="nil"/>
            </w:tcBorders>
          </w:tcPr>
          <w:p w:rsidR="003E67DA" w:rsidRDefault="003E67DA">
            <w:pPr>
              <w:pStyle w:val="yTableNAm"/>
              <w:spacing w:before="60"/>
              <w:rPr>
                <w:b/>
                <w:sz w:val="20"/>
              </w:rPr>
            </w:pPr>
          </w:p>
        </w:tc>
        <w:tc>
          <w:tcPr>
            <w:tcW w:w="5528" w:type="dxa"/>
            <w:gridSpan w:val="5"/>
            <w:tcBorders>
              <w:top w:val="nil"/>
              <w:bottom w:val="nil"/>
            </w:tcBorders>
          </w:tcPr>
          <w:p w:rsidR="003E67DA" w:rsidRDefault="00645504">
            <w:pPr>
              <w:pStyle w:val="yTableNAm"/>
              <w:spacing w:before="60"/>
              <w:rPr>
                <w:b/>
                <w:bCs/>
                <w:sz w:val="20"/>
              </w:rPr>
            </w:pPr>
            <w:r>
              <w:rPr>
                <w:b/>
                <w:bCs/>
                <w:sz w:val="20"/>
              </w:rPr>
              <w:t>How to pay</w:t>
            </w:r>
          </w:p>
          <w:p w:rsidR="003E67DA" w:rsidRDefault="00645504">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w:t>
            </w:r>
            <w:r>
              <w:rPr>
                <w:sz w:val="20"/>
              </w:rPr>
              <w:t xml:space="preserve"> and a cheque or money order payable to [</w:t>
            </w:r>
            <w:r>
              <w:rPr>
                <w:i/>
                <w:iCs/>
                <w:sz w:val="20"/>
              </w:rPr>
              <w:t>relevant details</w:t>
            </w:r>
            <w:r>
              <w:rPr>
                <w:sz w:val="20"/>
              </w:rPr>
              <w:t>] to [</w:t>
            </w:r>
            <w:r>
              <w:rPr>
                <w:i/>
                <w:iCs/>
                <w:sz w:val="20"/>
              </w:rPr>
              <w:t>details of relevant enforcement agency</w:t>
            </w:r>
            <w:r>
              <w:rPr>
                <w:sz w:val="20"/>
              </w:rPr>
              <w:t>].</w:t>
            </w:r>
          </w:p>
          <w:p w:rsidR="003E67DA" w:rsidRDefault="00645504">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rsidR="003E67DA">
        <w:trPr>
          <w:cantSplit/>
        </w:trPr>
        <w:tc>
          <w:tcPr>
            <w:tcW w:w="1560" w:type="dxa"/>
            <w:tcBorders>
              <w:top w:val="nil"/>
              <w:bottom w:val="nil"/>
            </w:tcBorders>
          </w:tcPr>
          <w:p w:rsidR="003E67DA" w:rsidRDefault="003E67DA">
            <w:pPr>
              <w:pStyle w:val="yTableNAm"/>
              <w:spacing w:before="60"/>
              <w:rPr>
                <w:b/>
                <w:sz w:val="20"/>
              </w:rPr>
            </w:pPr>
          </w:p>
        </w:tc>
        <w:tc>
          <w:tcPr>
            <w:tcW w:w="5528" w:type="dxa"/>
            <w:gridSpan w:val="5"/>
            <w:tcBorders>
              <w:top w:val="nil"/>
              <w:bottom w:val="nil"/>
            </w:tcBorders>
          </w:tcPr>
          <w:p w:rsidR="003E67DA" w:rsidRDefault="00645504">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w:t>
            </w:r>
            <w:r>
              <w:rPr>
                <w:sz w:val="20"/>
              </w:rPr>
              <w:t xml:space="preserve"> may be taken — </w:t>
            </w:r>
            <w:r>
              <w:rPr>
                <w:sz w:val="20"/>
                <w:szCs w:val="22"/>
              </w:rPr>
              <w:t>your driver’s licence may be suspended, your vehicle licence may be suspended or cancelled, you may be disqualified from holding or obtaining a driver’s licence or vehicle licence, your vehicle may be immobilised or have its number plates r</w:t>
            </w:r>
            <w:r>
              <w:rPr>
                <w:sz w:val="20"/>
                <w:szCs w:val="22"/>
              </w:rPr>
              <w:t>emoved, your details may be published on a website, your earnings or bank accounts may be garnished, and your property may be seized and sold.</w:t>
            </w:r>
          </w:p>
        </w:tc>
      </w:tr>
      <w:tr w:rsidR="003E67DA">
        <w:trPr>
          <w:cantSplit/>
        </w:trPr>
        <w:tc>
          <w:tcPr>
            <w:tcW w:w="1560" w:type="dxa"/>
            <w:tcBorders>
              <w:top w:val="nil"/>
              <w:bottom w:val="nil"/>
            </w:tcBorders>
          </w:tcPr>
          <w:p w:rsidR="003E67DA" w:rsidRDefault="003E67DA">
            <w:pPr>
              <w:pStyle w:val="yTableNAm"/>
              <w:spacing w:before="60"/>
              <w:rPr>
                <w:b/>
                <w:sz w:val="20"/>
              </w:rPr>
            </w:pPr>
          </w:p>
        </w:tc>
        <w:tc>
          <w:tcPr>
            <w:tcW w:w="5528" w:type="dxa"/>
            <w:gridSpan w:val="5"/>
            <w:tcBorders>
              <w:top w:val="nil"/>
              <w:bottom w:val="nil"/>
            </w:tcBorders>
          </w:tcPr>
          <w:p w:rsidR="003E67DA" w:rsidRDefault="00645504">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w:t>
            </w:r>
            <w:r>
              <w:rPr>
                <w:i/>
                <w:iCs/>
                <w:sz w:val="20"/>
              </w:rPr>
              <w:t>s of relevant enforcement agency</w:t>
            </w:r>
            <w:r>
              <w:rPr>
                <w:sz w:val="20"/>
              </w:rPr>
              <w:t>].</w:t>
            </w:r>
          </w:p>
        </w:tc>
      </w:tr>
      <w:tr w:rsidR="003E67DA">
        <w:trPr>
          <w:cantSplit/>
        </w:trPr>
        <w:tc>
          <w:tcPr>
            <w:tcW w:w="1560" w:type="dxa"/>
            <w:tcBorders>
              <w:top w:val="nil"/>
              <w:bottom w:val="single" w:sz="4" w:space="0" w:color="auto"/>
            </w:tcBorders>
          </w:tcPr>
          <w:p w:rsidR="003E67DA" w:rsidRDefault="003E67DA">
            <w:pPr>
              <w:pStyle w:val="yTableNAm"/>
              <w:spacing w:before="60"/>
              <w:rPr>
                <w:b/>
                <w:sz w:val="20"/>
              </w:rPr>
            </w:pPr>
          </w:p>
        </w:tc>
        <w:tc>
          <w:tcPr>
            <w:tcW w:w="5528" w:type="dxa"/>
            <w:gridSpan w:val="5"/>
            <w:tcBorders>
              <w:top w:val="nil"/>
              <w:bottom w:val="single" w:sz="4" w:space="0" w:color="auto"/>
            </w:tcBorders>
          </w:tcPr>
          <w:p w:rsidR="003E67DA" w:rsidRDefault="00645504">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w:t>
            </w:r>
            <w:r>
              <w:rPr>
                <w:sz w:val="20"/>
              </w:rPr>
              <w:t>ithin 28 days after the date of this notice.</w:t>
            </w:r>
          </w:p>
        </w:tc>
      </w:tr>
    </w:tbl>
    <w:p w:rsidR="003E67DA" w:rsidRDefault="00645504">
      <w:pPr>
        <w:pStyle w:val="yFootnotesection"/>
      </w:pPr>
      <w:r>
        <w:tab/>
        <w:t>[Schedule 4 amended: Gazette 20 Aug 2013 p. 3852; SL 2020/168 r. 4.]</w:t>
      </w:r>
    </w:p>
    <w:p w:rsidR="003E67DA" w:rsidRDefault="00645504">
      <w:pPr>
        <w:pStyle w:val="yScheduleHeading"/>
      </w:pPr>
      <w:bookmarkStart w:id="127" w:name="_Toc68693342"/>
      <w:bookmarkStart w:id="128" w:name="_Toc68696966"/>
      <w:bookmarkStart w:id="129" w:name="_Toc68767527"/>
      <w:r>
        <w:rPr>
          <w:rStyle w:val="CharSchNo"/>
        </w:rPr>
        <w:lastRenderedPageBreak/>
        <w:t>Schedule 5</w:t>
      </w:r>
      <w:r>
        <w:rPr>
          <w:rStyle w:val="CharSDivNo"/>
        </w:rPr>
        <w:t> </w:t>
      </w:r>
      <w:r>
        <w:t>—</w:t>
      </w:r>
      <w:r>
        <w:rPr>
          <w:rStyle w:val="CharSDivText"/>
        </w:rPr>
        <w:t> </w:t>
      </w:r>
      <w:r>
        <w:rPr>
          <w:rStyle w:val="CharSchText"/>
        </w:rPr>
        <w:t>Notice to withdraw infringement notice</w:t>
      </w:r>
      <w:bookmarkEnd w:id="127"/>
      <w:bookmarkEnd w:id="128"/>
      <w:bookmarkEnd w:id="129"/>
    </w:p>
    <w:p w:rsidR="003E67DA" w:rsidRDefault="00645504">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rsidR="003E67DA">
        <w:trPr>
          <w:cantSplit/>
          <w:trHeight w:val="282"/>
        </w:trPr>
        <w:tc>
          <w:tcPr>
            <w:tcW w:w="5245" w:type="dxa"/>
            <w:gridSpan w:val="4"/>
          </w:tcPr>
          <w:p w:rsidR="003E67DA" w:rsidRDefault="00645504">
            <w:pPr>
              <w:pStyle w:val="yTableNAm"/>
              <w:spacing w:before="60"/>
              <w:rPr>
                <w:i/>
                <w:sz w:val="20"/>
              </w:rPr>
            </w:pPr>
            <w:r>
              <w:rPr>
                <w:i/>
                <w:sz w:val="20"/>
              </w:rPr>
              <w:t>Food Act 2008 s. 126(7) and Food Regulations 2009 r. </w:t>
            </w:r>
            <w:r>
              <w:rPr>
                <w:i/>
                <w:iCs/>
                <w:sz w:val="20"/>
              </w:rPr>
              <w:t>54(2)</w:t>
            </w:r>
          </w:p>
          <w:p w:rsidR="003E67DA" w:rsidRDefault="00645504">
            <w:pPr>
              <w:pStyle w:val="yTableNAm"/>
              <w:spacing w:before="60"/>
              <w:rPr>
                <w:b/>
                <w:szCs w:val="22"/>
              </w:rPr>
            </w:pPr>
            <w:r>
              <w:rPr>
                <w:b/>
                <w:szCs w:val="22"/>
              </w:rPr>
              <w:t xml:space="preserve">Withdrawal of </w:t>
            </w:r>
            <w:r>
              <w:rPr>
                <w:b/>
                <w:szCs w:val="22"/>
              </w:rPr>
              <w:t>infringement notice</w:t>
            </w:r>
          </w:p>
        </w:tc>
        <w:tc>
          <w:tcPr>
            <w:tcW w:w="1843" w:type="dxa"/>
            <w:gridSpan w:val="2"/>
            <w:tcBorders>
              <w:bottom w:val="single" w:sz="4" w:space="0" w:color="auto"/>
            </w:tcBorders>
          </w:tcPr>
          <w:p w:rsidR="003E67DA" w:rsidRDefault="00645504">
            <w:pPr>
              <w:pStyle w:val="yTableNAm"/>
              <w:spacing w:before="60"/>
              <w:rPr>
                <w:sz w:val="20"/>
              </w:rPr>
            </w:pPr>
            <w:r>
              <w:rPr>
                <w:sz w:val="20"/>
              </w:rPr>
              <w:t>Notice No.</w:t>
            </w:r>
          </w:p>
        </w:tc>
      </w:tr>
      <w:tr w:rsidR="003E67DA">
        <w:trPr>
          <w:cantSplit/>
        </w:trPr>
        <w:tc>
          <w:tcPr>
            <w:tcW w:w="1560" w:type="dxa"/>
            <w:vMerge w:val="restart"/>
          </w:tcPr>
          <w:p w:rsidR="003E67DA" w:rsidRDefault="00645504">
            <w:pPr>
              <w:pStyle w:val="yTableNAm"/>
              <w:spacing w:before="60"/>
              <w:rPr>
                <w:sz w:val="20"/>
              </w:rPr>
            </w:pPr>
            <w:r>
              <w:rPr>
                <w:b/>
                <w:sz w:val="20"/>
              </w:rPr>
              <w:t>Alleged offender</w:t>
            </w:r>
          </w:p>
        </w:tc>
        <w:tc>
          <w:tcPr>
            <w:tcW w:w="5528" w:type="dxa"/>
            <w:gridSpan w:val="5"/>
          </w:tcPr>
          <w:p w:rsidR="003E67DA" w:rsidRDefault="00645504">
            <w:pPr>
              <w:pStyle w:val="yTableNAm"/>
              <w:spacing w:before="60"/>
              <w:rPr>
                <w:sz w:val="20"/>
              </w:rPr>
            </w:pPr>
            <w:r>
              <w:rPr>
                <w:sz w:val="20"/>
              </w:rPr>
              <w:t>Family name or</w:t>
            </w:r>
            <w:r>
              <w:rPr>
                <w:sz w:val="20"/>
              </w:rPr>
              <w:br/>
              <w:t>body corporate name and ACN</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Other names</w:t>
            </w:r>
          </w:p>
        </w:tc>
      </w:tr>
      <w:tr w:rsidR="003E67DA">
        <w:trPr>
          <w:cantSplit/>
          <w:trHeight w:val="282"/>
        </w:trPr>
        <w:tc>
          <w:tcPr>
            <w:tcW w:w="1560" w:type="dxa"/>
            <w:vMerge/>
          </w:tcPr>
          <w:p w:rsidR="003E67DA" w:rsidRDefault="003E67DA">
            <w:pPr>
              <w:pStyle w:val="yTableNAm"/>
              <w:spacing w:before="60"/>
              <w:rPr>
                <w:sz w:val="20"/>
              </w:rPr>
            </w:pPr>
          </w:p>
        </w:tc>
        <w:tc>
          <w:tcPr>
            <w:tcW w:w="992" w:type="dxa"/>
            <w:vMerge w:val="restart"/>
            <w:tcBorders>
              <w:bottom w:val="nil"/>
            </w:tcBorders>
          </w:tcPr>
          <w:p w:rsidR="003E67DA" w:rsidRDefault="00645504">
            <w:pPr>
              <w:pStyle w:val="yTableNAm"/>
              <w:spacing w:before="60"/>
              <w:rPr>
                <w:sz w:val="20"/>
              </w:rPr>
            </w:pPr>
            <w:r>
              <w:rPr>
                <w:sz w:val="20"/>
              </w:rPr>
              <w:t>Address</w:t>
            </w:r>
          </w:p>
        </w:tc>
        <w:tc>
          <w:tcPr>
            <w:tcW w:w="992" w:type="dxa"/>
            <w:tcBorders>
              <w:bottom w:val="single" w:sz="4" w:space="0" w:color="auto"/>
            </w:tcBorders>
          </w:tcPr>
          <w:p w:rsidR="003E67DA" w:rsidRDefault="00645504">
            <w:pPr>
              <w:pStyle w:val="yTableNAm"/>
              <w:spacing w:before="60"/>
              <w:rPr>
                <w:sz w:val="20"/>
              </w:rPr>
            </w:pPr>
            <w:r>
              <w:rPr>
                <w:sz w:val="20"/>
              </w:rPr>
              <w:t>No.</w:t>
            </w:r>
          </w:p>
        </w:tc>
        <w:tc>
          <w:tcPr>
            <w:tcW w:w="3544" w:type="dxa"/>
            <w:gridSpan w:val="3"/>
            <w:tcBorders>
              <w:bottom w:val="single" w:sz="4" w:space="0" w:color="auto"/>
            </w:tcBorders>
          </w:tcPr>
          <w:p w:rsidR="003E67DA" w:rsidRDefault="00645504">
            <w:pPr>
              <w:pStyle w:val="yTableNAm"/>
              <w:spacing w:before="60"/>
              <w:rPr>
                <w:sz w:val="20"/>
              </w:rPr>
            </w:pPr>
            <w:r>
              <w:rPr>
                <w:sz w:val="20"/>
              </w:rPr>
              <w:t>Street name</w:t>
            </w:r>
          </w:p>
        </w:tc>
      </w:tr>
      <w:tr w:rsidR="003E67DA">
        <w:trPr>
          <w:cantSplit/>
          <w:trHeight w:val="282"/>
        </w:trPr>
        <w:tc>
          <w:tcPr>
            <w:tcW w:w="1560" w:type="dxa"/>
            <w:vMerge/>
          </w:tcPr>
          <w:p w:rsidR="003E67DA" w:rsidRDefault="003E67DA">
            <w:pPr>
              <w:pStyle w:val="yTableNAm"/>
              <w:spacing w:before="60"/>
              <w:rPr>
                <w:sz w:val="20"/>
              </w:rPr>
            </w:pPr>
          </w:p>
        </w:tc>
        <w:tc>
          <w:tcPr>
            <w:tcW w:w="992" w:type="dxa"/>
            <w:vMerge/>
            <w:tcBorders>
              <w:bottom w:val="single" w:sz="4" w:space="0" w:color="auto"/>
            </w:tcBorders>
          </w:tcPr>
          <w:p w:rsidR="003E67DA" w:rsidRDefault="003E67DA">
            <w:pPr>
              <w:pStyle w:val="yTableNAm"/>
              <w:spacing w:before="60"/>
              <w:rPr>
                <w:sz w:val="20"/>
              </w:rPr>
            </w:pPr>
          </w:p>
        </w:tc>
        <w:tc>
          <w:tcPr>
            <w:tcW w:w="2977" w:type="dxa"/>
            <w:gridSpan w:val="3"/>
            <w:tcBorders>
              <w:bottom w:val="single" w:sz="4" w:space="0" w:color="auto"/>
            </w:tcBorders>
          </w:tcPr>
          <w:p w:rsidR="003E67DA" w:rsidRDefault="003E67DA">
            <w:pPr>
              <w:pStyle w:val="yTableNAm"/>
              <w:spacing w:before="60"/>
              <w:rPr>
                <w:sz w:val="20"/>
              </w:rPr>
            </w:pPr>
          </w:p>
        </w:tc>
        <w:tc>
          <w:tcPr>
            <w:tcW w:w="1559" w:type="dxa"/>
            <w:tcBorders>
              <w:bottom w:val="single" w:sz="4" w:space="0" w:color="auto"/>
            </w:tcBorders>
          </w:tcPr>
          <w:p w:rsidR="003E67DA" w:rsidRDefault="00645504">
            <w:pPr>
              <w:pStyle w:val="yTableNAm"/>
              <w:spacing w:before="60"/>
              <w:rPr>
                <w:sz w:val="20"/>
              </w:rPr>
            </w:pPr>
            <w:r>
              <w:rPr>
                <w:sz w:val="20"/>
              </w:rPr>
              <w:t>Postcode</w:t>
            </w:r>
          </w:p>
        </w:tc>
      </w:tr>
      <w:tr w:rsidR="003E67DA">
        <w:trPr>
          <w:cantSplit/>
        </w:trPr>
        <w:tc>
          <w:tcPr>
            <w:tcW w:w="1560" w:type="dxa"/>
            <w:vMerge w:val="restart"/>
          </w:tcPr>
          <w:p w:rsidR="003E67DA" w:rsidRDefault="00645504">
            <w:pPr>
              <w:pStyle w:val="yTableNAm"/>
              <w:spacing w:before="60"/>
              <w:rPr>
                <w:b/>
                <w:sz w:val="20"/>
              </w:rPr>
            </w:pPr>
            <w:r>
              <w:rPr>
                <w:b/>
                <w:sz w:val="20"/>
              </w:rPr>
              <w:t>Infringement notice</w:t>
            </w:r>
          </w:p>
        </w:tc>
        <w:tc>
          <w:tcPr>
            <w:tcW w:w="5528" w:type="dxa"/>
            <w:gridSpan w:val="5"/>
          </w:tcPr>
          <w:p w:rsidR="003E67DA" w:rsidRDefault="00645504">
            <w:pPr>
              <w:pStyle w:val="yTableNAm"/>
              <w:spacing w:before="60"/>
              <w:rPr>
                <w:sz w:val="20"/>
              </w:rPr>
            </w:pPr>
            <w:r>
              <w:rPr>
                <w:sz w:val="20"/>
              </w:rPr>
              <w:t>Infringement notice No.</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Date of issue</w:t>
            </w:r>
          </w:p>
        </w:tc>
      </w:tr>
      <w:tr w:rsidR="003E67DA">
        <w:trPr>
          <w:cantSplit/>
        </w:trPr>
        <w:tc>
          <w:tcPr>
            <w:tcW w:w="1560" w:type="dxa"/>
            <w:vMerge w:val="restart"/>
          </w:tcPr>
          <w:p w:rsidR="003E67DA" w:rsidRDefault="00645504">
            <w:pPr>
              <w:pStyle w:val="yTableNAm"/>
              <w:spacing w:before="60"/>
              <w:rPr>
                <w:b/>
                <w:sz w:val="20"/>
              </w:rPr>
            </w:pPr>
            <w:r>
              <w:rPr>
                <w:b/>
                <w:sz w:val="20"/>
              </w:rPr>
              <w:t>Alleged offence</w:t>
            </w:r>
          </w:p>
          <w:p w:rsidR="003E67DA" w:rsidRDefault="003E67DA">
            <w:pPr>
              <w:pStyle w:val="yTableNAm"/>
              <w:spacing w:before="60"/>
              <w:rPr>
                <w:sz w:val="20"/>
              </w:rPr>
            </w:pPr>
          </w:p>
          <w:p w:rsidR="003E67DA" w:rsidRDefault="00645504">
            <w:pPr>
              <w:pStyle w:val="yTableNAm"/>
              <w:spacing w:before="60"/>
              <w:rPr>
                <w:b/>
                <w:i/>
                <w:sz w:val="16"/>
                <w:szCs w:val="16"/>
              </w:rPr>
            </w:pPr>
            <w:r>
              <w:rPr>
                <w:i/>
                <w:sz w:val="16"/>
                <w:szCs w:val="16"/>
              </w:rPr>
              <w:t>[*delete whichever</w:t>
            </w:r>
            <w:r>
              <w:rPr>
                <w:i/>
                <w:sz w:val="16"/>
                <w:szCs w:val="16"/>
              </w:rPr>
              <w:br/>
              <w:t xml:space="preserve">is not </w:t>
            </w:r>
            <w:r>
              <w:rPr>
                <w:i/>
                <w:sz w:val="16"/>
                <w:szCs w:val="16"/>
              </w:rPr>
              <w:t>applicable]</w:t>
            </w:r>
          </w:p>
        </w:tc>
        <w:tc>
          <w:tcPr>
            <w:tcW w:w="5528" w:type="dxa"/>
            <w:gridSpan w:val="5"/>
          </w:tcPr>
          <w:p w:rsidR="003E67DA" w:rsidRDefault="00645504">
            <w:pPr>
              <w:pStyle w:val="yTableNAm"/>
              <w:spacing w:before="60"/>
              <w:ind w:right="-108"/>
              <w:rPr>
                <w:i/>
                <w:sz w:val="20"/>
              </w:rPr>
            </w:pPr>
            <w:r>
              <w:rPr>
                <w:sz w:val="20"/>
              </w:rPr>
              <w:t>Description of offence ___________________________________</w:t>
            </w:r>
          </w:p>
          <w:p w:rsidR="003E67DA" w:rsidRDefault="003E67DA">
            <w:pPr>
              <w:pStyle w:val="yTableNAm"/>
              <w:spacing w:before="60"/>
              <w:rPr>
                <w:sz w:val="20"/>
              </w:rPr>
            </w:pPr>
          </w:p>
        </w:tc>
      </w:tr>
      <w:tr w:rsidR="003E67DA">
        <w:trPr>
          <w:cantSplit/>
        </w:trPr>
        <w:tc>
          <w:tcPr>
            <w:tcW w:w="1560" w:type="dxa"/>
            <w:vMerge/>
          </w:tcPr>
          <w:p w:rsidR="003E67DA" w:rsidRDefault="003E67DA">
            <w:pPr>
              <w:pStyle w:val="yTableNAm"/>
              <w:spacing w:before="60"/>
              <w:rPr>
                <w:b/>
                <w:sz w:val="20"/>
              </w:rPr>
            </w:pPr>
          </w:p>
        </w:tc>
        <w:tc>
          <w:tcPr>
            <w:tcW w:w="5528" w:type="dxa"/>
            <w:gridSpan w:val="5"/>
          </w:tcPr>
          <w:p w:rsidR="003E67DA" w:rsidRDefault="00645504">
            <w:pPr>
              <w:pStyle w:val="yTableNAm"/>
              <w:spacing w:before="60"/>
              <w:rPr>
                <w:sz w:val="20"/>
              </w:rPr>
            </w:pPr>
            <w:r>
              <w:rPr>
                <w:iCs/>
                <w:sz w:val="20"/>
              </w:rPr>
              <w:t>*</w:t>
            </w:r>
            <w:r>
              <w:rPr>
                <w:i/>
                <w:sz w:val="20"/>
              </w:rPr>
              <w:t>Food Act 2008</w:t>
            </w:r>
            <w:r>
              <w:rPr>
                <w:sz w:val="20"/>
              </w:rPr>
              <w:t xml:space="preserve"> s. ________</w:t>
            </w:r>
          </w:p>
          <w:p w:rsidR="003E67DA" w:rsidRDefault="00645504">
            <w:pPr>
              <w:pStyle w:val="yTableNAm"/>
              <w:spacing w:before="60" w:after="20"/>
              <w:rPr>
                <w:sz w:val="20"/>
              </w:rPr>
            </w:pPr>
            <w:r>
              <w:rPr>
                <w:iCs/>
                <w:sz w:val="20"/>
              </w:rPr>
              <w:t>*</w:t>
            </w:r>
            <w:r>
              <w:rPr>
                <w:i/>
                <w:sz w:val="20"/>
              </w:rPr>
              <w:t>Food Regulations 2009</w:t>
            </w:r>
            <w:r>
              <w:rPr>
                <w:sz w:val="20"/>
              </w:rPr>
              <w:t xml:space="preserve"> r. _________</w:t>
            </w:r>
          </w:p>
        </w:tc>
      </w:tr>
      <w:tr w:rsidR="003E67DA">
        <w:trPr>
          <w:cantSplit/>
        </w:trPr>
        <w:tc>
          <w:tcPr>
            <w:tcW w:w="1560" w:type="dxa"/>
            <w:vMerge w:val="restart"/>
          </w:tcPr>
          <w:p w:rsidR="003E67DA" w:rsidRDefault="00645504">
            <w:pPr>
              <w:pStyle w:val="yTableNAm"/>
              <w:spacing w:before="60"/>
              <w:rPr>
                <w:b/>
                <w:sz w:val="20"/>
              </w:rPr>
            </w:pPr>
            <w:r>
              <w:rPr>
                <w:b/>
                <w:sz w:val="20"/>
              </w:rPr>
              <w:t>Designated officer withdrawing notice</w:t>
            </w:r>
          </w:p>
        </w:tc>
        <w:tc>
          <w:tcPr>
            <w:tcW w:w="5528" w:type="dxa"/>
            <w:gridSpan w:val="5"/>
          </w:tcPr>
          <w:p w:rsidR="003E67DA" w:rsidRDefault="00645504">
            <w:pPr>
              <w:pStyle w:val="yTableNAm"/>
              <w:spacing w:before="60"/>
              <w:rPr>
                <w:sz w:val="20"/>
              </w:rPr>
            </w:pPr>
            <w:r>
              <w:rPr>
                <w:sz w:val="20"/>
              </w:rPr>
              <w:t>Name and title of officer and</w:t>
            </w:r>
            <w:r>
              <w:rPr>
                <w:sz w:val="20"/>
              </w:rPr>
              <w:br/>
              <w:t>name of enforcement agency</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Signature</w:t>
            </w:r>
          </w:p>
        </w:tc>
      </w:tr>
      <w:tr w:rsidR="003E67DA">
        <w:trPr>
          <w:cantSplit/>
        </w:trPr>
        <w:tc>
          <w:tcPr>
            <w:tcW w:w="1560" w:type="dxa"/>
            <w:vMerge/>
          </w:tcPr>
          <w:p w:rsidR="003E67DA" w:rsidRDefault="003E67DA">
            <w:pPr>
              <w:pStyle w:val="yTableNAm"/>
              <w:spacing w:before="60"/>
              <w:rPr>
                <w:sz w:val="20"/>
              </w:rPr>
            </w:pPr>
          </w:p>
        </w:tc>
        <w:tc>
          <w:tcPr>
            <w:tcW w:w="5528" w:type="dxa"/>
            <w:gridSpan w:val="5"/>
          </w:tcPr>
          <w:p w:rsidR="003E67DA" w:rsidRDefault="00645504">
            <w:pPr>
              <w:pStyle w:val="yTableNAm"/>
              <w:spacing w:before="60"/>
              <w:rPr>
                <w:sz w:val="20"/>
              </w:rPr>
            </w:pPr>
            <w:r>
              <w:rPr>
                <w:sz w:val="20"/>
              </w:rPr>
              <w:t xml:space="preserve">Date of </w:t>
            </w:r>
            <w:r>
              <w:rPr>
                <w:sz w:val="20"/>
              </w:rPr>
              <w:t>notice</w:t>
            </w:r>
          </w:p>
        </w:tc>
      </w:tr>
      <w:tr w:rsidR="003E67DA">
        <w:trPr>
          <w:cantSplit/>
        </w:trPr>
        <w:tc>
          <w:tcPr>
            <w:tcW w:w="1560" w:type="dxa"/>
          </w:tcPr>
          <w:p w:rsidR="003E67DA" w:rsidRDefault="00645504">
            <w:pPr>
              <w:pStyle w:val="yTableNAm"/>
              <w:spacing w:before="60"/>
              <w:rPr>
                <w:b/>
                <w:sz w:val="20"/>
              </w:rPr>
            </w:pPr>
            <w:r>
              <w:rPr>
                <w:b/>
                <w:sz w:val="20"/>
              </w:rPr>
              <w:t>Withdrawal of infringement notice</w:t>
            </w:r>
          </w:p>
          <w:p w:rsidR="003E67DA" w:rsidRDefault="003E67DA">
            <w:pPr>
              <w:pStyle w:val="yTableNAm"/>
              <w:spacing w:before="60"/>
              <w:rPr>
                <w:sz w:val="20"/>
              </w:rPr>
            </w:pPr>
          </w:p>
          <w:p w:rsidR="003E67DA" w:rsidRDefault="00645504">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rsidR="003E67DA" w:rsidRDefault="00645504">
            <w:pPr>
              <w:pStyle w:val="yTableNAm"/>
              <w:spacing w:before="60"/>
              <w:rPr>
                <w:sz w:val="20"/>
              </w:rPr>
            </w:pPr>
            <w:r>
              <w:rPr>
                <w:sz w:val="20"/>
              </w:rPr>
              <w:t>The above infringement notice issued against you has been withdrawn.</w:t>
            </w:r>
          </w:p>
          <w:p w:rsidR="003E67DA" w:rsidRDefault="00645504">
            <w:pPr>
              <w:pStyle w:val="yTableNAm"/>
              <w:spacing w:before="60"/>
              <w:rPr>
                <w:sz w:val="20"/>
              </w:rPr>
            </w:pPr>
            <w:r>
              <w:rPr>
                <w:sz w:val="20"/>
              </w:rPr>
              <w:t>If you have already paid the modified penalty for the alleged offence you are entitled to a refund.</w:t>
            </w:r>
          </w:p>
          <w:p w:rsidR="003E67DA" w:rsidRDefault="00645504">
            <w:pPr>
              <w:pStyle w:val="yTableNAm"/>
              <w:spacing w:before="60"/>
              <w:rPr>
                <w:sz w:val="20"/>
              </w:rPr>
            </w:pPr>
            <w:r>
              <w:rPr>
                <w:sz w:val="20"/>
              </w:rPr>
              <w:t xml:space="preserve">*Your </w:t>
            </w:r>
            <w:r>
              <w:rPr>
                <w:sz w:val="20"/>
              </w:rPr>
              <w:t>refund is enclosed.</w:t>
            </w:r>
          </w:p>
          <w:p w:rsidR="003E67DA" w:rsidRDefault="00645504">
            <w:pPr>
              <w:pStyle w:val="yTableNAm"/>
              <w:spacing w:before="60"/>
              <w:rPr>
                <w:i/>
                <w:iCs/>
                <w:sz w:val="20"/>
              </w:rPr>
            </w:pPr>
            <w:r>
              <w:rPr>
                <w:i/>
                <w:iCs/>
                <w:sz w:val="20"/>
              </w:rPr>
              <w:t>or</w:t>
            </w:r>
          </w:p>
          <w:p w:rsidR="003E67DA" w:rsidRDefault="00645504">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rsidR="003E67DA" w:rsidRDefault="00645504">
            <w:pPr>
              <w:pStyle w:val="yTableNAm"/>
              <w:spacing w:before="60"/>
              <w:rPr>
                <w:sz w:val="20"/>
              </w:rPr>
            </w:pPr>
            <w:r>
              <w:rPr>
                <w:sz w:val="20"/>
              </w:rPr>
              <w:t>Signature</w:t>
            </w:r>
          </w:p>
        </w:tc>
      </w:tr>
    </w:tbl>
    <w:p w:rsidR="003E67DA" w:rsidRDefault="0064550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3E67DA" w:rsidRDefault="003E67DA">
      <w:pPr>
        <w:sectPr w:rsidR="003E67DA">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rsidR="003E67DA" w:rsidRDefault="00645504">
      <w:pPr>
        <w:pStyle w:val="nHeading2"/>
      </w:pPr>
      <w:bookmarkStart w:id="131" w:name="_Toc68693343"/>
      <w:bookmarkStart w:id="132" w:name="_Toc68696967"/>
      <w:bookmarkStart w:id="133" w:name="_Toc68767528"/>
      <w:r>
        <w:lastRenderedPageBreak/>
        <w:t>Notes</w:t>
      </w:r>
      <w:bookmarkEnd w:id="131"/>
      <w:bookmarkEnd w:id="132"/>
      <w:bookmarkEnd w:id="133"/>
    </w:p>
    <w:p w:rsidR="003E67DA" w:rsidRDefault="00645504">
      <w:pPr>
        <w:pStyle w:val="nStatement"/>
      </w:pPr>
      <w:r>
        <w:t xml:space="preserve">This is a compilation of the </w:t>
      </w:r>
      <w:r>
        <w:rPr>
          <w:i/>
          <w:noProof/>
        </w:rPr>
        <w:t>Food Regulations 2009</w:t>
      </w:r>
      <w:r>
        <w:t xml:space="preserve"> and includes amendments made by other written laws. For provisions that have come into operation, and for information about any reprints, see the compilation table.</w:t>
      </w:r>
    </w:p>
    <w:p w:rsidR="003E67DA" w:rsidRDefault="00645504">
      <w:pPr>
        <w:pStyle w:val="nHeading3"/>
      </w:pPr>
      <w:bookmarkStart w:id="134" w:name="_Toc68767529"/>
      <w:r>
        <w:t>Compilation table</w:t>
      </w:r>
      <w:bookmarkEnd w:id="134"/>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rsidR="003E67DA">
        <w:trPr>
          <w:tblHeader/>
        </w:trPr>
        <w:tc>
          <w:tcPr>
            <w:tcW w:w="3119" w:type="dxa"/>
          </w:tcPr>
          <w:p w:rsidR="003E67DA" w:rsidRDefault="00645504">
            <w:pPr>
              <w:pStyle w:val="nTable"/>
              <w:spacing w:after="40"/>
              <w:rPr>
                <w:b/>
              </w:rPr>
            </w:pPr>
            <w:r>
              <w:rPr>
                <w:b/>
              </w:rPr>
              <w:t>Citation</w:t>
            </w:r>
          </w:p>
        </w:tc>
        <w:tc>
          <w:tcPr>
            <w:tcW w:w="1276" w:type="dxa"/>
          </w:tcPr>
          <w:p w:rsidR="003E67DA" w:rsidRDefault="00645504">
            <w:pPr>
              <w:pStyle w:val="nTable"/>
              <w:spacing w:after="40"/>
              <w:rPr>
                <w:b/>
              </w:rPr>
            </w:pPr>
            <w:r>
              <w:rPr>
                <w:b/>
              </w:rPr>
              <w:t>Published</w:t>
            </w:r>
          </w:p>
        </w:tc>
        <w:tc>
          <w:tcPr>
            <w:tcW w:w="2693" w:type="dxa"/>
          </w:tcPr>
          <w:p w:rsidR="003E67DA" w:rsidRDefault="00645504">
            <w:pPr>
              <w:pStyle w:val="nTable"/>
              <w:spacing w:after="40"/>
              <w:rPr>
                <w:b/>
              </w:rPr>
            </w:pPr>
            <w:r>
              <w:rPr>
                <w:b/>
              </w:rPr>
              <w:t>Commencement</w:t>
            </w:r>
          </w:p>
        </w:tc>
      </w:tr>
      <w:tr w:rsidR="003E67DA">
        <w:trPr>
          <w:cantSplit/>
        </w:trPr>
        <w:tc>
          <w:tcPr>
            <w:tcW w:w="3119" w:type="dxa"/>
            <w:tcBorders>
              <w:top w:val="single" w:sz="8" w:space="0" w:color="auto"/>
              <w:bottom w:val="nil"/>
            </w:tcBorders>
          </w:tcPr>
          <w:p w:rsidR="003E67DA" w:rsidRDefault="00645504">
            <w:pPr>
              <w:pStyle w:val="nTable"/>
              <w:spacing w:after="40"/>
            </w:pPr>
            <w:r>
              <w:rPr>
                <w:i/>
              </w:rPr>
              <w:t>Food Regulations 2009</w:t>
            </w:r>
          </w:p>
        </w:tc>
        <w:tc>
          <w:tcPr>
            <w:tcW w:w="1276" w:type="dxa"/>
            <w:tcBorders>
              <w:top w:val="single" w:sz="8" w:space="0" w:color="auto"/>
              <w:bottom w:val="nil"/>
            </w:tcBorders>
          </w:tcPr>
          <w:p w:rsidR="003E67DA" w:rsidRDefault="00645504">
            <w:pPr>
              <w:pStyle w:val="nTable"/>
              <w:spacing w:after="40"/>
            </w:pPr>
            <w:r>
              <w:t xml:space="preserve">23 Oct 2009 </w:t>
            </w:r>
            <w:r>
              <w:t>p. 4095-142</w:t>
            </w:r>
          </w:p>
        </w:tc>
        <w:tc>
          <w:tcPr>
            <w:tcW w:w="2693" w:type="dxa"/>
            <w:tcBorders>
              <w:top w:val="single" w:sz="8" w:space="0" w:color="auto"/>
              <w:bottom w:val="nil"/>
            </w:tcBorders>
          </w:tcPr>
          <w:p w:rsidR="003E67DA" w:rsidRDefault="00645504">
            <w:pPr>
              <w:pStyle w:val="nTable"/>
              <w:spacing w:after="40"/>
            </w:pPr>
            <w:r>
              <w:t>r. 1 and 2: 23 Oct 2009 (see r. 2(a));</w:t>
            </w:r>
            <w:r>
              <w:br/>
              <w:t xml:space="preserve">Regulations other than r. 1 and 2: 24 Oct 2009 (see r. 2(b) and </w:t>
            </w:r>
            <w:r>
              <w:rPr>
                <w:i/>
                <w:iCs/>
              </w:rPr>
              <w:t>Gazette</w:t>
            </w:r>
            <w:r>
              <w:t xml:space="preserve"> 23 Oct 2009 p. 4157)</w:t>
            </w:r>
          </w:p>
        </w:tc>
      </w:tr>
      <w:tr w:rsidR="003E67DA">
        <w:trPr>
          <w:cantSplit/>
        </w:trPr>
        <w:tc>
          <w:tcPr>
            <w:tcW w:w="3119" w:type="dxa"/>
            <w:tcBorders>
              <w:top w:val="nil"/>
              <w:bottom w:val="nil"/>
            </w:tcBorders>
          </w:tcPr>
          <w:p w:rsidR="003E67DA" w:rsidRDefault="00645504">
            <w:pPr>
              <w:pStyle w:val="nTable"/>
              <w:spacing w:after="40"/>
              <w:rPr>
                <w:i/>
              </w:rPr>
            </w:pPr>
            <w:r>
              <w:rPr>
                <w:i/>
              </w:rPr>
              <w:t>Food Amendment Regulations 2011</w:t>
            </w:r>
          </w:p>
        </w:tc>
        <w:tc>
          <w:tcPr>
            <w:tcW w:w="1276" w:type="dxa"/>
            <w:tcBorders>
              <w:top w:val="nil"/>
              <w:bottom w:val="nil"/>
            </w:tcBorders>
          </w:tcPr>
          <w:p w:rsidR="003E67DA" w:rsidRDefault="00645504">
            <w:pPr>
              <w:pStyle w:val="nTable"/>
              <w:spacing w:after="40"/>
            </w:pPr>
            <w:r>
              <w:t>20 Sep 2011 p. 3799</w:t>
            </w:r>
          </w:p>
        </w:tc>
        <w:tc>
          <w:tcPr>
            <w:tcW w:w="2693" w:type="dxa"/>
            <w:tcBorders>
              <w:top w:val="nil"/>
              <w:bottom w:val="nil"/>
            </w:tcBorders>
          </w:tcPr>
          <w:p w:rsidR="003E67DA" w:rsidRDefault="00645504">
            <w:pPr>
              <w:pStyle w:val="nTable"/>
              <w:spacing w:after="40"/>
            </w:pPr>
            <w:r>
              <w:t>r. 1 and 2: 20 Sep 2011 (see r. 2(a));</w:t>
            </w:r>
            <w:r>
              <w:br/>
              <w:t xml:space="preserve">Regulations other </w:t>
            </w:r>
            <w:r>
              <w:t>than r. 1 and 2: 21 Sep 2011 (see r. 2(b))</w:t>
            </w:r>
          </w:p>
        </w:tc>
      </w:tr>
      <w:tr w:rsidR="003E67DA">
        <w:trPr>
          <w:cantSplit/>
        </w:trPr>
        <w:tc>
          <w:tcPr>
            <w:tcW w:w="3119" w:type="dxa"/>
            <w:tcBorders>
              <w:top w:val="nil"/>
              <w:bottom w:val="nil"/>
            </w:tcBorders>
          </w:tcPr>
          <w:p w:rsidR="003E67DA" w:rsidRDefault="00645504">
            <w:pPr>
              <w:pStyle w:val="nTable"/>
              <w:spacing w:after="40"/>
              <w:rPr>
                <w:i/>
              </w:rPr>
            </w:pPr>
            <w:r>
              <w:rPr>
                <w:i/>
              </w:rPr>
              <w:t>Food Amendment Regulations 2012</w:t>
            </w:r>
          </w:p>
        </w:tc>
        <w:tc>
          <w:tcPr>
            <w:tcW w:w="1276" w:type="dxa"/>
            <w:tcBorders>
              <w:top w:val="nil"/>
              <w:bottom w:val="nil"/>
            </w:tcBorders>
          </w:tcPr>
          <w:p w:rsidR="003E67DA" w:rsidRDefault="00645504">
            <w:pPr>
              <w:pStyle w:val="nTable"/>
              <w:spacing w:after="40"/>
            </w:pPr>
            <w:r>
              <w:t>20 Apr 2012 p. 1696</w:t>
            </w:r>
            <w:r>
              <w:noBreakHyphen/>
              <w:t>8</w:t>
            </w:r>
          </w:p>
        </w:tc>
        <w:tc>
          <w:tcPr>
            <w:tcW w:w="2693" w:type="dxa"/>
            <w:tcBorders>
              <w:top w:val="nil"/>
              <w:bottom w:val="nil"/>
            </w:tcBorders>
          </w:tcPr>
          <w:p w:rsidR="003E67DA" w:rsidRDefault="00645504">
            <w:pPr>
              <w:pStyle w:val="nTable"/>
              <w:spacing w:after="40"/>
            </w:pPr>
            <w:r>
              <w:t>r. 1 and 2: 20 Apr 2012 (see r. 2(a));</w:t>
            </w:r>
            <w:r>
              <w:br/>
              <w:t>Regulations other than r. 1 and 2: 21 Apr 2012 (see r. 2(b))</w:t>
            </w:r>
          </w:p>
        </w:tc>
      </w:tr>
      <w:tr w:rsidR="003E67DA">
        <w:trPr>
          <w:cantSplit/>
        </w:trPr>
        <w:tc>
          <w:tcPr>
            <w:tcW w:w="3119" w:type="dxa"/>
            <w:tcBorders>
              <w:top w:val="nil"/>
              <w:bottom w:val="nil"/>
            </w:tcBorders>
          </w:tcPr>
          <w:p w:rsidR="003E67DA" w:rsidRDefault="00645504">
            <w:pPr>
              <w:pStyle w:val="nTable"/>
              <w:spacing w:after="40"/>
              <w:rPr>
                <w:i/>
              </w:rPr>
            </w:pPr>
            <w:r>
              <w:rPr>
                <w:i/>
              </w:rPr>
              <w:t>Food Amendment Regulations 2013</w:t>
            </w:r>
          </w:p>
        </w:tc>
        <w:tc>
          <w:tcPr>
            <w:tcW w:w="1276" w:type="dxa"/>
            <w:tcBorders>
              <w:top w:val="nil"/>
              <w:bottom w:val="nil"/>
            </w:tcBorders>
          </w:tcPr>
          <w:p w:rsidR="003E67DA" w:rsidRDefault="00645504">
            <w:pPr>
              <w:pStyle w:val="nTable"/>
              <w:spacing w:after="40"/>
            </w:pPr>
            <w:r>
              <w:t>20 Aug 2013 p. 3852</w:t>
            </w:r>
          </w:p>
        </w:tc>
        <w:tc>
          <w:tcPr>
            <w:tcW w:w="2693" w:type="dxa"/>
            <w:tcBorders>
              <w:top w:val="nil"/>
              <w:bottom w:val="nil"/>
            </w:tcBorders>
          </w:tcPr>
          <w:p w:rsidR="003E67DA" w:rsidRDefault="00645504">
            <w:pPr>
              <w:pStyle w:val="nTable"/>
              <w:spacing w:after="40"/>
            </w:pPr>
            <w:r>
              <w:rPr>
                <w:snapToGrid w:val="0"/>
              </w:rPr>
              <w:t xml:space="preserve">r. 1 </w:t>
            </w:r>
            <w:r>
              <w:rPr>
                <w:snapToGrid w:val="0"/>
              </w:rPr>
              <w:t>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rsidR="003E67DA">
        <w:trPr>
          <w:cantSplit/>
        </w:trPr>
        <w:tc>
          <w:tcPr>
            <w:tcW w:w="3119" w:type="dxa"/>
            <w:tcBorders>
              <w:top w:val="nil"/>
              <w:bottom w:val="nil"/>
            </w:tcBorders>
          </w:tcPr>
          <w:p w:rsidR="003E67DA" w:rsidRDefault="00645504">
            <w:pPr>
              <w:pStyle w:val="nTable"/>
              <w:spacing w:after="40"/>
              <w:rPr>
                <w:i/>
              </w:rPr>
            </w:pPr>
            <w:r>
              <w:rPr>
                <w:i/>
              </w:rPr>
              <w:t>Food Amendment Regulations 2014</w:t>
            </w:r>
          </w:p>
        </w:tc>
        <w:tc>
          <w:tcPr>
            <w:tcW w:w="1276" w:type="dxa"/>
            <w:tcBorders>
              <w:top w:val="nil"/>
              <w:bottom w:val="nil"/>
            </w:tcBorders>
          </w:tcPr>
          <w:p w:rsidR="003E67DA" w:rsidRDefault="00645504">
            <w:pPr>
              <w:pStyle w:val="nTable"/>
              <w:spacing w:after="40"/>
            </w:pPr>
            <w:r>
              <w:t>12 Dec 2014 p. 4713-14</w:t>
            </w:r>
          </w:p>
        </w:tc>
        <w:tc>
          <w:tcPr>
            <w:tcW w:w="2693" w:type="dxa"/>
            <w:tcBorders>
              <w:top w:val="nil"/>
              <w:bottom w:val="nil"/>
            </w:tcBorders>
          </w:tcPr>
          <w:p w:rsidR="003E67DA" w:rsidRDefault="00645504">
            <w:pPr>
              <w:pStyle w:val="nTable"/>
              <w:spacing w:after="40"/>
              <w:rPr>
                <w:snapToGrid w:val="0"/>
              </w:rPr>
            </w:pPr>
            <w:r>
              <w:rPr>
                <w:bCs/>
                <w:snapToGrid w:val="0"/>
              </w:rPr>
              <w:t>r. 1 and 2: 12 Dec 2014 (see r. 2(a));</w:t>
            </w:r>
            <w:r>
              <w:rPr>
                <w:bCs/>
                <w:snapToGrid w:val="0"/>
              </w:rPr>
              <w:br/>
              <w:t>Regulations other than r. 1 and 2:</w:t>
            </w:r>
            <w:r>
              <w:rPr>
                <w:bCs/>
                <w:snapToGrid w:val="0"/>
              </w:rPr>
              <w:t xml:space="preserve"> 13 Dec 2014 (see r. 2(b))</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Food Amendment Regulations 2015</w:t>
            </w:r>
          </w:p>
        </w:tc>
        <w:tc>
          <w:tcPr>
            <w:tcW w:w="1276" w:type="dxa"/>
            <w:tcBorders>
              <w:top w:val="nil"/>
              <w:bottom w:val="nil"/>
            </w:tcBorders>
            <w:shd w:val="clear" w:color="auto" w:fill="auto"/>
          </w:tcPr>
          <w:p w:rsidR="003E67DA" w:rsidRDefault="00645504">
            <w:pPr>
              <w:pStyle w:val="nTable"/>
              <w:spacing w:after="40"/>
            </w:pPr>
            <w:r>
              <w:t>20 Mar 2015 p. 905</w:t>
            </w:r>
            <w:r>
              <w:noBreakHyphen/>
              <w:t>6</w:t>
            </w:r>
          </w:p>
        </w:tc>
        <w:tc>
          <w:tcPr>
            <w:tcW w:w="2693" w:type="dxa"/>
            <w:tcBorders>
              <w:top w:val="nil"/>
              <w:bottom w:val="nil"/>
            </w:tcBorders>
            <w:shd w:val="clear" w:color="auto" w:fill="auto"/>
          </w:tcPr>
          <w:p w:rsidR="003E67DA" w:rsidRDefault="00645504">
            <w:pPr>
              <w:pStyle w:val="nTable"/>
              <w:spacing w:after="40"/>
              <w:rPr>
                <w:bCs/>
                <w:snapToGrid w:val="0"/>
              </w:rPr>
            </w:pPr>
            <w:r>
              <w:rPr>
                <w:bCs/>
                <w:snapToGrid w:val="0"/>
              </w:rPr>
              <w:t>r. 1 and 2: 20 Mar 2015 (see r. 2(a));</w:t>
            </w:r>
            <w:r>
              <w:rPr>
                <w:bCs/>
                <w:snapToGrid w:val="0"/>
              </w:rPr>
              <w:br/>
              <w:t>Regulations other than r. 1 and 2: 21 Mar 2015 (see r. 2(b))</w:t>
            </w:r>
          </w:p>
        </w:tc>
      </w:tr>
      <w:tr w:rsidR="003E67DA">
        <w:trPr>
          <w:cantSplit/>
        </w:trPr>
        <w:tc>
          <w:tcPr>
            <w:tcW w:w="7088" w:type="dxa"/>
            <w:gridSpan w:val="3"/>
            <w:tcBorders>
              <w:top w:val="nil"/>
              <w:bottom w:val="nil"/>
            </w:tcBorders>
            <w:shd w:val="clear" w:color="auto" w:fill="auto"/>
          </w:tcPr>
          <w:p w:rsidR="003E67DA" w:rsidRDefault="00645504">
            <w:pPr>
              <w:pStyle w:val="nTable"/>
              <w:spacing w:after="40"/>
              <w:rPr>
                <w:bCs/>
                <w:snapToGrid w:val="0"/>
                <w:spacing w:val="-2"/>
              </w:rPr>
            </w:pPr>
            <w:r>
              <w:rPr>
                <w:b/>
                <w:bCs/>
                <w:snapToGrid w:val="0"/>
              </w:rPr>
              <w:t xml:space="preserve">Reprint </w:t>
            </w:r>
            <w:r>
              <w:rPr>
                <w:b/>
                <w:bCs/>
                <w:snapToGrid w:val="0"/>
                <w:spacing w:val="-2"/>
              </w:rPr>
              <w:t>1</w:t>
            </w:r>
            <w:r>
              <w:rPr>
                <w:b/>
                <w:bCs/>
                <w:snapToGrid w:val="0"/>
              </w:rPr>
              <w:t xml:space="preserve">: The </w:t>
            </w:r>
            <w:r>
              <w:rPr>
                <w:b/>
                <w:bCs/>
                <w:i/>
                <w:noProof/>
                <w:snapToGrid w:val="0"/>
                <w:spacing w:val="-2"/>
              </w:rPr>
              <w:t>Food Regulations 2009</w:t>
            </w:r>
            <w:r>
              <w:rPr>
                <w:b/>
                <w:bCs/>
                <w:snapToGrid w:val="0"/>
              </w:rPr>
              <w:t xml:space="preserve"> as at </w:t>
            </w:r>
            <w:r>
              <w:rPr>
                <w:b/>
                <w:bCs/>
                <w:snapToGrid w:val="0"/>
                <w:spacing w:val="-2"/>
              </w:rPr>
              <w:t>15 May 2015</w:t>
            </w:r>
            <w:r>
              <w:rPr>
                <w:bCs/>
                <w:snapToGrid w:val="0"/>
              </w:rPr>
              <w:t xml:space="preserve"> (includes amendments listed above)</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Food Amendment Regulations (No. 2) 2015</w:t>
            </w:r>
          </w:p>
        </w:tc>
        <w:tc>
          <w:tcPr>
            <w:tcW w:w="1276" w:type="dxa"/>
            <w:tcBorders>
              <w:top w:val="nil"/>
              <w:bottom w:val="nil"/>
            </w:tcBorders>
            <w:shd w:val="clear" w:color="auto" w:fill="auto"/>
          </w:tcPr>
          <w:p w:rsidR="003E67DA" w:rsidRDefault="00645504">
            <w:pPr>
              <w:pStyle w:val="nTable"/>
              <w:spacing w:after="40"/>
            </w:pPr>
            <w:r>
              <w:t>19 May 2015 p. 1760</w:t>
            </w:r>
          </w:p>
        </w:tc>
        <w:tc>
          <w:tcPr>
            <w:tcW w:w="2693" w:type="dxa"/>
            <w:tcBorders>
              <w:top w:val="nil"/>
              <w:bottom w:val="nil"/>
            </w:tcBorders>
            <w:shd w:val="clear" w:color="auto" w:fill="auto"/>
          </w:tcPr>
          <w:p w:rsidR="003E67DA" w:rsidRDefault="00645504">
            <w:pPr>
              <w:pStyle w:val="nTable"/>
              <w:spacing w:after="40"/>
              <w:rPr>
                <w:bCs/>
                <w:snapToGrid w:val="0"/>
              </w:rPr>
            </w:pPr>
            <w:r>
              <w:rPr>
                <w:bCs/>
                <w:snapToGrid w:val="0"/>
              </w:rPr>
              <w:t xml:space="preserve">r. 1 and 2: </w:t>
            </w:r>
            <w:r>
              <w:t>19 May 2015</w:t>
            </w:r>
            <w:r>
              <w:rPr>
                <w:bCs/>
                <w:snapToGrid w:val="0"/>
              </w:rPr>
              <w:t xml:space="preserve"> (see r. 2(a));</w:t>
            </w:r>
            <w:r>
              <w:rPr>
                <w:bCs/>
                <w:snapToGrid w:val="0"/>
              </w:rPr>
              <w:br/>
              <w:t xml:space="preserve">Regulations other than r. 1 and 2: </w:t>
            </w:r>
            <w:r>
              <w:t>1 Jul 2015 (see r. 2(b))</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lastRenderedPageBreak/>
              <w:t>Food Amendment Regulations (No. 3) 2015</w:t>
            </w:r>
          </w:p>
        </w:tc>
        <w:tc>
          <w:tcPr>
            <w:tcW w:w="1276" w:type="dxa"/>
            <w:tcBorders>
              <w:top w:val="nil"/>
              <w:bottom w:val="nil"/>
            </w:tcBorders>
            <w:shd w:val="clear" w:color="auto" w:fill="auto"/>
          </w:tcPr>
          <w:p w:rsidR="003E67DA" w:rsidRDefault="00645504">
            <w:pPr>
              <w:pStyle w:val="nTable"/>
              <w:keepNext/>
              <w:spacing w:after="40"/>
            </w:pPr>
            <w:r>
              <w:t>28 Jul 2015 p. 3083</w:t>
            </w:r>
          </w:p>
        </w:tc>
        <w:tc>
          <w:tcPr>
            <w:tcW w:w="2693" w:type="dxa"/>
            <w:tcBorders>
              <w:top w:val="nil"/>
              <w:bottom w:val="nil"/>
            </w:tcBorders>
            <w:shd w:val="clear" w:color="auto" w:fill="auto"/>
          </w:tcPr>
          <w:p w:rsidR="003E67DA" w:rsidRDefault="00645504">
            <w:pPr>
              <w:pStyle w:val="nTable"/>
              <w:keepNext/>
              <w:spacing w:after="40"/>
              <w:rPr>
                <w:bCs/>
                <w:snapToGrid w:val="0"/>
              </w:rPr>
            </w:pPr>
            <w:r>
              <w:rPr>
                <w:bCs/>
                <w:snapToGrid w:val="0"/>
              </w:rPr>
              <w:t>r. 1 and 2: 28 Jul 2015 (see r. 2(a));</w:t>
            </w:r>
            <w:r>
              <w:rPr>
                <w:bCs/>
                <w:snapToGrid w:val="0"/>
              </w:rPr>
              <w:br/>
              <w:t>Regulations other than r. 1 and 2: 29 Jul 2015 (see r. 2(b))</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Food Amendment Regulations (No. 4) 2015</w:t>
            </w:r>
          </w:p>
        </w:tc>
        <w:tc>
          <w:tcPr>
            <w:tcW w:w="1276" w:type="dxa"/>
            <w:tcBorders>
              <w:top w:val="nil"/>
              <w:bottom w:val="nil"/>
            </w:tcBorders>
            <w:shd w:val="clear" w:color="auto" w:fill="auto"/>
          </w:tcPr>
          <w:p w:rsidR="003E67DA" w:rsidRDefault="00645504">
            <w:pPr>
              <w:pStyle w:val="nTable"/>
              <w:spacing w:after="40"/>
            </w:pPr>
            <w:r>
              <w:t>11 Aug 2015 p. 3219</w:t>
            </w:r>
            <w:r>
              <w:noBreakHyphen/>
              <w:t>20</w:t>
            </w:r>
          </w:p>
        </w:tc>
        <w:tc>
          <w:tcPr>
            <w:tcW w:w="2693" w:type="dxa"/>
            <w:tcBorders>
              <w:top w:val="nil"/>
              <w:bottom w:val="nil"/>
            </w:tcBorders>
            <w:shd w:val="clear" w:color="auto" w:fill="auto"/>
          </w:tcPr>
          <w:p w:rsidR="003E67DA" w:rsidRDefault="00645504">
            <w:pPr>
              <w:pStyle w:val="nTable"/>
              <w:spacing w:after="40"/>
              <w:rPr>
                <w:bCs/>
                <w:snapToGrid w:val="0"/>
              </w:rPr>
            </w:pPr>
            <w:r>
              <w:rPr>
                <w:bCs/>
                <w:snapToGrid w:val="0"/>
              </w:rPr>
              <w:t xml:space="preserve">r. 1 and 2: </w:t>
            </w:r>
            <w:r>
              <w:t>11 Aug 2015</w:t>
            </w:r>
            <w:r>
              <w:rPr>
                <w:bCs/>
                <w:snapToGrid w:val="0"/>
              </w:rPr>
              <w:t xml:space="preserve"> (see r. 2(a));</w:t>
            </w:r>
            <w:r>
              <w:rPr>
                <w:bCs/>
                <w:snapToGrid w:val="0"/>
              </w:rPr>
              <w:br/>
              <w:t xml:space="preserve">Regulations other than r. 1 and 2: </w:t>
            </w:r>
            <w:r>
              <w:t>12 Aug 2015</w:t>
            </w:r>
            <w:r>
              <w:rPr>
                <w:bCs/>
                <w:snapToGrid w:val="0"/>
              </w:rPr>
              <w:t xml:space="preserve"> (see </w:t>
            </w:r>
            <w:r>
              <w:rPr>
                <w:bCs/>
                <w:snapToGrid w:val="0"/>
              </w:rPr>
              <w:t>r. 2(b))</w:t>
            </w:r>
          </w:p>
        </w:tc>
      </w:tr>
      <w:tr w:rsidR="003E67DA">
        <w:trPr>
          <w:cantSplit/>
        </w:trPr>
        <w:tc>
          <w:tcPr>
            <w:tcW w:w="3119" w:type="dxa"/>
            <w:tcBorders>
              <w:top w:val="nil"/>
              <w:bottom w:val="nil"/>
            </w:tcBorders>
            <w:shd w:val="clear" w:color="auto" w:fill="auto"/>
          </w:tcPr>
          <w:p w:rsidR="003E67DA" w:rsidRDefault="00645504">
            <w:pPr>
              <w:pStyle w:val="nTable"/>
              <w:spacing w:after="40"/>
            </w:pPr>
            <w:r>
              <w:rPr>
                <w:i/>
              </w:rPr>
              <w:t>Health Regulations Amendment (Fees and Charges) Regulations 2016</w:t>
            </w:r>
            <w:r>
              <w:t xml:space="preserve"> Pt. 2</w:t>
            </w:r>
          </w:p>
        </w:tc>
        <w:tc>
          <w:tcPr>
            <w:tcW w:w="1276" w:type="dxa"/>
            <w:tcBorders>
              <w:top w:val="nil"/>
              <w:bottom w:val="nil"/>
            </w:tcBorders>
            <w:shd w:val="clear" w:color="auto" w:fill="auto"/>
          </w:tcPr>
          <w:p w:rsidR="003E67DA" w:rsidRDefault="00645504">
            <w:pPr>
              <w:pStyle w:val="nTable"/>
              <w:spacing w:after="40"/>
            </w:pPr>
            <w:r>
              <w:t>17 Jun 2016 p. 2101-5</w:t>
            </w:r>
          </w:p>
        </w:tc>
        <w:tc>
          <w:tcPr>
            <w:tcW w:w="2693" w:type="dxa"/>
            <w:tcBorders>
              <w:top w:val="nil"/>
              <w:bottom w:val="nil"/>
            </w:tcBorders>
            <w:shd w:val="clear" w:color="auto" w:fill="auto"/>
          </w:tcPr>
          <w:p w:rsidR="003E67DA" w:rsidRDefault="00645504">
            <w:pPr>
              <w:pStyle w:val="nTable"/>
              <w:spacing w:after="40"/>
              <w:rPr>
                <w:bCs/>
                <w:snapToGrid w:val="0"/>
              </w:rPr>
            </w:pPr>
            <w:r>
              <w:rPr>
                <w:bCs/>
                <w:snapToGrid w:val="0"/>
              </w:rPr>
              <w:t>1 Jul 2016 (see r. 2(b))</w:t>
            </w:r>
          </w:p>
        </w:tc>
      </w:tr>
      <w:tr w:rsidR="003E67DA">
        <w:trPr>
          <w:cantSplit/>
        </w:trPr>
        <w:tc>
          <w:tcPr>
            <w:tcW w:w="3119" w:type="dxa"/>
            <w:tcBorders>
              <w:top w:val="nil"/>
              <w:bottom w:val="nil"/>
            </w:tcBorders>
            <w:shd w:val="clear" w:color="auto" w:fill="auto"/>
          </w:tcPr>
          <w:p w:rsidR="003E67DA" w:rsidRDefault="00645504">
            <w:pPr>
              <w:pStyle w:val="nTable"/>
              <w:spacing w:after="40"/>
            </w:pPr>
            <w:r>
              <w:rPr>
                <w:i/>
              </w:rPr>
              <w:t>Health Services (Consequential Amendments) Regulations 2016</w:t>
            </w:r>
            <w:r>
              <w:t xml:space="preserve"> Pt. 2</w:t>
            </w:r>
          </w:p>
        </w:tc>
        <w:tc>
          <w:tcPr>
            <w:tcW w:w="1276" w:type="dxa"/>
            <w:tcBorders>
              <w:top w:val="nil"/>
              <w:bottom w:val="nil"/>
            </w:tcBorders>
            <w:shd w:val="clear" w:color="auto" w:fill="auto"/>
          </w:tcPr>
          <w:p w:rsidR="003E67DA" w:rsidRDefault="00645504">
            <w:pPr>
              <w:pStyle w:val="nTable"/>
              <w:spacing w:after="40"/>
            </w:pPr>
            <w:r>
              <w:t>24 Jun 2016 p. 2311</w:t>
            </w:r>
            <w:r>
              <w:noBreakHyphen/>
              <w:t>15</w:t>
            </w:r>
          </w:p>
        </w:tc>
        <w:tc>
          <w:tcPr>
            <w:tcW w:w="2693" w:type="dxa"/>
            <w:tcBorders>
              <w:top w:val="nil"/>
              <w:bottom w:val="nil"/>
            </w:tcBorders>
            <w:shd w:val="clear" w:color="auto" w:fill="auto"/>
          </w:tcPr>
          <w:p w:rsidR="003E67DA" w:rsidRDefault="00645504">
            <w:pPr>
              <w:pStyle w:val="nTable"/>
              <w:spacing w:after="40"/>
              <w:rPr>
                <w:bCs/>
                <w:snapToGrid w:val="0"/>
              </w:rPr>
            </w:pPr>
            <w:r>
              <w:rPr>
                <w:bCs/>
                <w:snapToGrid w:val="0"/>
              </w:rPr>
              <w:t xml:space="preserve">1 Jul 2016 (see r. 2(b) and </w:t>
            </w:r>
            <w:r>
              <w:rPr>
                <w:bCs/>
                <w:i/>
                <w:snapToGrid w:val="0"/>
              </w:rPr>
              <w:t>Gazette</w:t>
            </w:r>
            <w:r>
              <w:rPr>
                <w:bCs/>
                <w:snapToGrid w:val="0"/>
              </w:rPr>
              <w:t xml:space="preserve"> 24 Jun 2016 p. 2291)</w:t>
            </w:r>
          </w:p>
        </w:tc>
      </w:tr>
      <w:tr w:rsidR="003E67DA">
        <w:trPr>
          <w:cantSplit/>
        </w:trPr>
        <w:tc>
          <w:tcPr>
            <w:tcW w:w="3119" w:type="dxa"/>
            <w:tcBorders>
              <w:top w:val="nil"/>
              <w:bottom w:val="nil"/>
            </w:tcBorders>
            <w:shd w:val="clear" w:color="auto" w:fill="auto"/>
          </w:tcPr>
          <w:p w:rsidR="003E67DA" w:rsidRDefault="00645504">
            <w:pPr>
              <w:pStyle w:val="nTable"/>
              <w:spacing w:after="40"/>
            </w:pPr>
            <w:r>
              <w:rPr>
                <w:i/>
              </w:rPr>
              <w:t xml:space="preserve">Health Regulations Amendment (Public Health) Regulations 2016 </w:t>
            </w:r>
            <w:r>
              <w:t>Pt.</w:t>
            </w:r>
            <w:r>
              <w:rPr>
                <w:i/>
              </w:rPr>
              <w:t> </w:t>
            </w:r>
            <w:r>
              <w:t>6</w:t>
            </w:r>
          </w:p>
        </w:tc>
        <w:tc>
          <w:tcPr>
            <w:tcW w:w="1276" w:type="dxa"/>
            <w:tcBorders>
              <w:top w:val="nil"/>
              <w:bottom w:val="nil"/>
            </w:tcBorders>
            <w:shd w:val="clear" w:color="auto" w:fill="auto"/>
          </w:tcPr>
          <w:p w:rsidR="003E67DA" w:rsidRDefault="00645504">
            <w:pPr>
              <w:pStyle w:val="nTable"/>
              <w:spacing w:after="40"/>
            </w:pPr>
            <w:r>
              <w:t>10 Jan 2017 p. 237</w:t>
            </w:r>
            <w:r>
              <w:noBreakHyphen/>
              <w:t>308</w:t>
            </w:r>
          </w:p>
        </w:tc>
        <w:tc>
          <w:tcPr>
            <w:tcW w:w="2693" w:type="dxa"/>
            <w:tcBorders>
              <w:top w:val="nil"/>
              <w:bottom w:val="nil"/>
            </w:tcBorders>
            <w:shd w:val="clear" w:color="auto" w:fill="auto"/>
          </w:tcPr>
          <w:p w:rsidR="003E67DA" w:rsidRDefault="00645504">
            <w:pPr>
              <w:pStyle w:val="nTable"/>
              <w:spacing w:after="40"/>
              <w:rPr>
                <w:bCs/>
                <w:snapToGrid w:val="0"/>
              </w:rPr>
            </w:pPr>
            <w:r>
              <w:t xml:space="preserve">24 Jan 2017 (see r. 2(b) and </w:t>
            </w:r>
            <w:r>
              <w:rPr>
                <w:i/>
              </w:rPr>
              <w:t>Gazette</w:t>
            </w:r>
            <w:r>
              <w:t xml:space="preserve"> 10 Jan 2017 p. 165)</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Health Regulations Amendment (Fees and Charges) Regulations 2017</w:t>
            </w:r>
            <w:r>
              <w:t xml:space="preserve"> Pt. 2</w:t>
            </w:r>
          </w:p>
        </w:tc>
        <w:tc>
          <w:tcPr>
            <w:tcW w:w="1276" w:type="dxa"/>
            <w:tcBorders>
              <w:top w:val="nil"/>
              <w:bottom w:val="nil"/>
            </w:tcBorders>
            <w:shd w:val="clear" w:color="auto" w:fill="auto"/>
          </w:tcPr>
          <w:p w:rsidR="003E67DA" w:rsidRDefault="00645504">
            <w:pPr>
              <w:pStyle w:val="nTable"/>
              <w:spacing w:after="40"/>
            </w:pPr>
            <w:r>
              <w:t>30 Jun 2017 p</w:t>
            </w:r>
            <w:r>
              <w:t>. 3568</w:t>
            </w:r>
            <w:r>
              <w:noBreakHyphen/>
              <w:t>74</w:t>
            </w:r>
          </w:p>
        </w:tc>
        <w:tc>
          <w:tcPr>
            <w:tcW w:w="2693" w:type="dxa"/>
            <w:tcBorders>
              <w:top w:val="nil"/>
              <w:bottom w:val="nil"/>
            </w:tcBorders>
            <w:shd w:val="clear" w:color="auto" w:fill="auto"/>
          </w:tcPr>
          <w:p w:rsidR="003E67DA" w:rsidRDefault="00645504">
            <w:pPr>
              <w:pStyle w:val="nTable"/>
              <w:spacing w:after="40"/>
            </w:pPr>
            <w:r>
              <w:rPr>
                <w:bCs/>
                <w:snapToGrid w:val="0"/>
              </w:rPr>
              <w:t>1 Jul 2017 (see r. 2(b))</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Health Regulations Amendment (Fees and Charges) Regulations 2018</w:t>
            </w:r>
            <w:r>
              <w:t xml:space="preserve"> Pt. 2</w:t>
            </w:r>
          </w:p>
        </w:tc>
        <w:tc>
          <w:tcPr>
            <w:tcW w:w="1276" w:type="dxa"/>
            <w:tcBorders>
              <w:top w:val="nil"/>
              <w:bottom w:val="nil"/>
            </w:tcBorders>
            <w:shd w:val="clear" w:color="auto" w:fill="auto"/>
          </w:tcPr>
          <w:p w:rsidR="003E67DA" w:rsidRDefault="00645504">
            <w:pPr>
              <w:pStyle w:val="nTable"/>
              <w:spacing w:after="40"/>
            </w:pPr>
            <w:r>
              <w:t>25 May 2018 p. 1632</w:t>
            </w:r>
            <w:r>
              <w:noBreakHyphen/>
              <w:t>9</w:t>
            </w:r>
          </w:p>
        </w:tc>
        <w:tc>
          <w:tcPr>
            <w:tcW w:w="2693" w:type="dxa"/>
            <w:tcBorders>
              <w:top w:val="nil"/>
              <w:bottom w:val="nil"/>
            </w:tcBorders>
            <w:shd w:val="clear" w:color="auto" w:fill="auto"/>
          </w:tcPr>
          <w:p w:rsidR="003E67DA" w:rsidRDefault="00645504">
            <w:pPr>
              <w:pStyle w:val="nTable"/>
              <w:spacing w:after="40"/>
              <w:rPr>
                <w:bCs/>
                <w:snapToGrid w:val="0"/>
              </w:rPr>
            </w:pPr>
            <w:r>
              <w:t>1 Jul 2018 (see r. 2(b))</w:t>
            </w:r>
          </w:p>
        </w:tc>
      </w:tr>
      <w:tr w:rsidR="003E67DA">
        <w:trPr>
          <w:cantSplit/>
        </w:trPr>
        <w:tc>
          <w:tcPr>
            <w:tcW w:w="7088" w:type="dxa"/>
            <w:gridSpan w:val="3"/>
            <w:tcBorders>
              <w:top w:val="nil"/>
              <w:bottom w:val="nil"/>
            </w:tcBorders>
            <w:shd w:val="clear" w:color="auto" w:fill="auto"/>
          </w:tcPr>
          <w:p w:rsidR="003E67DA" w:rsidRDefault="00645504">
            <w:pPr>
              <w:pStyle w:val="nTable"/>
              <w:spacing w:after="40"/>
              <w:rPr>
                <w:bCs/>
                <w:snapToGrid w:val="0"/>
              </w:rPr>
            </w:pPr>
            <w:r>
              <w:rPr>
                <w:b/>
                <w:bCs/>
                <w:snapToGrid w:val="0"/>
              </w:rPr>
              <w:t xml:space="preserve">Reprint 2: The </w:t>
            </w:r>
            <w:r>
              <w:rPr>
                <w:b/>
                <w:bCs/>
                <w:i/>
                <w:noProof/>
                <w:snapToGrid w:val="0"/>
              </w:rPr>
              <w:t>Food Regulations 2009</w:t>
            </w:r>
            <w:r>
              <w:rPr>
                <w:b/>
                <w:bCs/>
                <w:snapToGrid w:val="0"/>
              </w:rPr>
              <w:t xml:space="preserve"> as at 3 Aug 2018</w:t>
            </w:r>
            <w:r>
              <w:rPr>
                <w:bCs/>
                <w:snapToGrid w:val="0"/>
              </w:rPr>
              <w:t xml:space="preserve"> (includes amendments listed above)</w:t>
            </w:r>
          </w:p>
        </w:tc>
      </w:tr>
      <w:tr w:rsidR="003E67DA">
        <w:trPr>
          <w:cantSplit/>
        </w:trPr>
        <w:tc>
          <w:tcPr>
            <w:tcW w:w="3119" w:type="dxa"/>
            <w:tcBorders>
              <w:top w:val="nil"/>
              <w:bottom w:val="nil"/>
            </w:tcBorders>
            <w:shd w:val="clear" w:color="auto" w:fill="auto"/>
          </w:tcPr>
          <w:p w:rsidR="003E67DA" w:rsidRDefault="00645504">
            <w:pPr>
              <w:pStyle w:val="nTable"/>
              <w:spacing w:after="40"/>
              <w:rPr>
                <w:i/>
              </w:rPr>
            </w:pPr>
            <w:r>
              <w:rPr>
                <w:i/>
              </w:rPr>
              <w:t xml:space="preserve">Health </w:t>
            </w:r>
            <w:r>
              <w:rPr>
                <w:i/>
              </w:rPr>
              <w:t>Regulations Amendment (Fees and Charges) Regulations 2019</w:t>
            </w:r>
            <w:r>
              <w:t xml:space="preserve"> Pt. 2</w:t>
            </w:r>
          </w:p>
        </w:tc>
        <w:tc>
          <w:tcPr>
            <w:tcW w:w="1276" w:type="dxa"/>
            <w:tcBorders>
              <w:top w:val="nil"/>
              <w:bottom w:val="nil"/>
            </w:tcBorders>
            <w:shd w:val="clear" w:color="auto" w:fill="auto"/>
          </w:tcPr>
          <w:p w:rsidR="003E67DA" w:rsidRDefault="00645504">
            <w:pPr>
              <w:pStyle w:val="nTable"/>
              <w:spacing w:after="40"/>
            </w:pPr>
            <w:r>
              <w:t>14 Jun 2019 p. 1883</w:t>
            </w:r>
            <w:r>
              <w:noBreakHyphen/>
              <w:t>94</w:t>
            </w:r>
          </w:p>
        </w:tc>
        <w:tc>
          <w:tcPr>
            <w:tcW w:w="2693" w:type="dxa"/>
            <w:tcBorders>
              <w:top w:val="nil"/>
              <w:bottom w:val="nil"/>
            </w:tcBorders>
            <w:shd w:val="clear" w:color="auto" w:fill="auto"/>
          </w:tcPr>
          <w:p w:rsidR="003E67DA" w:rsidRDefault="00645504">
            <w:pPr>
              <w:pStyle w:val="nTable"/>
              <w:spacing w:after="40"/>
              <w:rPr>
                <w:bCs/>
                <w:snapToGrid w:val="0"/>
              </w:rPr>
            </w:pPr>
            <w:r>
              <w:t>1 Jul 2019 (see r. 2(b))</w:t>
            </w:r>
          </w:p>
        </w:tc>
      </w:tr>
      <w:tr w:rsidR="003E67DA">
        <w:trPr>
          <w:cantSplit/>
        </w:trPr>
        <w:tc>
          <w:tcPr>
            <w:tcW w:w="3119" w:type="dxa"/>
            <w:tcBorders>
              <w:top w:val="nil"/>
              <w:bottom w:val="nil"/>
            </w:tcBorders>
            <w:shd w:val="clear" w:color="auto" w:fill="auto"/>
          </w:tcPr>
          <w:p w:rsidR="003E67DA" w:rsidRDefault="00645504">
            <w:pPr>
              <w:pStyle w:val="nTable"/>
              <w:spacing w:after="40"/>
            </w:pPr>
            <w:r>
              <w:rPr>
                <w:i/>
              </w:rPr>
              <w:t xml:space="preserve">Health Regulations Amendment (Fees and Charges) Regulations 2020 </w:t>
            </w:r>
            <w:r>
              <w:t>Pt. 2</w:t>
            </w:r>
          </w:p>
        </w:tc>
        <w:tc>
          <w:tcPr>
            <w:tcW w:w="1276" w:type="dxa"/>
            <w:tcBorders>
              <w:top w:val="nil"/>
              <w:bottom w:val="nil"/>
            </w:tcBorders>
            <w:shd w:val="clear" w:color="auto" w:fill="auto"/>
          </w:tcPr>
          <w:p w:rsidR="003E67DA" w:rsidRDefault="00645504">
            <w:pPr>
              <w:pStyle w:val="nTable"/>
              <w:spacing w:after="40"/>
            </w:pPr>
            <w:r>
              <w:t>SL 2020/97 26 Jun 2020</w:t>
            </w:r>
          </w:p>
        </w:tc>
        <w:tc>
          <w:tcPr>
            <w:tcW w:w="2693" w:type="dxa"/>
            <w:tcBorders>
              <w:top w:val="nil"/>
              <w:bottom w:val="nil"/>
            </w:tcBorders>
            <w:shd w:val="clear" w:color="auto" w:fill="auto"/>
          </w:tcPr>
          <w:p w:rsidR="003E67DA" w:rsidRDefault="00645504">
            <w:pPr>
              <w:pStyle w:val="nTable"/>
              <w:spacing w:after="40"/>
            </w:pPr>
            <w:r>
              <w:t>1 Jul 2020 (see r. 2(b))</w:t>
            </w:r>
          </w:p>
        </w:tc>
      </w:tr>
      <w:tr w:rsidR="003E67DA">
        <w:trPr>
          <w:cantSplit/>
        </w:trPr>
        <w:tc>
          <w:tcPr>
            <w:tcW w:w="3119" w:type="dxa"/>
            <w:tcBorders>
              <w:top w:val="nil"/>
              <w:bottom w:val="nil"/>
            </w:tcBorders>
            <w:shd w:val="clear" w:color="auto" w:fill="auto"/>
          </w:tcPr>
          <w:p w:rsidR="003E67DA" w:rsidRDefault="00645504">
            <w:pPr>
              <w:pStyle w:val="nTable"/>
              <w:spacing w:after="40"/>
            </w:pPr>
            <w:r>
              <w:rPr>
                <w:i/>
              </w:rPr>
              <w:t xml:space="preserve">Health Regulations </w:t>
            </w:r>
            <w:r>
              <w:rPr>
                <w:i/>
              </w:rPr>
              <w:t>Amendment (Infringement Notices) Regulations 2020</w:t>
            </w:r>
            <w:r>
              <w:t xml:space="preserve"> Pt. 2</w:t>
            </w:r>
          </w:p>
        </w:tc>
        <w:tc>
          <w:tcPr>
            <w:tcW w:w="1276" w:type="dxa"/>
            <w:tcBorders>
              <w:top w:val="nil"/>
              <w:bottom w:val="nil"/>
            </w:tcBorders>
            <w:shd w:val="clear" w:color="auto" w:fill="auto"/>
          </w:tcPr>
          <w:p w:rsidR="003E67DA" w:rsidRDefault="00645504">
            <w:pPr>
              <w:pStyle w:val="nTable"/>
              <w:spacing w:after="40"/>
            </w:pPr>
            <w:r>
              <w:t>SL 2020/168 25 Sep 2020</w:t>
            </w:r>
          </w:p>
        </w:tc>
        <w:tc>
          <w:tcPr>
            <w:tcW w:w="2693" w:type="dxa"/>
            <w:tcBorders>
              <w:top w:val="nil"/>
              <w:bottom w:val="nil"/>
            </w:tcBorders>
            <w:shd w:val="clear" w:color="auto" w:fill="auto"/>
          </w:tcPr>
          <w:p w:rsidR="003E67DA" w:rsidRDefault="00645504">
            <w:pPr>
              <w:pStyle w:val="nTable"/>
              <w:spacing w:after="40"/>
            </w:pPr>
            <w:r>
              <w:t>29 Sep 2020 (see r. 2(b) and SL 2020/159 cl. 2(a))</w:t>
            </w:r>
          </w:p>
        </w:tc>
      </w:tr>
      <w:tr w:rsidR="003E67DA">
        <w:trPr>
          <w:cantSplit/>
        </w:trPr>
        <w:tc>
          <w:tcPr>
            <w:tcW w:w="3119" w:type="dxa"/>
            <w:tcBorders>
              <w:top w:val="nil"/>
              <w:bottom w:val="single" w:sz="4" w:space="0" w:color="auto"/>
            </w:tcBorders>
            <w:shd w:val="clear" w:color="auto" w:fill="auto"/>
          </w:tcPr>
          <w:p w:rsidR="003E67DA" w:rsidRDefault="00645504">
            <w:pPr>
              <w:pStyle w:val="nTable"/>
              <w:spacing w:after="40"/>
              <w:rPr>
                <w:i/>
              </w:rPr>
            </w:pPr>
            <w:r>
              <w:rPr>
                <w:i/>
              </w:rPr>
              <w:t>Food Amendment Regulations 2021</w:t>
            </w:r>
          </w:p>
        </w:tc>
        <w:tc>
          <w:tcPr>
            <w:tcW w:w="1276" w:type="dxa"/>
            <w:tcBorders>
              <w:top w:val="nil"/>
              <w:bottom w:val="single" w:sz="4" w:space="0" w:color="auto"/>
            </w:tcBorders>
            <w:shd w:val="clear" w:color="auto" w:fill="auto"/>
          </w:tcPr>
          <w:p w:rsidR="003E67DA" w:rsidRDefault="00645504">
            <w:pPr>
              <w:pStyle w:val="nTable"/>
              <w:spacing w:after="40"/>
            </w:pPr>
            <w:r>
              <w:t>SL 2021/40 9 Apr 2021</w:t>
            </w:r>
          </w:p>
        </w:tc>
        <w:tc>
          <w:tcPr>
            <w:tcW w:w="2693" w:type="dxa"/>
            <w:tcBorders>
              <w:top w:val="nil"/>
              <w:bottom w:val="single" w:sz="4" w:space="0" w:color="auto"/>
            </w:tcBorders>
            <w:shd w:val="clear" w:color="auto" w:fill="auto"/>
          </w:tcPr>
          <w:p w:rsidR="003E67DA" w:rsidRDefault="00645504">
            <w:pPr>
              <w:pStyle w:val="nTable"/>
              <w:spacing w:after="40"/>
            </w:pPr>
            <w:r>
              <w:rPr>
                <w:bCs/>
                <w:snapToGrid w:val="0"/>
              </w:rPr>
              <w:t xml:space="preserve">r. 1 and 2: </w:t>
            </w:r>
            <w:r>
              <w:t>9 Apr 2021</w:t>
            </w:r>
            <w:r>
              <w:rPr>
                <w:bCs/>
                <w:snapToGrid w:val="0"/>
              </w:rPr>
              <w:t xml:space="preserve"> (see r. 2(a));</w:t>
            </w:r>
            <w:r>
              <w:rPr>
                <w:bCs/>
                <w:snapToGrid w:val="0"/>
              </w:rPr>
              <w:br/>
              <w:t xml:space="preserve">Regulations other than r. 1 and </w:t>
            </w:r>
            <w:r>
              <w:rPr>
                <w:bCs/>
                <w:snapToGrid w:val="0"/>
              </w:rPr>
              <w:t xml:space="preserve">2: </w:t>
            </w:r>
            <w:r>
              <w:t>10 Apr 2021</w:t>
            </w:r>
            <w:r>
              <w:rPr>
                <w:bCs/>
                <w:snapToGrid w:val="0"/>
              </w:rPr>
              <w:t xml:space="preserve"> (see r. 2(b))</w:t>
            </w:r>
          </w:p>
        </w:tc>
      </w:tr>
    </w:tbl>
    <w:p w:rsidR="003E67DA" w:rsidRDefault="00645504">
      <w:pPr>
        <w:pStyle w:val="nHeading3"/>
      </w:pPr>
      <w:bookmarkStart w:id="135" w:name="_Toc68767530"/>
      <w:r>
        <w:t>Other notes</w:t>
      </w:r>
      <w:bookmarkEnd w:id="135"/>
    </w:p>
    <w:p w:rsidR="003E67DA" w:rsidRDefault="00645504">
      <w:pPr>
        <w:pStyle w:val="nNote"/>
      </w:pPr>
      <w:r>
        <w:rPr>
          <w:vertAlign w:val="superscript"/>
        </w:rPr>
        <w:t>1</w:t>
      </w:r>
      <w:r>
        <w:tab/>
        <w:t xml:space="preserve">The </w:t>
      </w:r>
      <w:r>
        <w:rPr>
          <w:i/>
        </w:rPr>
        <w:t>Food Act 2008</w:t>
      </w:r>
      <w:r>
        <w:t xml:space="preserve"> s. 147(14) commenced 24 Oct 2009.</w:t>
      </w:r>
    </w:p>
    <w:p w:rsidR="003E67DA" w:rsidRDefault="00645504">
      <w:pPr>
        <w:pStyle w:val="nNote"/>
      </w:pPr>
      <w:r>
        <w:rPr>
          <w:vertAlign w:val="superscript"/>
        </w:rPr>
        <w:t>2</w:t>
      </w:r>
      <w:r>
        <w:tab/>
        <w:t xml:space="preserve">Deleted by the </w:t>
      </w:r>
      <w:r>
        <w:rPr>
          <w:i/>
        </w:rPr>
        <w:t>Food Act 2008</w:t>
      </w:r>
      <w:r>
        <w:t xml:space="preserve"> s. 147(11).</w:t>
      </w:r>
    </w:p>
    <w:p w:rsidR="003E67DA" w:rsidRDefault="003E67DA"/>
    <w:p w:rsidR="003E67DA" w:rsidRDefault="003E67DA">
      <w:pPr>
        <w:sectPr w:rsidR="003E67DA">
          <w:headerReference w:type="even" r:id="rId28"/>
          <w:headerReference w:type="default" r:id="rId29"/>
          <w:pgSz w:w="11907" w:h="16840" w:code="9"/>
          <w:pgMar w:top="2376" w:right="2404" w:bottom="3544" w:left="2404" w:header="720" w:footer="3380" w:gutter="0"/>
          <w:cols w:space="720"/>
          <w:noEndnote/>
          <w:docGrid w:linePitch="326"/>
        </w:sectPr>
      </w:pPr>
    </w:p>
    <w:p w:rsidR="003E67DA" w:rsidRDefault="00645504">
      <w:pPr>
        <w:pStyle w:val="nHeading2"/>
        <w:rPr>
          <w:sz w:val="28"/>
        </w:rPr>
      </w:pPr>
      <w:bookmarkStart w:id="137" w:name="_Toc68693346"/>
      <w:bookmarkStart w:id="138" w:name="_Toc68696970"/>
      <w:bookmarkStart w:id="139" w:name="_Toc68767531"/>
      <w:r>
        <w:rPr>
          <w:sz w:val="28"/>
        </w:rPr>
        <w:lastRenderedPageBreak/>
        <w:t>Defined terms</w:t>
      </w:r>
      <w:bookmarkEnd w:id="137"/>
      <w:bookmarkEnd w:id="138"/>
      <w:bookmarkEnd w:id="139"/>
    </w:p>
    <w:p w:rsidR="003E67DA" w:rsidRDefault="003E67DA">
      <w:pPr>
        <w:ind w:left="850" w:right="850"/>
        <w:jc w:val="center"/>
        <w:rPr>
          <w:i/>
          <w:sz w:val="18"/>
        </w:rPr>
      </w:pPr>
    </w:p>
    <w:p w:rsidR="003E67DA" w:rsidRDefault="00645504">
      <w:pPr>
        <w:spacing w:before="120" w:after="120"/>
        <w:ind w:left="851" w:right="851"/>
        <w:jc w:val="center"/>
        <w:rPr>
          <w:i/>
          <w:sz w:val="18"/>
        </w:rPr>
      </w:pPr>
      <w:r>
        <w:rPr>
          <w:i/>
          <w:sz w:val="18"/>
        </w:rPr>
        <w:t xml:space="preserve">[This is a list of terms defined and the provisions where </w:t>
      </w:r>
      <w:r>
        <w:rPr>
          <w:i/>
          <w:sz w:val="18"/>
        </w:rPr>
        <w:t>they are defined.  The list is not part of the law.]</w:t>
      </w:r>
    </w:p>
    <w:p w:rsidR="003E67DA" w:rsidRDefault="00645504">
      <w:pPr>
        <w:pBdr>
          <w:bottom w:val="single" w:sz="4" w:space="1" w:color="auto"/>
        </w:pBdr>
        <w:tabs>
          <w:tab w:val="right" w:pos="7070"/>
        </w:tabs>
        <w:ind w:left="578"/>
        <w:rPr>
          <w:b/>
          <w:sz w:val="20"/>
        </w:rPr>
      </w:pPr>
      <w:r>
        <w:rPr>
          <w:b/>
          <w:sz w:val="20"/>
        </w:rPr>
        <w:t>Defined term</w:t>
      </w:r>
      <w:r>
        <w:rPr>
          <w:b/>
          <w:sz w:val="20"/>
        </w:rPr>
        <w:tab/>
        <w:t>Provision(s)</w:t>
      </w:r>
    </w:p>
    <w:p w:rsidR="003E67DA" w:rsidRDefault="00645504">
      <w:pPr>
        <w:pStyle w:val="DefinedTerms"/>
      </w:pPr>
      <w:r>
        <w:t>abattoir</w:t>
      </w:r>
      <w:r>
        <w:tab/>
        <w:t>3</w:t>
      </w:r>
    </w:p>
    <w:p w:rsidR="003E67DA" w:rsidRDefault="00645504">
      <w:pPr>
        <w:pStyle w:val="DefinedTerms"/>
      </w:pPr>
      <w:r>
        <w:t>adopted standard</w:t>
      </w:r>
      <w:r>
        <w:tab/>
        <w:t>17</w:t>
      </w:r>
    </w:p>
    <w:p w:rsidR="003E67DA" w:rsidRDefault="00645504">
      <w:pPr>
        <w:pStyle w:val="DefinedTerms"/>
      </w:pPr>
      <w:r>
        <w:t>animal</w:t>
      </w:r>
      <w:r>
        <w:tab/>
        <w:t>17</w:t>
      </w:r>
    </w:p>
    <w:p w:rsidR="003E67DA" w:rsidRDefault="00645504">
      <w:pPr>
        <w:pStyle w:val="DefinedTerms"/>
      </w:pPr>
      <w:r>
        <w:t>animal food processing premises</w:t>
      </w:r>
      <w:r>
        <w:tab/>
        <w:t>3, 17</w:t>
      </w:r>
    </w:p>
    <w:p w:rsidR="003E67DA" w:rsidRDefault="00645504">
      <w:pPr>
        <w:pStyle w:val="DefinedTerms"/>
      </w:pPr>
      <w:r>
        <w:t>authorised officer</w:t>
      </w:r>
      <w:r>
        <w:tab/>
        <w:t>17</w:t>
      </w:r>
    </w:p>
    <w:p w:rsidR="003E67DA" w:rsidRDefault="00645504">
      <w:pPr>
        <w:pStyle w:val="DefinedTerms"/>
      </w:pPr>
      <w:r>
        <w:t>bivalve mollusc</w:t>
      </w:r>
      <w:r>
        <w:tab/>
        <w:t>4(1)</w:t>
      </w:r>
    </w:p>
    <w:p w:rsidR="003E67DA" w:rsidRDefault="00645504">
      <w:pPr>
        <w:pStyle w:val="DefinedTerms"/>
      </w:pPr>
      <w:r>
        <w:t>carcase</w:t>
      </w:r>
      <w:r>
        <w:tab/>
        <w:t>17</w:t>
      </w:r>
    </w:p>
    <w:p w:rsidR="003E67DA" w:rsidRDefault="00645504">
      <w:pPr>
        <w:pStyle w:val="DefinedTerms"/>
      </w:pPr>
      <w:r>
        <w:t>dairy primary production business</w:t>
      </w:r>
      <w:r>
        <w:tab/>
        <w:t>4(1)</w:t>
      </w:r>
    </w:p>
    <w:p w:rsidR="003E67DA" w:rsidRDefault="00645504">
      <w:pPr>
        <w:pStyle w:val="DefinedTerms"/>
      </w:pPr>
      <w:r>
        <w:t>dairy</w:t>
      </w:r>
      <w:r>
        <w:t xml:space="preserve"> processing business</w:t>
      </w:r>
      <w:r>
        <w:tab/>
        <w:t>4(1)</w:t>
      </w:r>
    </w:p>
    <w:p w:rsidR="003E67DA" w:rsidRDefault="00645504">
      <w:pPr>
        <w:pStyle w:val="DefinedTerms"/>
      </w:pPr>
      <w:r>
        <w:t>dairy transport business</w:t>
      </w:r>
      <w:r>
        <w:tab/>
        <w:t>4(1)</w:t>
      </w:r>
    </w:p>
    <w:p w:rsidR="003E67DA" w:rsidRDefault="00645504">
      <w:pPr>
        <w:pStyle w:val="DefinedTerms"/>
      </w:pPr>
      <w:r>
        <w:t>Department</w:t>
      </w:r>
      <w:r>
        <w:tab/>
        <w:t>18(4)</w:t>
      </w:r>
    </w:p>
    <w:p w:rsidR="003E67DA" w:rsidRDefault="00645504">
      <w:pPr>
        <w:pStyle w:val="DefinedTerms"/>
      </w:pPr>
      <w:r>
        <w:t>district</w:t>
      </w:r>
      <w:r>
        <w:tab/>
        <w:t>3</w:t>
      </w:r>
    </w:p>
    <w:p w:rsidR="003E67DA" w:rsidRDefault="00645504">
      <w:pPr>
        <w:pStyle w:val="DefinedTerms"/>
      </w:pPr>
      <w:r>
        <w:t>dressing</w:t>
      </w:r>
      <w:r>
        <w:tab/>
        <w:t>29</w:t>
      </w:r>
    </w:p>
    <w:p w:rsidR="003E67DA" w:rsidRDefault="00645504">
      <w:pPr>
        <w:pStyle w:val="DefinedTerms"/>
      </w:pPr>
      <w:r>
        <w:t>exempted food business</w:t>
      </w:r>
      <w:r>
        <w:tab/>
        <w:t>10(1), 11, 12, 13</w:t>
      </w:r>
    </w:p>
    <w:p w:rsidR="003E67DA" w:rsidRDefault="00645504">
      <w:pPr>
        <w:pStyle w:val="DefinedTerms"/>
      </w:pPr>
      <w:r>
        <w:t>field depot</w:t>
      </w:r>
      <w:r>
        <w:tab/>
        <w:t>17</w:t>
      </w:r>
    </w:p>
    <w:p w:rsidR="003E67DA" w:rsidRDefault="00645504">
      <w:pPr>
        <w:pStyle w:val="DefinedTerms"/>
      </w:pPr>
      <w:r>
        <w:t>FSC standard</w:t>
      </w:r>
      <w:r>
        <w:tab/>
        <w:t>3</w:t>
      </w:r>
    </w:p>
    <w:p w:rsidR="003E67DA" w:rsidRDefault="00645504">
      <w:pPr>
        <w:pStyle w:val="DefinedTerms"/>
      </w:pPr>
      <w:r>
        <w:t>game</w:t>
      </w:r>
      <w:r>
        <w:tab/>
        <w:t>17</w:t>
      </w:r>
    </w:p>
    <w:p w:rsidR="003E67DA" w:rsidRDefault="00645504">
      <w:pPr>
        <w:pStyle w:val="DefinedTerms"/>
      </w:pPr>
      <w:r>
        <w:t>game meat</w:t>
      </w:r>
      <w:r>
        <w:tab/>
        <w:t>17</w:t>
      </w:r>
    </w:p>
    <w:p w:rsidR="003E67DA" w:rsidRDefault="00645504">
      <w:pPr>
        <w:pStyle w:val="DefinedTerms"/>
      </w:pPr>
      <w:r>
        <w:t>King’s Park</w:t>
      </w:r>
      <w:r>
        <w:tab/>
        <w:t>4(1)</w:t>
      </w:r>
    </w:p>
    <w:p w:rsidR="003E67DA" w:rsidRDefault="00645504">
      <w:pPr>
        <w:pStyle w:val="DefinedTerms"/>
      </w:pPr>
      <w:r>
        <w:t>knackery</w:t>
      </w:r>
      <w:r>
        <w:tab/>
        <w:t>17</w:t>
      </w:r>
    </w:p>
    <w:p w:rsidR="003E67DA" w:rsidRDefault="00645504">
      <w:pPr>
        <w:pStyle w:val="DefinedTerms"/>
      </w:pPr>
      <w:r>
        <w:t>manufacturing of seafood</w:t>
      </w:r>
      <w:r>
        <w:tab/>
        <w:t>4(1)</w:t>
      </w:r>
    </w:p>
    <w:p w:rsidR="003E67DA" w:rsidRDefault="00645504">
      <w:pPr>
        <w:pStyle w:val="DefinedTerms"/>
      </w:pPr>
      <w:r>
        <w:t>meat</w:t>
      </w:r>
      <w:r>
        <w:tab/>
        <w:t>17</w:t>
      </w:r>
    </w:p>
    <w:p w:rsidR="003E67DA" w:rsidRDefault="00645504">
      <w:pPr>
        <w:pStyle w:val="DefinedTerms"/>
      </w:pPr>
      <w:r>
        <w:t>m</w:t>
      </w:r>
      <w:r>
        <w:t>eat standard</w:t>
      </w:r>
      <w:r>
        <w:tab/>
        <w:t>17</w:t>
      </w:r>
    </w:p>
    <w:p w:rsidR="003E67DA" w:rsidRDefault="00645504">
      <w:pPr>
        <w:pStyle w:val="DefinedTerms"/>
      </w:pPr>
      <w:r>
        <w:t>pathogen</w:t>
      </w:r>
      <w:r>
        <w:tab/>
        <w:t>14</w:t>
      </w:r>
    </w:p>
    <w:p w:rsidR="003E67DA" w:rsidRDefault="00645504">
      <w:pPr>
        <w:pStyle w:val="DefinedTerms"/>
      </w:pPr>
      <w:r>
        <w:t>pet meat</w:t>
      </w:r>
      <w:r>
        <w:tab/>
        <w:t>17</w:t>
      </w:r>
    </w:p>
    <w:p w:rsidR="003E67DA" w:rsidRDefault="00645504">
      <w:pPr>
        <w:pStyle w:val="DefinedTerms"/>
      </w:pPr>
      <w:r>
        <w:t>pet meat processing establishment</w:t>
      </w:r>
      <w:r>
        <w:tab/>
        <w:t>17</w:t>
      </w:r>
    </w:p>
    <w:p w:rsidR="003E67DA" w:rsidRDefault="00645504">
      <w:pPr>
        <w:pStyle w:val="DefinedTerms"/>
      </w:pPr>
      <w:r>
        <w:t>potentially hazardous food</w:t>
      </w:r>
      <w:r>
        <w:tab/>
        <w:t>9</w:t>
      </w:r>
    </w:p>
    <w:p w:rsidR="003E67DA" w:rsidRDefault="00645504">
      <w:pPr>
        <w:pStyle w:val="DefinedTerms"/>
      </w:pPr>
      <w:r>
        <w:t>poultry</w:t>
      </w:r>
      <w:r>
        <w:tab/>
        <w:t>17</w:t>
      </w:r>
    </w:p>
    <w:p w:rsidR="003E67DA" w:rsidRDefault="00645504">
      <w:pPr>
        <w:pStyle w:val="DefinedTerms"/>
      </w:pPr>
      <w:r>
        <w:t>poultry processing premises</w:t>
      </w:r>
      <w:r>
        <w:tab/>
        <w:t>36(1A)</w:t>
      </w:r>
    </w:p>
    <w:p w:rsidR="003E67DA" w:rsidRDefault="00645504">
      <w:pPr>
        <w:pStyle w:val="DefinedTerms"/>
      </w:pPr>
      <w:r>
        <w:t>poultry standard</w:t>
      </w:r>
      <w:r>
        <w:tab/>
        <w:t>36(1A)</w:t>
      </w:r>
    </w:p>
    <w:p w:rsidR="003E67DA" w:rsidRDefault="00645504">
      <w:pPr>
        <w:pStyle w:val="DefinedTerms"/>
      </w:pPr>
      <w:r>
        <w:t>primary producer</w:t>
      </w:r>
      <w:r>
        <w:tab/>
        <w:t>20(1)</w:t>
      </w:r>
    </w:p>
    <w:p w:rsidR="003E67DA" w:rsidRDefault="00645504">
      <w:pPr>
        <w:pStyle w:val="DefinedTerms"/>
      </w:pPr>
      <w:r>
        <w:t>primary production of seafood</w:t>
      </w:r>
      <w:r>
        <w:tab/>
        <w:t>4(1)</w:t>
      </w:r>
    </w:p>
    <w:p w:rsidR="003E67DA" w:rsidRDefault="00645504">
      <w:pPr>
        <w:pStyle w:val="DefinedTerms"/>
      </w:pPr>
      <w:r>
        <w:t>processing premises</w:t>
      </w:r>
      <w:r>
        <w:tab/>
        <w:t>17</w:t>
      </w:r>
    </w:p>
    <w:p w:rsidR="003E67DA" w:rsidRDefault="00645504">
      <w:pPr>
        <w:pStyle w:val="DefinedTerms"/>
      </w:pPr>
      <w:r>
        <w:t>proprietor</w:t>
      </w:r>
      <w:r>
        <w:tab/>
        <w:t>17, 28, 39(1)</w:t>
      </w:r>
    </w:p>
    <w:p w:rsidR="003E67DA" w:rsidRDefault="00645504">
      <w:pPr>
        <w:pStyle w:val="DefinedTerms"/>
      </w:pPr>
      <w:r>
        <w:t>public hospital</w:t>
      </w:r>
      <w:r>
        <w:tab/>
        <w:t>4(1)</w:t>
      </w:r>
    </w:p>
    <w:p w:rsidR="003E67DA" w:rsidRDefault="00645504">
      <w:pPr>
        <w:pStyle w:val="DefinedTerms"/>
      </w:pPr>
      <w:r>
        <w:t>registered establishment</w:t>
      </w:r>
      <w:r>
        <w:tab/>
        <w:t>3</w:t>
      </w:r>
    </w:p>
    <w:p w:rsidR="003E67DA" w:rsidRDefault="00645504">
      <w:pPr>
        <w:pStyle w:val="DefinedTerms"/>
      </w:pPr>
      <w:r>
        <w:t>requirements of the wild game standard</w:t>
      </w:r>
      <w:r>
        <w:tab/>
        <w:t>49(1)</w:t>
      </w:r>
    </w:p>
    <w:p w:rsidR="003E67DA" w:rsidRDefault="00645504">
      <w:pPr>
        <w:pStyle w:val="DefinedTerms"/>
      </w:pPr>
      <w:r>
        <w:t>retail pet meat shop</w:t>
      </w:r>
      <w:r>
        <w:tab/>
        <w:t>3, 17</w:t>
      </w:r>
    </w:p>
    <w:p w:rsidR="003E67DA" w:rsidRDefault="00645504">
      <w:pPr>
        <w:pStyle w:val="DefinedTerms"/>
      </w:pPr>
      <w:r>
        <w:lastRenderedPageBreak/>
        <w:t>Rottnest Island</w:t>
      </w:r>
      <w:r>
        <w:tab/>
        <w:t>4(1)</w:t>
      </w:r>
    </w:p>
    <w:p w:rsidR="003E67DA" w:rsidRDefault="00645504">
      <w:pPr>
        <w:pStyle w:val="DefinedTerms"/>
      </w:pPr>
      <w:r>
        <w:t>wild game meat processing establishment</w:t>
      </w:r>
      <w:r>
        <w:tab/>
        <w:t>3</w:t>
      </w:r>
    </w:p>
    <w:p w:rsidR="003E67DA" w:rsidRDefault="00645504">
      <w:pPr>
        <w:pStyle w:val="DefinedTerms"/>
      </w:pPr>
      <w:r>
        <w:t>wild game standard</w:t>
      </w:r>
      <w:r>
        <w:tab/>
        <w:t>3</w:t>
      </w:r>
    </w:p>
    <w:p w:rsidR="003E67DA" w:rsidRDefault="003E67DA"/>
    <w:p w:rsidR="003E67DA" w:rsidRDefault="003E67DA">
      <w:pPr>
        <w:sectPr w:rsidR="003E67DA">
          <w:headerReference w:type="even" r:id="rId30"/>
          <w:headerReference w:type="default" r:id="rId31"/>
          <w:pgSz w:w="11907" w:h="16840" w:code="9"/>
          <w:pgMar w:top="2381" w:right="2409" w:bottom="3543" w:left="2409" w:header="720" w:footer="3380" w:gutter="0"/>
          <w:cols w:space="720"/>
          <w:noEndnote/>
          <w:docGrid w:linePitch="326"/>
        </w:sectPr>
      </w:pPr>
    </w:p>
    <w:p w:rsidR="003E67DA" w:rsidRDefault="003E67DA"/>
    <w:sectPr w:rsidR="003E67DA">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7DA" w:rsidRDefault="00645504">
      <w:pPr>
        <w:rPr>
          <w:b/>
          <w:sz w:val="28"/>
        </w:rPr>
      </w:pPr>
      <w:r>
        <w:rPr>
          <w:b/>
          <w:sz w:val="28"/>
        </w:rPr>
        <w:t>Endnotes</w:t>
      </w:r>
    </w:p>
    <w:p w:rsidR="003E67DA" w:rsidRDefault="00645504">
      <w:pPr>
        <w:spacing w:after="240"/>
        <w:rPr>
          <w:rFonts w:ascii="Times" w:hAnsi="Times"/>
          <w:sz w:val="18"/>
        </w:rPr>
      </w:pPr>
      <w:r>
        <w:rPr>
          <w:sz w:val="20"/>
        </w:rPr>
        <w:t xml:space="preserve">[For ease of reference detach these notes and read them </w:t>
      </w:r>
      <w:r>
        <w:rPr>
          <w:sz w:val="20"/>
        </w:rPr>
        <w:t>alongside the draft.]</w:t>
      </w:r>
    </w:p>
    <w:p w:rsidR="003E67DA" w:rsidRDefault="003E67DA"/>
  </w:endnote>
  <w:endnote w:type="continuationSeparator" w:id="0">
    <w:p w:rsidR="003E67DA" w:rsidRDefault="003E67DA">
      <w:pPr>
        <w:pStyle w:val="Footer"/>
      </w:pPr>
    </w:p>
    <w:p w:rsidR="003E67DA" w:rsidRDefault="003E67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w:instrText>
    </w:r>
    <w:r>
      <w:rPr>
        <w:sz w:val="20"/>
      </w:rPr>
      <w:instrText xml:space="preserve">ROPERTY "Suffix" </w:instrText>
    </w:r>
    <w:r>
      <w:rPr>
        <w:sz w:val="20"/>
      </w:rPr>
      <w:fldChar w:fldCharType="separate"/>
    </w:r>
    <w:r>
      <w:rPr>
        <w:sz w:val="20"/>
      </w:rPr>
      <w:t>02-f0-00</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Bdr>
        <w:bottom w:val="single" w:sz="4" w:space="1" w:color="auto"/>
      </w:pBdr>
      <w:rPr>
        <w:sz w:val="20"/>
      </w:rPr>
    </w:pPr>
  </w:p>
  <w:p w:rsidR="003E67DA" w:rsidRDefault="0064550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Apr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3E67DA" w:rsidRDefault="0064550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7DA" w:rsidRDefault="00645504">
      <w:r>
        <w:separator/>
      </w:r>
    </w:p>
  </w:footnote>
  <w:footnote w:type="continuationSeparator" w:id="0">
    <w:p w:rsidR="003E67DA" w:rsidRDefault="00645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04" w:rsidRDefault="0064550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7DA">
      <w:trPr>
        <w:cantSplit/>
        <w:jc w:val="center"/>
      </w:trPr>
      <w:tc>
        <w:tcPr>
          <w:tcW w:w="7258" w:type="dxa"/>
          <w:gridSpan w:val="2"/>
        </w:tcPr>
        <w:p w:rsidR="003E67DA" w:rsidRDefault="00645504">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rsidR="003E67DA">
      <w:trPr>
        <w:jc w:val="center"/>
      </w:trPr>
      <w:tc>
        <w:tcPr>
          <w:tcW w:w="1548" w:type="dxa"/>
        </w:tcPr>
        <w:p w:rsidR="003E67DA" w:rsidRDefault="00645504">
          <w:pPr>
            <w:pStyle w:val="Header"/>
            <w:spacing w:before="40"/>
          </w:pPr>
          <w:r>
            <w:rPr>
              <w:b/>
            </w:rPr>
            <w:fldChar w:fldCharType="begin"/>
          </w:r>
          <w:r>
            <w:rPr>
              <w:b/>
            </w:rPr>
            <w:instrText>styleref CharSchno</w:instrText>
          </w:r>
          <w:r>
            <w:rPr>
              <w:b/>
            </w:rPr>
            <w:fldChar w:fldCharType="end"/>
          </w:r>
        </w:p>
      </w:tc>
      <w:tc>
        <w:tcPr>
          <w:tcW w:w="5715" w:type="dxa"/>
        </w:tcPr>
        <w:p w:rsidR="003E67DA" w:rsidRDefault="00645504">
          <w:pPr>
            <w:pStyle w:val="Header"/>
            <w:spacing w:before="40"/>
          </w:pPr>
          <w:r>
            <w:fldChar w:fldCharType="begin"/>
          </w:r>
          <w:r>
            <w:instrText>styleref CharSchText</w:instrText>
          </w:r>
          <w:r>
            <w:fldChar w:fldCharType="end"/>
          </w:r>
        </w:p>
      </w:tc>
    </w:tr>
    <w:tr w:rsidR="003E67DA">
      <w:trPr>
        <w:jc w:val="center"/>
      </w:trPr>
      <w:tc>
        <w:tcPr>
          <w:tcW w:w="1548" w:type="dxa"/>
        </w:tcPr>
        <w:p w:rsidR="003E67DA" w:rsidRDefault="00645504">
          <w:pPr>
            <w:pStyle w:val="Header"/>
            <w:spacing w:before="40"/>
          </w:pPr>
          <w:r>
            <w:rPr>
              <w:b/>
            </w:rPr>
            <w:fldChar w:fldCharType="begin"/>
          </w:r>
          <w:r>
            <w:rPr>
              <w:b/>
            </w:rPr>
            <w:instrText xml:space="preserve"> STYLEREF CharSDivNo \* charformat</w:instrText>
          </w:r>
          <w:r>
            <w:rPr>
              <w:b/>
            </w:rPr>
            <w:fldChar w:fldCharType="end"/>
          </w:r>
        </w:p>
      </w:tc>
      <w:tc>
        <w:tcPr>
          <w:tcW w:w="5715" w:type="dxa"/>
        </w:tcPr>
        <w:p w:rsidR="003E67DA" w:rsidRDefault="00645504">
          <w:pPr>
            <w:pStyle w:val="Header"/>
            <w:spacing w:before="40"/>
          </w:pPr>
          <w:r>
            <w:fldChar w:fldCharType="begin"/>
          </w:r>
          <w:r>
            <w:instrText xml:space="preserve"> styleref CharSDivText </w:instrText>
          </w:r>
          <w:r>
            <w:fldChar w:fldCharType="end"/>
          </w:r>
        </w:p>
      </w:tc>
    </w:tr>
    <w:tr w:rsidR="003E67DA">
      <w:trPr>
        <w:jc w:val="center"/>
      </w:trPr>
      <w:tc>
        <w:tcPr>
          <w:tcW w:w="1548" w:type="dxa"/>
        </w:tcPr>
        <w:p w:rsidR="003E67DA" w:rsidRDefault="003E67DA">
          <w:pPr>
            <w:pStyle w:val="Header"/>
            <w:spacing w:before="40"/>
          </w:pPr>
        </w:p>
      </w:tc>
      <w:tc>
        <w:tcPr>
          <w:tcW w:w="5715" w:type="dxa"/>
        </w:tcPr>
        <w:p w:rsidR="003E67DA" w:rsidRDefault="003E67DA">
          <w:pPr>
            <w:pStyle w:val="Header"/>
            <w:spacing w:before="40"/>
          </w:pPr>
        </w:p>
      </w:tc>
    </w:tr>
  </w:tbl>
  <w:p w:rsidR="003E67DA" w:rsidRDefault="003E67DA">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rsidR="003E67DA">
      <w:trPr>
        <w:cantSplit/>
        <w:jc w:val="center"/>
      </w:trPr>
      <w:tc>
        <w:tcPr>
          <w:tcW w:w="7263" w:type="dxa"/>
          <w:gridSpan w:val="2"/>
        </w:tcPr>
        <w:p w:rsidR="003E67DA" w:rsidRDefault="00645504">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rsidR="003E67DA">
      <w:trPr>
        <w:jc w:val="center"/>
      </w:trPr>
      <w:tc>
        <w:tcPr>
          <w:tcW w:w="5715" w:type="dxa"/>
          <w:vAlign w:val="bottom"/>
        </w:tcPr>
        <w:p w:rsidR="003E67DA" w:rsidRDefault="00645504">
          <w:pPr>
            <w:pStyle w:val="Header"/>
            <w:spacing w:before="40"/>
            <w:jc w:val="right"/>
          </w:pPr>
          <w:r>
            <w:fldChar w:fldCharType="begin"/>
          </w:r>
          <w:r>
            <w:instrText>styleref CharSchText</w:instrText>
          </w:r>
          <w:r>
            <w:fldChar w:fldCharType="end"/>
          </w:r>
        </w:p>
      </w:tc>
      <w:tc>
        <w:tcPr>
          <w:tcW w:w="1548" w:type="dxa"/>
        </w:tcPr>
        <w:p w:rsidR="003E67DA" w:rsidRDefault="00645504">
          <w:pPr>
            <w:pStyle w:val="Header"/>
            <w:spacing w:before="40"/>
            <w:ind w:right="17"/>
            <w:jc w:val="right"/>
          </w:pPr>
          <w:r>
            <w:rPr>
              <w:b/>
            </w:rPr>
            <w:fldChar w:fldCharType="begin"/>
          </w:r>
          <w:r>
            <w:rPr>
              <w:b/>
            </w:rPr>
            <w:instrText>styleref CharSchno</w:instrText>
          </w:r>
          <w:r>
            <w:rPr>
              <w:b/>
            </w:rPr>
            <w:fldChar w:fldCharType="end"/>
          </w:r>
        </w:p>
      </w:tc>
    </w:tr>
    <w:tr w:rsidR="003E67DA">
      <w:trPr>
        <w:jc w:val="center"/>
      </w:trPr>
      <w:tc>
        <w:tcPr>
          <w:tcW w:w="5715" w:type="dxa"/>
        </w:tcPr>
        <w:p w:rsidR="003E67DA" w:rsidRDefault="00645504">
          <w:pPr>
            <w:pStyle w:val="Header"/>
            <w:spacing w:before="40"/>
            <w:jc w:val="right"/>
          </w:pPr>
          <w:r>
            <w:fldChar w:fldCharType="begin"/>
          </w:r>
          <w:r>
            <w:instrText xml:space="preserve"> styleref CharSDivText </w:instrText>
          </w:r>
          <w:r>
            <w:fldChar w:fldCharType="end"/>
          </w:r>
        </w:p>
      </w:tc>
      <w:tc>
        <w:tcPr>
          <w:tcW w:w="1548" w:type="dxa"/>
        </w:tcPr>
        <w:p w:rsidR="003E67DA" w:rsidRDefault="0064550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3E67DA">
      <w:trPr>
        <w:jc w:val="center"/>
      </w:trPr>
      <w:tc>
        <w:tcPr>
          <w:tcW w:w="5715" w:type="dxa"/>
        </w:tcPr>
        <w:p w:rsidR="003E67DA" w:rsidRDefault="003E67DA">
          <w:pPr>
            <w:pStyle w:val="Header"/>
            <w:spacing w:before="40"/>
            <w:jc w:val="right"/>
          </w:pPr>
        </w:p>
      </w:tc>
      <w:tc>
        <w:tcPr>
          <w:tcW w:w="1548" w:type="dxa"/>
        </w:tcPr>
        <w:p w:rsidR="003E67DA" w:rsidRDefault="003E67DA">
          <w:pPr>
            <w:pStyle w:val="Header"/>
            <w:spacing w:before="40"/>
            <w:ind w:right="17"/>
            <w:jc w:val="right"/>
          </w:pPr>
        </w:p>
      </w:tc>
    </w:tr>
  </w:tbl>
  <w:p w:rsidR="003E67DA" w:rsidRDefault="003E67DA">
    <w:pPr>
      <w:pStyle w:val="Header"/>
      <w:pBdr>
        <w:top w:val="single" w:sz="4" w:space="1" w:color="auto"/>
      </w:pBdr>
    </w:pPr>
    <w:bookmarkStart w:id="130" w:name="Schedule"/>
    <w:bookmarkEnd w:id="1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7DA">
      <w:trPr>
        <w:cantSplit/>
        <w:jc w:val="center"/>
      </w:trPr>
      <w:tc>
        <w:tcPr>
          <w:tcW w:w="7258" w:type="dxa"/>
          <w:gridSpan w:val="2"/>
        </w:tcPr>
        <w:p w:rsidR="003E67DA" w:rsidRDefault="00645504">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1548" w:type="dxa"/>
        </w:tcPr>
        <w:p w:rsidR="003E67DA" w:rsidRDefault="00645504">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rsidR="003E67DA" w:rsidRDefault="00645504">
          <w:pPr>
            <w:pStyle w:val="Header"/>
            <w:spacing w:before="40"/>
          </w:pPr>
          <w:r>
            <w:fldChar w:fldCharType="begin"/>
          </w:r>
          <w:r>
            <w:instrText xml:space="preserve"> STYLEREF "nHeading 3" </w:instrText>
          </w:r>
          <w:r>
            <w:fldChar w:fldCharType="separate"/>
          </w:r>
          <w:r>
            <w:t>Compilation table</w:t>
          </w:r>
          <w:r>
            <w:fldChar w:fldCharType="end"/>
          </w:r>
        </w:p>
      </w:tc>
    </w:tr>
    <w:tr w:rsidR="003E67DA">
      <w:trPr>
        <w:jc w:val="center"/>
      </w:trPr>
      <w:tc>
        <w:tcPr>
          <w:tcW w:w="1548" w:type="dxa"/>
        </w:tcPr>
        <w:p w:rsidR="003E67DA" w:rsidRDefault="003E67DA">
          <w:pPr>
            <w:pStyle w:val="Header"/>
            <w:spacing w:before="40"/>
          </w:pPr>
        </w:p>
      </w:tc>
      <w:tc>
        <w:tcPr>
          <w:tcW w:w="5715" w:type="dxa"/>
        </w:tcPr>
        <w:p w:rsidR="003E67DA" w:rsidRDefault="003E67DA">
          <w:pPr>
            <w:pStyle w:val="Header"/>
            <w:spacing w:before="40"/>
          </w:pPr>
        </w:p>
      </w:tc>
    </w:tr>
    <w:tr w:rsidR="003E67DA">
      <w:trPr>
        <w:cantSplit/>
        <w:jc w:val="center"/>
      </w:trPr>
      <w:tc>
        <w:tcPr>
          <w:tcW w:w="7258" w:type="dxa"/>
          <w:gridSpan w:val="2"/>
        </w:tcPr>
        <w:p w:rsidR="003E67DA" w:rsidRDefault="003E67DA">
          <w:pPr>
            <w:pStyle w:val="Header"/>
            <w:spacing w:before="40"/>
          </w:pPr>
        </w:p>
      </w:tc>
    </w:tr>
  </w:tbl>
  <w:p w:rsidR="003E67DA" w:rsidRDefault="003E67DA">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7DA">
      <w:trPr>
        <w:cantSplit/>
        <w:jc w:val="center"/>
      </w:trPr>
      <w:tc>
        <w:tcPr>
          <w:tcW w:w="7258" w:type="dxa"/>
          <w:gridSpan w:val="2"/>
        </w:tcPr>
        <w:p w:rsidR="003E67DA" w:rsidRDefault="00645504">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5715" w:type="dxa"/>
        </w:tcPr>
        <w:p w:rsidR="003E67DA" w:rsidRDefault="00645504">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rsidR="003E67DA" w:rsidRDefault="00645504">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rsidR="003E67DA">
      <w:trPr>
        <w:jc w:val="center"/>
      </w:trPr>
      <w:tc>
        <w:tcPr>
          <w:tcW w:w="5715" w:type="dxa"/>
        </w:tcPr>
        <w:p w:rsidR="003E67DA" w:rsidRDefault="003E67DA">
          <w:pPr>
            <w:pStyle w:val="Header"/>
            <w:spacing w:before="40"/>
            <w:jc w:val="right"/>
          </w:pPr>
        </w:p>
      </w:tc>
      <w:tc>
        <w:tcPr>
          <w:tcW w:w="1548" w:type="dxa"/>
        </w:tcPr>
        <w:p w:rsidR="003E67DA" w:rsidRDefault="003E67DA">
          <w:pPr>
            <w:pStyle w:val="Header"/>
            <w:spacing w:before="40"/>
            <w:ind w:right="17"/>
            <w:jc w:val="right"/>
          </w:pPr>
        </w:p>
      </w:tc>
    </w:tr>
    <w:tr w:rsidR="003E67DA">
      <w:trPr>
        <w:cantSplit/>
        <w:jc w:val="center"/>
      </w:trPr>
      <w:tc>
        <w:tcPr>
          <w:tcW w:w="7258" w:type="dxa"/>
          <w:gridSpan w:val="2"/>
        </w:tcPr>
        <w:p w:rsidR="003E67DA" w:rsidRDefault="003E67DA">
          <w:pPr>
            <w:pStyle w:val="Header"/>
            <w:spacing w:before="40"/>
            <w:ind w:right="17"/>
            <w:jc w:val="right"/>
          </w:pPr>
        </w:p>
      </w:tc>
    </w:tr>
  </w:tbl>
  <w:p w:rsidR="003E67DA" w:rsidRDefault="003E67DA">
    <w:pPr>
      <w:pStyle w:val="Header"/>
      <w:pBdr>
        <w:top w:val="single" w:sz="4" w:space="1" w:color="auto"/>
      </w:pBdr>
    </w:pPr>
    <w:bookmarkStart w:id="136" w:name="Compilation"/>
    <w:bookmarkEnd w:id="13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3E67DA">
      <w:trPr>
        <w:cantSplit/>
        <w:jc w:val="center"/>
      </w:trPr>
      <w:tc>
        <w:tcPr>
          <w:tcW w:w="7263" w:type="dxa"/>
          <w:gridSpan w:val="2"/>
        </w:tcPr>
        <w:p w:rsidR="003E67DA" w:rsidRDefault="00645504">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1348" w:type="dxa"/>
        </w:tcPr>
        <w:p w:rsidR="003E67DA" w:rsidRDefault="003E67DA">
          <w:pPr>
            <w:pStyle w:val="Header"/>
            <w:spacing w:before="40"/>
          </w:pPr>
        </w:p>
      </w:tc>
      <w:tc>
        <w:tcPr>
          <w:tcW w:w="5915" w:type="dxa"/>
        </w:tcPr>
        <w:p w:rsidR="003E67DA" w:rsidRDefault="003E67DA">
          <w:pPr>
            <w:pStyle w:val="Header"/>
            <w:spacing w:before="40"/>
          </w:pPr>
        </w:p>
      </w:tc>
    </w:tr>
    <w:tr w:rsidR="003E67DA">
      <w:trPr>
        <w:jc w:val="center"/>
      </w:trPr>
      <w:tc>
        <w:tcPr>
          <w:tcW w:w="1348" w:type="dxa"/>
        </w:tcPr>
        <w:p w:rsidR="003E67DA" w:rsidRDefault="003E67DA">
          <w:pPr>
            <w:pStyle w:val="Header"/>
            <w:spacing w:before="40"/>
          </w:pPr>
        </w:p>
      </w:tc>
      <w:tc>
        <w:tcPr>
          <w:tcW w:w="5915" w:type="dxa"/>
        </w:tcPr>
        <w:p w:rsidR="003E67DA" w:rsidRDefault="003E67DA">
          <w:pPr>
            <w:pStyle w:val="Header"/>
            <w:spacing w:before="40"/>
          </w:pPr>
        </w:p>
      </w:tc>
    </w:tr>
    <w:tr w:rsidR="003E67DA">
      <w:trPr>
        <w:cantSplit/>
        <w:jc w:val="center"/>
      </w:trPr>
      <w:tc>
        <w:tcPr>
          <w:tcW w:w="7263" w:type="dxa"/>
          <w:gridSpan w:val="2"/>
        </w:tcPr>
        <w:p w:rsidR="003E67DA" w:rsidRDefault="00645504">
          <w:pPr>
            <w:pStyle w:val="Header"/>
            <w:spacing w:before="40"/>
          </w:pPr>
          <w:r>
            <w:t>Defined terms</w:t>
          </w:r>
        </w:p>
      </w:tc>
    </w:tr>
  </w:tbl>
  <w:p w:rsidR="003E67DA" w:rsidRDefault="003E67DA">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3E67DA">
      <w:trPr>
        <w:cantSplit/>
        <w:jc w:val="center"/>
      </w:trPr>
      <w:tc>
        <w:tcPr>
          <w:tcW w:w="7263" w:type="dxa"/>
          <w:gridSpan w:val="2"/>
        </w:tcPr>
        <w:p w:rsidR="003E67DA" w:rsidRDefault="00645504">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5884" w:type="dxa"/>
        </w:tcPr>
        <w:p w:rsidR="003E67DA" w:rsidRDefault="003E67DA">
          <w:pPr>
            <w:pStyle w:val="Header"/>
            <w:spacing w:before="40"/>
            <w:jc w:val="right"/>
          </w:pPr>
        </w:p>
      </w:tc>
      <w:tc>
        <w:tcPr>
          <w:tcW w:w="1379" w:type="dxa"/>
        </w:tcPr>
        <w:p w:rsidR="003E67DA" w:rsidRDefault="003E67DA">
          <w:pPr>
            <w:pStyle w:val="Header"/>
            <w:spacing w:before="40"/>
            <w:ind w:right="17"/>
            <w:jc w:val="right"/>
          </w:pPr>
        </w:p>
      </w:tc>
    </w:tr>
    <w:tr w:rsidR="003E67DA">
      <w:trPr>
        <w:jc w:val="center"/>
      </w:trPr>
      <w:tc>
        <w:tcPr>
          <w:tcW w:w="5884" w:type="dxa"/>
        </w:tcPr>
        <w:p w:rsidR="003E67DA" w:rsidRDefault="003E67DA">
          <w:pPr>
            <w:pStyle w:val="Header"/>
            <w:spacing w:before="40"/>
            <w:jc w:val="right"/>
          </w:pPr>
        </w:p>
      </w:tc>
      <w:tc>
        <w:tcPr>
          <w:tcW w:w="1379" w:type="dxa"/>
        </w:tcPr>
        <w:p w:rsidR="003E67DA" w:rsidRDefault="003E67DA">
          <w:pPr>
            <w:pStyle w:val="Header"/>
            <w:spacing w:before="40"/>
            <w:ind w:right="17"/>
            <w:jc w:val="right"/>
          </w:pPr>
        </w:p>
      </w:tc>
    </w:tr>
    <w:tr w:rsidR="003E67DA">
      <w:trPr>
        <w:cantSplit/>
        <w:jc w:val="center"/>
      </w:trPr>
      <w:tc>
        <w:tcPr>
          <w:tcW w:w="7263" w:type="dxa"/>
          <w:gridSpan w:val="2"/>
        </w:tcPr>
        <w:p w:rsidR="003E67DA" w:rsidRDefault="00645504">
          <w:pPr>
            <w:pStyle w:val="Header"/>
            <w:spacing w:before="40"/>
            <w:ind w:right="17"/>
            <w:jc w:val="right"/>
          </w:pPr>
          <w:r>
            <w:t>Defined terms</w:t>
          </w:r>
        </w:p>
      </w:tc>
    </w:tr>
  </w:tbl>
  <w:p w:rsidR="003E67DA" w:rsidRDefault="003E67DA">
    <w:pPr>
      <w:pStyle w:val="Header"/>
      <w:pBdr>
        <w:top w:val="single" w:sz="4" w:space="1" w:color="auto"/>
      </w:pBdr>
    </w:pPr>
    <w:bookmarkStart w:id="140" w:name="DefinedTerms"/>
    <w:bookmarkEnd w:id="14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bookmarkStart w:id="141" w:name="Coversheet"/>
    <w:bookmarkEnd w:id="1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5504" w:rsidRDefault="00645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3E67DA">
      <w:trPr>
        <w:cantSplit/>
        <w:jc w:val="center"/>
      </w:trPr>
      <w:tc>
        <w:tcPr>
          <w:tcW w:w="7258" w:type="dxa"/>
          <w:gridSpan w:val="2"/>
        </w:tcPr>
        <w:p w:rsidR="003E67DA" w:rsidRDefault="00645504">
          <w:pPr>
            <w:pStyle w:val="Header"/>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1548" w:type="dxa"/>
        </w:tcPr>
        <w:p w:rsidR="003E67DA" w:rsidRDefault="003E67DA">
          <w:pPr>
            <w:pStyle w:val="Header"/>
            <w:spacing w:before="40"/>
          </w:pPr>
        </w:p>
      </w:tc>
      <w:tc>
        <w:tcPr>
          <w:tcW w:w="5715" w:type="dxa"/>
        </w:tcPr>
        <w:p w:rsidR="003E67DA" w:rsidRDefault="003E67DA">
          <w:pPr>
            <w:pStyle w:val="Header"/>
            <w:spacing w:before="40"/>
          </w:pPr>
        </w:p>
      </w:tc>
    </w:tr>
    <w:tr w:rsidR="003E67DA">
      <w:trPr>
        <w:jc w:val="center"/>
      </w:trPr>
      <w:tc>
        <w:tcPr>
          <w:tcW w:w="1548" w:type="dxa"/>
        </w:tcPr>
        <w:p w:rsidR="003E67DA" w:rsidRDefault="003E67DA">
          <w:pPr>
            <w:pStyle w:val="Header"/>
            <w:spacing w:before="40"/>
          </w:pPr>
        </w:p>
      </w:tc>
      <w:tc>
        <w:tcPr>
          <w:tcW w:w="5715" w:type="dxa"/>
        </w:tcPr>
        <w:p w:rsidR="003E67DA" w:rsidRDefault="003E67DA">
          <w:pPr>
            <w:pStyle w:val="Header"/>
            <w:spacing w:before="40"/>
          </w:pPr>
        </w:p>
      </w:tc>
    </w:tr>
    <w:tr w:rsidR="003E67DA">
      <w:trPr>
        <w:cantSplit/>
        <w:jc w:val="center"/>
      </w:trPr>
      <w:tc>
        <w:tcPr>
          <w:tcW w:w="7258" w:type="dxa"/>
          <w:gridSpan w:val="2"/>
        </w:tcPr>
        <w:p w:rsidR="003E67DA" w:rsidRDefault="00645504">
          <w:pPr>
            <w:pStyle w:val="Header"/>
            <w:spacing w:before="40"/>
          </w:pPr>
          <w:r>
            <w:t>Contents</w:t>
          </w:r>
        </w:p>
      </w:tc>
    </w:tr>
  </w:tbl>
  <w:p w:rsidR="003E67DA" w:rsidRDefault="003E67DA">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7DA">
      <w:trPr>
        <w:cantSplit/>
        <w:jc w:val="center"/>
      </w:trPr>
      <w:tc>
        <w:tcPr>
          <w:tcW w:w="7258" w:type="dxa"/>
          <w:gridSpan w:val="2"/>
        </w:tcPr>
        <w:p w:rsidR="003E67DA" w:rsidRDefault="00645504">
          <w:pPr>
            <w:pStyle w:val="Header"/>
            <w:ind w:right="17"/>
            <w:jc w:val="right"/>
          </w:pPr>
          <w:r>
            <w:rPr>
              <w:b/>
              <w:i/>
            </w:rPr>
            <w:fldChar w:fldCharType="begin"/>
          </w:r>
          <w:r>
            <w:rPr>
              <w:b/>
              <w:i/>
            </w:rPr>
            <w:instrText xml:space="preserve"> STYLEREF "Name of Act/Reg" </w:instrText>
          </w:r>
          <w:r>
            <w:rPr>
              <w:b/>
              <w:i/>
            </w:rPr>
            <w:fldChar w:fldCharType="separate"/>
          </w:r>
          <w:r>
            <w:rPr>
              <w:b/>
              <w:i/>
            </w:rPr>
            <w:t>Food Regulations 2009</w:t>
          </w:r>
          <w:r>
            <w:rPr>
              <w:b/>
              <w:i/>
            </w:rPr>
            <w:fldChar w:fldCharType="end"/>
          </w:r>
        </w:p>
      </w:tc>
    </w:tr>
    <w:tr w:rsidR="003E67DA">
      <w:trPr>
        <w:jc w:val="center"/>
      </w:trPr>
      <w:tc>
        <w:tcPr>
          <w:tcW w:w="5715" w:type="dxa"/>
        </w:tcPr>
        <w:p w:rsidR="003E67DA" w:rsidRDefault="003E67DA">
          <w:pPr>
            <w:pStyle w:val="Header"/>
            <w:spacing w:before="40"/>
            <w:jc w:val="right"/>
          </w:pPr>
        </w:p>
      </w:tc>
      <w:tc>
        <w:tcPr>
          <w:tcW w:w="1548" w:type="dxa"/>
        </w:tcPr>
        <w:p w:rsidR="003E67DA" w:rsidRDefault="003E67DA">
          <w:pPr>
            <w:pStyle w:val="Header"/>
            <w:spacing w:before="40"/>
            <w:ind w:right="17"/>
            <w:jc w:val="right"/>
          </w:pPr>
        </w:p>
      </w:tc>
    </w:tr>
    <w:tr w:rsidR="003E67DA">
      <w:trPr>
        <w:jc w:val="center"/>
      </w:trPr>
      <w:tc>
        <w:tcPr>
          <w:tcW w:w="5715" w:type="dxa"/>
        </w:tcPr>
        <w:p w:rsidR="003E67DA" w:rsidRDefault="003E67DA">
          <w:pPr>
            <w:pStyle w:val="Header"/>
            <w:spacing w:before="40"/>
            <w:jc w:val="right"/>
          </w:pPr>
        </w:p>
      </w:tc>
      <w:tc>
        <w:tcPr>
          <w:tcW w:w="1548" w:type="dxa"/>
        </w:tcPr>
        <w:p w:rsidR="003E67DA" w:rsidRDefault="003E67DA">
          <w:pPr>
            <w:pStyle w:val="Header"/>
            <w:spacing w:before="40"/>
            <w:ind w:right="17"/>
            <w:jc w:val="right"/>
          </w:pPr>
        </w:p>
      </w:tc>
    </w:tr>
    <w:tr w:rsidR="003E67DA">
      <w:trPr>
        <w:cantSplit/>
        <w:jc w:val="center"/>
      </w:trPr>
      <w:tc>
        <w:tcPr>
          <w:tcW w:w="7258" w:type="dxa"/>
          <w:gridSpan w:val="2"/>
        </w:tcPr>
        <w:p w:rsidR="003E67DA" w:rsidRDefault="00645504">
          <w:pPr>
            <w:pStyle w:val="Header"/>
            <w:spacing w:before="40"/>
            <w:ind w:right="17"/>
            <w:jc w:val="right"/>
          </w:pPr>
          <w:r>
            <w:t>Contents</w:t>
          </w:r>
        </w:p>
      </w:tc>
    </w:tr>
  </w:tbl>
  <w:p w:rsidR="003E67DA" w:rsidRDefault="003E67DA">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rsidR="003E67DA">
      <w:trPr>
        <w:cantSplit/>
        <w:jc w:val="center"/>
      </w:trPr>
      <w:tc>
        <w:tcPr>
          <w:tcW w:w="7263" w:type="dxa"/>
          <w:gridSpan w:val="2"/>
        </w:tcPr>
        <w:p w:rsidR="003E67DA" w:rsidRDefault="00645504">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rsidR="003E67DA">
      <w:trPr>
        <w:jc w:val="center"/>
      </w:trPr>
      <w:tc>
        <w:tcPr>
          <w:tcW w:w="1548" w:type="dxa"/>
        </w:tcPr>
        <w:p w:rsidR="003E67DA" w:rsidRDefault="00645504">
          <w:pPr>
            <w:pStyle w:val="Header"/>
            <w:spacing w:before="40"/>
          </w:pPr>
          <w:r>
            <w:rPr>
              <w:b/>
            </w:rPr>
            <w:fldChar w:fldCharType="begin"/>
          </w:r>
          <w:r>
            <w:rPr>
              <w:b/>
            </w:rPr>
            <w:instrText>styleref CharPartNo</w:instrText>
          </w:r>
          <w:r>
            <w:rPr>
              <w:b/>
            </w:rPr>
            <w:fldChar w:fldCharType="end"/>
          </w:r>
        </w:p>
      </w:tc>
      <w:tc>
        <w:tcPr>
          <w:tcW w:w="5715" w:type="dxa"/>
          <w:vAlign w:val="bottom"/>
        </w:tcPr>
        <w:p w:rsidR="003E67DA" w:rsidRDefault="00645504">
          <w:pPr>
            <w:pStyle w:val="Header"/>
            <w:spacing w:before="40"/>
          </w:pPr>
          <w:r>
            <w:fldChar w:fldCharType="begin"/>
          </w:r>
          <w:r>
            <w:instrText>styleref CharPartText</w:instrText>
          </w:r>
          <w:r>
            <w:fldChar w:fldCharType="end"/>
          </w:r>
        </w:p>
      </w:tc>
    </w:tr>
    <w:tr w:rsidR="003E67DA">
      <w:trPr>
        <w:jc w:val="center"/>
      </w:trPr>
      <w:tc>
        <w:tcPr>
          <w:tcW w:w="1548" w:type="dxa"/>
        </w:tcPr>
        <w:p w:rsidR="003E67DA" w:rsidRDefault="00645504">
          <w:pPr>
            <w:pStyle w:val="Header"/>
            <w:spacing w:before="40"/>
          </w:pPr>
          <w:r>
            <w:rPr>
              <w:b/>
            </w:rPr>
            <w:fldChar w:fldCharType="begin"/>
          </w:r>
          <w:r>
            <w:rPr>
              <w:b/>
            </w:rPr>
            <w:instrText>styleref CharDivNo</w:instrText>
          </w:r>
          <w:r>
            <w:rPr>
              <w:b/>
            </w:rPr>
            <w:fldChar w:fldCharType="end"/>
          </w:r>
        </w:p>
      </w:tc>
      <w:tc>
        <w:tcPr>
          <w:tcW w:w="5715" w:type="dxa"/>
        </w:tcPr>
        <w:p w:rsidR="003E67DA" w:rsidRDefault="00645504">
          <w:pPr>
            <w:pStyle w:val="Header"/>
            <w:spacing w:before="40"/>
          </w:pPr>
          <w:r>
            <w:fldChar w:fldCharType="begin"/>
          </w:r>
          <w:r>
            <w:instrText>styleref CharDivText</w:instrText>
          </w:r>
          <w:r>
            <w:fldChar w:fldCharType="end"/>
          </w:r>
        </w:p>
      </w:tc>
    </w:tr>
    <w:tr w:rsidR="003E67DA">
      <w:trPr>
        <w:cantSplit/>
        <w:jc w:val="center"/>
      </w:trPr>
      <w:tc>
        <w:tcPr>
          <w:tcW w:w="7263" w:type="dxa"/>
          <w:gridSpan w:val="2"/>
        </w:tcPr>
        <w:p w:rsidR="003E67DA" w:rsidRDefault="00645504">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E67DA" w:rsidRDefault="003E67DA">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3E67DA">
      <w:trPr>
        <w:cantSplit/>
        <w:jc w:val="center"/>
      </w:trPr>
      <w:tc>
        <w:tcPr>
          <w:tcW w:w="7258" w:type="dxa"/>
          <w:gridSpan w:val="2"/>
        </w:tcPr>
        <w:p w:rsidR="003E67DA" w:rsidRDefault="00645504">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rsidR="003E67DA">
      <w:trPr>
        <w:jc w:val="center"/>
      </w:trPr>
      <w:tc>
        <w:tcPr>
          <w:tcW w:w="5715" w:type="dxa"/>
        </w:tcPr>
        <w:p w:rsidR="003E67DA" w:rsidRDefault="00645504">
          <w:pPr>
            <w:pStyle w:val="Header"/>
            <w:spacing w:before="40"/>
            <w:jc w:val="right"/>
          </w:pPr>
          <w:r>
            <w:fldChar w:fldCharType="begin"/>
          </w:r>
          <w:r>
            <w:instrText>styleref CharPartText</w:instrText>
          </w:r>
          <w:r>
            <w:fldChar w:fldCharType="end"/>
          </w:r>
        </w:p>
      </w:tc>
      <w:tc>
        <w:tcPr>
          <w:tcW w:w="1548" w:type="dxa"/>
        </w:tcPr>
        <w:p w:rsidR="003E67DA" w:rsidRDefault="00645504">
          <w:pPr>
            <w:pStyle w:val="Header"/>
            <w:spacing w:before="40"/>
            <w:ind w:right="17"/>
            <w:jc w:val="right"/>
          </w:pPr>
          <w:r>
            <w:rPr>
              <w:b/>
            </w:rPr>
            <w:fldChar w:fldCharType="begin"/>
          </w:r>
          <w:r>
            <w:rPr>
              <w:b/>
            </w:rPr>
            <w:instrText>styleref CharPartNo</w:instrText>
          </w:r>
          <w:r>
            <w:rPr>
              <w:b/>
            </w:rPr>
            <w:fldChar w:fldCharType="end"/>
          </w:r>
        </w:p>
      </w:tc>
    </w:tr>
    <w:tr w:rsidR="003E67DA">
      <w:trPr>
        <w:jc w:val="center"/>
      </w:trPr>
      <w:tc>
        <w:tcPr>
          <w:tcW w:w="5715" w:type="dxa"/>
        </w:tcPr>
        <w:p w:rsidR="003E67DA" w:rsidRDefault="00645504">
          <w:pPr>
            <w:pStyle w:val="Header"/>
            <w:spacing w:before="40"/>
            <w:jc w:val="right"/>
          </w:pPr>
          <w:r>
            <w:fldChar w:fldCharType="begin"/>
          </w:r>
          <w:r>
            <w:instrText xml:space="preserve"> styleref CharDivText </w:instrText>
          </w:r>
          <w:r>
            <w:fldChar w:fldCharType="end"/>
          </w:r>
        </w:p>
      </w:tc>
      <w:tc>
        <w:tcPr>
          <w:tcW w:w="1548" w:type="dxa"/>
        </w:tcPr>
        <w:p w:rsidR="003E67DA" w:rsidRDefault="00645504">
          <w:pPr>
            <w:pStyle w:val="Header"/>
            <w:spacing w:before="40"/>
            <w:ind w:right="17"/>
            <w:jc w:val="right"/>
          </w:pPr>
          <w:r>
            <w:rPr>
              <w:b/>
            </w:rPr>
            <w:fldChar w:fldCharType="begin"/>
          </w:r>
          <w:r>
            <w:rPr>
              <w:b/>
            </w:rPr>
            <w:instrText xml:space="preserve"> styleref CharDivNo </w:instrText>
          </w:r>
          <w:r>
            <w:rPr>
              <w:b/>
            </w:rPr>
            <w:fldChar w:fldCharType="end"/>
          </w:r>
        </w:p>
      </w:tc>
    </w:tr>
    <w:tr w:rsidR="003E67DA">
      <w:trPr>
        <w:cantSplit/>
        <w:jc w:val="center"/>
      </w:trPr>
      <w:tc>
        <w:tcPr>
          <w:tcW w:w="7258" w:type="dxa"/>
          <w:gridSpan w:val="2"/>
        </w:tcPr>
        <w:p w:rsidR="003E67DA" w:rsidRDefault="0064550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rsidR="003E67DA" w:rsidRDefault="003E67DA">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67DA" w:rsidRDefault="003E6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61258B6"/>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939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407130627"/>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 w:name="WAFER_20151105105017" w:val="UpdateStyles,UsedStyles"/>
    <w:docVar w:name="WAFER_20151105105017_GUID" w:val="05e9ac92-32b9-4411-9ec7-2308afd5228a"/>
    <w:docVar w:name="WAFER_20180411092959" w:val="RemoveTocBookmarks,RemoveUnusedBookmarks,RemoveLanguageTags,UsedStyles,RemoveTrackChanges"/>
    <w:docVar w:name="WAFER_20180411092959_GUID" w:val="d3cd5ca1-6e11-4479-8280-c80c4690095e"/>
    <w:docVar w:name="WAFER_20180411093047" w:val="RemoveTocBookmarks,RemoveLanguageTags,RemoveTrackChanges,RunningHeaders"/>
    <w:docVar w:name="WAFER_20180411093047_GUID" w:val="551630a0-0634-4571-87eb-dc764e724669"/>
    <w:docVar w:name="WAFER_20190613122311" w:val="RemoveTocBookmarks,RemoveUnusedBookmarks,RemoveLanguageTags,ResetPageSize,RunningHeaders,UpdateStyles,UsedStyles"/>
    <w:docVar w:name="WAFER_20190613122311_GUID" w:val="96c9f286-0165-4c83-b6e6-da505d3846ac"/>
    <w:docVar w:name="WAFER_202006251443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5144348_GUID" w:val="6adbdd72-27dc-4c3d-a0f0-b3379da072f3"/>
    <w:docVar w:name="WAFER_202009221118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11813_GUID" w:val="097883c2-f289-480f-b44d-b7659e1faf32"/>
    <w:docVar w:name="WAFER_202104071306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30627_GUID" w:val="a9f71899-3008-402e-800c-1439701920bd"/>
  </w:docVars>
  <w:rsids>
    <w:rsidRoot w:val="003E67DA"/>
    <w:rsid w:val="003E67DA"/>
    <w:rsid w:val="004742BD"/>
    <w:rsid w:val="00645504"/>
    <w:rsid w:val="008474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5B9725F2-71C3-43BB-A424-4F4F7EA6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51CC5-6D3C-4ADE-8895-E193F66F6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9383</Words>
  <Characters>45041</Characters>
  <Application>Microsoft Office Word</Application>
  <DocSecurity>0</DocSecurity>
  <Lines>1732</Lines>
  <Paragraphs>1236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2009 - 02-f0-00</dc:title>
  <dc:subject/>
  <dc:creator/>
  <cp:keywords/>
  <dc:description/>
  <cp:lastModifiedBy>Master Repository Process</cp:lastModifiedBy>
  <cp:revision>4</cp:revision>
  <cp:lastPrinted>2019-06-14T02:13:00Z</cp:lastPrinted>
  <dcterms:created xsi:type="dcterms:W3CDTF">2021-04-09T00:18:00Z</dcterms:created>
  <dcterms:modified xsi:type="dcterms:W3CDTF">2021-04-09T00:18:00Z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2018-08-02T16:00:00Z</vt:filetime>
  </property>
  <property fmtid="{D5CDD505-2E9C-101B-9397-08002B2CF9AE}" pid="6" name="ReprintNo">
    <vt:lpwstr>2</vt:lpwstr>
  </property>
  <property fmtid="{D5CDD505-2E9C-101B-9397-08002B2CF9AE}" pid="7" name="AsAtDate">
    <vt:lpwstr>10 Apr 2021</vt:lpwstr>
  </property>
  <property fmtid="{D5CDD505-2E9C-101B-9397-08002B2CF9AE}" pid="8" name="Suffix">
    <vt:lpwstr>02-f0-00</vt:lpwstr>
  </property>
  <property fmtid="{D5CDD505-2E9C-101B-9397-08002B2CF9AE}" pid="9" name="CommencementDate">
    <vt:lpwstr>20210410</vt:lpwstr>
  </property>
</Properties>
</file>