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spacing w:before="2600" w:after="0"/>
      </w:pPr>
      <w:r>
        <w:t>Stamp Act 1921</w:t>
      </w:r>
    </w:p>
    <w:p>
      <w:pPr>
        <w:pStyle w:val="NameofActReg"/>
        <w:spacing w:before="3760" w:after="4200"/>
      </w:pPr>
      <w:r>
        <w:rPr>
          <w:noProof/>
        </w:rPr>
        <w:t>Stamp Regulations 2003</w:t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/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12 August 2005</w:t>
            </w:r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Stamp Regulations 2003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_Toc113182803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pacing w:val="-2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pacing w:val="-2"/>
          <w:szCs w:val="24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_Toc113182804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4.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_Toc113182805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5.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Recognised financial markets (s. 4(1))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_Toc113182806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6.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Manner of endorsement (s. 17C)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_Toc113182807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7.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Business licences (s. 31B)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_Toc113182808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8.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Vehicles (s. 76B(1), definition of “market value”)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_Toc113182809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8A.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Vehicles (s. 76B(1), definition of “optional feature”)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_Toc113182810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9.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Conveyance or transfer on sale of property — exemptions (Third Schedule, item 2(7a)(c))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_Toc113182811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10.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Policies of insurance — exemptions (Third Schedule, item 8(4))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_Toc113182812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11.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Vehicle licences — exemptions (Third Schedule, item 9(3))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_Toc113182813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_Toc113182815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>
      <w:pPr>
        <w:pStyle w:val="TOC4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4670" cy="474980"/>
                  <wp:effectExtent l="0" t="0" r="0" b="1270"/>
                  <wp:docPr id="1" name="Picture 1" descr="C:\Program Files\PCO DLL\Support\Crest.w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PCO DLL\Support\Crest.w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/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12</w:t>
            </w:r>
            <w:r>
              <w:rPr>
                <w:b/>
                <w:snapToGrid w:val="0"/>
                <w:sz w:val="22"/>
              </w:rPr>
              <w:t xml:space="preserve"> August 2005</w:t>
            </w:r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Stamp Act 1921</w:t>
      </w:r>
    </w:p>
    <w:p>
      <w:pPr>
        <w:pStyle w:val="NameofActReg"/>
      </w:pPr>
      <w:r>
        <w:t>Stamp Regulations 2003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113182803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Stamp Regulations 2003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9" w:name="_Toc423332723"/>
      <w:bookmarkStart w:id="10" w:name="_Toc425219442"/>
      <w:bookmarkStart w:id="11" w:name="_Toc426249309"/>
      <w:bookmarkStart w:id="12" w:name="_Toc449924705"/>
      <w:bookmarkStart w:id="13" w:name="_Toc449947723"/>
      <w:bookmarkStart w:id="14" w:name="_Toc454185714"/>
      <w:bookmarkStart w:id="15" w:name="_Toc515958687"/>
      <w:bookmarkStart w:id="16" w:name="_Toc11318280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 xml:space="preserve">Stamp Amendment Act 2003 </w:t>
      </w:r>
      <w:r>
        <w:rPr>
          <w:spacing w:val="-2"/>
        </w:rPr>
        <w:t>comes into operation</w:t>
      </w:r>
      <w:r>
        <w:rPr>
          <w:vertAlign w:val="superscript"/>
        </w:rPr>
        <w:t> 1</w:t>
      </w:r>
      <w:r>
        <w:t>.</w:t>
      </w:r>
    </w:p>
    <w:p>
      <w:pPr>
        <w:pStyle w:val="Ednotesection"/>
      </w:pPr>
      <w:r>
        <w:t>[</w:t>
      </w:r>
      <w:r>
        <w:rPr>
          <w:b/>
          <w:bCs/>
        </w:rPr>
        <w:t>3.</w:t>
      </w:r>
      <w:r>
        <w:tab/>
        <w:t>Omitted under the Reprints Act 1984 s. 7(4)(f).]</w:t>
      </w:r>
    </w:p>
    <w:p>
      <w:pPr>
        <w:pStyle w:val="Heading5"/>
      </w:pPr>
      <w:bookmarkStart w:id="17" w:name="_Toc113182805"/>
      <w:r>
        <w:rPr>
          <w:rStyle w:val="CharSectno"/>
        </w:rPr>
        <w:t>4</w:t>
      </w:r>
      <w:r>
        <w:t>.</w:t>
      </w:r>
      <w:r>
        <w:tab/>
        <w:t>Interpretation</w:t>
      </w:r>
      <w:bookmarkEnd w:id="1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section</w:t>
      </w:r>
      <w:r>
        <w:rPr>
          <w:b/>
        </w:rPr>
        <w:t>”</w:t>
      </w:r>
      <w:r>
        <w:t xml:space="preserve"> means section of the Act;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Third Schedule</w:t>
      </w:r>
      <w:r>
        <w:rPr>
          <w:b/>
        </w:rPr>
        <w:t>”</w:t>
      </w:r>
      <w:r>
        <w:t xml:space="preserve"> means the Third Schedule to the Act.</w:t>
      </w:r>
    </w:p>
    <w:p>
      <w:pPr>
        <w:pStyle w:val="Heading5"/>
      </w:pPr>
      <w:bookmarkStart w:id="18" w:name="_Toc113182806"/>
      <w:r>
        <w:rPr>
          <w:rStyle w:val="CharSectno"/>
        </w:rPr>
        <w:t>5</w:t>
      </w:r>
      <w:r>
        <w:t>.</w:t>
      </w:r>
      <w:r>
        <w:tab/>
        <w:t>R</w:t>
      </w:r>
      <w:bookmarkStart w:id="19" w:name="_Toc32043192"/>
      <w:bookmarkStart w:id="20" w:name="_Toc32043254"/>
      <w:bookmarkStart w:id="21" w:name="_Toc486739841"/>
      <w:r>
        <w:t>ecognised financial markets (s. 4(1))</w:t>
      </w:r>
      <w:bookmarkEnd w:id="18"/>
      <w:bookmarkEnd w:id="19"/>
      <w:bookmarkEnd w:id="20"/>
    </w:p>
    <w:p>
      <w:pPr>
        <w:pStyle w:val="Subsection"/>
      </w:pPr>
      <w:r>
        <w:tab/>
      </w:r>
      <w:r>
        <w:tab/>
        <w:t>For the purposes of the definition of “recognised financial market” in section 4(1), the following financial markets are prescribed —</w:t>
      </w:r>
    </w:p>
    <w:p>
      <w:pPr>
        <w:pStyle w:val="Indenta"/>
      </w:pPr>
      <w:r>
        <w:tab/>
        <w:t>(a)</w:t>
      </w:r>
      <w:r>
        <w:tab/>
        <w:t>Australian Stock Exchange Limited;</w:t>
      </w:r>
    </w:p>
    <w:p>
      <w:pPr>
        <w:pStyle w:val="Indenta"/>
      </w:pPr>
      <w:r>
        <w:tab/>
        <w:t>(b)</w:t>
      </w:r>
      <w:r>
        <w:tab/>
        <w:t>Stock Exchange of Newcastle Limited;</w:t>
      </w:r>
    </w:p>
    <w:p>
      <w:pPr>
        <w:pStyle w:val="Indenta"/>
      </w:pPr>
      <w:r>
        <w:lastRenderedPageBreak/>
        <w:tab/>
        <w:t>(c)</w:t>
      </w:r>
      <w:r>
        <w:tab/>
        <w:t>any stock exchange that is a member of the World Federation of Exchanges.</w:t>
      </w:r>
    </w:p>
    <w:p>
      <w:pPr>
        <w:pStyle w:val="Footnotesection"/>
      </w:pPr>
      <w:r>
        <w:tab/>
        <w:t>[Regulation 5 amended in Gazette 29 Jun 2004 p. 2550.]</w:t>
      </w:r>
    </w:p>
    <w:p>
      <w:pPr>
        <w:pStyle w:val="Heading5"/>
      </w:pPr>
      <w:bookmarkStart w:id="22" w:name="_Toc113182807"/>
      <w:r>
        <w:rPr>
          <w:rStyle w:val="CharSectno"/>
        </w:rPr>
        <w:t>6</w:t>
      </w:r>
      <w:r>
        <w:t>.</w:t>
      </w:r>
      <w:r>
        <w:tab/>
        <w:t>Manner of endorsement (s. 17C)</w:t>
      </w:r>
      <w:bookmarkEnd w:id="22"/>
    </w:p>
    <w:p>
      <w:pPr>
        <w:pStyle w:val="Subsection"/>
      </w:pPr>
      <w:r>
        <w:tab/>
        <w:t>(1)</w:t>
      </w:r>
      <w:r>
        <w:tab/>
        <w:t>The endorsement of an instrument for the purposes of section 17C(1)(g) is to be effected by the notation on the instrument of sufficient information to indicate —</w:t>
      </w:r>
    </w:p>
    <w:p>
      <w:pPr>
        <w:pStyle w:val="Indenta"/>
      </w:pPr>
      <w:r>
        <w:tab/>
        <w:t>(a)</w:t>
      </w:r>
      <w:r>
        <w:tab/>
        <w:t>which of the events referred to in section 17C(1) has occurred;</w:t>
      </w:r>
    </w:p>
    <w:p>
      <w:pPr>
        <w:pStyle w:val="Indenta"/>
      </w:pPr>
      <w:r>
        <w:tab/>
        <w:t>(b)</w:t>
      </w:r>
      <w:r>
        <w:tab/>
        <w:t>where duty, penalty tax or any other amount has been paid in relation to the instrument, the amount so paid; and</w:t>
      </w:r>
    </w:p>
    <w:p>
      <w:pPr>
        <w:pStyle w:val="Indenta"/>
      </w:pPr>
      <w:r>
        <w:tab/>
        <w:t>(c)</w:t>
      </w:r>
      <w:r>
        <w:tab/>
        <w:t>that the endorsement is made by, or on behalf of, the Commissioner.</w:t>
      </w:r>
    </w:p>
    <w:p>
      <w:pPr>
        <w:pStyle w:val="Subsection"/>
      </w:pPr>
      <w:r>
        <w:tab/>
        <w:t>(2)</w:t>
      </w:r>
      <w:r>
        <w:tab/>
        <w:t>An endorsement may include any other information the Commissioner considers appropriate.</w:t>
      </w:r>
    </w:p>
    <w:p>
      <w:pPr>
        <w:pStyle w:val="Footnotesection"/>
      </w:pPr>
      <w:r>
        <w:tab/>
        <w:t>[Regulation 6 amended in Gazette 3 Dec 2004 p. 5729.]</w:t>
      </w:r>
    </w:p>
    <w:p>
      <w:pPr>
        <w:pStyle w:val="Heading5"/>
      </w:pPr>
      <w:bookmarkStart w:id="23" w:name="_Toc113182808"/>
      <w:r>
        <w:rPr>
          <w:rStyle w:val="CharSectno"/>
        </w:rPr>
        <w:t>7</w:t>
      </w:r>
      <w:r>
        <w:t>.</w:t>
      </w:r>
      <w:r>
        <w:tab/>
        <w:t>Business licences (s. 31B)</w:t>
      </w:r>
      <w:bookmarkEnd w:id="23"/>
    </w:p>
    <w:p>
      <w:pPr>
        <w:pStyle w:val="Subsection"/>
      </w:pPr>
      <w:r>
        <w:tab/>
      </w:r>
      <w:r>
        <w:tab/>
        <w:t>For the purposes of section 31B, the following kinds of business licences are prescribed —</w:t>
      </w:r>
    </w:p>
    <w:p>
      <w:pPr>
        <w:pStyle w:val="Indenta"/>
      </w:pPr>
      <w:r>
        <w:tab/>
        <w:t>(a)</w:t>
      </w:r>
      <w:r>
        <w:tab/>
        <w:t xml:space="preserve">authorisations and entitlements under the </w:t>
      </w:r>
      <w:r>
        <w:rPr>
          <w:i/>
        </w:rPr>
        <w:t>Fish Resources Management Act 1994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pearling licences, hatchery licences and quotas under the </w:t>
      </w:r>
      <w:r>
        <w:rPr>
          <w:i/>
        </w:rPr>
        <w:t>Pearling Act 1990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taxi plates under the </w:t>
      </w:r>
      <w:r>
        <w:rPr>
          <w:i/>
        </w:rPr>
        <w:t>Taxi Act 1994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licences under the </w:t>
      </w:r>
      <w:r>
        <w:rPr>
          <w:i/>
        </w:rPr>
        <w:t>Liquor Licensing Act 1988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licences under the </w:t>
      </w:r>
      <w:r>
        <w:rPr>
          <w:i/>
        </w:rPr>
        <w:t>Marketing of Eggs Act 1945</w:t>
      </w:r>
      <w:r>
        <w:t>, Part IVA;</w:t>
      </w:r>
    </w:p>
    <w:p>
      <w:pPr>
        <w:pStyle w:val="Indenta"/>
      </w:pPr>
      <w:r>
        <w:tab/>
        <w:t>(f)</w:t>
      </w:r>
      <w:r>
        <w:tab/>
        <w:t xml:space="preserve">commercial radio broadcasting licences and commercial television broadcasting licences under the </w:t>
      </w:r>
      <w:r>
        <w:rPr>
          <w:i/>
        </w:rPr>
        <w:t>Broadcasting Services Act 1992</w:t>
      </w:r>
      <w:r>
        <w:t xml:space="preserve"> of the Commonwealth;</w:t>
      </w:r>
    </w:p>
    <w:p>
      <w:pPr>
        <w:pStyle w:val="Indenta"/>
      </w:pPr>
      <w:r>
        <w:tab/>
        <w:t>(g)</w:t>
      </w:r>
      <w:r>
        <w:tab/>
        <w:t xml:space="preserve">subscription based broadcasting licences under Part 7 of the </w:t>
      </w:r>
      <w:r>
        <w:rPr>
          <w:i/>
        </w:rPr>
        <w:t xml:space="preserve">Broadcasting Services Act 1992 </w:t>
      </w:r>
      <w:r>
        <w:t>of the Commonwealth.</w:t>
      </w:r>
    </w:p>
    <w:p>
      <w:pPr>
        <w:pStyle w:val="Heading5"/>
      </w:pPr>
      <w:bookmarkStart w:id="24" w:name="_Toc113182809"/>
      <w:r>
        <w:rPr>
          <w:rStyle w:val="CharSectno"/>
        </w:rPr>
        <w:t>8</w:t>
      </w:r>
      <w:r>
        <w:t>.</w:t>
      </w:r>
      <w:r>
        <w:tab/>
        <w:t>Vehicles (s. 76B(1), definition of “market value”)</w:t>
      </w:r>
      <w:bookmarkEnd w:id="24"/>
    </w:p>
    <w:p>
      <w:pPr>
        <w:pStyle w:val="Subsection"/>
      </w:pPr>
      <w:r>
        <w:tab/>
      </w:r>
      <w:r>
        <w:tab/>
        <w:t>For the purposes of section 76B(1), the following classes of vehicles are prescribed for the purposes of the definition of “market value”, paragraph (a)(i) —</w:t>
      </w:r>
    </w:p>
    <w:p>
      <w:pPr>
        <w:pStyle w:val="Indenta"/>
      </w:pPr>
      <w:r>
        <w:tab/>
        <w:t>(a)</w:t>
      </w:r>
      <w:r>
        <w:tab/>
        <w:t>motor cars;</w:t>
      </w:r>
    </w:p>
    <w:p>
      <w:pPr>
        <w:pStyle w:val="Indenta"/>
      </w:pPr>
      <w:r>
        <w:tab/>
        <w:t>(b)</w:t>
      </w:r>
      <w:r>
        <w:tab/>
        <w:t>motor cycles; and</w:t>
      </w:r>
    </w:p>
    <w:p>
      <w:pPr>
        <w:pStyle w:val="Indenta"/>
      </w:pPr>
      <w:r>
        <w:tab/>
        <w:t>(c)</w:t>
      </w:r>
      <w:r>
        <w:tab/>
        <w:t>motor wagons,</w:t>
      </w:r>
    </w:p>
    <w:p>
      <w:pPr>
        <w:pStyle w:val="Subsection"/>
      </w:pPr>
      <w:r>
        <w:tab/>
      </w:r>
      <w:r>
        <w:tab/>
        <w:t xml:space="preserve">(as defined in the </w:t>
      </w:r>
      <w:r>
        <w:rPr>
          <w:i/>
        </w:rPr>
        <w:t xml:space="preserve">Road Traffic Act 1974 </w:t>
      </w:r>
      <w:r>
        <w:t xml:space="preserve">as in force on the commencement of the </w:t>
      </w:r>
      <w:r>
        <w:rPr>
          <w:i/>
        </w:rPr>
        <w:t>Stamp Amendment Regulations 2004</w:t>
      </w:r>
      <w:r>
        <w:rPr>
          <w:vertAlign w:val="superscript"/>
        </w:rPr>
        <w:t> 1</w:t>
      </w:r>
      <w:r>
        <w:t>)</w:t>
      </w:r>
      <w:r>
        <w:rPr>
          <w:i/>
        </w:rPr>
        <w:t xml:space="preserve"> </w:t>
      </w:r>
      <w:r>
        <w:t>other than heavy vehicles (as defined in section 76B(1) of the Act).</w:t>
      </w:r>
    </w:p>
    <w:p>
      <w:pPr>
        <w:pStyle w:val="Footnotesection"/>
      </w:pPr>
      <w:r>
        <w:tab/>
        <w:t>[Regulation 8 inserted in Gazette 27 Feb 2004 p. 640.]</w:t>
      </w:r>
    </w:p>
    <w:p>
      <w:pPr>
        <w:pStyle w:val="Heading5"/>
      </w:pPr>
      <w:bookmarkStart w:id="25" w:name="_Toc113182810"/>
      <w:r>
        <w:rPr>
          <w:rStyle w:val="CharSectno"/>
        </w:rPr>
        <w:t>8A</w:t>
      </w:r>
      <w:r>
        <w:t>.</w:t>
      </w:r>
      <w:r>
        <w:tab/>
        <w:t>Vehicles (s. 76B(1), definition of “optional feature”)</w:t>
      </w:r>
      <w:bookmarkEnd w:id="25"/>
    </w:p>
    <w:p>
      <w:pPr>
        <w:pStyle w:val="Subsection"/>
      </w:pPr>
      <w:r>
        <w:tab/>
      </w:r>
      <w:r>
        <w:tab/>
        <w:t>For the purposes of section 76B(1), any particular type of engine in a vehicle is prescribed for the purposes of the definition of an “optional feature”, paragraph (b).</w:t>
      </w:r>
    </w:p>
    <w:p>
      <w:pPr>
        <w:pStyle w:val="Footnotesection"/>
      </w:pPr>
      <w:r>
        <w:tab/>
        <w:t>[Regulation 8A inserted in Gazette 16 Nov 2004 p. 5070.]</w:t>
      </w:r>
    </w:p>
    <w:p>
      <w:pPr>
        <w:pStyle w:val="Heading5"/>
      </w:pPr>
      <w:bookmarkStart w:id="26" w:name="_Toc113182811"/>
      <w:r>
        <w:rPr>
          <w:rStyle w:val="CharSectno"/>
        </w:rPr>
        <w:t>9</w:t>
      </w:r>
      <w:r>
        <w:t>.</w:t>
      </w:r>
      <w:r>
        <w:tab/>
        <w:t>Conveyance or transfer on sale of property — exemptions (Third Schedule, item 2(7a)(c))</w:t>
      </w:r>
      <w:bookmarkEnd w:id="26"/>
    </w:p>
    <w:p>
      <w:pPr>
        <w:pStyle w:val="Subsection"/>
      </w:pPr>
      <w:r>
        <w:tab/>
        <w:t>(1)</w:t>
      </w:r>
      <w:r>
        <w:tab/>
        <w:t>For the purposes of the Third Schedule, item 2(7a)(c) animals that are held or used in connection with a business that is not in the business of primary production are prescribed.</w:t>
      </w:r>
    </w:p>
    <w:p>
      <w:pPr>
        <w:pStyle w:val="Subsection"/>
        <w:keepNext/>
      </w:pPr>
      <w:r>
        <w:tab/>
        <w:t>(2)</w:t>
      </w:r>
      <w:r>
        <w:tab/>
        <w:t>In this regulation —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primary production</w:t>
      </w:r>
      <w:r>
        <w:rPr>
          <w:b/>
        </w:rPr>
        <w:t>”</w:t>
      </w:r>
      <w:r>
        <w:t xml:space="preserve"> has the meaning given in section 75D(1).</w:t>
      </w:r>
    </w:p>
    <w:p>
      <w:pPr>
        <w:pStyle w:val="Footnotesection"/>
      </w:pPr>
      <w:r>
        <w:tab/>
        <w:t>[Regulation 9 inserted in Gazette 7 May 2004 p. 1412.]</w:t>
      </w:r>
    </w:p>
    <w:p>
      <w:pPr>
        <w:pStyle w:val="Heading5"/>
      </w:pPr>
      <w:bookmarkStart w:id="27" w:name="_Toc113182812"/>
      <w:r>
        <w:rPr>
          <w:rStyle w:val="CharSectno"/>
        </w:rPr>
        <w:t>10</w:t>
      </w:r>
      <w:r>
        <w:t>.</w:t>
      </w:r>
      <w:r>
        <w:tab/>
        <w:t>Policies of insurance — exemptions (Third Schedule, item 8(4))</w:t>
      </w:r>
      <w:bookmarkEnd w:id="27"/>
    </w:p>
    <w:bookmarkEnd w:id="21"/>
    <w:p>
      <w:pPr>
        <w:pStyle w:val="Subsection"/>
      </w:pPr>
      <w:r>
        <w:tab/>
        <w:t>(1)</w:t>
      </w:r>
      <w:r>
        <w:tab/>
        <w:t>For the purposes of the Third Schedule, item 8(4) the following classes of policies of insurance are prescribed —</w:t>
      </w:r>
    </w:p>
    <w:p>
      <w:pPr>
        <w:pStyle w:val="Indenta"/>
      </w:pPr>
      <w:r>
        <w:tab/>
        <w:t>(a)</w:t>
      </w:r>
      <w:r>
        <w:tab/>
        <w:t>policies of insurance issued by registered organisations in the course of their health insurance business;</w:t>
      </w:r>
    </w:p>
    <w:p>
      <w:pPr>
        <w:pStyle w:val="Indenta"/>
      </w:pPr>
      <w:r>
        <w:tab/>
        <w:t>(b)</w:t>
      </w:r>
      <w:r>
        <w:tab/>
        <w:t>policies of insurance under the Defence Service Homes Insurance Scheme.</w:t>
      </w:r>
    </w:p>
    <w:p>
      <w:pPr>
        <w:pStyle w:val="Subsection"/>
      </w:pPr>
      <w:r>
        <w:tab/>
        <w:t>(2)</w:t>
      </w:r>
      <w:r>
        <w:tab/>
        <w:t>In this regulation —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Defence Service Homes Insurance Scheme</w:t>
      </w:r>
      <w:r>
        <w:rPr>
          <w:b/>
        </w:rPr>
        <w:t>”</w:t>
      </w:r>
      <w:r>
        <w:t xml:space="preserve"> has the meaning given in section 38 of the </w:t>
      </w:r>
      <w:r>
        <w:rPr>
          <w:i/>
        </w:rPr>
        <w:t>Defence Service Homes Act 1918</w:t>
      </w:r>
      <w:r>
        <w:t xml:space="preserve"> of the Commonwealth;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health insurance business</w:t>
      </w:r>
      <w:r>
        <w:rPr>
          <w:b/>
        </w:rPr>
        <w:t>”</w:t>
      </w:r>
      <w:r>
        <w:t xml:space="preserve"> has the meaning given in section 67 of the </w:t>
      </w:r>
      <w:r>
        <w:rPr>
          <w:i/>
        </w:rPr>
        <w:t xml:space="preserve">National Health Act 1953 </w:t>
      </w:r>
      <w:r>
        <w:t>of the Commonwealth;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registered organisation</w:t>
      </w:r>
      <w:r>
        <w:rPr>
          <w:b/>
        </w:rPr>
        <w:t>”</w:t>
      </w:r>
      <w:r>
        <w:t xml:space="preserve"> has the meaning given in section 4 of the </w:t>
      </w:r>
      <w:r>
        <w:rPr>
          <w:i/>
        </w:rPr>
        <w:t xml:space="preserve">National Health Act 1953 </w:t>
      </w:r>
      <w:r>
        <w:t>of the Commonwealth.</w:t>
      </w:r>
    </w:p>
    <w:p>
      <w:pPr>
        <w:pStyle w:val="Heading5"/>
      </w:pPr>
      <w:bookmarkStart w:id="28" w:name="_Toc113182813"/>
      <w:r>
        <w:rPr>
          <w:rStyle w:val="CharSectno"/>
        </w:rPr>
        <w:t>11</w:t>
      </w:r>
      <w:r>
        <w:t>.</w:t>
      </w:r>
      <w:r>
        <w:tab/>
        <w:t>Vehicle licences — exemptions (Third Schedule, item 9(3))</w:t>
      </w:r>
      <w:bookmarkEnd w:id="28"/>
    </w:p>
    <w:p>
      <w:pPr>
        <w:pStyle w:val="Subsection"/>
      </w:pPr>
      <w:r>
        <w:tab/>
      </w:r>
      <w:r>
        <w:tab/>
        <w:t>For the purposes of the Third Schedule, item 9(3) the following classes of vehicles, class of persons and purpose are prescribed —</w:t>
      </w:r>
    </w:p>
    <w:p>
      <w:pPr>
        <w:pStyle w:val="Indenta"/>
      </w:pPr>
      <w:r>
        <w:tab/>
        <w:t>(a)</w:t>
      </w:r>
      <w:r>
        <w:tab/>
        <w:t xml:space="preserve">tractor plants and tractors (other than prime mover types), as described in the First Schedule to the </w:t>
      </w:r>
      <w:r>
        <w:rPr>
          <w:i/>
        </w:rPr>
        <w:t>Road Traffic Act 1974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persons who own a vehicle the vehicle licence fee for which is reduced under regulation 21M of the </w:t>
      </w:r>
      <w:r>
        <w:rPr>
          <w:i/>
        </w:rPr>
        <w:t>Road Traffic (Licensing) Regulations 1975</w:t>
      </w:r>
      <w:r>
        <w:t>;</w:t>
      </w:r>
    </w:p>
    <w:p>
      <w:pPr>
        <w:pStyle w:val="Indenta"/>
      </w:pPr>
      <w:r>
        <w:tab/>
        <w:t>(c)</w:t>
      </w:r>
      <w:r>
        <w:tab/>
        <w:t>the uses of the vehicle described in that regulation 21M.</w:t>
      </w:r>
    </w:p>
    <w:p>
      <w:pPr>
        <w:pStyle w:val="Ednotesection"/>
      </w:pPr>
      <w:r>
        <w:t>[</w:t>
      </w:r>
      <w:r>
        <w:rPr>
          <w:b/>
          <w:bCs/>
        </w:rPr>
        <w:t>12.</w:t>
      </w:r>
      <w:r>
        <w:rPr>
          <w:b/>
          <w:bCs/>
        </w:rPr>
        <w:tab/>
      </w:r>
      <w:r>
        <w:t>Repealed in Gazette 13 Aug 2004 p. 3252.]</w:t>
      </w:r>
    </w:p>
    <w:p>
      <w:p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9" w:name="_Toc80078117"/>
      <w:bookmarkStart w:id="30" w:name="_Toc80084158"/>
      <w:bookmarkStart w:id="31" w:name="_Toc89580682"/>
      <w:bookmarkStart w:id="32" w:name="_Toc89672622"/>
      <w:bookmarkStart w:id="33" w:name="_Toc90100695"/>
      <w:bookmarkStart w:id="34" w:name="_Toc108499000"/>
      <w:bookmarkStart w:id="35" w:name="_Toc108499786"/>
      <w:bookmarkStart w:id="36" w:name="_Toc110140580"/>
      <w:bookmarkStart w:id="37" w:name="_Toc113182814"/>
      <w:r>
        <w:t>Notes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>
      <w:pPr>
        <w:pStyle w:val="nSubsection"/>
        <w:rPr>
          <w:snapToGrid w:val="0"/>
        </w:rPr>
      </w:pPr>
      <w:bookmarkStart w:id="38" w:name="_Toc511102520"/>
      <w:bookmarkStart w:id="39" w:name="_Toc513888953"/>
      <w:bookmarkStart w:id="40" w:name="_Toc516991868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12 August 2005 of the </w:t>
      </w:r>
      <w:r>
        <w:rPr>
          <w:i/>
          <w:noProof/>
          <w:snapToGrid w:val="0"/>
        </w:rPr>
        <w:t>Stamp Regulations 2003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41" w:name="_Toc113182815"/>
      <w:bookmarkEnd w:id="38"/>
      <w:bookmarkEnd w:id="39"/>
      <w:bookmarkEnd w:id="40"/>
      <w:r>
        <w:t>Compila</w:t>
      </w:r>
      <w:bookmarkStart w:id="42" w:name="UpToHere"/>
      <w:bookmarkEnd w:id="42"/>
      <w:r>
        <w:t>tion table</w:t>
      </w:r>
      <w:bookmarkEnd w:id="4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Stamp Regulations 2003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2415-18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Jul 2003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27 Jun 2003 p. 2383)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Stamp Amendment Regulations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2003 p. 5730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2004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30 Dec 2003 p. 5721)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Stamp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Feb 2004 p. 639-40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Mar 2004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30 Dec 2003 p. 5721)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Stamp Amendment Regulations (No. 2)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May 2004 p. 1412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May 2004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Stamp Amendment Regulations (No. 3)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2549-50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 Jun 2004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Stamp Amendment Regulations (No. 4)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Aug 2004 p. 3252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Aug 2004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Stamp Amendment Regulations (No. 6)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Nov 2004 p. 5069</w:t>
            </w:r>
            <w:r>
              <w:rPr>
                <w:sz w:val="19"/>
              </w:rPr>
              <w:noBreakHyphen/>
              <w:t>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2004 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Stamp Amendment Regulations (No. 5)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Dec 2004 p. 5729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Dec 2004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  <w:sz w:val="19"/>
              </w:rPr>
              <w:t>Stamp Regulations 2003</w:t>
            </w:r>
            <w:r>
              <w:rPr>
                <w:b/>
                <w:bCs/>
                <w:sz w:val="19"/>
              </w:rPr>
              <w:t xml:space="preserve"> as at 12 Aug 2005</w:t>
            </w:r>
            <w:r>
              <w:rPr>
                <w:sz w:val="19"/>
              </w:rPr>
              <w:t xml:space="preserve"> (includes amendments listed above)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Aug 2005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Aug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Aug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Aug 2005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Aug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iv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Aug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Aug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Aug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Aug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Stamp Regulations 2003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Stamp Regulations 2003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Stamp Regulations 2003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Stamp Regulations 2003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Stamp Regulations 2003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Stamp Regulations 2003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Stamp Regulations 2003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6AA3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D4CF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68BC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F6D5C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64BF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7EB7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5AB7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629D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2AF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7A05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0BC779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F620BD3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0125459"/>
    <w:docVar w:name="WAFER_20151210125459" w:val="RemoveTrackChanges"/>
    <w:docVar w:name="WAFER_20151210125459_GUID" w:val="f3459c8c-10af-4727-b1a2-d5df7772ecd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LegTblHist">
    <w:name w:val="LegTblHist"/>
    <w:basedOn w:val="Heading2"/>
    <w:rPr>
      <w:bCs/>
    </w:rPr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LegTblHist">
    <w:name w:val="LegTblHist"/>
    <w:basedOn w:val="Heading2"/>
    <w:rPr>
      <w:bCs/>
    </w:rPr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1186</Words>
  <Characters>6025</Characters>
  <Application>Microsoft Office Word</Application>
  <DocSecurity>0</DocSecurity>
  <Lines>231</Lines>
  <Paragraphs>150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7061</CharactersWithSpaces>
  <SharedDoc>false</SharedDoc>
  <HLinks>
    <vt:vector size="12" baseType="variant">
      <vt:variant>
        <vt:i4>3014716</vt:i4>
      </vt:variant>
      <vt:variant>
        <vt:i4>2331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3014716</vt:i4>
      </vt:variant>
      <vt:variant>
        <vt:i4>-1</vt:i4>
      </vt:variant>
      <vt:variant>
        <vt:i4>1035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Stamp Regulations 2003 - 01-a0-03</dc:title>
  <dc:subject/>
  <dc:creator/>
  <cp:keywords/>
  <dc:description/>
  <cp:lastModifiedBy>svcMRProcess</cp:lastModifiedBy>
  <cp:revision>4</cp:revision>
  <cp:lastPrinted>2005-07-26T03:27:00Z</cp:lastPrinted>
  <dcterms:created xsi:type="dcterms:W3CDTF">2015-12-12T11:49:00Z</dcterms:created>
  <dcterms:modified xsi:type="dcterms:W3CDTF">2015-12-12T11:49:00Z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27 June 2003 pp.2415-18</vt:lpwstr>
  </property>
  <property fmtid="{D5CDD505-2E9C-101B-9397-08002B2CF9AE}" pid="3" name="CommencementDate">
    <vt:lpwstr>20050812</vt:lpwstr>
  </property>
  <property fmtid="{D5CDD505-2E9C-101B-9397-08002B2CF9AE}" pid="4" name="DocumentType">
    <vt:lpwstr>Reg</vt:lpwstr>
  </property>
  <property fmtid="{D5CDD505-2E9C-101B-9397-08002B2CF9AE}" pid="5" name="OwlsUID">
    <vt:i4>33736</vt:i4>
  </property>
  <property fmtid="{D5CDD505-2E9C-101B-9397-08002B2CF9AE}" pid="6" name="ReprintNo">
    <vt:lpwstr>1</vt:lpwstr>
  </property>
  <property fmtid="{D5CDD505-2E9C-101B-9397-08002B2CF9AE}" pid="7" name="AsAtDate">
    <vt:lpwstr>12 Aug 2005</vt:lpwstr>
  </property>
  <property fmtid="{D5CDD505-2E9C-101B-9397-08002B2CF9AE}" pid="8" name="Suffix">
    <vt:lpwstr>01-a0-03</vt:lpwstr>
  </property>
</Properties>
</file>