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81" w:rsidRDefault="009D25C9">
      <w:pPr>
        <w:pStyle w:val="WA"/>
      </w:pPr>
      <w:bookmarkStart w:id="0" w:name="_GoBack"/>
      <w:bookmarkEnd w:id="0"/>
      <w:r>
        <w:rPr>
          <w:noProof/>
        </w:rPr>
        <w:drawing>
          <wp:anchor distT="0" distB="0" distL="114300" distR="114300" simplePos="0" relativeHeight="251659264" behindDoc="0" locked="0" layoutInCell="1" allowOverlap="1" wp14:anchorId="1731F143" wp14:editId="72014E1C">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7681" w:rsidRDefault="009D25C9">
      <w:pPr>
        <w:pStyle w:val="PrincipalActRegPage1"/>
      </w:pPr>
      <w:r>
        <w:fldChar w:fldCharType="begin"/>
      </w:r>
      <w:r>
        <w:instrText xml:space="preserve"> STYLEREF "PrincipalAct_Reg"</w:instrText>
      </w:r>
      <w:r>
        <w:fldChar w:fldCharType="separate"/>
      </w:r>
      <w:r w:rsidR="00C441FB">
        <w:rPr>
          <w:noProof/>
        </w:rPr>
        <w:t>Public Health Act 2016</w:t>
      </w:r>
      <w:r>
        <w:fldChar w:fldCharType="end"/>
      </w:r>
    </w:p>
    <w:p w:rsidR="007F7681" w:rsidRDefault="009D25C9">
      <w:pPr>
        <w:pStyle w:val="NameofActRegPage1"/>
        <w:spacing w:before="1800" w:after="4200"/>
        <w:outlineLvl w:val="0"/>
      </w:pPr>
      <w:r>
        <w:fldChar w:fldCharType="begin"/>
      </w:r>
      <w:r>
        <w:instrText xml:space="preserve"> STYLEREF "Name Of Act/Reg"</w:instrText>
      </w:r>
      <w:r>
        <w:fldChar w:fldCharType="separate"/>
      </w:r>
      <w:r w:rsidR="00C441FB">
        <w:rPr>
          <w:noProof/>
        </w:rPr>
        <w:t>Public Health Regulations 2017</w:t>
      </w:r>
      <w:r>
        <w:fldChar w:fldCharType="end"/>
      </w:r>
    </w:p>
    <w:p w:rsidR="007F7681" w:rsidRDefault="007F7681">
      <w:pPr>
        <w:jc w:val="center"/>
        <w:sectPr w:rsidR="007F768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47059" w:rsidRDefault="00747059">
      <w:pPr>
        <w:pStyle w:val="WA"/>
      </w:pPr>
      <w:r>
        <w:lastRenderedPageBreak/>
        <w:t>Western Australia</w:t>
      </w:r>
    </w:p>
    <w:p w:rsidR="00587F60" w:rsidRDefault="00587F60">
      <w:pPr>
        <w:pStyle w:val="NameofActRegPage1"/>
      </w:pPr>
      <w:r>
        <w:fldChar w:fldCharType="begin"/>
      </w:r>
      <w:r>
        <w:instrText xml:space="preserve"> STYLEREF "Name Of Act/Reg"</w:instrText>
      </w:r>
      <w:r>
        <w:fldChar w:fldCharType="separate"/>
      </w:r>
      <w:r w:rsidR="00C441FB">
        <w:rPr>
          <w:noProof/>
        </w:rPr>
        <w:t>Public Health Regulations 2017</w:t>
      </w:r>
      <w:r>
        <w:fldChar w:fldCharType="end"/>
      </w:r>
    </w:p>
    <w:p w:rsidR="00587F60" w:rsidRDefault="00587F60">
      <w:pPr>
        <w:pStyle w:val="Arrangement"/>
      </w:pPr>
      <w:r>
        <w:t>Contents</w:t>
      </w:r>
    </w:p>
    <w:p w:rsidR="003C7348" w:rsidRDefault="00587F6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C7348">
        <w:t>Part 1 — Preliminary</w:t>
      </w:r>
    </w:p>
    <w:p w:rsidR="003C7348" w:rsidRDefault="003C7348">
      <w:pPr>
        <w:pStyle w:val="TOC8"/>
        <w:rPr>
          <w:rFonts w:asciiTheme="minorHAnsi" w:eastAsiaTheme="minorEastAsia" w:hAnsiTheme="minorHAnsi" w:cstheme="minorBidi"/>
          <w:szCs w:val="22"/>
        </w:rPr>
      </w:pPr>
      <w:r>
        <w:t>1.</w:t>
      </w:r>
      <w:r>
        <w:tab/>
        <w:t>Citation</w:t>
      </w:r>
      <w:r>
        <w:tab/>
      </w:r>
      <w:r>
        <w:fldChar w:fldCharType="begin"/>
      </w:r>
      <w:r>
        <w:instrText xml:space="preserve"> PAGEREF _Toc71120738 \h </w:instrText>
      </w:r>
      <w:r>
        <w:fldChar w:fldCharType="separate"/>
      </w:r>
      <w:r w:rsidR="00C441FB">
        <w:t>1</w:t>
      </w:r>
      <w:r>
        <w:fldChar w:fldCharType="end"/>
      </w:r>
    </w:p>
    <w:p w:rsidR="003C7348" w:rsidRDefault="003C7348">
      <w:pPr>
        <w:pStyle w:val="TOC8"/>
        <w:rPr>
          <w:rFonts w:asciiTheme="minorHAnsi" w:eastAsiaTheme="minorEastAsia" w:hAnsiTheme="minorHAnsi" w:cstheme="minorBidi"/>
          <w:szCs w:val="22"/>
        </w:rPr>
      </w:pPr>
      <w:r>
        <w:t>2</w:t>
      </w:r>
      <w:r w:rsidRPr="00FD1D80">
        <w:rPr>
          <w:spacing w:val="-2"/>
        </w:rPr>
        <w:t>.</w:t>
      </w:r>
      <w:r w:rsidRPr="00FD1D80">
        <w:rPr>
          <w:spacing w:val="-2"/>
        </w:rPr>
        <w:tab/>
        <w:t>Commencement</w:t>
      </w:r>
      <w:r>
        <w:tab/>
      </w:r>
      <w:r>
        <w:fldChar w:fldCharType="begin"/>
      </w:r>
      <w:r>
        <w:instrText xml:space="preserve"> PAGEREF _Toc71120739 \h </w:instrText>
      </w:r>
      <w:r>
        <w:fldChar w:fldCharType="separate"/>
      </w:r>
      <w:r w:rsidR="00C441FB">
        <w:t>1</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rsidR="003C7348" w:rsidRDefault="003C7348">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_Toc71120741 \h </w:instrText>
      </w:r>
      <w:r>
        <w:fldChar w:fldCharType="separate"/>
      </w:r>
      <w:r w:rsidR="00C441FB">
        <w:t>2</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rsidR="003C7348" w:rsidRDefault="003C7348">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_Toc71120743 \h </w:instrText>
      </w:r>
      <w:r>
        <w:fldChar w:fldCharType="separate"/>
      </w:r>
      <w:r w:rsidR="00C441FB">
        <w:t>3</w:t>
      </w:r>
      <w:r>
        <w:fldChar w:fldCharType="end"/>
      </w:r>
    </w:p>
    <w:p w:rsidR="003C7348" w:rsidRDefault="003C7348">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_Toc71120744 \h </w:instrText>
      </w:r>
      <w:r>
        <w:fldChar w:fldCharType="separate"/>
      </w:r>
      <w:r w:rsidR="00C441FB">
        <w:t>9</w:t>
      </w:r>
      <w:r>
        <w:fldChar w:fldCharType="end"/>
      </w:r>
    </w:p>
    <w:p w:rsidR="003C7348" w:rsidRDefault="003C7348">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_Toc71120745 \h </w:instrText>
      </w:r>
      <w:r>
        <w:fldChar w:fldCharType="separate"/>
      </w:r>
      <w:r w:rsidR="00C441FB">
        <w:t>10</w:t>
      </w:r>
      <w:r>
        <w:fldChar w:fldCharType="end"/>
      </w:r>
    </w:p>
    <w:p w:rsidR="003C7348" w:rsidRDefault="003C7348">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_Toc71120746 \h </w:instrText>
      </w:r>
      <w:r>
        <w:fldChar w:fldCharType="separate"/>
      </w:r>
      <w:r w:rsidR="00C441FB">
        <w:t>10</w:t>
      </w:r>
      <w:r>
        <w:fldChar w:fldCharType="end"/>
      </w:r>
    </w:p>
    <w:p w:rsidR="003C7348" w:rsidRDefault="003C7348">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_Toc71120747 \h </w:instrText>
      </w:r>
      <w:r>
        <w:fldChar w:fldCharType="separate"/>
      </w:r>
      <w:r w:rsidR="00C441FB">
        <w:t>10</w:t>
      </w:r>
      <w:r>
        <w:fldChar w:fldCharType="end"/>
      </w:r>
    </w:p>
    <w:p w:rsidR="003C7348" w:rsidRDefault="003C7348">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_Toc71120748 \h </w:instrText>
      </w:r>
      <w:r>
        <w:fldChar w:fldCharType="separate"/>
      </w:r>
      <w:r w:rsidR="00C441FB">
        <w:t>12</w:t>
      </w:r>
      <w:r>
        <w:fldChar w:fldCharType="end"/>
      </w:r>
    </w:p>
    <w:p w:rsidR="003C7348" w:rsidRDefault="003C7348">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_Toc71120749 \h </w:instrText>
      </w:r>
      <w:r>
        <w:fldChar w:fldCharType="separate"/>
      </w:r>
      <w:r w:rsidR="00C441FB">
        <w:t>13</w:t>
      </w:r>
      <w:r>
        <w:fldChar w:fldCharType="end"/>
      </w:r>
    </w:p>
    <w:p w:rsidR="003C7348" w:rsidRDefault="003C7348">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_Toc71120750 \h </w:instrText>
      </w:r>
      <w:r>
        <w:fldChar w:fldCharType="separate"/>
      </w:r>
      <w:r w:rsidR="00C441FB">
        <w:t>14</w:t>
      </w:r>
      <w:r>
        <w:fldChar w:fldCharType="end"/>
      </w:r>
    </w:p>
    <w:p w:rsidR="003C7348" w:rsidRDefault="003C7348">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_Toc71120751 \h </w:instrText>
      </w:r>
      <w:r>
        <w:fldChar w:fldCharType="separate"/>
      </w:r>
      <w:r w:rsidR="00C441FB">
        <w:t>14</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rsidR="003C7348" w:rsidRDefault="003C7348">
      <w:pPr>
        <w:pStyle w:val="TOC8"/>
        <w:rPr>
          <w:rFonts w:asciiTheme="minorHAnsi" w:eastAsiaTheme="minorEastAsia" w:hAnsiTheme="minorHAnsi" w:cstheme="minorBidi"/>
          <w:szCs w:val="22"/>
        </w:rPr>
      </w:pPr>
      <w:r>
        <w:t>10A.</w:t>
      </w:r>
      <w:r>
        <w:tab/>
        <w:t>Terms used</w:t>
      </w:r>
      <w:r>
        <w:tab/>
      </w:r>
      <w:r>
        <w:fldChar w:fldCharType="begin"/>
      </w:r>
      <w:r>
        <w:instrText xml:space="preserve"> PAGEREF _Toc71120753 \h </w:instrText>
      </w:r>
      <w:r>
        <w:fldChar w:fldCharType="separate"/>
      </w:r>
      <w:r w:rsidR="00C441FB">
        <w:t>15</w:t>
      </w:r>
      <w:r>
        <w:fldChar w:fldCharType="end"/>
      </w:r>
    </w:p>
    <w:p w:rsidR="003C7348" w:rsidRDefault="003C7348">
      <w:pPr>
        <w:pStyle w:val="TOC8"/>
        <w:rPr>
          <w:rFonts w:asciiTheme="minorHAnsi" w:eastAsiaTheme="minorEastAsia" w:hAnsiTheme="minorHAnsi" w:cstheme="minorBidi"/>
          <w:szCs w:val="22"/>
        </w:rPr>
      </w:pPr>
      <w:r>
        <w:t>10AA.</w:t>
      </w:r>
      <w:r>
        <w:tab/>
        <w:t xml:space="preserve">Period prescribed for definition of </w:t>
      </w:r>
      <w:r w:rsidRPr="00FD1D80">
        <w:rPr>
          <w:i/>
        </w:rPr>
        <w:t>current</w:t>
      </w:r>
      <w:r>
        <w:tab/>
      </w:r>
      <w:r>
        <w:fldChar w:fldCharType="begin"/>
      </w:r>
      <w:r>
        <w:instrText xml:space="preserve"> PAGEREF _Toc71120754 \h </w:instrText>
      </w:r>
      <w:r>
        <w:fldChar w:fldCharType="separate"/>
      </w:r>
      <w:r w:rsidR="00C441FB">
        <w:t>16</w:t>
      </w:r>
      <w:r>
        <w:fldChar w:fldCharType="end"/>
      </w:r>
    </w:p>
    <w:p w:rsidR="003C7348" w:rsidRDefault="003C7348">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_Toc71120755 \h </w:instrText>
      </w:r>
      <w:r>
        <w:fldChar w:fldCharType="separate"/>
      </w:r>
      <w:r w:rsidR="00C441FB">
        <w:t>16</w:t>
      </w:r>
      <w:r>
        <w:fldChar w:fldCharType="end"/>
      </w:r>
    </w:p>
    <w:p w:rsidR="003C7348" w:rsidRDefault="003C7348">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_Toc71120756 \h </w:instrText>
      </w:r>
      <w:r>
        <w:fldChar w:fldCharType="separate"/>
      </w:r>
      <w:r w:rsidR="00C441FB">
        <w:t>19</w:t>
      </w:r>
      <w:r>
        <w:fldChar w:fldCharType="end"/>
      </w:r>
    </w:p>
    <w:p w:rsidR="003C7348" w:rsidRDefault="003C7348">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_Toc71120757 \h </w:instrText>
      </w:r>
      <w:r>
        <w:fldChar w:fldCharType="separate"/>
      </w:r>
      <w:r w:rsidR="00C441FB">
        <w:t>21</w:t>
      </w:r>
      <w:r>
        <w:fldChar w:fldCharType="end"/>
      </w:r>
    </w:p>
    <w:p w:rsidR="003C7348" w:rsidRDefault="003C7348">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_Toc71120758 \h </w:instrText>
      </w:r>
      <w:r>
        <w:fldChar w:fldCharType="separate"/>
      </w:r>
      <w:r w:rsidR="00C441FB">
        <w:t>21</w:t>
      </w:r>
      <w:r>
        <w:fldChar w:fldCharType="end"/>
      </w:r>
    </w:p>
    <w:p w:rsidR="003C7348" w:rsidRDefault="003C7348">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_Toc71120759 \h </w:instrText>
      </w:r>
      <w:r>
        <w:fldChar w:fldCharType="separate"/>
      </w:r>
      <w:r w:rsidR="00C441FB">
        <w:t>22</w:t>
      </w:r>
      <w:r>
        <w:fldChar w:fldCharType="end"/>
      </w:r>
    </w:p>
    <w:p w:rsidR="003C7348" w:rsidRDefault="003C7348">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_Toc71120760 \h </w:instrText>
      </w:r>
      <w:r>
        <w:fldChar w:fldCharType="separate"/>
      </w:r>
      <w:r w:rsidR="00C441FB">
        <w:t>22</w:t>
      </w:r>
      <w:r>
        <w:fldChar w:fldCharType="end"/>
      </w:r>
    </w:p>
    <w:p w:rsidR="003C7348" w:rsidRDefault="003C7348">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_Toc71120761 \h </w:instrText>
      </w:r>
      <w:r>
        <w:fldChar w:fldCharType="separate"/>
      </w:r>
      <w:r w:rsidR="00C441FB">
        <w:t>24</w:t>
      </w:r>
      <w:r>
        <w:fldChar w:fldCharType="end"/>
      </w:r>
    </w:p>
    <w:p w:rsidR="003C7348" w:rsidRDefault="003C7348">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_Toc71120762 \h </w:instrText>
      </w:r>
      <w:r>
        <w:fldChar w:fldCharType="separate"/>
      </w:r>
      <w:r w:rsidR="00C441FB">
        <w:t>24</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3 — Public health emergencies</w:t>
      </w:r>
    </w:p>
    <w:p w:rsidR="003C7348" w:rsidRDefault="003C7348">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_Toc71120764 \h </w:instrText>
      </w:r>
      <w:r>
        <w:fldChar w:fldCharType="separate"/>
      </w:r>
      <w:r w:rsidR="00C441FB">
        <w:t>26</w:t>
      </w:r>
      <w:r>
        <w:fldChar w:fldCharType="end"/>
      </w:r>
    </w:p>
    <w:p w:rsidR="003C7348" w:rsidRDefault="003C7348">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_Toc71120765 \h </w:instrText>
      </w:r>
      <w:r>
        <w:fldChar w:fldCharType="separate"/>
      </w:r>
      <w:r w:rsidR="00C441FB">
        <w:t>26</w:t>
      </w:r>
      <w:r>
        <w:fldChar w:fldCharType="end"/>
      </w:r>
    </w:p>
    <w:p w:rsidR="003C7348" w:rsidRDefault="003C7348">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_Toc71120766 \h </w:instrText>
      </w:r>
      <w:r>
        <w:fldChar w:fldCharType="separate"/>
      </w:r>
      <w:r w:rsidR="00C441FB">
        <w:t>26</w:t>
      </w:r>
      <w:r>
        <w:fldChar w:fldCharType="end"/>
      </w:r>
    </w:p>
    <w:p w:rsidR="003C7348" w:rsidRDefault="003C7348">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_Toc71120767 \h </w:instrText>
      </w:r>
      <w:r>
        <w:fldChar w:fldCharType="separate"/>
      </w:r>
      <w:r w:rsidR="00C441FB">
        <w:t>27</w:t>
      </w:r>
      <w:r>
        <w:fldChar w:fldCharType="end"/>
      </w:r>
    </w:p>
    <w:p w:rsidR="003C7348" w:rsidRDefault="003C7348">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_Toc71120768 \h </w:instrText>
      </w:r>
      <w:r>
        <w:fldChar w:fldCharType="separate"/>
      </w:r>
      <w:r w:rsidR="00C441FB">
        <w:t>27</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4 — Inquiries</w:t>
      </w:r>
    </w:p>
    <w:p w:rsidR="003C7348" w:rsidRDefault="003C7348">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_Toc71120770 \h </w:instrText>
      </w:r>
      <w:r>
        <w:fldChar w:fldCharType="separate"/>
      </w:r>
      <w:r w:rsidR="00C441FB">
        <w:t>28</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5 — Miscellaneous</w:t>
      </w:r>
    </w:p>
    <w:p w:rsidR="003C7348" w:rsidRDefault="003C7348">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_Toc71120772 \h </w:instrText>
      </w:r>
      <w:r>
        <w:fldChar w:fldCharType="separate"/>
      </w:r>
      <w:r w:rsidR="00C441FB">
        <w:t>29</w:t>
      </w:r>
      <w:r>
        <w:fldChar w:fldCharType="end"/>
      </w:r>
    </w:p>
    <w:p w:rsidR="003C7348" w:rsidRDefault="003C7348">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_Toc71120773 \h </w:instrText>
      </w:r>
      <w:r>
        <w:fldChar w:fldCharType="separate"/>
      </w:r>
      <w:r w:rsidR="00C441FB">
        <w:t>29</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Part 6 — Transitional provisions</w:t>
      </w:r>
    </w:p>
    <w:p w:rsidR="003C7348" w:rsidRDefault="003C7348">
      <w:pPr>
        <w:pStyle w:val="TOC8"/>
        <w:rPr>
          <w:rFonts w:asciiTheme="minorHAnsi" w:eastAsiaTheme="minorEastAsia" w:hAnsiTheme="minorHAnsi" w:cstheme="minorBidi"/>
          <w:szCs w:val="22"/>
        </w:rPr>
      </w:pPr>
      <w:r>
        <w:t>17.</w:t>
      </w:r>
      <w:r>
        <w:tab/>
        <w:t xml:space="preserve">Inquiries or investigations under the </w:t>
      </w:r>
      <w:r w:rsidRPr="00FD1D80">
        <w:rPr>
          <w:i/>
        </w:rPr>
        <w:t>Health (Miscellaneous Provisions) Act 1911</w:t>
      </w:r>
      <w:r>
        <w:t xml:space="preserve"> section 13</w:t>
      </w:r>
      <w:r>
        <w:tab/>
      </w:r>
      <w:r>
        <w:fldChar w:fldCharType="begin"/>
      </w:r>
      <w:r>
        <w:instrText xml:space="preserve"> PAGEREF _Toc71120775 \h </w:instrText>
      </w:r>
      <w:r>
        <w:fldChar w:fldCharType="separate"/>
      </w:r>
      <w:r w:rsidR="00C441FB">
        <w:t>30</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lastRenderedPageBreak/>
        <w:t>Notes</w:t>
      </w:r>
    </w:p>
    <w:p w:rsidR="003C7348" w:rsidRDefault="003C7348" w:rsidP="003C7348">
      <w:pPr>
        <w:pStyle w:val="TOC8"/>
        <w:rPr>
          <w:rFonts w:asciiTheme="minorHAnsi" w:eastAsiaTheme="minorEastAsia" w:hAnsiTheme="minorHAnsi" w:cstheme="minorBidi"/>
          <w:szCs w:val="22"/>
        </w:rPr>
      </w:pPr>
      <w:r>
        <w:tab/>
        <w:t>Compilation table</w:t>
      </w:r>
      <w:r>
        <w:tab/>
      </w:r>
      <w:r>
        <w:fldChar w:fldCharType="begin"/>
      </w:r>
      <w:r>
        <w:instrText xml:space="preserve"> PAGEREF _Toc71120777 \h </w:instrText>
      </w:r>
      <w:r>
        <w:fldChar w:fldCharType="separate"/>
      </w:r>
      <w:r w:rsidR="00C441FB">
        <w:t>31</w:t>
      </w:r>
      <w:r>
        <w:fldChar w:fldCharType="end"/>
      </w:r>
    </w:p>
    <w:p w:rsidR="003C7348" w:rsidRDefault="003C7348">
      <w:pPr>
        <w:pStyle w:val="TOC2"/>
        <w:tabs>
          <w:tab w:val="right" w:leader="dot" w:pos="7077"/>
        </w:tabs>
        <w:rPr>
          <w:rFonts w:asciiTheme="minorHAnsi" w:eastAsiaTheme="minorEastAsia" w:hAnsiTheme="minorHAnsi" w:cstheme="minorBidi"/>
          <w:b w:val="0"/>
          <w:sz w:val="22"/>
          <w:szCs w:val="22"/>
        </w:rPr>
      </w:pPr>
      <w:r>
        <w:t>Defined terms</w:t>
      </w:r>
    </w:p>
    <w:p w:rsidR="00587F60" w:rsidRDefault="00587F6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7F60" w:rsidRDefault="00587F60">
      <w:pPr>
        <w:pStyle w:val="NoteHeading"/>
        <w:sectPr w:rsidR="00587F6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F7681" w:rsidRDefault="009D25C9">
      <w:pPr>
        <w:pStyle w:val="PrincipalActReg"/>
      </w:pPr>
      <w:r>
        <w:lastRenderedPageBreak/>
        <w:t>Public Health Act 2016</w:t>
      </w:r>
    </w:p>
    <w:p w:rsidR="007F7681" w:rsidRDefault="009D25C9">
      <w:pPr>
        <w:pStyle w:val="NameofActReg"/>
      </w:pPr>
      <w:r>
        <w:t>Public Health Regulations 2017</w:t>
      </w:r>
    </w:p>
    <w:p w:rsidR="007F7681" w:rsidRDefault="009D25C9">
      <w:pPr>
        <w:pStyle w:val="Heading2"/>
        <w:pageBreakBefore w:val="0"/>
        <w:spacing w:before="240"/>
      </w:pPr>
      <w:bookmarkStart w:id="3" w:name="_Toc71098938"/>
      <w:bookmarkStart w:id="4" w:name="_Toc71099274"/>
      <w:bookmarkStart w:id="5" w:name="_Toc71099364"/>
      <w:bookmarkStart w:id="6" w:name="_Toc711207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7F7681" w:rsidRDefault="009D25C9">
      <w:pPr>
        <w:pStyle w:val="Heading5"/>
      </w:pPr>
      <w:bookmarkStart w:id="7" w:name="_Toc71120738"/>
      <w:r>
        <w:rPr>
          <w:rStyle w:val="CharSectno"/>
        </w:rPr>
        <w:t>1</w:t>
      </w:r>
      <w:r>
        <w:t>.</w:t>
      </w:r>
      <w:r>
        <w:tab/>
        <w:t>Citation</w:t>
      </w:r>
      <w:bookmarkEnd w:id="7"/>
    </w:p>
    <w:p w:rsidR="007F7681" w:rsidRDefault="009D25C9">
      <w:pPr>
        <w:pStyle w:val="Subsection"/>
      </w:pPr>
      <w:r>
        <w:tab/>
      </w:r>
      <w:r>
        <w:tab/>
      </w:r>
      <w:bookmarkStart w:id="8" w:name="Start_Cursor"/>
      <w:bookmarkEnd w:id="8"/>
      <w:r>
        <w:t xml:space="preserve">These </w:t>
      </w:r>
      <w:r>
        <w:rPr>
          <w:spacing w:val="-2"/>
        </w:rPr>
        <w:t>regulations</w:t>
      </w:r>
      <w:r>
        <w:t xml:space="preserve"> are the </w:t>
      </w:r>
      <w:r>
        <w:rPr>
          <w:i/>
        </w:rPr>
        <w:t>Public Health Regulations 2017</w:t>
      </w:r>
      <w:r>
        <w:t>.</w:t>
      </w:r>
    </w:p>
    <w:p w:rsidR="007F7681" w:rsidRDefault="009D25C9">
      <w:pPr>
        <w:pStyle w:val="Heading5"/>
        <w:rPr>
          <w:spacing w:val="-2"/>
        </w:rPr>
      </w:pPr>
      <w:bookmarkStart w:id="9" w:name="_Toc71120739"/>
      <w:r>
        <w:rPr>
          <w:rStyle w:val="CharSectno"/>
        </w:rPr>
        <w:t>2</w:t>
      </w:r>
      <w:r>
        <w:rPr>
          <w:spacing w:val="-2"/>
        </w:rPr>
        <w:t>.</w:t>
      </w:r>
      <w:r>
        <w:rPr>
          <w:spacing w:val="-2"/>
        </w:rPr>
        <w:tab/>
        <w:t>Commencement</w:t>
      </w:r>
      <w:bookmarkEnd w:id="9"/>
    </w:p>
    <w:p w:rsidR="007F7681" w:rsidRDefault="009D25C9">
      <w:pPr>
        <w:pStyle w:val="Subsection"/>
        <w:rPr>
          <w:spacing w:val="-2"/>
        </w:rPr>
      </w:pPr>
      <w:r>
        <w:rPr>
          <w:spacing w:val="-2"/>
        </w:rPr>
        <w:tab/>
      </w:r>
      <w:r>
        <w:rPr>
          <w:spacing w:val="-2"/>
        </w:rPr>
        <w:tab/>
      </w:r>
      <w:r>
        <w:t xml:space="preserve">These </w:t>
      </w:r>
      <w:r>
        <w:rPr>
          <w:spacing w:val="-2"/>
        </w:rPr>
        <w:t>regulations come into operation as follows</w:t>
      </w:r>
      <w:r>
        <w:t> —</w:t>
      </w:r>
    </w:p>
    <w:p w:rsidR="007F7681" w:rsidRDefault="009D25C9">
      <w:pPr>
        <w:pStyle w:val="Indenta"/>
      </w:pPr>
      <w:r>
        <w:tab/>
        <w:t>(a)</w:t>
      </w:r>
      <w:r>
        <w:tab/>
        <w:t xml:space="preserve">Part 1 — on the day on which these </w:t>
      </w:r>
      <w:r>
        <w:rPr>
          <w:spacing w:val="-2"/>
        </w:rPr>
        <w:t>regulations</w:t>
      </w:r>
      <w:r>
        <w:t xml:space="preserve"> are published in the </w:t>
      </w:r>
      <w:r>
        <w:rPr>
          <w:i/>
          <w:iCs/>
        </w:rPr>
        <w:t>Gazette</w:t>
      </w:r>
      <w:r>
        <w:t>;</w:t>
      </w:r>
    </w:p>
    <w:p w:rsidR="007F7681" w:rsidRDefault="009D25C9">
      <w:pPr>
        <w:pStyle w:val="Indenta"/>
      </w:pPr>
      <w:r>
        <w:tab/>
        <w:t>(b)</w:t>
      </w:r>
      <w:r>
        <w:tab/>
        <w:t xml:space="preserve">the rest of the </w:t>
      </w:r>
      <w:r>
        <w:rPr>
          <w:spacing w:val="-2"/>
        </w:rPr>
        <w:t>regulations</w:t>
      </w:r>
      <w:r>
        <w:t> — on the day on which Part 9 of the Act comes into operation.</w:t>
      </w:r>
    </w:p>
    <w:p w:rsidR="007F7681" w:rsidRDefault="009D25C9">
      <w:pPr>
        <w:pStyle w:val="Heading2"/>
      </w:pPr>
      <w:bookmarkStart w:id="10" w:name="_Toc71098941"/>
      <w:bookmarkStart w:id="11" w:name="_Toc71099277"/>
      <w:bookmarkStart w:id="12" w:name="_Toc71099367"/>
      <w:bookmarkStart w:id="13" w:name="_Toc71120740"/>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10"/>
      <w:bookmarkEnd w:id="11"/>
      <w:bookmarkEnd w:id="12"/>
      <w:bookmarkEnd w:id="13"/>
    </w:p>
    <w:p w:rsidR="007F7681" w:rsidRDefault="009D25C9">
      <w:pPr>
        <w:pStyle w:val="Footnoteheading"/>
      </w:pPr>
      <w:r>
        <w:tab/>
        <w:t>[Heading inserted: Gazette 19 Jul 2019 p. 2847.]</w:t>
      </w:r>
    </w:p>
    <w:p w:rsidR="007F7681" w:rsidRDefault="009D25C9">
      <w:pPr>
        <w:pStyle w:val="Heading5"/>
      </w:pPr>
      <w:bookmarkStart w:id="14" w:name="_Toc71120741"/>
      <w:r>
        <w:rPr>
          <w:rStyle w:val="CharSectno"/>
        </w:rPr>
        <w:t>2A</w:t>
      </w:r>
      <w:r>
        <w:t>.</w:t>
      </w:r>
      <w:r>
        <w:tab/>
        <w:t>Services excluded from meaning of child care service</w:t>
      </w:r>
      <w:bookmarkEnd w:id="14"/>
    </w:p>
    <w:p w:rsidR="007F7681" w:rsidRDefault="009D25C9">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rsidR="007F7681" w:rsidRDefault="009D25C9">
      <w:pPr>
        <w:pStyle w:val="Indenta"/>
      </w:pPr>
      <w:r>
        <w:tab/>
        <w:t>(a)</w:t>
      </w:r>
      <w:r>
        <w:tab/>
        <w:t xml:space="preserve">a service described in the </w:t>
      </w:r>
      <w:r>
        <w:rPr>
          <w:i/>
        </w:rPr>
        <w:t>Education and Care Services National Regulations 2012</w:t>
      </w:r>
      <w:r>
        <w:t xml:space="preserve"> regulation 5(2)(c) or (h);</w:t>
      </w:r>
    </w:p>
    <w:p w:rsidR="007F7681" w:rsidRDefault="009D25C9">
      <w:pPr>
        <w:pStyle w:val="Indenta"/>
      </w:pPr>
      <w:r>
        <w:tab/>
        <w:t>(b)</w:t>
      </w:r>
      <w:r>
        <w:tab/>
        <w:t>an outside school hours care service, a school holiday care service or any part of a service that is an outside school hours care service or a school holiday care service.</w:t>
      </w:r>
    </w:p>
    <w:p w:rsidR="007F7681" w:rsidRDefault="009D25C9">
      <w:pPr>
        <w:pStyle w:val="Footnotesection"/>
      </w:pPr>
      <w:r>
        <w:tab/>
        <w:t>[Regulation 2A inserted: Gazette 19 Jul 2019 p. 2847.]</w:t>
      </w:r>
    </w:p>
    <w:p w:rsidR="007F7681" w:rsidRDefault="009D25C9">
      <w:pPr>
        <w:pStyle w:val="Heading2"/>
      </w:pPr>
      <w:bookmarkStart w:id="15" w:name="_Toc71098943"/>
      <w:bookmarkStart w:id="16" w:name="_Toc71099279"/>
      <w:bookmarkStart w:id="17" w:name="_Toc71099369"/>
      <w:bookmarkStart w:id="18" w:name="_Toc71120742"/>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5"/>
      <w:bookmarkEnd w:id="16"/>
      <w:bookmarkEnd w:id="17"/>
      <w:bookmarkEnd w:id="18"/>
    </w:p>
    <w:p w:rsidR="007F7681" w:rsidRDefault="009D25C9">
      <w:pPr>
        <w:pStyle w:val="Heading5"/>
      </w:pPr>
      <w:bookmarkStart w:id="19" w:name="_Toc71120743"/>
      <w:r>
        <w:rPr>
          <w:rStyle w:val="CharSectno"/>
        </w:rPr>
        <w:t>3</w:t>
      </w:r>
      <w:r>
        <w:t>.</w:t>
      </w:r>
      <w:r>
        <w:tab/>
        <w:t>Notifiable infectious diseases</w:t>
      </w:r>
      <w:bookmarkEnd w:id="19"/>
    </w:p>
    <w:p w:rsidR="007F7681" w:rsidRDefault="009D25C9">
      <w:pPr>
        <w:pStyle w:val="Subsection"/>
      </w:pPr>
      <w:r>
        <w:tab/>
      </w:r>
      <w:r>
        <w:tab/>
        <w:t xml:space="preserve">The diseases listed in the Table are declared to be notifiable infectious diseases and — </w:t>
      </w:r>
    </w:p>
    <w:p w:rsidR="007F7681" w:rsidRDefault="009D25C9">
      <w:pPr>
        <w:pStyle w:val="Indenta"/>
      </w:pPr>
      <w:r>
        <w:tab/>
        <w:t>(a)</w:t>
      </w:r>
      <w:r>
        <w:tab/>
        <w:t>the diseases indicated in column 2 of the Table are declared to be urgently notifiable infectious diseases; and</w:t>
      </w:r>
    </w:p>
    <w:p w:rsidR="007F7681" w:rsidRDefault="009D25C9">
      <w:pPr>
        <w:pStyle w:val="Indenta"/>
      </w:pPr>
      <w:r>
        <w:tab/>
        <w:t>(b)</w:t>
      </w:r>
      <w:r>
        <w:tab/>
        <w:t>the diseases indicated in column 3 of the Table are declared to be vaccine preventable notifiable infectious diseases.</w:t>
      </w:r>
    </w:p>
    <w:p w:rsidR="007F7681" w:rsidRDefault="009D25C9">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rsidR="007F7681">
        <w:trPr>
          <w:tblHeader/>
        </w:trPr>
        <w:tc>
          <w:tcPr>
            <w:tcW w:w="3119" w:type="dxa"/>
          </w:tcPr>
          <w:p w:rsidR="007F7681" w:rsidRDefault="009D25C9">
            <w:pPr>
              <w:pStyle w:val="TableNAm"/>
              <w:jc w:val="center"/>
              <w:rPr>
                <w:b/>
              </w:rPr>
            </w:pPr>
            <w:r>
              <w:rPr>
                <w:b/>
              </w:rPr>
              <w:t>Notifiable infectious diseases</w:t>
            </w:r>
          </w:p>
        </w:tc>
        <w:tc>
          <w:tcPr>
            <w:tcW w:w="1701" w:type="dxa"/>
          </w:tcPr>
          <w:p w:rsidR="007F7681" w:rsidRDefault="009D25C9">
            <w:pPr>
              <w:pStyle w:val="TableNAm"/>
              <w:jc w:val="center"/>
              <w:rPr>
                <w:b/>
              </w:rPr>
            </w:pPr>
            <w:r>
              <w:rPr>
                <w:b/>
              </w:rPr>
              <w:t>Urgently notifiable infectious diseases</w:t>
            </w:r>
          </w:p>
        </w:tc>
        <w:tc>
          <w:tcPr>
            <w:tcW w:w="1559" w:type="dxa"/>
          </w:tcPr>
          <w:p w:rsidR="007F7681" w:rsidRDefault="009D25C9">
            <w:pPr>
              <w:pStyle w:val="TableNAm"/>
              <w:jc w:val="center"/>
              <w:rPr>
                <w:b/>
              </w:rPr>
            </w:pPr>
            <w:r>
              <w:rPr>
                <w:b/>
              </w:rPr>
              <w:t>Vaccine preventable notifiable infectious diseases</w:t>
            </w:r>
          </w:p>
        </w:tc>
      </w:tr>
      <w:tr w:rsidR="007F7681">
        <w:tc>
          <w:tcPr>
            <w:tcW w:w="3119" w:type="dxa"/>
            <w:vAlign w:val="bottom"/>
          </w:tcPr>
          <w:p w:rsidR="007F7681" w:rsidRDefault="009D25C9">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rsidR="007F7681" w:rsidRDefault="009D25C9">
            <w:pPr>
              <w:pStyle w:val="TableNAm"/>
            </w:pPr>
            <w:r>
              <w:sym w:font="Wingdings 2" w:char="F050"/>
            </w:r>
          </w:p>
        </w:tc>
        <w:tc>
          <w:tcPr>
            <w:tcW w:w="1559" w:type="dxa"/>
            <w:vAlign w:val="bottom"/>
          </w:tcPr>
          <w:p w:rsidR="007F7681" w:rsidRDefault="007F7681">
            <w:pPr>
              <w:pStyle w:val="TableNAm"/>
            </w:pPr>
          </w:p>
        </w:tc>
      </w:tr>
      <w:tr w:rsidR="007F7681">
        <w:tc>
          <w:tcPr>
            <w:tcW w:w="3119" w:type="dxa"/>
            <w:vAlign w:val="bottom"/>
          </w:tcPr>
          <w:p w:rsidR="007F7681" w:rsidRDefault="009D25C9">
            <w:pPr>
              <w:pStyle w:val="TableNAm"/>
            </w:pPr>
            <w:r>
              <w:t>Anthrax</w:t>
            </w:r>
          </w:p>
        </w:tc>
        <w:tc>
          <w:tcPr>
            <w:tcW w:w="1701" w:type="dxa"/>
            <w:vAlign w:val="bottom"/>
          </w:tcPr>
          <w:p w:rsidR="007F7681" w:rsidRDefault="009D25C9">
            <w:pPr>
              <w:pStyle w:val="TableNAm"/>
            </w:pPr>
            <w:r>
              <w:sym w:font="Wingdings 2" w:char="F050"/>
            </w:r>
          </w:p>
        </w:tc>
        <w:tc>
          <w:tcPr>
            <w:tcW w:w="1559" w:type="dxa"/>
            <w:vAlign w:val="bottom"/>
          </w:tcPr>
          <w:p w:rsidR="007F7681" w:rsidRDefault="007F7681">
            <w:pPr>
              <w:pStyle w:val="TableNAm"/>
            </w:pPr>
          </w:p>
        </w:tc>
      </w:tr>
      <w:tr w:rsidR="007F7681">
        <w:tc>
          <w:tcPr>
            <w:tcW w:w="3119" w:type="dxa"/>
            <w:vAlign w:val="bottom"/>
          </w:tcPr>
          <w:p w:rsidR="007F7681" w:rsidRDefault="009D25C9">
            <w:pPr>
              <w:pStyle w:val="TableNAm"/>
            </w:pPr>
            <w:r>
              <w:t>Barmah Forest virus infection</w:t>
            </w:r>
          </w:p>
        </w:tc>
        <w:tc>
          <w:tcPr>
            <w:tcW w:w="1701" w:type="dxa"/>
            <w:vAlign w:val="bottom"/>
          </w:tcPr>
          <w:p w:rsidR="007F7681" w:rsidRDefault="007F7681">
            <w:pPr>
              <w:pStyle w:val="TableNAm"/>
            </w:pPr>
          </w:p>
        </w:tc>
        <w:tc>
          <w:tcPr>
            <w:tcW w:w="1559" w:type="dxa"/>
            <w:vAlign w:val="bottom"/>
          </w:tcPr>
          <w:p w:rsidR="007F7681" w:rsidRDefault="007F7681">
            <w:pPr>
              <w:pStyle w:val="TableNAm"/>
            </w:pPr>
          </w:p>
        </w:tc>
      </w:tr>
      <w:tr w:rsidR="007F7681">
        <w:tc>
          <w:tcPr>
            <w:tcW w:w="3119" w:type="dxa"/>
            <w:vAlign w:val="bottom"/>
          </w:tcPr>
          <w:p w:rsidR="007F7681" w:rsidRDefault="009D25C9">
            <w:pPr>
              <w:pStyle w:val="TableNAm"/>
            </w:pPr>
            <w:r>
              <w:t xml:space="preserve">Botulism </w:t>
            </w:r>
          </w:p>
        </w:tc>
        <w:tc>
          <w:tcPr>
            <w:tcW w:w="1701" w:type="dxa"/>
            <w:vAlign w:val="bottom"/>
          </w:tcPr>
          <w:p w:rsidR="007F7681" w:rsidRDefault="009D25C9">
            <w:pPr>
              <w:pStyle w:val="TableNAm"/>
            </w:pPr>
            <w:r>
              <w:sym w:font="Wingdings 2" w:char="F050"/>
            </w:r>
          </w:p>
        </w:tc>
        <w:tc>
          <w:tcPr>
            <w:tcW w:w="1559" w:type="dxa"/>
            <w:vAlign w:val="bottom"/>
          </w:tcPr>
          <w:p w:rsidR="007F7681" w:rsidRDefault="007F7681">
            <w:pPr>
              <w:pStyle w:val="TableNAm"/>
            </w:pPr>
          </w:p>
        </w:tc>
      </w:tr>
      <w:tr w:rsidR="007F7681">
        <w:tc>
          <w:tcPr>
            <w:tcW w:w="3119" w:type="dxa"/>
            <w:vAlign w:val="bottom"/>
          </w:tcPr>
          <w:p w:rsidR="007F7681" w:rsidRDefault="009D25C9">
            <w:pPr>
              <w:pStyle w:val="TableNAm"/>
            </w:pPr>
            <w:r>
              <w:t>Brucellosis</w:t>
            </w:r>
          </w:p>
        </w:tc>
        <w:tc>
          <w:tcPr>
            <w:tcW w:w="1701" w:type="dxa"/>
            <w:vAlign w:val="bottom"/>
          </w:tcPr>
          <w:p w:rsidR="007F7681" w:rsidRDefault="007F7681">
            <w:pPr>
              <w:pStyle w:val="TableNAm"/>
            </w:pPr>
          </w:p>
        </w:tc>
        <w:tc>
          <w:tcPr>
            <w:tcW w:w="1559" w:type="dxa"/>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rPr>
          <w:cantSplit/>
        </w:trPr>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lastRenderedPageBreak/>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keepNext/>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lastRenderedPageBreak/>
              <w:t>Legionellosis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lastRenderedPageBreak/>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keepNext/>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lastRenderedPageBreak/>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lastRenderedPageBreak/>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keepNext/>
            </w:pPr>
            <w:r>
              <w:sym w:font="Wingdings 2" w:char="F050"/>
            </w: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r w:rsidR="007F7681">
        <w:tc>
          <w:tcPr>
            <w:tcW w:w="3119"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rsidR="007F7681" w:rsidRDefault="009D25C9">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rsidR="007F7681" w:rsidRDefault="007F7681">
            <w:pPr>
              <w:pStyle w:val="TableNAm"/>
            </w:pPr>
          </w:p>
        </w:tc>
      </w:tr>
    </w:tbl>
    <w:p w:rsidR="007F7681" w:rsidRDefault="009D25C9">
      <w:pPr>
        <w:pStyle w:val="Heading5"/>
      </w:pPr>
      <w:bookmarkStart w:id="20" w:name="_Toc71120744"/>
      <w:r>
        <w:rPr>
          <w:rStyle w:val="CharSectno"/>
        </w:rPr>
        <w:t>4</w:t>
      </w:r>
      <w:r>
        <w:t>.</w:t>
      </w:r>
      <w:r>
        <w:tab/>
        <w:t>Notifiable infectious disease</w:t>
      </w:r>
      <w:r>
        <w:noBreakHyphen/>
        <w:t>related conditions</w:t>
      </w:r>
      <w:bookmarkEnd w:id="20"/>
    </w:p>
    <w:p w:rsidR="007F7681" w:rsidRDefault="009D25C9">
      <w:pPr>
        <w:pStyle w:val="Subsection"/>
      </w:pPr>
      <w:r>
        <w:tab/>
      </w:r>
      <w:r>
        <w:tab/>
        <w:t>The following medical conditions are declared to be notifiable infectious disease</w:t>
      </w:r>
      <w:r>
        <w:noBreakHyphen/>
        <w:t xml:space="preserve">related conditions — </w:t>
      </w:r>
    </w:p>
    <w:p w:rsidR="007F7681" w:rsidRDefault="009D25C9">
      <w:pPr>
        <w:pStyle w:val="Indenta"/>
      </w:pPr>
      <w:r>
        <w:tab/>
        <w:t>(a)</w:t>
      </w:r>
      <w:r>
        <w:tab/>
        <w:t>acute post</w:t>
      </w:r>
      <w:r>
        <w:noBreakHyphen/>
        <w:t>streptococcal glomerulonephritis (APSGN);</w:t>
      </w:r>
    </w:p>
    <w:p w:rsidR="007F7681" w:rsidRDefault="009D25C9">
      <w:pPr>
        <w:pStyle w:val="Indenta"/>
      </w:pPr>
      <w:r>
        <w:tab/>
        <w:t>(b)</w:t>
      </w:r>
      <w:r>
        <w:tab/>
        <w:t>adverse event following immunisation;</w:t>
      </w:r>
    </w:p>
    <w:p w:rsidR="007F7681" w:rsidRDefault="009D25C9">
      <w:pPr>
        <w:pStyle w:val="Indenta"/>
      </w:pPr>
      <w:r>
        <w:tab/>
        <w:t>(c)</w:t>
      </w:r>
      <w:r>
        <w:tab/>
        <w:t>haemolytic uraemic syndrome (HUS).</w:t>
      </w:r>
    </w:p>
    <w:p w:rsidR="007F7681" w:rsidRDefault="009D25C9">
      <w:pPr>
        <w:pStyle w:val="Heading5"/>
      </w:pPr>
      <w:bookmarkStart w:id="21" w:name="_Toc71120745"/>
      <w:r>
        <w:rPr>
          <w:rStyle w:val="CharSectno"/>
        </w:rPr>
        <w:lastRenderedPageBreak/>
        <w:t>4A</w:t>
      </w:r>
      <w:r>
        <w:t>.</w:t>
      </w:r>
      <w:r>
        <w:tab/>
        <w:t>Urgently notifiable infectious disease</w:t>
      </w:r>
      <w:r>
        <w:noBreakHyphen/>
        <w:t>related conditions</w:t>
      </w:r>
      <w:bookmarkEnd w:id="21"/>
    </w:p>
    <w:p w:rsidR="007F7681" w:rsidRDefault="009D25C9">
      <w:pPr>
        <w:pStyle w:val="Subsection"/>
      </w:pPr>
      <w:r>
        <w:tab/>
      </w:r>
      <w:r>
        <w:tab/>
        <w:t>The following notifiable infectious disease</w:t>
      </w:r>
      <w:r>
        <w:noBreakHyphen/>
        <w:t>related conditions are declared to be urgently notifiable infectious disease</w:t>
      </w:r>
      <w:r>
        <w:noBreakHyphen/>
        <w:t xml:space="preserve">related conditions — </w:t>
      </w:r>
    </w:p>
    <w:p w:rsidR="007F7681" w:rsidRDefault="009D25C9">
      <w:pPr>
        <w:pStyle w:val="Indenta"/>
      </w:pPr>
      <w:r>
        <w:tab/>
        <w:t>(a)</w:t>
      </w:r>
      <w:r>
        <w:tab/>
        <w:t>acute post</w:t>
      </w:r>
      <w:r>
        <w:noBreakHyphen/>
        <w:t>streptococcal glomerulonephritis (APSGN);</w:t>
      </w:r>
    </w:p>
    <w:p w:rsidR="007F7681" w:rsidRDefault="009D25C9">
      <w:pPr>
        <w:pStyle w:val="Indenta"/>
      </w:pPr>
      <w:r>
        <w:tab/>
        <w:t>(b)</w:t>
      </w:r>
      <w:r>
        <w:tab/>
        <w:t>haemolytic uraemic syndrome (HUS).</w:t>
      </w:r>
    </w:p>
    <w:p w:rsidR="007F7681" w:rsidRDefault="009D25C9">
      <w:pPr>
        <w:pStyle w:val="Footnotesection"/>
      </w:pPr>
      <w:r>
        <w:tab/>
        <w:t>[Regulation 4A inserted: Gazette 19 Jul 2019 p. 2847.]</w:t>
      </w:r>
    </w:p>
    <w:p w:rsidR="007F7681" w:rsidRDefault="009D25C9">
      <w:pPr>
        <w:pStyle w:val="Heading5"/>
      </w:pPr>
      <w:bookmarkStart w:id="22" w:name="_Toc71120746"/>
      <w:r>
        <w:rPr>
          <w:rStyle w:val="CharSectno"/>
        </w:rPr>
        <w:t>5</w:t>
      </w:r>
      <w:r>
        <w:t>.</w:t>
      </w:r>
      <w:r>
        <w:tab/>
        <w:t>Notification of notifiable infectious diseases and notifiable infectious disease</w:t>
      </w:r>
      <w:r>
        <w:noBreakHyphen/>
        <w:t>related conditions: information not required</w:t>
      </w:r>
      <w:bookmarkEnd w:id="22"/>
    </w:p>
    <w:p w:rsidR="007F7681" w:rsidRDefault="009D25C9">
      <w:pPr>
        <w:pStyle w:val="Subsection"/>
      </w:pPr>
      <w:r>
        <w:tab/>
      </w:r>
      <w:r>
        <w:tab/>
        <w:t xml:space="preserve">For the purposes of section 94(5)(b) of the Act — </w:t>
      </w:r>
    </w:p>
    <w:p w:rsidR="007F7681" w:rsidRDefault="009D25C9">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rsidR="007F7681" w:rsidRDefault="009D25C9">
      <w:pPr>
        <w:pStyle w:val="Indenta"/>
      </w:pPr>
      <w:r>
        <w:tab/>
        <w:t>(b)</w:t>
      </w:r>
      <w:r>
        <w:tab/>
        <w:t>a notification of human immunodeficiency virus (HIV) need not include the telephone number of the patient or the email address of the patient or the patient’s medical practitioner or nurse practitioner.</w:t>
      </w:r>
    </w:p>
    <w:p w:rsidR="007F7681" w:rsidRDefault="009D25C9">
      <w:pPr>
        <w:pStyle w:val="Heading5"/>
      </w:pPr>
      <w:bookmarkStart w:id="23" w:name="_Toc71120747"/>
      <w:r>
        <w:rPr>
          <w:rStyle w:val="CharSectno"/>
        </w:rPr>
        <w:t>6</w:t>
      </w:r>
      <w:r>
        <w:t>.</w:t>
      </w:r>
      <w:r>
        <w:tab/>
        <w:t>Notification of notifiable infectious diseases and notifiable infectious disease</w:t>
      </w:r>
      <w:r>
        <w:noBreakHyphen/>
        <w:t>related conditions: information prescribed</w:t>
      </w:r>
      <w:bookmarkEnd w:id="23"/>
    </w:p>
    <w:p w:rsidR="007F7681" w:rsidRDefault="009D25C9">
      <w:pPr>
        <w:pStyle w:val="Subsection"/>
      </w:pPr>
      <w:r>
        <w:tab/>
        <w:t>(1)</w:t>
      </w:r>
      <w:r>
        <w:tab/>
        <w:t>This regulation has effect for the purposes of section 94(5)(c) of the Act.</w:t>
      </w:r>
    </w:p>
    <w:p w:rsidR="007F7681" w:rsidRDefault="009D25C9">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rsidR="007F7681" w:rsidRDefault="009D25C9">
      <w:pPr>
        <w:pStyle w:val="Indenta"/>
      </w:pPr>
      <w:r>
        <w:tab/>
        <w:t>(a)</w:t>
      </w:r>
      <w:r>
        <w:tab/>
        <w:t>country of birth;</w:t>
      </w:r>
    </w:p>
    <w:p w:rsidR="007F7681" w:rsidRDefault="009D25C9">
      <w:pPr>
        <w:pStyle w:val="Indenta"/>
      </w:pPr>
      <w:r>
        <w:tab/>
        <w:t>(b)</w:t>
      </w:r>
      <w:r>
        <w:tab/>
        <w:t>language spoken at home;</w:t>
      </w:r>
    </w:p>
    <w:p w:rsidR="007F7681" w:rsidRDefault="009D25C9">
      <w:pPr>
        <w:pStyle w:val="Indenta"/>
      </w:pPr>
      <w:r>
        <w:lastRenderedPageBreak/>
        <w:tab/>
        <w:t>(c)</w:t>
      </w:r>
      <w:r>
        <w:tab/>
        <w:t>Indigenous status;</w:t>
      </w:r>
    </w:p>
    <w:p w:rsidR="007F7681" w:rsidRDefault="009D25C9">
      <w:pPr>
        <w:pStyle w:val="Indenta"/>
      </w:pPr>
      <w:r>
        <w:tab/>
        <w:t>(d)</w:t>
      </w:r>
      <w:r>
        <w:tab/>
        <w:t>name of occupation (where relevant);</w:t>
      </w:r>
    </w:p>
    <w:p w:rsidR="007F7681" w:rsidRDefault="009D25C9">
      <w:pPr>
        <w:pStyle w:val="Indenta"/>
      </w:pPr>
      <w:r>
        <w:tab/>
        <w:t>(e)</w:t>
      </w:r>
      <w:r>
        <w:tab/>
        <w:t>name of school, community kindergarten, child care service or educational institution attended (where relevant);</w:t>
      </w:r>
    </w:p>
    <w:p w:rsidR="007F7681" w:rsidRDefault="009D25C9">
      <w:pPr>
        <w:pStyle w:val="Indenta"/>
      </w:pPr>
      <w:r>
        <w:tab/>
        <w:t>(f)</w:t>
      </w:r>
      <w:r>
        <w:tab/>
        <w:t>date of onset of the disease or condition;</w:t>
      </w:r>
    </w:p>
    <w:p w:rsidR="007F7681" w:rsidRDefault="009D25C9">
      <w:pPr>
        <w:pStyle w:val="Indenta"/>
      </w:pPr>
      <w:r>
        <w:tab/>
        <w:t>(g)</w:t>
      </w:r>
      <w:r>
        <w:tab/>
        <w:t>date of death (where relevant);</w:t>
      </w:r>
    </w:p>
    <w:p w:rsidR="007F7681" w:rsidRDefault="009D25C9">
      <w:pPr>
        <w:pStyle w:val="Indenta"/>
      </w:pPr>
      <w:r>
        <w:tab/>
        <w:t>(h)</w:t>
      </w:r>
      <w:r>
        <w:tab/>
        <w:t>likely place (that is, country or Australian jurisdiction) of acquisition of the disease or condition;</w:t>
      </w:r>
    </w:p>
    <w:p w:rsidR="007F7681" w:rsidRDefault="009D25C9">
      <w:pPr>
        <w:pStyle w:val="Indenta"/>
      </w:pPr>
      <w:r>
        <w:tab/>
        <w:t>(i)</w:t>
      </w:r>
      <w:r>
        <w:tab/>
        <w:t>details of the basis for diagnosis of the disease or condition;</w:t>
      </w:r>
    </w:p>
    <w:p w:rsidR="007F7681" w:rsidRDefault="009D25C9">
      <w:pPr>
        <w:pStyle w:val="Indenta"/>
      </w:pPr>
      <w:r>
        <w:tab/>
        <w:t>(j)</w:t>
      </w:r>
      <w:r>
        <w:tab/>
        <w:t>details of symptoms and signs relating to, and treatment of, the disease or condition;</w:t>
      </w:r>
    </w:p>
    <w:p w:rsidR="007F7681" w:rsidRDefault="009D25C9">
      <w:pPr>
        <w:pStyle w:val="Indenta"/>
      </w:pPr>
      <w:r>
        <w:tab/>
        <w:t>(k)</w:t>
      </w:r>
      <w:r>
        <w:tab/>
        <w:t>whether the patient or deceased person attended a hospital in relation to the disease or condition.</w:t>
      </w:r>
    </w:p>
    <w:p w:rsidR="007F7681" w:rsidRDefault="009D25C9">
      <w:pPr>
        <w:pStyle w:val="Subsection"/>
      </w:pPr>
      <w:r>
        <w:tab/>
        <w:t>(3)</w:t>
      </w:r>
      <w:r>
        <w:tab/>
        <w:t xml:space="preserve">The following information, in relation to the patient or deceased person, is prescribed in respect of adverse events following immunisation — </w:t>
      </w:r>
    </w:p>
    <w:p w:rsidR="007F7681" w:rsidRDefault="009D25C9">
      <w:pPr>
        <w:pStyle w:val="Indenta"/>
      </w:pPr>
      <w:r>
        <w:tab/>
        <w:t>(a)</w:t>
      </w:r>
      <w:r>
        <w:tab/>
        <w:t>Indigenous status;</w:t>
      </w:r>
    </w:p>
    <w:p w:rsidR="007F7681" w:rsidRDefault="009D25C9">
      <w:pPr>
        <w:pStyle w:val="Indenta"/>
      </w:pPr>
      <w:r>
        <w:tab/>
        <w:t>(b)</w:t>
      </w:r>
      <w:r>
        <w:tab/>
        <w:t>details of underlying medical conditions (if any);</w:t>
      </w:r>
    </w:p>
    <w:p w:rsidR="007F7681" w:rsidRDefault="009D25C9">
      <w:pPr>
        <w:pStyle w:val="Indenta"/>
      </w:pPr>
      <w:r>
        <w:tab/>
        <w:t>(c)</w:t>
      </w:r>
      <w:r>
        <w:tab/>
        <w:t>details of previous reactions (if any) to vaccines;</w:t>
      </w:r>
    </w:p>
    <w:p w:rsidR="007F7681" w:rsidRDefault="009D25C9">
      <w:pPr>
        <w:pStyle w:val="Indenta"/>
      </w:pPr>
      <w:r>
        <w:tab/>
        <w:t>(d)</w:t>
      </w:r>
      <w:r>
        <w:tab/>
        <w:t>details of the vaccine or vaccines administered;</w:t>
      </w:r>
    </w:p>
    <w:p w:rsidR="007F7681" w:rsidRDefault="009D25C9">
      <w:pPr>
        <w:pStyle w:val="Indenta"/>
      </w:pPr>
      <w:r>
        <w:tab/>
        <w:t>(e)</w:t>
      </w:r>
      <w:r>
        <w:tab/>
        <w:t>time elapsed between vaccination and onset of symptoms;</w:t>
      </w:r>
    </w:p>
    <w:p w:rsidR="007F7681" w:rsidRDefault="009D25C9">
      <w:pPr>
        <w:pStyle w:val="Indenta"/>
      </w:pPr>
      <w:r>
        <w:tab/>
        <w:t>(f)</w:t>
      </w:r>
      <w:r>
        <w:tab/>
        <w:t>duration of symptoms;</w:t>
      </w:r>
    </w:p>
    <w:p w:rsidR="007F7681" w:rsidRDefault="009D25C9">
      <w:pPr>
        <w:pStyle w:val="Indenta"/>
      </w:pPr>
      <w:r>
        <w:tab/>
        <w:t>(g)</w:t>
      </w:r>
      <w:r>
        <w:tab/>
        <w:t>details of the adverse event;</w:t>
      </w:r>
    </w:p>
    <w:p w:rsidR="007F7681" w:rsidRDefault="009D25C9">
      <w:pPr>
        <w:pStyle w:val="Indenta"/>
      </w:pPr>
      <w:r>
        <w:tab/>
        <w:t>(h)</w:t>
      </w:r>
      <w:r>
        <w:tab/>
        <w:t>details of the management of the adverse event;</w:t>
      </w:r>
    </w:p>
    <w:p w:rsidR="007F7681" w:rsidRDefault="009D25C9">
      <w:pPr>
        <w:pStyle w:val="Indenta"/>
      </w:pPr>
      <w:r>
        <w:tab/>
        <w:t>(i)</w:t>
      </w:r>
      <w:r>
        <w:tab/>
        <w:t>details of the provider of the vaccine and the clinical setting in which it was provided;</w:t>
      </w:r>
    </w:p>
    <w:p w:rsidR="007F7681" w:rsidRDefault="009D25C9">
      <w:pPr>
        <w:pStyle w:val="Indenta"/>
      </w:pPr>
      <w:r>
        <w:tab/>
        <w:t>(j)</w:t>
      </w:r>
      <w:r>
        <w:tab/>
        <w:t>details of the person reporting the adverse event.</w:t>
      </w:r>
    </w:p>
    <w:p w:rsidR="007F7681" w:rsidRDefault="009D25C9">
      <w:pPr>
        <w:pStyle w:val="Subsection"/>
      </w:pPr>
      <w:r>
        <w:lastRenderedPageBreak/>
        <w:tab/>
        <w:t>(4)</w:t>
      </w:r>
      <w:r>
        <w:tab/>
        <w:t>The information required by the HIV infection notification form is prescribed in respect of human immunodeficiency virus (HIV) infection.</w:t>
      </w:r>
    </w:p>
    <w:p w:rsidR="007F7681" w:rsidRDefault="009D25C9">
      <w:pPr>
        <w:pStyle w:val="Subsection"/>
      </w:pPr>
      <w:r>
        <w:tab/>
        <w:t>(5)</w:t>
      </w:r>
      <w:r>
        <w:tab/>
        <w:t xml:space="preserve">In subregulation (4) — </w:t>
      </w:r>
    </w:p>
    <w:p w:rsidR="007F7681" w:rsidRDefault="009D25C9">
      <w:pPr>
        <w:pStyle w:val="Defstart"/>
      </w:pPr>
      <w:r>
        <w:tab/>
      </w:r>
      <w:r>
        <w:rPr>
          <w:rStyle w:val="CharDefText"/>
        </w:rPr>
        <w:t>HIV infection notification form</w:t>
      </w:r>
      <w:r>
        <w:t xml:space="preserve"> means the approved form of that </w:t>
      </w:r>
      <w:r w:rsidR="00747059">
        <w:t>name</w:t>
      </w:r>
      <w:r>
        <w:t xml:space="preserve"> accessible on the website maintained by or on behalf of the Department.</w:t>
      </w:r>
    </w:p>
    <w:p w:rsidR="007F7681" w:rsidRDefault="009D25C9">
      <w:pPr>
        <w:pStyle w:val="Footnotesection"/>
      </w:pPr>
      <w:r>
        <w:tab/>
        <w:t>[Regulation 6 amended: Gazette 19 Jul 2019 p. 2847</w:t>
      </w:r>
      <w:r w:rsidR="004716E5">
        <w:t>; SL 2021/47 r. 4</w:t>
      </w:r>
      <w:r>
        <w:t>.]</w:t>
      </w:r>
    </w:p>
    <w:p w:rsidR="007F7681" w:rsidRDefault="009D25C9" w:rsidP="00897938">
      <w:pPr>
        <w:pStyle w:val="Heading5"/>
      </w:pPr>
      <w:bookmarkStart w:id="24" w:name="_Toc71120748"/>
      <w:r>
        <w:rPr>
          <w:rStyle w:val="CharSectno"/>
        </w:rPr>
        <w:t>7</w:t>
      </w:r>
      <w:r>
        <w:t>.</w:t>
      </w:r>
      <w:r>
        <w:tab/>
        <w:t>Authorised officers may request further information</w:t>
      </w:r>
      <w:bookmarkEnd w:id="24"/>
    </w:p>
    <w:p w:rsidR="007F7681" w:rsidRDefault="009D25C9">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rsidR="007F7681" w:rsidRDefault="009D25C9">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rsidR="007F7681" w:rsidRDefault="009D25C9">
      <w:pPr>
        <w:pStyle w:val="Subsection"/>
      </w:pPr>
      <w:r>
        <w:tab/>
        <w:t>(3)</w:t>
      </w:r>
      <w:r>
        <w:tab/>
        <w:t xml:space="preserve">Information requested under subregulation (2) may, without limitation, include or relate to — </w:t>
      </w:r>
    </w:p>
    <w:p w:rsidR="007F7681" w:rsidRDefault="009D25C9">
      <w:pPr>
        <w:pStyle w:val="Indenta"/>
      </w:pPr>
      <w:r>
        <w:tab/>
        <w:t>(a)</w:t>
      </w:r>
      <w:r>
        <w:tab/>
        <w:t>the clinical details, and treatment and medical history, of the patient or deceased person;</w:t>
      </w:r>
    </w:p>
    <w:p w:rsidR="007F7681" w:rsidRDefault="009D25C9">
      <w:pPr>
        <w:pStyle w:val="Indenta"/>
      </w:pPr>
      <w:r>
        <w:tab/>
        <w:t>(b)</w:t>
      </w:r>
      <w:r>
        <w:tab/>
        <w:t>the progress or outcome of the disease or condition;</w:t>
      </w:r>
    </w:p>
    <w:p w:rsidR="007F7681" w:rsidRDefault="009D25C9">
      <w:pPr>
        <w:pStyle w:val="Indenta"/>
      </w:pPr>
      <w:r>
        <w:tab/>
        <w:t>(c)</w:t>
      </w:r>
      <w:r>
        <w:tab/>
        <w:t>the relevant vaccination status of the patient or deceased person;</w:t>
      </w:r>
    </w:p>
    <w:p w:rsidR="007F7681" w:rsidRDefault="009D25C9">
      <w:pPr>
        <w:pStyle w:val="Indenta"/>
      </w:pPr>
      <w:r>
        <w:tab/>
        <w:t>(d)</w:t>
      </w:r>
      <w:r>
        <w:tab/>
        <w:t>information necessary to identify a source of the disease, including details of interstate and overseas travel;</w:t>
      </w:r>
    </w:p>
    <w:p w:rsidR="007F7681" w:rsidRDefault="009D25C9">
      <w:pPr>
        <w:pStyle w:val="Indenta"/>
      </w:pPr>
      <w:r>
        <w:tab/>
        <w:t>(e)</w:t>
      </w:r>
      <w:r>
        <w:tab/>
        <w:t>the patient’s behavioural and other risk factors;</w:t>
      </w:r>
    </w:p>
    <w:p w:rsidR="007F7681" w:rsidRDefault="009D25C9">
      <w:pPr>
        <w:pStyle w:val="Indenta"/>
      </w:pPr>
      <w:r>
        <w:tab/>
        <w:t>(f)</w:t>
      </w:r>
      <w:r>
        <w:tab/>
        <w:t>the hospitalisation of the patient or deceased person;</w:t>
      </w:r>
    </w:p>
    <w:p w:rsidR="007F7681" w:rsidRDefault="009D25C9">
      <w:pPr>
        <w:pStyle w:val="Indenta"/>
      </w:pPr>
      <w:r>
        <w:lastRenderedPageBreak/>
        <w:tab/>
        <w:t>(g)</w:t>
      </w:r>
      <w:r>
        <w:tab/>
        <w:t>laboratory testing, including testing for organism antimicrobial sensitivity and characterisation by typing and subtyping methods;</w:t>
      </w:r>
    </w:p>
    <w:p w:rsidR="007F7681" w:rsidRDefault="009D25C9">
      <w:pPr>
        <w:pStyle w:val="Indenta"/>
      </w:pPr>
      <w:r>
        <w:tab/>
        <w:t>(h)</w:t>
      </w:r>
      <w:r>
        <w:tab/>
        <w:t>information covered by section 94(5) of the Act, if the practitioner or pathologist has not given the information.</w:t>
      </w:r>
    </w:p>
    <w:p w:rsidR="007F7681" w:rsidRDefault="009D25C9">
      <w:pPr>
        <w:pStyle w:val="Heading5"/>
      </w:pPr>
      <w:bookmarkStart w:id="25" w:name="_Toc71120749"/>
      <w:r>
        <w:rPr>
          <w:rStyle w:val="CharSectno"/>
        </w:rPr>
        <w:t>8</w:t>
      </w:r>
      <w:r>
        <w:t>.</w:t>
      </w:r>
      <w:r>
        <w:tab/>
        <w:t>Protection from liability</w:t>
      </w:r>
      <w:bookmarkEnd w:id="25"/>
    </w:p>
    <w:p w:rsidR="007F7681" w:rsidRDefault="009D25C9">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rsidR="007F7681" w:rsidRDefault="009D25C9">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rsidR="007F7681" w:rsidRDefault="009D25C9">
      <w:pPr>
        <w:pStyle w:val="Subsection"/>
      </w:pPr>
      <w:r>
        <w:tab/>
        <w:t>(3)</w:t>
      </w:r>
      <w:r>
        <w:tab/>
        <w:t xml:space="preserve">If the practitioner or pathologist gives the information in good faith — </w:t>
      </w:r>
    </w:p>
    <w:p w:rsidR="007F7681" w:rsidRDefault="009D25C9">
      <w:pPr>
        <w:pStyle w:val="Indenta"/>
      </w:pPr>
      <w:r>
        <w:tab/>
        <w:t>(a)</w:t>
      </w:r>
      <w:r>
        <w:tab/>
        <w:t>no civil or criminal liability is incurred as a result of giving the information; and</w:t>
      </w:r>
    </w:p>
    <w:p w:rsidR="007F7681" w:rsidRDefault="009D25C9">
      <w:pPr>
        <w:pStyle w:val="Indenta"/>
      </w:pPr>
      <w:r>
        <w:tab/>
        <w:t>(b)</w:t>
      </w:r>
      <w:r>
        <w:tab/>
        <w:t xml:space="preserve">giving the information is not to be regarded as — </w:t>
      </w:r>
    </w:p>
    <w:p w:rsidR="007F7681" w:rsidRDefault="009D25C9">
      <w:pPr>
        <w:pStyle w:val="Indenti"/>
      </w:pPr>
      <w:r>
        <w:tab/>
        <w:t>(i)</w:t>
      </w:r>
      <w:r>
        <w:tab/>
        <w:t>a breach of any duty of confidentiality or secrecy imposed by law; or</w:t>
      </w:r>
    </w:p>
    <w:p w:rsidR="007F7681" w:rsidRDefault="009D25C9">
      <w:pPr>
        <w:pStyle w:val="Indenti"/>
      </w:pPr>
      <w:r>
        <w:tab/>
        <w:t>(ii)</w:t>
      </w:r>
      <w:r>
        <w:tab/>
        <w:t>a breach of professional ethics, professional standards or any principles of conduct applicable to the person’s employment; or</w:t>
      </w:r>
    </w:p>
    <w:p w:rsidR="007F7681" w:rsidRDefault="009D25C9">
      <w:pPr>
        <w:pStyle w:val="Indenti"/>
      </w:pPr>
      <w:r>
        <w:tab/>
        <w:t>(iii)</w:t>
      </w:r>
      <w:r>
        <w:tab/>
        <w:t>unprofessional conduct.</w:t>
      </w:r>
    </w:p>
    <w:p w:rsidR="007F7681" w:rsidRDefault="009D25C9">
      <w:pPr>
        <w:pStyle w:val="Heading5"/>
      </w:pPr>
      <w:bookmarkStart w:id="26" w:name="_Toc71120750"/>
      <w:r>
        <w:rPr>
          <w:rStyle w:val="CharSectno"/>
        </w:rPr>
        <w:lastRenderedPageBreak/>
        <w:t>9</w:t>
      </w:r>
      <w:r>
        <w:t>.</w:t>
      </w:r>
      <w:r>
        <w:tab/>
        <w:t>Disclosure and use of information</w:t>
      </w:r>
      <w:bookmarkEnd w:id="26"/>
    </w:p>
    <w:p w:rsidR="007F7681" w:rsidRDefault="009D25C9">
      <w:pPr>
        <w:pStyle w:val="Subsection"/>
      </w:pPr>
      <w:r>
        <w:tab/>
        <w:t>(1)</w:t>
      </w:r>
      <w:r>
        <w:tab/>
        <w:t>Information covered by regulation 8 may be disclosed or used in accordance with the provisions of section 298 of the Act as if that section applied to the information.</w:t>
      </w:r>
    </w:p>
    <w:p w:rsidR="007F7681" w:rsidRDefault="009D25C9">
      <w:pPr>
        <w:pStyle w:val="Subsection"/>
      </w:pPr>
      <w:r>
        <w:tab/>
        <w:t>(2)</w:t>
      </w:r>
      <w:r>
        <w:tab/>
        <w:t xml:space="preserve">If information referred to in subregulation (1) is disclosed or used, in good faith, in accordance with subregulation (1) — </w:t>
      </w:r>
    </w:p>
    <w:p w:rsidR="007F7681" w:rsidRDefault="009D25C9">
      <w:pPr>
        <w:pStyle w:val="Indenta"/>
      </w:pPr>
      <w:r>
        <w:tab/>
        <w:t>(a)</w:t>
      </w:r>
      <w:r>
        <w:tab/>
        <w:t>no civil or criminal liability is incurred in respect of the disclosure or use; and</w:t>
      </w:r>
    </w:p>
    <w:p w:rsidR="007F7681" w:rsidRDefault="009D25C9">
      <w:pPr>
        <w:pStyle w:val="Indenta"/>
      </w:pPr>
      <w:r>
        <w:tab/>
        <w:t>(b)</w:t>
      </w:r>
      <w:r>
        <w:tab/>
        <w:t xml:space="preserve">the disclosure or use is not to be regarded as — </w:t>
      </w:r>
    </w:p>
    <w:p w:rsidR="007F7681" w:rsidRDefault="009D25C9">
      <w:pPr>
        <w:pStyle w:val="Indenti"/>
      </w:pPr>
      <w:r>
        <w:tab/>
        <w:t>(i)</w:t>
      </w:r>
      <w:r>
        <w:tab/>
        <w:t>a breach of any duty of confidentiality or secrecy imposed by law; or</w:t>
      </w:r>
    </w:p>
    <w:p w:rsidR="007F7681" w:rsidRDefault="009D25C9">
      <w:pPr>
        <w:pStyle w:val="Indenti"/>
      </w:pPr>
      <w:r>
        <w:tab/>
        <w:t>(ii)</w:t>
      </w:r>
      <w:r>
        <w:tab/>
        <w:t>a breach of professional ethics, professional standards or any principles of conduct applicable to the person’s employment; or</w:t>
      </w:r>
    </w:p>
    <w:p w:rsidR="007F7681" w:rsidRDefault="009D25C9">
      <w:pPr>
        <w:pStyle w:val="Indenti"/>
      </w:pPr>
      <w:r>
        <w:tab/>
        <w:t>(iii)</w:t>
      </w:r>
      <w:r>
        <w:tab/>
        <w:t>unprofessional conduct.</w:t>
      </w:r>
    </w:p>
    <w:p w:rsidR="007F7681" w:rsidRDefault="009D25C9">
      <w:pPr>
        <w:pStyle w:val="Heading5"/>
      </w:pPr>
      <w:bookmarkStart w:id="27" w:name="_Toc71120751"/>
      <w:r>
        <w:rPr>
          <w:rStyle w:val="CharSectno"/>
        </w:rPr>
        <w:t>10</w:t>
      </w:r>
      <w:r>
        <w:t>.</w:t>
      </w:r>
      <w:r>
        <w:tab/>
        <w:t>Recognition of interstate public health orders</w:t>
      </w:r>
      <w:bookmarkEnd w:id="27"/>
    </w:p>
    <w:p w:rsidR="007F7681" w:rsidRDefault="009D25C9">
      <w:pPr>
        <w:pStyle w:val="Subsection"/>
        <w:keepNext/>
        <w:keepLines/>
      </w:pPr>
      <w:r>
        <w:tab/>
      </w:r>
      <w:r>
        <w:tab/>
        <w:t xml:space="preserve">For the purposes of the definition of </w:t>
      </w:r>
      <w:r>
        <w:rPr>
          <w:b/>
          <w:i/>
        </w:rPr>
        <w:t>corresponding law</w:t>
      </w:r>
      <w:r>
        <w:t xml:space="preserve"> in section 129(1) of the Act, the following laws are prescribed — </w:t>
      </w:r>
    </w:p>
    <w:p w:rsidR="007F7681" w:rsidRDefault="009D25C9">
      <w:pPr>
        <w:pStyle w:val="Indenta"/>
      </w:pPr>
      <w:r>
        <w:tab/>
        <w:t>(a)</w:t>
      </w:r>
      <w:r>
        <w:tab/>
        <w:t xml:space="preserve">the </w:t>
      </w:r>
      <w:r>
        <w:rPr>
          <w:i/>
        </w:rPr>
        <w:t>Public Health Act 1997</w:t>
      </w:r>
      <w:r>
        <w:t xml:space="preserve"> (Australian Capital Territory);</w:t>
      </w:r>
    </w:p>
    <w:p w:rsidR="007F7681" w:rsidRDefault="009D25C9">
      <w:pPr>
        <w:pStyle w:val="Indenta"/>
      </w:pPr>
      <w:r>
        <w:tab/>
        <w:t>(b)</w:t>
      </w:r>
      <w:r>
        <w:tab/>
        <w:t xml:space="preserve">the </w:t>
      </w:r>
      <w:r>
        <w:rPr>
          <w:i/>
        </w:rPr>
        <w:t>Public Health Act 2010</w:t>
      </w:r>
      <w:r>
        <w:t xml:space="preserve"> (New South Wales);</w:t>
      </w:r>
    </w:p>
    <w:p w:rsidR="007F7681" w:rsidRDefault="009D25C9">
      <w:pPr>
        <w:pStyle w:val="Indenta"/>
      </w:pPr>
      <w:r>
        <w:tab/>
        <w:t>(c)</w:t>
      </w:r>
      <w:r>
        <w:tab/>
        <w:t xml:space="preserve">the </w:t>
      </w:r>
      <w:r>
        <w:rPr>
          <w:i/>
        </w:rPr>
        <w:t>Notifiable Diseases Act</w:t>
      </w:r>
      <w:r>
        <w:t xml:space="preserve"> (Northern Territory);</w:t>
      </w:r>
    </w:p>
    <w:p w:rsidR="007F7681" w:rsidRDefault="009D25C9">
      <w:pPr>
        <w:pStyle w:val="Indenta"/>
      </w:pPr>
      <w:r>
        <w:tab/>
        <w:t>(d)</w:t>
      </w:r>
      <w:r>
        <w:tab/>
        <w:t xml:space="preserve">the </w:t>
      </w:r>
      <w:r>
        <w:rPr>
          <w:i/>
        </w:rPr>
        <w:t>Public Health Act 2005</w:t>
      </w:r>
      <w:r>
        <w:t xml:space="preserve"> (Queensland);</w:t>
      </w:r>
    </w:p>
    <w:p w:rsidR="007F7681" w:rsidRDefault="009D25C9">
      <w:pPr>
        <w:pStyle w:val="Indenta"/>
      </w:pPr>
      <w:r>
        <w:tab/>
        <w:t>(e)</w:t>
      </w:r>
      <w:r>
        <w:tab/>
        <w:t xml:space="preserve">the </w:t>
      </w:r>
      <w:r>
        <w:rPr>
          <w:i/>
        </w:rPr>
        <w:t>South Australian Public Health Act 2011</w:t>
      </w:r>
      <w:r>
        <w:t xml:space="preserve"> (South Australia);</w:t>
      </w:r>
    </w:p>
    <w:p w:rsidR="007F7681" w:rsidRDefault="009D25C9">
      <w:pPr>
        <w:pStyle w:val="Indenta"/>
      </w:pPr>
      <w:r>
        <w:tab/>
        <w:t>(f)</w:t>
      </w:r>
      <w:r>
        <w:tab/>
        <w:t xml:space="preserve">the </w:t>
      </w:r>
      <w:r>
        <w:rPr>
          <w:i/>
        </w:rPr>
        <w:t>Public Health Act 1997</w:t>
      </w:r>
      <w:r>
        <w:t xml:space="preserve"> (Tasmania);</w:t>
      </w:r>
    </w:p>
    <w:p w:rsidR="007F7681" w:rsidRDefault="009D25C9">
      <w:pPr>
        <w:pStyle w:val="Indenta"/>
      </w:pPr>
      <w:r>
        <w:tab/>
        <w:t>(g)</w:t>
      </w:r>
      <w:r>
        <w:tab/>
        <w:t xml:space="preserve">the </w:t>
      </w:r>
      <w:r>
        <w:rPr>
          <w:i/>
        </w:rPr>
        <w:t>Public Health and Wellbeing Act 2008</w:t>
      </w:r>
      <w:r>
        <w:t xml:space="preserve"> (Victoria).</w:t>
      </w:r>
    </w:p>
    <w:p w:rsidR="007F7681" w:rsidRDefault="009D25C9">
      <w:pPr>
        <w:pStyle w:val="Heading2"/>
      </w:pPr>
      <w:bookmarkStart w:id="28" w:name="_Toc71098953"/>
      <w:bookmarkStart w:id="29" w:name="_Toc71099289"/>
      <w:bookmarkStart w:id="30" w:name="_Toc71099379"/>
      <w:bookmarkStart w:id="31" w:name="_Toc71120752"/>
      <w:r>
        <w:rPr>
          <w:rStyle w:val="CharPartNo"/>
        </w:rPr>
        <w:lastRenderedPageBreak/>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28"/>
      <w:bookmarkEnd w:id="29"/>
      <w:bookmarkEnd w:id="30"/>
      <w:bookmarkEnd w:id="31"/>
    </w:p>
    <w:p w:rsidR="007F7681" w:rsidRDefault="009D25C9">
      <w:pPr>
        <w:pStyle w:val="Footnoteheading"/>
      </w:pPr>
      <w:r>
        <w:tab/>
        <w:t>[Heading inserted: Gazette 7 Dec 2018 p. 4663</w:t>
      </w:r>
      <w:r>
        <w:noBreakHyphen/>
        <w:t>4; amended: Gazette 19 Jul 2019 p. 2847.]</w:t>
      </w:r>
    </w:p>
    <w:p w:rsidR="007F7681" w:rsidRDefault="009D25C9">
      <w:pPr>
        <w:pStyle w:val="Heading5"/>
      </w:pPr>
      <w:bookmarkStart w:id="32" w:name="_Toc71120753"/>
      <w:r>
        <w:rPr>
          <w:rStyle w:val="CharSectno"/>
        </w:rPr>
        <w:t>10A</w:t>
      </w:r>
      <w:r>
        <w:t>.</w:t>
      </w:r>
      <w:r>
        <w:tab/>
        <w:t>Terms used</w:t>
      </w:r>
      <w:bookmarkEnd w:id="32"/>
    </w:p>
    <w:p w:rsidR="007F7681" w:rsidRDefault="009D25C9">
      <w:pPr>
        <w:pStyle w:val="Subsection"/>
      </w:pPr>
      <w:r>
        <w:tab/>
        <w:t>(1)</w:t>
      </w:r>
      <w:r>
        <w:tab/>
        <w:t xml:space="preserve">In this Part — </w:t>
      </w:r>
    </w:p>
    <w:p w:rsidR="007F7681" w:rsidRDefault="009D25C9">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rsidR="007F7681" w:rsidRDefault="009D25C9">
      <w:pPr>
        <w:pStyle w:val="Defstart"/>
      </w:pPr>
      <w:r>
        <w:tab/>
      </w:r>
      <w:r>
        <w:rPr>
          <w:rStyle w:val="CharDefText"/>
        </w:rPr>
        <w:t>government school</w:t>
      </w:r>
      <w:r>
        <w:t xml:space="preserve"> has the meaning given in the </w:t>
      </w:r>
      <w:r>
        <w:rPr>
          <w:i/>
        </w:rPr>
        <w:t>School Education Act 1999</w:t>
      </w:r>
      <w:r>
        <w:t xml:space="preserve"> section 4;</w:t>
      </w:r>
    </w:p>
    <w:p w:rsidR="007F7681" w:rsidRDefault="009D25C9">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rsidR="007F7681" w:rsidRDefault="009D25C9">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rsidR="007F7681" w:rsidRDefault="009D25C9">
      <w:pPr>
        <w:pStyle w:val="Defstart"/>
      </w:pPr>
      <w:r>
        <w:tab/>
      </w:r>
      <w:r>
        <w:rPr>
          <w:rStyle w:val="CharDefText"/>
        </w:rPr>
        <w:t>relevant person</w:t>
      </w:r>
      <w:r>
        <w:t xml:space="preserve">, in relation to a school, means each of the following — </w:t>
      </w:r>
    </w:p>
    <w:p w:rsidR="007F7681" w:rsidRDefault="009D25C9">
      <w:pPr>
        <w:pStyle w:val="Defpara"/>
      </w:pPr>
      <w:r>
        <w:tab/>
        <w:t>(a)</w:t>
      </w:r>
      <w:r>
        <w:tab/>
        <w:t>the person in charge of the school;</w:t>
      </w:r>
    </w:p>
    <w:p w:rsidR="007F7681" w:rsidRDefault="009D25C9">
      <w:pPr>
        <w:pStyle w:val="Defpara"/>
      </w:pPr>
      <w:r>
        <w:tab/>
        <w:t>(b)</w:t>
      </w:r>
      <w:r>
        <w:tab/>
        <w:t xml:space="preserve">if the school is a government school, the chief executive officer as defined in the </w:t>
      </w:r>
      <w:r>
        <w:rPr>
          <w:i/>
        </w:rPr>
        <w:t>School Education Act 1999</w:t>
      </w:r>
      <w:r>
        <w:t xml:space="preserve"> section 229.</w:t>
      </w:r>
    </w:p>
    <w:p w:rsidR="007F7681" w:rsidRDefault="009D25C9">
      <w:pPr>
        <w:pStyle w:val="Subsection"/>
      </w:pPr>
      <w:r>
        <w:tab/>
        <w:t>(2)</w:t>
      </w:r>
      <w:r>
        <w:tab/>
        <w:t>Terms used in this Part that are defined in section 141A of the Act have the same meaning in this Part as they have in that section.</w:t>
      </w:r>
    </w:p>
    <w:p w:rsidR="007F7681" w:rsidRDefault="009D25C9">
      <w:pPr>
        <w:pStyle w:val="Footnotesection"/>
      </w:pPr>
      <w:r>
        <w:tab/>
        <w:t>[Regulation 10A inserted: Gazette 7 Dec 2018 p. 4663</w:t>
      </w:r>
      <w:r>
        <w:noBreakHyphen/>
        <w:t>4; amended: Gazette 19 Jul 2019 p. 2848.]</w:t>
      </w:r>
    </w:p>
    <w:p w:rsidR="007F7681" w:rsidRDefault="009D25C9">
      <w:pPr>
        <w:pStyle w:val="Heading5"/>
      </w:pPr>
      <w:bookmarkStart w:id="33" w:name="_Toc71120754"/>
      <w:r>
        <w:rPr>
          <w:rStyle w:val="CharSectno"/>
        </w:rPr>
        <w:lastRenderedPageBreak/>
        <w:t>10AA</w:t>
      </w:r>
      <w:r>
        <w:t>.</w:t>
      </w:r>
      <w:r>
        <w:tab/>
        <w:t xml:space="preserve">Period prescribed for definition of </w:t>
      </w:r>
      <w:r>
        <w:rPr>
          <w:i/>
        </w:rPr>
        <w:t>current</w:t>
      </w:r>
      <w:bookmarkEnd w:id="33"/>
    </w:p>
    <w:p w:rsidR="007F7681" w:rsidRDefault="009D25C9">
      <w:pPr>
        <w:pStyle w:val="Subsection"/>
      </w:pPr>
      <w:r>
        <w:tab/>
      </w:r>
      <w:r>
        <w:tab/>
        <w:t xml:space="preserve">For the purposes of the definition of </w:t>
      </w:r>
      <w:r>
        <w:rPr>
          <w:b/>
          <w:i/>
        </w:rPr>
        <w:t>current</w:t>
      </w:r>
      <w:r>
        <w:t xml:space="preserve"> in section 141A of the Act, the prescribed period is 2 months.</w:t>
      </w:r>
    </w:p>
    <w:p w:rsidR="007F7681" w:rsidRDefault="009D25C9">
      <w:pPr>
        <w:pStyle w:val="Footnotesection"/>
      </w:pPr>
      <w:r>
        <w:tab/>
        <w:t>[Regulation 10AA inserted: Gazette 19 Jul 2019 p. 2848.]</w:t>
      </w:r>
    </w:p>
    <w:p w:rsidR="007F7681" w:rsidRDefault="009D25C9">
      <w:pPr>
        <w:pStyle w:val="Heading5"/>
      </w:pPr>
      <w:bookmarkStart w:id="34" w:name="_Toc71120755"/>
      <w:r>
        <w:rPr>
          <w:rStyle w:val="CharSectno"/>
        </w:rPr>
        <w:t>10AB</w:t>
      </w:r>
      <w:r>
        <w:t>.</w:t>
      </w:r>
      <w:r>
        <w:tab/>
        <w:t>Exempt children</w:t>
      </w:r>
      <w:bookmarkEnd w:id="34"/>
    </w:p>
    <w:p w:rsidR="007F7681" w:rsidRDefault="009D25C9">
      <w:pPr>
        <w:pStyle w:val="Subsection"/>
      </w:pPr>
      <w:r>
        <w:tab/>
        <w:t>(1)</w:t>
      </w:r>
      <w:r>
        <w:tab/>
        <w:t xml:space="preserve">In this regulation — </w:t>
      </w:r>
    </w:p>
    <w:p w:rsidR="007F7681" w:rsidRDefault="009D25C9">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rsidR="007F7681" w:rsidRDefault="009D25C9">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rsidR="007F7681" w:rsidRDefault="009D25C9">
      <w:pPr>
        <w:pStyle w:val="Subsection"/>
      </w:pPr>
      <w:r>
        <w:tab/>
        <w:t>(3)</w:t>
      </w:r>
      <w:r>
        <w:tab/>
        <w:t>A child belongs to a class of children specified in column 1 of the Table if, at the time of the enrolment of the child, the child meets the description specified opposite the class in column 2 of the Table.</w:t>
      </w:r>
    </w:p>
    <w:p w:rsidR="007F7681" w:rsidRDefault="009D25C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rsidR="007F7681">
        <w:trPr>
          <w:cantSplit/>
          <w:tblHeader/>
        </w:trPr>
        <w:tc>
          <w:tcPr>
            <w:tcW w:w="2240" w:type="dxa"/>
          </w:tcPr>
          <w:p w:rsidR="007F7681" w:rsidRDefault="009D25C9">
            <w:pPr>
              <w:pStyle w:val="TableNAm"/>
              <w:jc w:val="center"/>
              <w:rPr>
                <w:b/>
                <w:bCs/>
              </w:rPr>
            </w:pPr>
            <w:r>
              <w:rPr>
                <w:b/>
                <w:bCs/>
              </w:rPr>
              <w:t>Column 1</w:t>
            </w:r>
          </w:p>
          <w:p w:rsidR="007F7681" w:rsidRDefault="009D25C9">
            <w:pPr>
              <w:pStyle w:val="TableNAm"/>
              <w:jc w:val="center"/>
              <w:rPr>
                <w:b/>
                <w:bCs/>
              </w:rPr>
            </w:pPr>
            <w:r>
              <w:rPr>
                <w:b/>
                <w:bCs/>
              </w:rPr>
              <w:t>Name of class</w:t>
            </w:r>
          </w:p>
        </w:tc>
        <w:tc>
          <w:tcPr>
            <w:tcW w:w="3827" w:type="dxa"/>
          </w:tcPr>
          <w:p w:rsidR="007F7681" w:rsidRDefault="009D25C9">
            <w:pPr>
              <w:pStyle w:val="TableNAm"/>
              <w:jc w:val="center"/>
              <w:rPr>
                <w:b/>
                <w:bCs/>
              </w:rPr>
            </w:pPr>
            <w:r>
              <w:rPr>
                <w:b/>
                <w:bCs/>
              </w:rPr>
              <w:t>Column 2</w:t>
            </w:r>
          </w:p>
          <w:p w:rsidR="007F7681" w:rsidRDefault="009D25C9">
            <w:pPr>
              <w:pStyle w:val="TableNAm"/>
              <w:jc w:val="center"/>
              <w:rPr>
                <w:b/>
                <w:bCs/>
              </w:rPr>
            </w:pPr>
            <w:r>
              <w:rPr>
                <w:b/>
                <w:bCs/>
              </w:rPr>
              <w:t>Description of child in class</w:t>
            </w:r>
          </w:p>
        </w:tc>
      </w:tr>
      <w:tr w:rsidR="007F7681">
        <w:trPr>
          <w:cantSplit/>
        </w:trPr>
        <w:tc>
          <w:tcPr>
            <w:tcW w:w="2240" w:type="dxa"/>
          </w:tcPr>
          <w:p w:rsidR="007F7681" w:rsidRDefault="009D25C9">
            <w:pPr>
              <w:pStyle w:val="TableNAm"/>
            </w:pPr>
            <w:r>
              <w:t>Aboriginal children</w:t>
            </w:r>
          </w:p>
        </w:tc>
        <w:tc>
          <w:tcPr>
            <w:tcW w:w="3827" w:type="dxa"/>
          </w:tcPr>
          <w:p w:rsidR="007F7681" w:rsidRDefault="009D25C9">
            <w:pPr>
              <w:pStyle w:val="TableNAm"/>
            </w:pPr>
            <w:r>
              <w:t xml:space="preserve">An Aboriginal child as defined in the </w:t>
            </w:r>
            <w:r>
              <w:rPr>
                <w:i/>
              </w:rPr>
              <w:t>Children and Community Services Act 2004</w:t>
            </w:r>
            <w:r>
              <w:t xml:space="preserve"> section 3.</w:t>
            </w:r>
          </w:p>
        </w:tc>
      </w:tr>
      <w:tr w:rsidR="007F7681">
        <w:trPr>
          <w:cantSplit/>
        </w:trPr>
        <w:tc>
          <w:tcPr>
            <w:tcW w:w="2240" w:type="dxa"/>
          </w:tcPr>
          <w:p w:rsidR="007F7681" w:rsidRDefault="009D25C9">
            <w:pPr>
              <w:pStyle w:val="TableNAm"/>
            </w:pPr>
            <w:r>
              <w:t>Torres Strait Islander children</w:t>
            </w:r>
          </w:p>
        </w:tc>
        <w:tc>
          <w:tcPr>
            <w:tcW w:w="3827" w:type="dxa"/>
          </w:tcPr>
          <w:p w:rsidR="007F7681" w:rsidRDefault="009D25C9">
            <w:pPr>
              <w:pStyle w:val="TableNAm"/>
            </w:pPr>
            <w:r>
              <w:t xml:space="preserve">A Torres Strait Islander child as defined in the </w:t>
            </w:r>
            <w:r>
              <w:rPr>
                <w:i/>
              </w:rPr>
              <w:t>Children and Community Services Act 2004</w:t>
            </w:r>
            <w:r>
              <w:t xml:space="preserve"> section 3.</w:t>
            </w:r>
          </w:p>
        </w:tc>
      </w:tr>
      <w:tr w:rsidR="007F7681">
        <w:trPr>
          <w:cantSplit/>
        </w:trPr>
        <w:tc>
          <w:tcPr>
            <w:tcW w:w="2240" w:type="dxa"/>
          </w:tcPr>
          <w:p w:rsidR="007F7681" w:rsidRDefault="009D25C9">
            <w:pPr>
              <w:pStyle w:val="TableNAm"/>
            </w:pPr>
            <w:r>
              <w:lastRenderedPageBreak/>
              <w:t>Children in need of protection</w:t>
            </w:r>
          </w:p>
        </w:tc>
        <w:tc>
          <w:tcPr>
            <w:tcW w:w="3827" w:type="dxa"/>
          </w:tcPr>
          <w:p w:rsidR="007F7681" w:rsidRDefault="009D25C9">
            <w:pPr>
              <w:pStyle w:val="TableNAm"/>
            </w:pPr>
            <w:r>
              <w:t xml:space="preserve">A child who is in need of protection as defined in the </w:t>
            </w:r>
            <w:r>
              <w:rPr>
                <w:i/>
              </w:rPr>
              <w:t>Children and Community Services Act 2004</w:t>
            </w:r>
            <w:r>
              <w:t xml:space="preserve"> section 28(2).</w:t>
            </w:r>
          </w:p>
        </w:tc>
      </w:tr>
      <w:tr w:rsidR="007F7681">
        <w:trPr>
          <w:cantSplit/>
        </w:trPr>
        <w:tc>
          <w:tcPr>
            <w:tcW w:w="2240" w:type="dxa"/>
          </w:tcPr>
          <w:p w:rsidR="007F7681" w:rsidRDefault="009D25C9">
            <w:pPr>
              <w:pStyle w:val="TableNAm"/>
            </w:pPr>
            <w:r>
              <w:t>Children living in crisis accommodation</w:t>
            </w:r>
          </w:p>
        </w:tc>
        <w:tc>
          <w:tcPr>
            <w:tcW w:w="3827" w:type="dxa"/>
          </w:tcPr>
          <w:p w:rsidR="007F7681" w:rsidRDefault="009D25C9">
            <w:pPr>
              <w:pStyle w:val="TableNAm"/>
            </w:pPr>
            <w:r>
              <w:t xml:space="preserve">A child who is living in crisis or emergency accommodation because of — </w:t>
            </w:r>
          </w:p>
          <w:p w:rsidR="007F7681" w:rsidRDefault="009D25C9">
            <w:pPr>
              <w:pStyle w:val="TableNAm"/>
              <w:tabs>
                <w:tab w:val="clear" w:pos="567"/>
                <w:tab w:val="left" w:pos="317"/>
                <w:tab w:val="left" w:pos="742"/>
              </w:tabs>
              <w:ind w:left="742" w:hanging="742"/>
            </w:pPr>
            <w:r>
              <w:tab/>
              <w:t>(a)</w:t>
            </w:r>
            <w:r>
              <w:tab/>
              <w:t>family violence or a risk of family violence; or</w:t>
            </w:r>
          </w:p>
          <w:p w:rsidR="007F7681" w:rsidRDefault="009D25C9">
            <w:pPr>
              <w:pStyle w:val="TableNAm"/>
              <w:tabs>
                <w:tab w:val="clear" w:pos="567"/>
                <w:tab w:val="left" w:pos="317"/>
                <w:tab w:val="left" w:pos="742"/>
              </w:tabs>
              <w:ind w:left="742" w:hanging="742"/>
            </w:pPr>
            <w:r>
              <w:tab/>
              <w:t>(b)</w:t>
            </w:r>
            <w:r>
              <w:tab/>
              <w:t>homelessness.</w:t>
            </w:r>
          </w:p>
        </w:tc>
      </w:tr>
      <w:tr w:rsidR="007F7681">
        <w:trPr>
          <w:cantSplit/>
        </w:trPr>
        <w:tc>
          <w:tcPr>
            <w:tcW w:w="2240" w:type="dxa"/>
          </w:tcPr>
          <w:p w:rsidR="007F7681" w:rsidRDefault="009D25C9">
            <w:pPr>
              <w:pStyle w:val="TableNAm"/>
            </w:pPr>
            <w:r>
              <w:t>Evacuated children</w:t>
            </w:r>
          </w:p>
        </w:tc>
        <w:tc>
          <w:tcPr>
            <w:tcW w:w="3827" w:type="dxa"/>
          </w:tcPr>
          <w:p w:rsidR="007F7681" w:rsidRDefault="009D25C9">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rsidR="007F7681">
        <w:trPr>
          <w:cantSplit/>
        </w:trPr>
        <w:tc>
          <w:tcPr>
            <w:tcW w:w="2240" w:type="dxa"/>
          </w:tcPr>
          <w:p w:rsidR="007F7681" w:rsidRDefault="009D25C9">
            <w:pPr>
              <w:pStyle w:val="TableNAm"/>
            </w:pPr>
            <w:r>
              <w:t>Children in care of adult other than parent or guardian</w:t>
            </w:r>
          </w:p>
        </w:tc>
        <w:tc>
          <w:tcPr>
            <w:tcW w:w="3827" w:type="dxa"/>
          </w:tcPr>
          <w:p w:rsidR="007F7681" w:rsidRDefault="009D25C9">
            <w:pPr>
              <w:pStyle w:val="TableNAm"/>
            </w:pPr>
            <w:r>
              <w:t>A child who is in the care of an adult, other than their parent or guardian, because of exceptional circumstances (for example, illness or incapacity of their parent or guardian).</w:t>
            </w:r>
          </w:p>
        </w:tc>
      </w:tr>
      <w:tr w:rsidR="007F7681">
        <w:trPr>
          <w:cantSplit/>
        </w:trPr>
        <w:tc>
          <w:tcPr>
            <w:tcW w:w="2240" w:type="dxa"/>
          </w:tcPr>
          <w:p w:rsidR="007F7681" w:rsidRDefault="009D25C9">
            <w:pPr>
              <w:pStyle w:val="TableNAm"/>
            </w:pPr>
            <w:r>
              <w:lastRenderedPageBreak/>
              <w:t>Children in care of holders of certain cards under Commonwealth law</w:t>
            </w:r>
          </w:p>
        </w:tc>
        <w:tc>
          <w:tcPr>
            <w:tcW w:w="3827" w:type="dxa"/>
          </w:tcPr>
          <w:p w:rsidR="007F7681" w:rsidRDefault="009D25C9">
            <w:pPr>
              <w:pStyle w:val="TableNAm"/>
            </w:pPr>
            <w:r>
              <w:t xml:space="preserve">A child who is in the care of a responsible person who holds any of the following — </w:t>
            </w:r>
          </w:p>
          <w:p w:rsidR="007F7681" w:rsidRDefault="009D25C9">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rsidR="007F7681" w:rsidRDefault="009D25C9">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rsidR="007F7681" w:rsidRDefault="009D25C9">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rsidR="007F7681">
        <w:trPr>
          <w:cantSplit/>
        </w:trPr>
        <w:tc>
          <w:tcPr>
            <w:tcW w:w="2240" w:type="dxa"/>
          </w:tcPr>
          <w:p w:rsidR="007F7681" w:rsidRDefault="007F7681">
            <w:pPr>
              <w:pStyle w:val="TableNAm"/>
            </w:pPr>
          </w:p>
        </w:tc>
        <w:tc>
          <w:tcPr>
            <w:tcW w:w="3827" w:type="dxa"/>
          </w:tcPr>
          <w:p w:rsidR="007F7681" w:rsidRDefault="009D25C9">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rsidR="007F7681">
        <w:trPr>
          <w:cantSplit/>
        </w:trPr>
        <w:tc>
          <w:tcPr>
            <w:tcW w:w="2240" w:type="dxa"/>
          </w:tcPr>
          <w:p w:rsidR="007F7681" w:rsidRDefault="009D25C9">
            <w:pPr>
              <w:pStyle w:val="TableNAm"/>
            </w:pPr>
            <w:r>
              <w:lastRenderedPageBreak/>
              <w:t>Humanitarian visa children</w:t>
            </w:r>
          </w:p>
        </w:tc>
        <w:tc>
          <w:tcPr>
            <w:tcW w:w="3827" w:type="dxa"/>
          </w:tcPr>
          <w:p w:rsidR="007F7681" w:rsidRDefault="009D25C9">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rsidR="007F7681" w:rsidRDefault="009D25C9">
            <w:pPr>
              <w:pStyle w:val="TableNAm"/>
              <w:tabs>
                <w:tab w:val="clear" w:pos="567"/>
                <w:tab w:val="left" w:pos="317"/>
                <w:tab w:val="left" w:pos="742"/>
              </w:tabs>
              <w:ind w:left="742" w:hanging="742"/>
            </w:pPr>
            <w:r>
              <w:tab/>
              <w:t>(a)</w:t>
            </w:r>
            <w:r>
              <w:tab/>
              <w:t>200 (Refugee);</w:t>
            </w:r>
          </w:p>
          <w:p w:rsidR="007F7681" w:rsidRDefault="009D25C9">
            <w:pPr>
              <w:pStyle w:val="TableNAm"/>
              <w:tabs>
                <w:tab w:val="clear" w:pos="567"/>
                <w:tab w:val="left" w:pos="317"/>
                <w:tab w:val="left" w:pos="742"/>
              </w:tabs>
              <w:ind w:left="742" w:hanging="742"/>
            </w:pPr>
            <w:r>
              <w:tab/>
              <w:t>(b)</w:t>
            </w:r>
            <w:r>
              <w:tab/>
              <w:t>201 (In</w:t>
            </w:r>
            <w:r>
              <w:noBreakHyphen/>
              <w:t>country Special Humanitarian);</w:t>
            </w:r>
          </w:p>
          <w:p w:rsidR="007F7681" w:rsidRDefault="009D25C9">
            <w:pPr>
              <w:pStyle w:val="TableNAm"/>
              <w:tabs>
                <w:tab w:val="clear" w:pos="567"/>
                <w:tab w:val="left" w:pos="317"/>
                <w:tab w:val="left" w:pos="742"/>
              </w:tabs>
              <w:ind w:left="742" w:hanging="742"/>
            </w:pPr>
            <w:r>
              <w:tab/>
              <w:t>(c)</w:t>
            </w:r>
            <w:r>
              <w:tab/>
              <w:t>202 (Global Special Humanitarian);</w:t>
            </w:r>
          </w:p>
          <w:p w:rsidR="007F7681" w:rsidRDefault="009D25C9">
            <w:pPr>
              <w:pStyle w:val="TableNAm"/>
              <w:tabs>
                <w:tab w:val="clear" w:pos="567"/>
                <w:tab w:val="left" w:pos="317"/>
                <w:tab w:val="left" w:pos="742"/>
              </w:tabs>
              <w:ind w:left="742" w:hanging="742"/>
            </w:pPr>
            <w:r>
              <w:tab/>
              <w:t>(d)</w:t>
            </w:r>
            <w:r>
              <w:tab/>
              <w:t>203 (Emergency Rescue);</w:t>
            </w:r>
          </w:p>
        </w:tc>
      </w:tr>
      <w:tr w:rsidR="007F7681">
        <w:trPr>
          <w:cantSplit/>
        </w:trPr>
        <w:tc>
          <w:tcPr>
            <w:tcW w:w="2240" w:type="dxa"/>
          </w:tcPr>
          <w:p w:rsidR="007F7681" w:rsidRDefault="007F7681">
            <w:pPr>
              <w:pStyle w:val="TableNAm"/>
            </w:pPr>
          </w:p>
        </w:tc>
        <w:tc>
          <w:tcPr>
            <w:tcW w:w="3827" w:type="dxa"/>
          </w:tcPr>
          <w:p w:rsidR="007F7681" w:rsidRDefault="009D25C9">
            <w:pPr>
              <w:pStyle w:val="TableNAm"/>
              <w:tabs>
                <w:tab w:val="clear" w:pos="567"/>
                <w:tab w:val="left" w:pos="317"/>
                <w:tab w:val="left" w:pos="742"/>
              </w:tabs>
              <w:ind w:left="742" w:hanging="742"/>
            </w:pPr>
            <w:r>
              <w:tab/>
              <w:t>(e)</w:t>
            </w:r>
            <w:r>
              <w:tab/>
              <w:t>204 (Woman at Risk);</w:t>
            </w:r>
          </w:p>
          <w:p w:rsidR="007F7681" w:rsidRDefault="009D25C9">
            <w:pPr>
              <w:pStyle w:val="TableNAm"/>
              <w:tabs>
                <w:tab w:val="clear" w:pos="567"/>
                <w:tab w:val="left" w:pos="317"/>
                <w:tab w:val="left" w:pos="742"/>
              </w:tabs>
              <w:ind w:left="742" w:hanging="742"/>
            </w:pPr>
            <w:r>
              <w:tab/>
              <w:t>(f)</w:t>
            </w:r>
            <w:r>
              <w:tab/>
              <w:t>785 (Temporary Protection);</w:t>
            </w:r>
          </w:p>
          <w:p w:rsidR="007F7681" w:rsidRDefault="009D25C9">
            <w:pPr>
              <w:pStyle w:val="TableNAm"/>
              <w:tabs>
                <w:tab w:val="clear" w:pos="567"/>
                <w:tab w:val="left" w:pos="317"/>
                <w:tab w:val="left" w:pos="742"/>
              </w:tabs>
              <w:ind w:left="742" w:hanging="742"/>
            </w:pPr>
            <w:r>
              <w:tab/>
              <w:t>(g)</w:t>
            </w:r>
            <w:r>
              <w:tab/>
              <w:t>790 (Safe Haven Enterprise);</w:t>
            </w:r>
          </w:p>
          <w:p w:rsidR="007F7681" w:rsidRDefault="009D25C9">
            <w:pPr>
              <w:pStyle w:val="TableNAm"/>
              <w:tabs>
                <w:tab w:val="clear" w:pos="567"/>
                <w:tab w:val="left" w:pos="317"/>
                <w:tab w:val="left" w:pos="742"/>
              </w:tabs>
              <w:ind w:left="742" w:hanging="742"/>
              <w:rPr>
                <w:rStyle w:val="DraftersNotes"/>
              </w:rPr>
            </w:pPr>
            <w:r>
              <w:tab/>
              <w:t>(h)</w:t>
            </w:r>
            <w:r>
              <w:tab/>
              <w:t>866 (Protection).</w:t>
            </w:r>
          </w:p>
        </w:tc>
      </w:tr>
    </w:tbl>
    <w:p w:rsidR="007F7681" w:rsidRDefault="009D25C9">
      <w:pPr>
        <w:pStyle w:val="Footnotesection"/>
      </w:pPr>
      <w:r>
        <w:tab/>
        <w:t>[Regulation 10AB inserted: Gazette 19 Jul 2019 p. 2848-51.]</w:t>
      </w:r>
    </w:p>
    <w:p w:rsidR="007F7681" w:rsidRDefault="009D25C9">
      <w:pPr>
        <w:pStyle w:val="Heading5"/>
      </w:pPr>
      <w:bookmarkStart w:id="35" w:name="_Toc71120756"/>
      <w:r>
        <w:rPr>
          <w:rStyle w:val="CharSectno"/>
        </w:rPr>
        <w:t>10AC</w:t>
      </w:r>
      <w:r>
        <w:t>.</w:t>
      </w:r>
      <w:r>
        <w:tab/>
        <w:t>Circumstances in which Chief Health Officer may issue a certificate</w:t>
      </w:r>
      <w:bookmarkEnd w:id="35"/>
    </w:p>
    <w:p w:rsidR="007F7681" w:rsidRDefault="009D25C9">
      <w:pPr>
        <w:pStyle w:val="Subsection"/>
      </w:pPr>
      <w:r>
        <w:tab/>
        <w:t>(1)</w:t>
      </w:r>
      <w:r>
        <w:tab/>
        <w:t xml:space="preserve">In this regulation — </w:t>
      </w:r>
    </w:p>
    <w:p w:rsidR="007F7681" w:rsidRDefault="009D25C9">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rsidR="007F7681" w:rsidRDefault="009D25C9">
      <w:pPr>
        <w:pStyle w:val="Subsection"/>
      </w:pPr>
      <w:r>
        <w:lastRenderedPageBreak/>
        <w:tab/>
        <w:t>(2)</w:t>
      </w:r>
      <w:r>
        <w:tab/>
        <w:t>For the purposes of section 141C(1)(a)(i) of the Act, the circumstances in the Table are prescribed.</w:t>
      </w:r>
    </w:p>
    <w:p w:rsidR="007F7681" w:rsidRDefault="009D25C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rsidR="007F7681">
        <w:trPr>
          <w:cantSplit/>
          <w:tblHeader/>
        </w:trPr>
        <w:tc>
          <w:tcPr>
            <w:tcW w:w="2240" w:type="dxa"/>
          </w:tcPr>
          <w:p w:rsidR="007F7681" w:rsidRDefault="009D25C9">
            <w:pPr>
              <w:pStyle w:val="TableNAm"/>
              <w:jc w:val="center"/>
              <w:rPr>
                <w:b/>
                <w:bCs/>
              </w:rPr>
            </w:pPr>
            <w:r>
              <w:rPr>
                <w:b/>
                <w:bCs/>
              </w:rPr>
              <w:t>Circumstance</w:t>
            </w:r>
          </w:p>
        </w:tc>
        <w:tc>
          <w:tcPr>
            <w:tcW w:w="3827" w:type="dxa"/>
          </w:tcPr>
          <w:p w:rsidR="007F7681" w:rsidRDefault="009D25C9">
            <w:pPr>
              <w:pStyle w:val="TableNAm"/>
              <w:jc w:val="center"/>
              <w:rPr>
                <w:b/>
                <w:bCs/>
              </w:rPr>
            </w:pPr>
            <w:r>
              <w:rPr>
                <w:b/>
                <w:bCs/>
              </w:rPr>
              <w:t>Description of circumstance</w:t>
            </w:r>
          </w:p>
        </w:tc>
      </w:tr>
      <w:tr w:rsidR="007F7681">
        <w:trPr>
          <w:cantSplit/>
        </w:trPr>
        <w:tc>
          <w:tcPr>
            <w:tcW w:w="2240" w:type="dxa"/>
          </w:tcPr>
          <w:p w:rsidR="007F7681" w:rsidRDefault="009D25C9">
            <w:pPr>
              <w:pStyle w:val="TableNAm"/>
            </w:pPr>
            <w:r>
              <w:t>Temporary unavailability of vaccine</w:t>
            </w:r>
          </w:p>
        </w:tc>
        <w:tc>
          <w:tcPr>
            <w:tcW w:w="3827" w:type="dxa"/>
          </w:tcPr>
          <w:p w:rsidR="007F7681" w:rsidRDefault="009D25C9">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rsidR="007F7681">
        <w:trPr>
          <w:cantSplit/>
        </w:trPr>
        <w:tc>
          <w:tcPr>
            <w:tcW w:w="2240" w:type="dxa"/>
          </w:tcPr>
          <w:p w:rsidR="007F7681" w:rsidRDefault="009D25C9">
            <w:pPr>
              <w:pStyle w:val="TableNAm"/>
            </w:pPr>
            <w:r>
              <w:t>Child vaccinated overseas</w:t>
            </w:r>
          </w:p>
        </w:tc>
        <w:tc>
          <w:tcPr>
            <w:tcW w:w="3827" w:type="dxa"/>
          </w:tcPr>
          <w:p w:rsidR="007F7681" w:rsidRDefault="009D25C9">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rsidR="007F7681">
        <w:trPr>
          <w:cantSplit/>
        </w:trPr>
        <w:tc>
          <w:tcPr>
            <w:tcW w:w="2240" w:type="dxa"/>
          </w:tcPr>
          <w:p w:rsidR="007F7681" w:rsidRDefault="009D25C9">
            <w:pPr>
              <w:pStyle w:val="TableNAm"/>
            </w:pPr>
            <w:r>
              <w:lastRenderedPageBreak/>
              <w:t>Child part of approved vaccine study</w:t>
            </w:r>
          </w:p>
        </w:tc>
        <w:tc>
          <w:tcPr>
            <w:tcW w:w="3827" w:type="dxa"/>
          </w:tcPr>
          <w:p w:rsidR="007F7681" w:rsidRDefault="009D25C9">
            <w:pPr>
              <w:pStyle w:val="TableNAm"/>
            </w:pPr>
            <w:r>
              <w:t>A child is part of a vaccine study approved by a Human Research Ethics Committee registered with the National Health and Medical Research Council, as certified in writing by the researchers conducting the study.</w:t>
            </w:r>
          </w:p>
        </w:tc>
      </w:tr>
    </w:tbl>
    <w:p w:rsidR="007F7681" w:rsidRDefault="009D25C9">
      <w:pPr>
        <w:pStyle w:val="Footnotesection"/>
      </w:pPr>
      <w:r>
        <w:tab/>
        <w:t>[Regulation 10AC inserted: Gazette 19 Jul 2019 p. 2851-2.]</w:t>
      </w:r>
    </w:p>
    <w:p w:rsidR="007F7681" w:rsidRDefault="009D25C9">
      <w:pPr>
        <w:pStyle w:val="Heading5"/>
      </w:pPr>
      <w:bookmarkStart w:id="36" w:name="_Toc71120757"/>
      <w:r>
        <w:rPr>
          <w:rStyle w:val="CharSectno"/>
        </w:rPr>
        <w:t>10AD</w:t>
      </w:r>
      <w:r>
        <w:t>.</w:t>
      </w:r>
      <w:r>
        <w:tab/>
        <w:t>Immunisation catch</w:t>
      </w:r>
      <w:r>
        <w:noBreakHyphen/>
        <w:t>up schedule</w:t>
      </w:r>
      <w:bookmarkEnd w:id="36"/>
    </w:p>
    <w:p w:rsidR="007F7681" w:rsidRDefault="009D25C9">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rsidR="007F7681" w:rsidRDefault="009D25C9">
      <w:pPr>
        <w:pStyle w:val="Footnotesection"/>
      </w:pPr>
      <w:r>
        <w:tab/>
        <w:t>[Regulation 10AD inserted: Gazette 19 Jul 2019 p. 2852.]</w:t>
      </w:r>
    </w:p>
    <w:p w:rsidR="007F7681" w:rsidRDefault="009D25C9">
      <w:pPr>
        <w:pStyle w:val="Ednotesection"/>
      </w:pPr>
      <w:r>
        <w:t>[</w:t>
      </w:r>
      <w:r>
        <w:rPr>
          <w:b/>
        </w:rPr>
        <w:t>10B.</w:t>
      </w:r>
      <w:r>
        <w:rPr>
          <w:b/>
        </w:rPr>
        <w:tab/>
      </w:r>
      <w:r>
        <w:t>Deleted: Gazette 19 Jul 2019 p. 2852.]</w:t>
      </w:r>
    </w:p>
    <w:p w:rsidR="007F7681" w:rsidRDefault="009D25C9">
      <w:pPr>
        <w:pStyle w:val="Heading5"/>
      </w:pPr>
      <w:bookmarkStart w:id="37" w:name="_Toc71120758"/>
      <w:r>
        <w:rPr>
          <w:rStyle w:val="CharSectno"/>
        </w:rPr>
        <w:t>10C</w:t>
      </w:r>
      <w:r>
        <w:t>.</w:t>
      </w:r>
      <w:r>
        <w:tab/>
        <w:t>Relevant person or person in charge to give report on immunisation status</w:t>
      </w:r>
      <w:bookmarkEnd w:id="37"/>
    </w:p>
    <w:p w:rsidR="007F7681" w:rsidRDefault="009D25C9">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rsidR="007F7681" w:rsidRDefault="009D25C9">
      <w:pPr>
        <w:pStyle w:val="Indenta"/>
      </w:pPr>
      <w:r>
        <w:tab/>
        <w:t>(a)</w:t>
      </w:r>
      <w:r>
        <w:tab/>
        <w:t>a child enrolled at the school, community kindergarten or child care service; or</w:t>
      </w:r>
    </w:p>
    <w:p w:rsidR="007F7681" w:rsidRDefault="009D25C9">
      <w:pPr>
        <w:pStyle w:val="Indenta"/>
      </w:pPr>
      <w:r>
        <w:tab/>
        <w:t>(b)</w:t>
      </w:r>
      <w:r>
        <w:tab/>
        <w:t>children enrolled at the school, community kindergarten or child care service.</w:t>
      </w:r>
    </w:p>
    <w:p w:rsidR="007F7681" w:rsidRDefault="009D25C9">
      <w:pPr>
        <w:pStyle w:val="Subsection"/>
      </w:pPr>
      <w:r>
        <w:tab/>
        <w:t>(2)</w:t>
      </w:r>
      <w:r>
        <w:tab/>
        <w:t>A person given a direction under subregulation (1) must comply with the direction.</w:t>
      </w:r>
    </w:p>
    <w:p w:rsidR="007F7681" w:rsidRDefault="009D25C9">
      <w:pPr>
        <w:pStyle w:val="Penstart"/>
        <w:rPr>
          <w:snapToGrid w:val="0"/>
        </w:rPr>
      </w:pPr>
      <w:r>
        <w:rPr>
          <w:snapToGrid w:val="0"/>
        </w:rPr>
        <w:lastRenderedPageBreak/>
        <w:tab/>
      </w:r>
      <w:r>
        <w:t xml:space="preserve">Penalty for this subregulation: </w:t>
      </w:r>
      <w:r>
        <w:rPr>
          <w:snapToGrid w:val="0"/>
        </w:rPr>
        <w:t xml:space="preserve">a fine of $1 000. </w:t>
      </w:r>
    </w:p>
    <w:p w:rsidR="007F7681" w:rsidRDefault="009D25C9">
      <w:pPr>
        <w:pStyle w:val="Footnotesection"/>
      </w:pPr>
      <w:r>
        <w:tab/>
        <w:t>[Regulation 10C inserted: Gazette 7 Dec 2018 p. 4664; amended: Gazette 19 Jul 2019 p. 2852.]</w:t>
      </w:r>
    </w:p>
    <w:p w:rsidR="007F7681" w:rsidRDefault="009D25C9">
      <w:pPr>
        <w:pStyle w:val="Heading5"/>
      </w:pPr>
      <w:bookmarkStart w:id="38" w:name="_Toc71120759"/>
      <w:r>
        <w:rPr>
          <w:rStyle w:val="CharSectno"/>
        </w:rPr>
        <w:t>10D</w:t>
      </w:r>
      <w:r>
        <w:t>.</w:t>
      </w:r>
      <w:r>
        <w:tab/>
        <w:t>Person in charge to give report on contracted disease</w:t>
      </w:r>
      <w:bookmarkEnd w:id="38"/>
    </w:p>
    <w:p w:rsidR="007F7681" w:rsidRDefault="009D25C9">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rsidR="007F7681" w:rsidRDefault="009D25C9">
      <w:pPr>
        <w:pStyle w:val="Subsection"/>
      </w:pPr>
      <w:r>
        <w:tab/>
        <w:t>(2)</w:t>
      </w:r>
      <w:r>
        <w:tab/>
        <w:t>The report must specify the vaccine preventable notifiable infectious disease that the child has, or is reasonably believed to have, contracted.</w:t>
      </w:r>
    </w:p>
    <w:p w:rsidR="007F7681" w:rsidRDefault="009D25C9">
      <w:pPr>
        <w:pStyle w:val="Subsection"/>
      </w:pPr>
      <w:r>
        <w:tab/>
        <w:t>(3)</w:t>
      </w:r>
      <w:r>
        <w:tab/>
        <w:t xml:space="preserve">A person given a direction under subregulation (1) must comply with the direction. </w:t>
      </w:r>
    </w:p>
    <w:p w:rsidR="007F7681" w:rsidRDefault="009D25C9">
      <w:pPr>
        <w:pStyle w:val="Penstart"/>
      </w:pPr>
      <w:r>
        <w:tab/>
        <w:t xml:space="preserve">Penalty for this subregulation: a fine of $1 000. </w:t>
      </w:r>
    </w:p>
    <w:p w:rsidR="007F7681" w:rsidRDefault="009D25C9">
      <w:pPr>
        <w:pStyle w:val="Footnotesection"/>
      </w:pPr>
      <w:r>
        <w:tab/>
        <w:t>[Regulation 10D inserted: Gazette 7 Dec 2018 p. 4664; amended: Gazette 19 Jul 2019 p. 2853.]</w:t>
      </w:r>
    </w:p>
    <w:p w:rsidR="007F7681" w:rsidRDefault="009D25C9">
      <w:pPr>
        <w:pStyle w:val="Heading5"/>
      </w:pPr>
      <w:bookmarkStart w:id="39" w:name="_Toc71120760"/>
      <w:r>
        <w:rPr>
          <w:rStyle w:val="CharSectno"/>
        </w:rPr>
        <w:t>10E</w:t>
      </w:r>
      <w:r>
        <w:t>.</w:t>
      </w:r>
      <w:r>
        <w:tab/>
        <w:t>Person in charge to prevent attendance of non</w:t>
      </w:r>
      <w:r>
        <w:noBreakHyphen/>
        <w:t>immunised child</w:t>
      </w:r>
      <w:bookmarkEnd w:id="39"/>
    </w:p>
    <w:p w:rsidR="007F7681" w:rsidRDefault="009D25C9">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rsidR="007F7681" w:rsidRDefault="009D25C9">
      <w:pPr>
        <w:pStyle w:val="Subsection"/>
      </w:pPr>
      <w:r>
        <w:tab/>
        <w:t>(2)</w:t>
      </w:r>
      <w:r>
        <w:tab/>
        <w:t xml:space="preserve">The direction must — </w:t>
      </w:r>
    </w:p>
    <w:p w:rsidR="007F7681" w:rsidRDefault="009D25C9">
      <w:pPr>
        <w:pStyle w:val="Indenta"/>
      </w:pPr>
      <w:r>
        <w:tab/>
        <w:t>(a)</w:t>
      </w:r>
      <w:r>
        <w:tab/>
        <w:t>be in writing; and</w:t>
      </w:r>
    </w:p>
    <w:p w:rsidR="007F7681" w:rsidRDefault="009D25C9">
      <w:pPr>
        <w:pStyle w:val="Indenta"/>
      </w:pPr>
      <w:r>
        <w:lastRenderedPageBreak/>
        <w:tab/>
        <w:t>(b)</w:t>
      </w:r>
      <w:r>
        <w:tab/>
        <w:t>specify the vaccine preventable notifiable infectious disease that the child has not been immunised against; and</w:t>
      </w:r>
    </w:p>
    <w:p w:rsidR="007F7681" w:rsidRDefault="009D25C9">
      <w:pPr>
        <w:pStyle w:val="Indenta"/>
      </w:pPr>
      <w:r>
        <w:tab/>
        <w:t>(c)</w:t>
      </w:r>
      <w:r>
        <w:tab/>
        <w:t>specify the period of time during which the child is not permitted to attend, or participate in an educational programme of, the school, community kindergarten or child care service.</w:t>
      </w:r>
    </w:p>
    <w:p w:rsidR="007F7681" w:rsidRDefault="009D25C9">
      <w:pPr>
        <w:pStyle w:val="Subsection"/>
      </w:pPr>
      <w:r>
        <w:tab/>
        <w:t>(3)</w:t>
      </w:r>
      <w:r>
        <w:tab/>
        <w:t xml:space="preserve">A person given a direction under subregulation (1) must comply with the direction. </w:t>
      </w:r>
    </w:p>
    <w:p w:rsidR="007F7681" w:rsidRDefault="009D25C9">
      <w:pPr>
        <w:pStyle w:val="Penstart"/>
      </w:pPr>
      <w:r>
        <w:tab/>
        <w:t>Penalty for this subregulation: a fine of $1 000.</w:t>
      </w:r>
    </w:p>
    <w:p w:rsidR="007F7681" w:rsidRDefault="009D25C9">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rsidR="007F7681" w:rsidRDefault="009D25C9">
      <w:pPr>
        <w:pStyle w:val="Penstart"/>
      </w:pPr>
      <w:r>
        <w:tab/>
        <w:t>Penalty for this subregulation: a fine of $1 000.</w:t>
      </w:r>
    </w:p>
    <w:p w:rsidR="007F7681" w:rsidRDefault="009D25C9">
      <w:pPr>
        <w:pStyle w:val="Subsection"/>
      </w:pPr>
      <w:r>
        <w:tab/>
        <w:t>(5)</w:t>
      </w:r>
      <w:r>
        <w:tab/>
        <w:t xml:space="preserve">The notice must specify — </w:t>
      </w:r>
    </w:p>
    <w:p w:rsidR="007F7681" w:rsidRDefault="009D25C9">
      <w:pPr>
        <w:pStyle w:val="Indenta"/>
      </w:pPr>
      <w:r>
        <w:tab/>
        <w:t>(a)</w:t>
      </w:r>
      <w:r>
        <w:tab/>
        <w:t>the vaccine preventable notifiable infectious disease that the child has not been immunised against; and</w:t>
      </w:r>
    </w:p>
    <w:p w:rsidR="007F7681" w:rsidRDefault="009D25C9">
      <w:pPr>
        <w:pStyle w:val="Indenta"/>
      </w:pPr>
      <w:r>
        <w:tab/>
        <w:t>(b)</w:t>
      </w:r>
      <w:r>
        <w:tab/>
        <w:t>the period of time during which the child is not permitted to attend, or participate in an educational programme of, the school, community kindergarten or child care service.</w:t>
      </w:r>
    </w:p>
    <w:p w:rsidR="007F7681" w:rsidRDefault="009D25C9">
      <w:pPr>
        <w:pStyle w:val="Footnotesection"/>
      </w:pPr>
      <w:r>
        <w:tab/>
        <w:t>[Regulation 10E inserted: Gazette 7 Dec 2018 p. 4665; amended: Gazette 19 Jul 2019 p. 2853-4.]</w:t>
      </w:r>
    </w:p>
    <w:p w:rsidR="007F7681" w:rsidRDefault="009D25C9">
      <w:pPr>
        <w:pStyle w:val="Heading5"/>
      </w:pPr>
      <w:bookmarkStart w:id="40" w:name="_Toc71120761"/>
      <w:r>
        <w:rPr>
          <w:rStyle w:val="CharSectno"/>
        </w:rPr>
        <w:lastRenderedPageBreak/>
        <w:t>10F</w:t>
      </w:r>
      <w:r>
        <w:t>.</w:t>
      </w:r>
      <w:r>
        <w:tab/>
        <w:t>Closure of whole or part of school, community kindergarten or child care service</w:t>
      </w:r>
      <w:bookmarkEnd w:id="40"/>
    </w:p>
    <w:p w:rsidR="007F7681" w:rsidRDefault="009D25C9">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rsidR="007F7681" w:rsidRDefault="009D25C9">
      <w:pPr>
        <w:pStyle w:val="Subsection"/>
      </w:pPr>
      <w:r>
        <w:tab/>
        <w:t>(2)</w:t>
      </w:r>
      <w:r>
        <w:tab/>
        <w:t xml:space="preserve">The direction must — </w:t>
      </w:r>
    </w:p>
    <w:p w:rsidR="007F7681" w:rsidRDefault="009D25C9">
      <w:pPr>
        <w:pStyle w:val="Indenta"/>
      </w:pPr>
      <w:r>
        <w:tab/>
        <w:t>(a)</w:t>
      </w:r>
      <w:r>
        <w:tab/>
        <w:t>be in writing; and</w:t>
      </w:r>
    </w:p>
    <w:p w:rsidR="007F7681" w:rsidRDefault="009D25C9">
      <w:pPr>
        <w:pStyle w:val="Indenta"/>
      </w:pPr>
      <w:r>
        <w:tab/>
        <w:t>(b)</w:t>
      </w:r>
      <w:r>
        <w:tab/>
        <w:t xml:space="preserve">specify the period of time during which the whole or part of the school, community kindergarten or child care service is to remain closed. </w:t>
      </w:r>
    </w:p>
    <w:p w:rsidR="007F7681" w:rsidRDefault="009D25C9">
      <w:pPr>
        <w:pStyle w:val="Subsection"/>
      </w:pPr>
      <w:r>
        <w:tab/>
        <w:t>(3)</w:t>
      </w:r>
      <w:r>
        <w:tab/>
        <w:t>A person given a direction under subregulation (1) must comply with the direction.</w:t>
      </w:r>
    </w:p>
    <w:p w:rsidR="007F7681" w:rsidRDefault="009D25C9">
      <w:pPr>
        <w:pStyle w:val="Penstart"/>
      </w:pPr>
      <w:r>
        <w:tab/>
        <w:t>Penalty for this subregulation: a fine of $1 000.</w:t>
      </w:r>
    </w:p>
    <w:p w:rsidR="007F7681" w:rsidRDefault="009D25C9">
      <w:pPr>
        <w:pStyle w:val="Footnotesection"/>
      </w:pPr>
      <w:r>
        <w:tab/>
        <w:t>[Regulation 10F inserted: Gazette 7 Dec 2018 p. 4665</w:t>
      </w:r>
      <w:r>
        <w:noBreakHyphen/>
        <w:t>6; amended: Gazette 19 Jul 2019 p. 2854.]</w:t>
      </w:r>
    </w:p>
    <w:p w:rsidR="007F7681" w:rsidRDefault="009D25C9">
      <w:pPr>
        <w:pStyle w:val="Heading5"/>
      </w:pPr>
      <w:bookmarkStart w:id="41" w:name="_Toc71120762"/>
      <w:r>
        <w:rPr>
          <w:rStyle w:val="CharSectno"/>
        </w:rPr>
        <w:t>10G</w:t>
      </w:r>
      <w:r>
        <w:t>.</w:t>
      </w:r>
      <w:r>
        <w:tab/>
        <w:t>Chief Health Officer may request further information</w:t>
      </w:r>
      <w:bookmarkEnd w:id="41"/>
    </w:p>
    <w:p w:rsidR="007F7681" w:rsidRDefault="009D25C9">
      <w:pPr>
        <w:pStyle w:val="Subsection"/>
      </w:pPr>
      <w:r>
        <w:tab/>
        <w:t>(1)</w:t>
      </w:r>
      <w:r>
        <w:tab/>
        <w:t>This regulation applies if the Chief Health Officer directs a person to give a report to the Chief Health Officer under regulation 10C(1).</w:t>
      </w:r>
    </w:p>
    <w:p w:rsidR="007F7681" w:rsidRDefault="009D25C9">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rsidR="007F7681" w:rsidRDefault="009D25C9" w:rsidP="00897938">
      <w:pPr>
        <w:pStyle w:val="Subsection"/>
        <w:keepNext/>
      </w:pPr>
      <w:r>
        <w:lastRenderedPageBreak/>
        <w:tab/>
        <w:t>(3)</w:t>
      </w:r>
      <w:r>
        <w:tab/>
        <w:t xml:space="preserve">Information requested under subregulation (2) may, without limitation, include — </w:t>
      </w:r>
    </w:p>
    <w:p w:rsidR="007F7681" w:rsidRDefault="009D25C9">
      <w:pPr>
        <w:pStyle w:val="Indenta"/>
      </w:pPr>
      <w:r>
        <w:tab/>
        <w:t>(a)</w:t>
      </w:r>
      <w:r>
        <w:tab/>
        <w:t>the name or names, and other identifying information, of a child who has not, or children who have not, been immunised against a vaccine preventable notifiable infectious disease; and</w:t>
      </w:r>
    </w:p>
    <w:p w:rsidR="007F7681" w:rsidRDefault="009D25C9">
      <w:pPr>
        <w:pStyle w:val="Indenta"/>
      </w:pPr>
      <w:r>
        <w:tab/>
        <w:t>(b)</w:t>
      </w:r>
      <w:r>
        <w:tab/>
        <w:t>the name and contact details of the responsible person for the child or children.</w:t>
      </w:r>
    </w:p>
    <w:p w:rsidR="007F7681" w:rsidRDefault="009D25C9">
      <w:pPr>
        <w:pStyle w:val="Subsection"/>
      </w:pPr>
      <w:r>
        <w:tab/>
        <w:t>(4)</w:t>
      </w:r>
      <w:r>
        <w:tab/>
        <w:t>A person who receives a request under subregulation (2) must comply with the request.</w:t>
      </w:r>
    </w:p>
    <w:p w:rsidR="007F7681" w:rsidRDefault="009D25C9">
      <w:pPr>
        <w:pStyle w:val="Penstart"/>
      </w:pPr>
      <w:r>
        <w:tab/>
        <w:t>Penalty for this subregulation: a fine of $1 000.</w:t>
      </w:r>
    </w:p>
    <w:p w:rsidR="007F7681" w:rsidRDefault="009D25C9">
      <w:pPr>
        <w:pStyle w:val="Footnotesection"/>
      </w:pPr>
      <w:r>
        <w:tab/>
        <w:t>[Regulation 10G inserted: Gazette 7 Dec 2018 p. 4666; amended: Gazette 19 Jul 2019 p. 2854.]</w:t>
      </w:r>
    </w:p>
    <w:p w:rsidR="007F7681" w:rsidRDefault="009D25C9">
      <w:pPr>
        <w:pStyle w:val="Heading2"/>
      </w:pPr>
      <w:bookmarkStart w:id="42" w:name="_Toc71098964"/>
      <w:bookmarkStart w:id="43" w:name="_Toc71099300"/>
      <w:bookmarkStart w:id="44" w:name="_Toc71099390"/>
      <w:bookmarkStart w:id="45" w:name="_Toc71120763"/>
      <w:r>
        <w:rPr>
          <w:rStyle w:val="CharPartNo"/>
        </w:rPr>
        <w:lastRenderedPageBreak/>
        <w:t>Part 3</w:t>
      </w:r>
      <w:r>
        <w:rPr>
          <w:rStyle w:val="CharDivNo"/>
        </w:rPr>
        <w:t> </w:t>
      </w:r>
      <w:r>
        <w:t>—</w:t>
      </w:r>
      <w:r>
        <w:rPr>
          <w:rStyle w:val="CharDivText"/>
        </w:rPr>
        <w:t> </w:t>
      </w:r>
      <w:r>
        <w:rPr>
          <w:rStyle w:val="CharPartText"/>
        </w:rPr>
        <w:t>Public health emergencies</w:t>
      </w:r>
      <w:bookmarkEnd w:id="42"/>
      <w:bookmarkEnd w:id="43"/>
      <w:bookmarkEnd w:id="44"/>
      <w:bookmarkEnd w:id="45"/>
    </w:p>
    <w:p w:rsidR="007F7681" w:rsidRDefault="009D25C9">
      <w:pPr>
        <w:pStyle w:val="Heading5"/>
      </w:pPr>
      <w:bookmarkStart w:id="46" w:name="_Toc71120764"/>
      <w:r>
        <w:rPr>
          <w:rStyle w:val="CharSectno"/>
        </w:rPr>
        <w:t>11</w:t>
      </w:r>
      <w:r>
        <w:t>.</w:t>
      </w:r>
      <w:r>
        <w:tab/>
        <w:t>Relevant information</w:t>
      </w:r>
      <w:bookmarkEnd w:id="46"/>
    </w:p>
    <w:p w:rsidR="007F7681" w:rsidRDefault="009D25C9">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rsidR="007F7681" w:rsidRDefault="009D25C9">
      <w:pPr>
        <w:pStyle w:val="Indenta"/>
      </w:pPr>
      <w:r>
        <w:tab/>
        <w:t>(a)</w:t>
      </w:r>
      <w:r>
        <w:tab/>
        <w:t>information about the loss suffered by a person, the assistance requested by a person and the assistance provided to or approved for a person;</w:t>
      </w:r>
    </w:p>
    <w:p w:rsidR="007F7681" w:rsidRDefault="009D25C9">
      <w:pPr>
        <w:pStyle w:val="Indenta"/>
      </w:pPr>
      <w:r>
        <w:tab/>
        <w:t>(b)</w:t>
      </w:r>
      <w:r>
        <w:tab/>
        <w:t>information about the owner or occupier of real property;</w:t>
      </w:r>
    </w:p>
    <w:p w:rsidR="007F7681" w:rsidRDefault="009D25C9">
      <w:pPr>
        <w:pStyle w:val="Indenta"/>
      </w:pPr>
      <w:r>
        <w:tab/>
        <w:t>(c)</w:t>
      </w:r>
      <w:r>
        <w:tab/>
        <w:t>information relating to a person’s finances or insurance.</w:t>
      </w:r>
    </w:p>
    <w:p w:rsidR="007F7681" w:rsidRDefault="009D25C9">
      <w:pPr>
        <w:pStyle w:val="Heading5"/>
      </w:pPr>
      <w:bookmarkStart w:id="47" w:name="_Toc71120765"/>
      <w:r>
        <w:rPr>
          <w:rStyle w:val="CharSectno"/>
        </w:rPr>
        <w:t>12</w:t>
      </w:r>
      <w:r>
        <w:t>.</w:t>
      </w:r>
      <w:r>
        <w:tab/>
        <w:t>Disclosure of relevant information</w:t>
      </w:r>
      <w:bookmarkEnd w:id="47"/>
    </w:p>
    <w:p w:rsidR="007F7681" w:rsidRDefault="009D25C9">
      <w:pPr>
        <w:pStyle w:val="Subsection"/>
      </w:pPr>
      <w:r>
        <w:tab/>
        <w:t>(1)</w:t>
      </w:r>
      <w:r>
        <w:tab/>
        <w:t>For emergency management purposes an emergency officer may disclose relevant information to a person or body engaged by a public authority to provide welfare services.</w:t>
      </w:r>
    </w:p>
    <w:p w:rsidR="007F7681" w:rsidRDefault="009D25C9">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rsidR="007F7681" w:rsidRDefault="009D25C9">
      <w:pPr>
        <w:pStyle w:val="Penstart"/>
      </w:pPr>
      <w:r>
        <w:tab/>
        <w:t>Penalty for this subregulation: a fine of $1 000.</w:t>
      </w:r>
    </w:p>
    <w:p w:rsidR="007F7681" w:rsidRDefault="009D25C9">
      <w:pPr>
        <w:pStyle w:val="Heading5"/>
      </w:pPr>
      <w:bookmarkStart w:id="48" w:name="_Toc71120766"/>
      <w:r>
        <w:rPr>
          <w:rStyle w:val="CharSectno"/>
        </w:rPr>
        <w:t>13</w:t>
      </w:r>
      <w:r>
        <w:t>.</w:t>
      </w:r>
      <w:r>
        <w:tab/>
        <w:t>Keeping disclosed relevant information secure</w:t>
      </w:r>
      <w:bookmarkEnd w:id="48"/>
    </w:p>
    <w:p w:rsidR="007F7681" w:rsidRDefault="009D25C9">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rsidR="007F7681" w:rsidRDefault="009D25C9">
      <w:pPr>
        <w:pStyle w:val="Penstart"/>
      </w:pPr>
      <w:r>
        <w:tab/>
        <w:t>Penalty: a fine of $1 000.</w:t>
      </w:r>
    </w:p>
    <w:p w:rsidR="00A37794" w:rsidRDefault="00A37794" w:rsidP="00897938">
      <w:pPr>
        <w:pStyle w:val="Heading5"/>
      </w:pPr>
      <w:bookmarkStart w:id="49" w:name="_Toc71120767"/>
      <w:r w:rsidRPr="008D2320">
        <w:rPr>
          <w:rStyle w:val="CharSectno"/>
        </w:rPr>
        <w:lastRenderedPageBreak/>
        <w:t>13A</w:t>
      </w:r>
      <w:r>
        <w:t>.</w:t>
      </w:r>
      <w:r>
        <w:tab/>
        <w:t>Fee prescribed for cost of hotel quarantine (Act s. 202H(1))</w:t>
      </w:r>
      <w:bookmarkEnd w:id="49"/>
    </w:p>
    <w:p w:rsidR="00A37794" w:rsidRDefault="00A37794" w:rsidP="00897938">
      <w:pPr>
        <w:pStyle w:val="Subsection"/>
        <w:keepNext/>
      </w:pPr>
      <w:r>
        <w:tab/>
      </w:r>
      <w:r>
        <w:tab/>
        <w:t xml:space="preserve">For the purposes of section 202H(1) of the Act, the prescribed fee is — </w:t>
      </w:r>
    </w:p>
    <w:p w:rsidR="00A37794" w:rsidRDefault="00A37794" w:rsidP="00A37794">
      <w:pPr>
        <w:pStyle w:val="Indenta"/>
      </w:pPr>
      <w:r>
        <w:tab/>
        <w:t>(a)</w:t>
      </w:r>
      <w:r>
        <w:tab/>
        <w:t>for a person not in shared accommodation — $180 per day (including meals);</w:t>
      </w:r>
    </w:p>
    <w:p w:rsidR="00A37794" w:rsidRDefault="00A37794" w:rsidP="00A37794">
      <w:pPr>
        <w:pStyle w:val="Indenta"/>
      </w:pPr>
      <w:r>
        <w:tab/>
        <w:t>(b)</w:t>
      </w:r>
      <w:r>
        <w:tab/>
        <w:t xml:space="preserve">for persons in shared accommodation — </w:t>
      </w:r>
    </w:p>
    <w:p w:rsidR="00A37794" w:rsidRDefault="00A37794" w:rsidP="00A37794">
      <w:pPr>
        <w:pStyle w:val="Indenti"/>
      </w:pPr>
      <w:r>
        <w:tab/>
        <w:t>(i)</w:t>
      </w:r>
      <w:r>
        <w:tab/>
        <w:t>for the first person — $180 per day (including meals);</w:t>
      </w:r>
    </w:p>
    <w:p w:rsidR="00A37794" w:rsidRDefault="00A37794" w:rsidP="00A37794">
      <w:pPr>
        <w:pStyle w:val="Indenti"/>
      </w:pPr>
      <w:r>
        <w:tab/>
        <w:t>(ii)</w:t>
      </w:r>
      <w:r>
        <w:tab/>
        <w:t>for each additional person over the age of 6 years — $60 per day (including meals).</w:t>
      </w:r>
    </w:p>
    <w:p w:rsidR="00A37794" w:rsidRDefault="00A37794" w:rsidP="00A37794">
      <w:pPr>
        <w:pStyle w:val="Footnotesection"/>
      </w:pPr>
      <w:r>
        <w:tab/>
        <w:t>[Regulation 13A inserted: SL 2020/154 r. 4.]</w:t>
      </w:r>
    </w:p>
    <w:p w:rsidR="00A37794" w:rsidRDefault="00A37794" w:rsidP="00A37794">
      <w:pPr>
        <w:pStyle w:val="Heading5"/>
      </w:pPr>
      <w:bookmarkStart w:id="50" w:name="_Toc71120768"/>
      <w:r w:rsidRPr="008D2320">
        <w:rPr>
          <w:rStyle w:val="CharSectno"/>
        </w:rPr>
        <w:t>13B</w:t>
      </w:r>
      <w:r>
        <w:t>.</w:t>
      </w:r>
      <w:r>
        <w:tab/>
        <w:t>Payment by instalments (Act s. 202L)</w:t>
      </w:r>
      <w:bookmarkEnd w:id="50"/>
    </w:p>
    <w:p w:rsidR="00A37794" w:rsidRDefault="00A37794" w:rsidP="00A37794">
      <w:pPr>
        <w:pStyle w:val="Subsection"/>
      </w:pPr>
      <w:r>
        <w:tab/>
        <w:t>(1)</w:t>
      </w:r>
      <w:r>
        <w:tab/>
        <w:t>A person may apply to the Chief Health Officer in writing to pay by instalments the fee payable under section 202H(1).</w:t>
      </w:r>
    </w:p>
    <w:p w:rsidR="00A37794" w:rsidRDefault="00A37794" w:rsidP="00A37794">
      <w:pPr>
        <w:pStyle w:val="Subsection"/>
      </w:pPr>
      <w:r>
        <w:tab/>
        <w:t>(2)</w:t>
      </w:r>
      <w:r>
        <w:tab/>
        <w:t>On an application under subregulation (1), the Chief Health Officer may by notice in writing allow the applicant to pay the fee in weekly, fortnightly or monthly instalments in accordance with this regulation.</w:t>
      </w:r>
    </w:p>
    <w:p w:rsidR="00A37794" w:rsidRDefault="00A37794" w:rsidP="00A37794">
      <w:pPr>
        <w:pStyle w:val="Subsection"/>
      </w:pPr>
      <w:r>
        <w:tab/>
        <w:t>(3)</w:t>
      </w:r>
      <w:r>
        <w:tab/>
        <w:t>If an instalment is not paid on or before the date specified in the notice, the whole of the unpaid fee, together with interest, becomes due and payable.</w:t>
      </w:r>
    </w:p>
    <w:p w:rsidR="00A37794" w:rsidRDefault="00A37794" w:rsidP="00A37794">
      <w:pPr>
        <w:pStyle w:val="Footnotesection"/>
      </w:pPr>
      <w:r>
        <w:tab/>
        <w:t>[Regulation 13B inserted: SL 2020/154 r. 4.]</w:t>
      </w:r>
    </w:p>
    <w:p w:rsidR="007F7681" w:rsidRDefault="009D25C9">
      <w:pPr>
        <w:pStyle w:val="Heading2"/>
      </w:pPr>
      <w:bookmarkStart w:id="51" w:name="_Toc71098970"/>
      <w:bookmarkStart w:id="52" w:name="_Toc71099306"/>
      <w:bookmarkStart w:id="53" w:name="_Toc71099396"/>
      <w:bookmarkStart w:id="54" w:name="_Toc71120769"/>
      <w:r>
        <w:rPr>
          <w:rStyle w:val="CharPartNo"/>
        </w:rPr>
        <w:lastRenderedPageBreak/>
        <w:t>Part 4</w:t>
      </w:r>
      <w:r>
        <w:rPr>
          <w:rStyle w:val="CharDivNo"/>
        </w:rPr>
        <w:t> </w:t>
      </w:r>
      <w:r>
        <w:t>—</w:t>
      </w:r>
      <w:r>
        <w:rPr>
          <w:rStyle w:val="CharDivText"/>
        </w:rPr>
        <w:t> </w:t>
      </w:r>
      <w:r>
        <w:rPr>
          <w:rStyle w:val="CharPartText"/>
        </w:rPr>
        <w:t>Inquiries</w:t>
      </w:r>
      <w:bookmarkEnd w:id="51"/>
      <w:bookmarkEnd w:id="52"/>
      <w:bookmarkEnd w:id="53"/>
      <w:bookmarkEnd w:id="54"/>
    </w:p>
    <w:p w:rsidR="007F7681" w:rsidRDefault="009D25C9">
      <w:pPr>
        <w:pStyle w:val="Heading5"/>
      </w:pPr>
      <w:bookmarkStart w:id="55" w:name="_Toc71120770"/>
      <w:r>
        <w:rPr>
          <w:rStyle w:val="CharSectno"/>
        </w:rPr>
        <w:t>14</w:t>
      </w:r>
      <w:r>
        <w:t>.</w:t>
      </w:r>
      <w:r>
        <w:tab/>
        <w:t>Allowances and expenses of a person required to attend</w:t>
      </w:r>
      <w:bookmarkEnd w:id="55"/>
    </w:p>
    <w:p w:rsidR="007F7681" w:rsidRDefault="009D25C9">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rsidR="007F7681" w:rsidRDefault="009D25C9">
      <w:pPr>
        <w:pStyle w:val="Heading2"/>
      </w:pPr>
      <w:bookmarkStart w:id="56" w:name="_Toc71098972"/>
      <w:bookmarkStart w:id="57" w:name="_Toc71099308"/>
      <w:bookmarkStart w:id="58" w:name="_Toc71099398"/>
      <w:bookmarkStart w:id="59" w:name="_Toc71120771"/>
      <w:r>
        <w:rPr>
          <w:rStyle w:val="CharPartNo"/>
        </w:rPr>
        <w:lastRenderedPageBreak/>
        <w:t>Part 5</w:t>
      </w:r>
      <w:r>
        <w:rPr>
          <w:rStyle w:val="CharDivNo"/>
        </w:rPr>
        <w:t> </w:t>
      </w:r>
      <w:r>
        <w:t>—</w:t>
      </w:r>
      <w:r>
        <w:rPr>
          <w:rStyle w:val="CharDivText"/>
        </w:rPr>
        <w:t> </w:t>
      </w:r>
      <w:r>
        <w:rPr>
          <w:rStyle w:val="CharPartText"/>
        </w:rPr>
        <w:t>Miscellaneous</w:t>
      </w:r>
      <w:bookmarkEnd w:id="56"/>
      <w:bookmarkEnd w:id="57"/>
      <w:bookmarkEnd w:id="58"/>
      <w:bookmarkEnd w:id="59"/>
    </w:p>
    <w:p w:rsidR="007F7681" w:rsidRDefault="009D25C9">
      <w:pPr>
        <w:pStyle w:val="Heading5"/>
      </w:pPr>
      <w:bookmarkStart w:id="60" w:name="_Toc71120772"/>
      <w:r>
        <w:rPr>
          <w:rStyle w:val="CharSectno"/>
        </w:rPr>
        <w:t>15</w:t>
      </w:r>
      <w:r>
        <w:t>.</w:t>
      </w:r>
      <w:r>
        <w:tab/>
        <w:t>Disclosure and use of information provided under Part 9 or 10 of the Act</w:t>
      </w:r>
      <w:bookmarkEnd w:id="60"/>
    </w:p>
    <w:p w:rsidR="007F7681" w:rsidRDefault="009D25C9">
      <w:pPr>
        <w:pStyle w:val="Subsection"/>
      </w:pPr>
      <w:r>
        <w:tab/>
      </w:r>
      <w:r>
        <w:tab/>
        <w:t>A public health official may disclose or use specified information under section 298 of the Act in the course of duty.</w:t>
      </w:r>
    </w:p>
    <w:p w:rsidR="007F7681" w:rsidRDefault="009D25C9">
      <w:pPr>
        <w:pStyle w:val="Heading5"/>
      </w:pPr>
      <w:bookmarkStart w:id="61" w:name="_Toc71120773"/>
      <w:r>
        <w:rPr>
          <w:rStyle w:val="CharSectno"/>
        </w:rPr>
        <w:t>16</w:t>
      </w:r>
      <w:r>
        <w:t>.</w:t>
      </w:r>
      <w:r>
        <w:tab/>
        <w:t>Regulations repealed</w:t>
      </w:r>
      <w:bookmarkEnd w:id="61"/>
    </w:p>
    <w:p w:rsidR="007F7681" w:rsidRDefault="009D25C9">
      <w:pPr>
        <w:pStyle w:val="Subsection"/>
      </w:pPr>
      <w:r>
        <w:tab/>
      </w:r>
      <w:r>
        <w:tab/>
        <w:t xml:space="preserve">These regulations are repealed — </w:t>
      </w:r>
    </w:p>
    <w:p w:rsidR="007F7681" w:rsidRDefault="009D25C9">
      <w:pPr>
        <w:pStyle w:val="Indenta"/>
      </w:pPr>
      <w:r>
        <w:tab/>
        <w:t>(a)</w:t>
      </w:r>
      <w:r>
        <w:tab/>
        <w:t xml:space="preserve">the </w:t>
      </w:r>
      <w:r>
        <w:rPr>
          <w:i/>
        </w:rPr>
        <w:t>Health (Immunisation by Local Governments) Regulations 2000</w:t>
      </w:r>
      <w:r>
        <w:t>;</w:t>
      </w:r>
    </w:p>
    <w:p w:rsidR="007F7681" w:rsidRDefault="009D25C9">
      <w:pPr>
        <w:pStyle w:val="Indenta"/>
      </w:pPr>
      <w:r>
        <w:tab/>
        <w:t>(b)</w:t>
      </w:r>
      <w:r>
        <w:tab/>
        <w:t xml:space="preserve">the </w:t>
      </w:r>
      <w:r>
        <w:rPr>
          <w:i/>
        </w:rPr>
        <w:t>Health (Notification of Adverse Event After Immunization) Regulations 1995</w:t>
      </w:r>
      <w:r>
        <w:t>;</w:t>
      </w:r>
    </w:p>
    <w:p w:rsidR="007F7681" w:rsidRDefault="009D25C9">
      <w:pPr>
        <w:pStyle w:val="Indenta"/>
      </w:pPr>
      <w:r>
        <w:tab/>
        <w:t>(c)</w:t>
      </w:r>
      <w:r>
        <w:tab/>
        <w:t xml:space="preserve">the </w:t>
      </w:r>
      <w:r>
        <w:rPr>
          <w:i/>
        </w:rPr>
        <w:t>Health (Notification of Intussusception) Regulations 2007</w:t>
      </w:r>
      <w:r>
        <w:t>;</w:t>
      </w:r>
    </w:p>
    <w:p w:rsidR="007F7681" w:rsidRDefault="009D25C9">
      <w:pPr>
        <w:pStyle w:val="Indenta"/>
      </w:pPr>
      <w:r>
        <w:tab/>
        <w:t>(d)</w:t>
      </w:r>
      <w:r>
        <w:tab/>
        <w:t xml:space="preserve">the </w:t>
      </w:r>
      <w:r>
        <w:rPr>
          <w:i/>
        </w:rPr>
        <w:t>Health (Venereal Diseases) Regulations 1973</w:t>
      </w:r>
      <w:r>
        <w:t>.</w:t>
      </w:r>
    </w:p>
    <w:p w:rsidR="007F7681" w:rsidRDefault="009D25C9">
      <w:pPr>
        <w:pStyle w:val="Heading2"/>
      </w:pPr>
      <w:bookmarkStart w:id="62" w:name="_Toc71098975"/>
      <w:bookmarkStart w:id="63" w:name="_Toc71099311"/>
      <w:bookmarkStart w:id="64" w:name="_Toc71099401"/>
      <w:bookmarkStart w:id="65" w:name="_Toc71120774"/>
      <w:r>
        <w:rPr>
          <w:rStyle w:val="CharPartNo"/>
        </w:rPr>
        <w:lastRenderedPageBreak/>
        <w:t>Part 6</w:t>
      </w:r>
      <w:r>
        <w:rPr>
          <w:rStyle w:val="CharDivNo"/>
        </w:rPr>
        <w:t> </w:t>
      </w:r>
      <w:r>
        <w:t>—</w:t>
      </w:r>
      <w:r>
        <w:rPr>
          <w:rStyle w:val="CharDivText"/>
        </w:rPr>
        <w:t> </w:t>
      </w:r>
      <w:r>
        <w:rPr>
          <w:rStyle w:val="CharPartText"/>
        </w:rPr>
        <w:t>Transitional provisions</w:t>
      </w:r>
      <w:bookmarkEnd w:id="62"/>
      <w:bookmarkEnd w:id="63"/>
      <w:bookmarkEnd w:id="64"/>
      <w:bookmarkEnd w:id="65"/>
    </w:p>
    <w:p w:rsidR="007F7681" w:rsidRDefault="009D25C9">
      <w:pPr>
        <w:pStyle w:val="Heading5"/>
      </w:pPr>
      <w:bookmarkStart w:id="66" w:name="_Toc71120775"/>
      <w:r>
        <w:rPr>
          <w:rStyle w:val="CharSectno"/>
        </w:rPr>
        <w:t>17</w:t>
      </w:r>
      <w:r>
        <w:t>.</w:t>
      </w:r>
      <w:r>
        <w:tab/>
        <w:t xml:space="preserve">Inquiries or investigations under the </w:t>
      </w:r>
      <w:r>
        <w:rPr>
          <w:i/>
        </w:rPr>
        <w:t>Health (Miscellaneous Provisions) Act 1911</w:t>
      </w:r>
      <w:r>
        <w:t xml:space="preserve"> section 13</w:t>
      </w:r>
      <w:bookmarkEnd w:id="66"/>
    </w:p>
    <w:p w:rsidR="007F7681" w:rsidRDefault="009D25C9">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rsidR="0099205A" w:rsidRDefault="0099205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F7681" w:rsidRDefault="007F7681">
      <w:pPr>
        <w:sectPr w:rsidR="007F7681">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rsidR="008D2320" w:rsidRDefault="008D2320">
      <w:pPr>
        <w:pStyle w:val="nHeading2"/>
      </w:pPr>
      <w:bookmarkStart w:id="67" w:name="_Toc71098977"/>
      <w:bookmarkStart w:id="68" w:name="_Toc71099313"/>
      <w:bookmarkStart w:id="69" w:name="_Toc71099403"/>
      <w:bookmarkStart w:id="70" w:name="_Toc71120776"/>
      <w:r>
        <w:lastRenderedPageBreak/>
        <w:t>Notes</w:t>
      </w:r>
      <w:bookmarkEnd w:id="67"/>
      <w:bookmarkEnd w:id="68"/>
      <w:bookmarkEnd w:id="69"/>
      <w:bookmarkEnd w:id="70"/>
    </w:p>
    <w:p w:rsidR="008D2320" w:rsidRDefault="008D2320">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p>
    <w:p w:rsidR="008D2320" w:rsidRDefault="008D2320">
      <w:pPr>
        <w:pStyle w:val="nHeading3"/>
      </w:pPr>
      <w:bookmarkStart w:id="71" w:name="_Toc71120777"/>
      <w:r>
        <w:t>Compilation table</w:t>
      </w:r>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D2320" w:rsidTr="006E4D03">
        <w:trPr>
          <w:tblHeader/>
        </w:trPr>
        <w:tc>
          <w:tcPr>
            <w:tcW w:w="3118" w:type="dxa"/>
          </w:tcPr>
          <w:p w:rsidR="008D2320" w:rsidRDefault="008D2320">
            <w:pPr>
              <w:pStyle w:val="nTable"/>
              <w:spacing w:after="40"/>
              <w:rPr>
                <w:b/>
              </w:rPr>
            </w:pPr>
            <w:r>
              <w:rPr>
                <w:b/>
              </w:rPr>
              <w:t>Citation</w:t>
            </w:r>
          </w:p>
        </w:tc>
        <w:tc>
          <w:tcPr>
            <w:tcW w:w="1276" w:type="dxa"/>
          </w:tcPr>
          <w:p w:rsidR="008D2320" w:rsidRDefault="008D2320">
            <w:pPr>
              <w:pStyle w:val="nTable"/>
              <w:spacing w:after="40"/>
              <w:rPr>
                <w:b/>
              </w:rPr>
            </w:pPr>
            <w:r>
              <w:rPr>
                <w:b/>
              </w:rPr>
              <w:t>Published</w:t>
            </w:r>
          </w:p>
        </w:tc>
        <w:tc>
          <w:tcPr>
            <w:tcW w:w="2693" w:type="dxa"/>
          </w:tcPr>
          <w:p w:rsidR="008D2320" w:rsidRDefault="008D2320">
            <w:pPr>
              <w:pStyle w:val="nTable"/>
              <w:spacing w:after="40"/>
              <w:rPr>
                <w:b/>
              </w:rPr>
            </w:pPr>
            <w:r>
              <w:rPr>
                <w:b/>
              </w:rPr>
              <w:t>Commencement</w:t>
            </w:r>
          </w:p>
        </w:tc>
      </w:tr>
      <w:tr w:rsidR="008D2320" w:rsidTr="006E4D03">
        <w:tc>
          <w:tcPr>
            <w:tcW w:w="3118" w:type="dxa"/>
            <w:tcBorders>
              <w:bottom w:val="nil"/>
            </w:tcBorders>
          </w:tcPr>
          <w:p w:rsidR="008D2320" w:rsidRDefault="008D2320" w:rsidP="008D2320">
            <w:pPr>
              <w:pStyle w:val="nTable"/>
              <w:spacing w:after="40"/>
            </w:pPr>
            <w:r>
              <w:rPr>
                <w:i/>
                <w:noProof/>
              </w:rPr>
              <w:t>Public Health Regulations 2017</w:t>
            </w:r>
          </w:p>
        </w:tc>
        <w:tc>
          <w:tcPr>
            <w:tcW w:w="1276" w:type="dxa"/>
            <w:tcBorders>
              <w:bottom w:val="nil"/>
            </w:tcBorders>
          </w:tcPr>
          <w:p w:rsidR="008D2320" w:rsidRDefault="008D2320" w:rsidP="008D2320">
            <w:pPr>
              <w:pStyle w:val="nTable"/>
              <w:spacing w:after="40"/>
            </w:pPr>
            <w:r>
              <w:t>19 Sep 2017 p. 4909</w:t>
            </w:r>
            <w:r>
              <w:noBreakHyphen/>
              <w:t>29</w:t>
            </w:r>
          </w:p>
        </w:tc>
        <w:tc>
          <w:tcPr>
            <w:tcW w:w="2693" w:type="dxa"/>
            <w:tcBorders>
              <w:bottom w:val="nil"/>
            </w:tcBorders>
          </w:tcPr>
          <w:p w:rsidR="008D2320" w:rsidRDefault="008D2320" w:rsidP="008D2320">
            <w:pPr>
              <w:pStyle w:val="nTable"/>
              <w:spacing w:after="40"/>
            </w:pPr>
            <w:r>
              <w:t>Pt. 1: 19 Sep 2017 (see r. 2(a));</w:t>
            </w:r>
            <w:r>
              <w:br/>
              <w:t>Pt. 2</w:t>
            </w:r>
            <w:r>
              <w:noBreakHyphen/>
              <w:t xml:space="preserve">6: 20 Sep 2017 (see r. 2(b) and </w:t>
            </w:r>
            <w:r>
              <w:rPr>
                <w:i/>
              </w:rPr>
              <w:t>Gazette</w:t>
            </w:r>
            <w:r>
              <w:t xml:space="preserve"> 19 Sep 2017 p. 4879)</w:t>
            </w:r>
          </w:p>
        </w:tc>
      </w:tr>
      <w:tr w:rsidR="008D2320" w:rsidTr="006E4D03">
        <w:tc>
          <w:tcPr>
            <w:tcW w:w="3118" w:type="dxa"/>
            <w:tcBorders>
              <w:top w:val="nil"/>
              <w:bottom w:val="nil"/>
            </w:tcBorders>
          </w:tcPr>
          <w:p w:rsidR="008D2320" w:rsidRDefault="008D2320" w:rsidP="008D2320">
            <w:pPr>
              <w:pStyle w:val="nTable"/>
              <w:spacing w:after="40"/>
              <w:rPr>
                <w:noProof/>
              </w:rPr>
            </w:pPr>
            <w:r>
              <w:rPr>
                <w:i/>
              </w:rPr>
              <w:t>Public Health Amendment Regulations 2018</w:t>
            </w:r>
          </w:p>
        </w:tc>
        <w:tc>
          <w:tcPr>
            <w:tcW w:w="1276" w:type="dxa"/>
            <w:tcBorders>
              <w:top w:val="nil"/>
              <w:bottom w:val="nil"/>
            </w:tcBorders>
          </w:tcPr>
          <w:p w:rsidR="008D2320" w:rsidRDefault="008D2320" w:rsidP="008D2320">
            <w:pPr>
              <w:pStyle w:val="nTable"/>
              <w:spacing w:after="40"/>
            </w:pPr>
            <w:r>
              <w:t>7 Dec 2018 p. 4663</w:t>
            </w:r>
            <w:r>
              <w:noBreakHyphen/>
              <w:t>6</w:t>
            </w:r>
          </w:p>
        </w:tc>
        <w:tc>
          <w:tcPr>
            <w:tcW w:w="2693" w:type="dxa"/>
            <w:tcBorders>
              <w:top w:val="nil"/>
              <w:bottom w:val="nil"/>
            </w:tcBorders>
          </w:tcPr>
          <w:p w:rsidR="008D2320" w:rsidRDefault="008D2320" w:rsidP="008D2320">
            <w:pPr>
              <w:pStyle w:val="nTable"/>
              <w:spacing w:after="40"/>
            </w:pPr>
            <w:r>
              <w:t>r. 1 and 2: 7 Dec 2018 (see r. 2(a));</w:t>
            </w:r>
            <w:r>
              <w:br/>
              <w:t>Regulations other than r. 1 and 2: 1 Jan 2019 (see r. 2(b))</w:t>
            </w:r>
          </w:p>
        </w:tc>
      </w:tr>
      <w:tr w:rsidR="008D2320" w:rsidTr="006E4D03">
        <w:tc>
          <w:tcPr>
            <w:tcW w:w="3118" w:type="dxa"/>
            <w:tcBorders>
              <w:top w:val="nil"/>
              <w:bottom w:val="nil"/>
            </w:tcBorders>
          </w:tcPr>
          <w:p w:rsidR="008D2320" w:rsidRDefault="008D2320" w:rsidP="008D2320">
            <w:pPr>
              <w:pStyle w:val="nTable"/>
              <w:spacing w:after="40"/>
              <w:rPr>
                <w:i/>
              </w:rPr>
            </w:pPr>
            <w:r>
              <w:rPr>
                <w:i/>
              </w:rPr>
              <w:t>Public Health Amendment Regulations 2019</w:t>
            </w:r>
          </w:p>
        </w:tc>
        <w:tc>
          <w:tcPr>
            <w:tcW w:w="1276" w:type="dxa"/>
            <w:tcBorders>
              <w:top w:val="nil"/>
              <w:bottom w:val="nil"/>
            </w:tcBorders>
          </w:tcPr>
          <w:p w:rsidR="008D2320" w:rsidRDefault="008D2320" w:rsidP="008D2320">
            <w:pPr>
              <w:pStyle w:val="nTable"/>
              <w:spacing w:after="40"/>
            </w:pPr>
            <w:r>
              <w:t>19 Jul 2019 p. 2846-54</w:t>
            </w:r>
          </w:p>
        </w:tc>
        <w:tc>
          <w:tcPr>
            <w:tcW w:w="2693" w:type="dxa"/>
            <w:tcBorders>
              <w:top w:val="nil"/>
              <w:bottom w:val="nil"/>
            </w:tcBorders>
          </w:tcPr>
          <w:p w:rsidR="008D2320" w:rsidRDefault="008D2320" w:rsidP="008D2320">
            <w:pPr>
              <w:pStyle w:val="nTable"/>
              <w:spacing w:after="40"/>
            </w:pPr>
            <w:r>
              <w:t>r. 1 and 2: 19 Jul 2019 (see r. 2(a));</w:t>
            </w:r>
            <w:r>
              <w:br/>
              <w:t xml:space="preserve">Regulations other than r. 1 and 2: 22 Jul 2019 (see r. 2(b) and </w:t>
            </w:r>
            <w:r>
              <w:rPr>
                <w:i/>
              </w:rPr>
              <w:t xml:space="preserve">Gazette </w:t>
            </w:r>
            <w:r>
              <w:t>19 Jul 2019 p. 2841)</w:t>
            </w:r>
          </w:p>
        </w:tc>
      </w:tr>
      <w:tr w:rsidR="008D2320" w:rsidTr="00CD1A80">
        <w:tc>
          <w:tcPr>
            <w:tcW w:w="3118" w:type="dxa"/>
            <w:tcBorders>
              <w:top w:val="nil"/>
              <w:bottom w:val="nil"/>
            </w:tcBorders>
          </w:tcPr>
          <w:p w:rsidR="008D2320" w:rsidRDefault="008D2320" w:rsidP="008D2320">
            <w:pPr>
              <w:pStyle w:val="nTable"/>
              <w:spacing w:after="40"/>
              <w:rPr>
                <w:i/>
              </w:rPr>
            </w:pPr>
            <w:r>
              <w:rPr>
                <w:i/>
              </w:rPr>
              <w:t>Public Health Amendment Regulations 2020</w:t>
            </w:r>
          </w:p>
        </w:tc>
        <w:tc>
          <w:tcPr>
            <w:tcW w:w="1276" w:type="dxa"/>
            <w:tcBorders>
              <w:top w:val="nil"/>
              <w:bottom w:val="nil"/>
            </w:tcBorders>
          </w:tcPr>
          <w:p w:rsidR="008D2320" w:rsidRDefault="008D2320" w:rsidP="008D2320">
            <w:pPr>
              <w:pStyle w:val="nTable"/>
              <w:spacing w:after="40"/>
            </w:pPr>
            <w:r>
              <w:t>SL 2020/154 11 Sep 2020</w:t>
            </w:r>
          </w:p>
        </w:tc>
        <w:tc>
          <w:tcPr>
            <w:tcW w:w="2693" w:type="dxa"/>
            <w:tcBorders>
              <w:top w:val="nil"/>
              <w:bottom w:val="nil"/>
            </w:tcBorders>
          </w:tcPr>
          <w:p w:rsidR="008D2320" w:rsidRDefault="008D2320" w:rsidP="008D2320">
            <w:pPr>
              <w:pStyle w:val="nTable"/>
              <w:spacing w:after="40"/>
            </w:pPr>
            <w:r>
              <w:t>r. 1 and 2: 11 Sep 2020 (see r. 2(a));</w:t>
            </w:r>
            <w:r>
              <w:br/>
              <w:t>Regulations other than r. 1 and 2: 12 Sep 2020 (see r. 2(b) and SL 2020/153 cl. 2)</w:t>
            </w:r>
          </w:p>
        </w:tc>
      </w:tr>
      <w:tr w:rsidR="006E4D03" w:rsidTr="006E4D03">
        <w:tc>
          <w:tcPr>
            <w:tcW w:w="3118" w:type="dxa"/>
            <w:tcBorders>
              <w:top w:val="nil"/>
              <w:bottom w:val="single" w:sz="4" w:space="0" w:color="auto"/>
            </w:tcBorders>
          </w:tcPr>
          <w:p w:rsidR="006E4D03" w:rsidRDefault="006E4D03" w:rsidP="006E4D03">
            <w:pPr>
              <w:pStyle w:val="nTable"/>
              <w:spacing w:after="40"/>
              <w:rPr>
                <w:i/>
              </w:rPr>
            </w:pPr>
            <w:r>
              <w:rPr>
                <w:i/>
              </w:rPr>
              <w:t>Public Health Amendment Regulations 2021</w:t>
            </w:r>
          </w:p>
        </w:tc>
        <w:tc>
          <w:tcPr>
            <w:tcW w:w="1276" w:type="dxa"/>
            <w:tcBorders>
              <w:top w:val="nil"/>
              <w:bottom w:val="single" w:sz="4" w:space="0" w:color="auto"/>
            </w:tcBorders>
          </w:tcPr>
          <w:p w:rsidR="006E4D03" w:rsidRDefault="006E4D03" w:rsidP="006E4D03">
            <w:pPr>
              <w:pStyle w:val="nTable"/>
              <w:spacing w:after="40"/>
            </w:pPr>
            <w:r>
              <w:t>SL 2021/47 7 May 2021</w:t>
            </w:r>
          </w:p>
        </w:tc>
        <w:tc>
          <w:tcPr>
            <w:tcW w:w="2693" w:type="dxa"/>
            <w:tcBorders>
              <w:top w:val="nil"/>
              <w:bottom w:val="single" w:sz="4" w:space="0" w:color="auto"/>
            </w:tcBorders>
          </w:tcPr>
          <w:p w:rsidR="006E4D03" w:rsidRDefault="006E4D03" w:rsidP="006E4D03">
            <w:pPr>
              <w:pStyle w:val="nTable"/>
              <w:spacing w:after="40"/>
            </w:pPr>
            <w:r>
              <w:t>r. 1 and 2: 7 May 2021 (see r. 2(a));</w:t>
            </w:r>
            <w:r>
              <w:br/>
              <w:t>Regulations other than r. 1 and 2: 8 May 2021 (see r. 2(b)</w:t>
            </w:r>
            <w:r w:rsidR="00B83C5A">
              <w:t>)</w:t>
            </w:r>
          </w:p>
        </w:tc>
      </w:tr>
    </w:tbl>
    <w:p w:rsidR="008D2320" w:rsidRDefault="008D2320"/>
    <w:p w:rsidR="008D2320" w:rsidRDefault="008D2320">
      <w:pPr>
        <w:sectPr w:rsidR="008D2320">
          <w:headerReference w:type="even" r:id="rId24"/>
          <w:headerReference w:type="default" r:id="rId25"/>
          <w:pgSz w:w="11907" w:h="16840" w:code="9"/>
          <w:pgMar w:top="2376" w:right="2404" w:bottom="3544" w:left="2404" w:header="720" w:footer="3380" w:gutter="0"/>
          <w:cols w:space="720"/>
          <w:noEndnote/>
          <w:docGrid w:linePitch="326"/>
        </w:sectPr>
      </w:pPr>
    </w:p>
    <w:p w:rsidR="007F7681" w:rsidRDefault="009D25C9">
      <w:pPr>
        <w:pStyle w:val="nHeading2"/>
        <w:rPr>
          <w:sz w:val="28"/>
        </w:rPr>
      </w:pPr>
      <w:bookmarkStart w:id="73" w:name="_Toc71098979"/>
      <w:bookmarkStart w:id="74" w:name="_Toc71099315"/>
      <w:bookmarkStart w:id="75" w:name="_Toc71099405"/>
      <w:bookmarkStart w:id="76" w:name="_Toc71120778"/>
      <w:r>
        <w:rPr>
          <w:sz w:val="28"/>
        </w:rPr>
        <w:lastRenderedPageBreak/>
        <w:t>Defined terms</w:t>
      </w:r>
      <w:bookmarkEnd w:id="73"/>
      <w:bookmarkEnd w:id="74"/>
      <w:bookmarkEnd w:id="75"/>
      <w:bookmarkEnd w:id="76"/>
    </w:p>
    <w:p w:rsidR="007F7681" w:rsidRDefault="007F7681">
      <w:pPr>
        <w:ind w:left="850" w:right="850"/>
        <w:jc w:val="center"/>
        <w:rPr>
          <w:i/>
          <w:sz w:val="18"/>
        </w:rPr>
      </w:pPr>
    </w:p>
    <w:p w:rsidR="007F7681" w:rsidRDefault="009D25C9">
      <w:pPr>
        <w:ind w:left="850" w:right="850"/>
        <w:jc w:val="center"/>
        <w:rPr>
          <w:i/>
          <w:sz w:val="18"/>
        </w:rPr>
      </w:pPr>
      <w:r>
        <w:rPr>
          <w:i/>
          <w:sz w:val="18"/>
        </w:rPr>
        <w:t>[This is a list of terms defined and the provisions where they are defined.  The list is not part of the law.]</w:t>
      </w:r>
    </w:p>
    <w:p w:rsidR="007F7681" w:rsidRDefault="009D25C9">
      <w:pPr>
        <w:pBdr>
          <w:bottom w:val="single" w:sz="4" w:space="1" w:color="auto"/>
        </w:pBdr>
        <w:tabs>
          <w:tab w:val="right" w:pos="7070"/>
        </w:tabs>
        <w:ind w:left="578"/>
        <w:rPr>
          <w:b/>
          <w:sz w:val="20"/>
        </w:rPr>
      </w:pPr>
      <w:r>
        <w:rPr>
          <w:b/>
          <w:sz w:val="20"/>
        </w:rPr>
        <w:t>Defined term</w:t>
      </w:r>
      <w:r>
        <w:rPr>
          <w:b/>
          <w:sz w:val="20"/>
        </w:rPr>
        <w:tab/>
        <w:t>Provision(s)</w:t>
      </w:r>
    </w:p>
    <w:p w:rsidR="007F7681" w:rsidRDefault="009D25C9">
      <w:pPr>
        <w:pStyle w:val="DefinedTerms"/>
      </w:pPr>
      <w:r>
        <w:t>Australian Immunisation Handbook</w:t>
      </w:r>
      <w:r>
        <w:tab/>
        <w:t>10A(1)</w:t>
      </w:r>
    </w:p>
    <w:p w:rsidR="007F7681" w:rsidRDefault="009D25C9">
      <w:pPr>
        <w:pStyle w:val="DefinedTerms"/>
      </w:pPr>
      <w:r>
        <w:t>government school</w:t>
      </w:r>
      <w:r>
        <w:tab/>
        <w:t>10A(1)</w:t>
      </w:r>
    </w:p>
    <w:p w:rsidR="007F7681" w:rsidRDefault="009D25C9">
      <w:pPr>
        <w:pStyle w:val="DefinedTerms"/>
      </w:pPr>
      <w:r>
        <w:t>HIV infection notification form</w:t>
      </w:r>
      <w:r>
        <w:tab/>
        <w:t>6(5)</w:t>
      </w:r>
    </w:p>
    <w:p w:rsidR="007F7681" w:rsidRDefault="009D25C9">
      <w:pPr>
        <w:pStyle w:val="DefinedTerms"/>
      </w:pPr>
      <w:r>
        <w:t>National Health and Medical Research Council</w:t>
      </w:r>
      <w:r>
        <w:tab/>
        <w:t>10A(1)</w:t>
      </w:r>
    </w:p>
    <w:p w:rsidR="007F7681" w:rsidRDefault="009D25C9">
      <w:pPr>
        <w:pStyle w:val="DefinedTerms"/>
      </w:pPr>
      <w:r>
        <w:t>recognised immunisation provider</w:t>
      </w:r>
      <w:r>
        <w:tab/>
        <w:t>10A(1)</w:t>
      </w:r>
    </w:p>
    <w:p w:rsidR="007F7681" w:rsidRDefault="009D25C9">
      <w:pPr>
        <w:pStyle w:val="DefinedTerms"/>
      </w:pPr>
      <w:r>
        <w:t>relevant person</w:t>
      </w:r>
      <w:r>
        <w:tab/>
        <w:t>10A(1)</w:t>
      </w:r>
    </w:p>
    <w:p w:rsidR="007F7681" w:rsidRDefault="009D25C9">
      <w:pPr>
        <w:pStyle w:val="DefinedTerms"/>
      </w:pPr>
      <w:r>
        <w:t>scheduled vaccinations</w:t>
      </w:r>
      <w:r>
        <w:tab/>
        <w:t>10AC(1)</w:t>
      </w:r>
    </w:p>
    <w:p w:rsidR="007F7681" w:rsidRDefault="009D25C9">
      <w:pPr>
        <w:pStyle w:val="DefinedTerms"/>
      </w:pPr>
      <w:r>
        <w:t>Veterans’ Affairs Department</w:t>
      </w:r>
      <w:r>
        <w:tab/>
        <w:t>10AB(1)</w:t>
      </w:r>
    </w:p>
    <w:p w:rsidR="007F7681" w:rsidRDefault="007F7681"/>
    <w:p w:rsidR="007F7681" w:rsidRDefault="007F7681">
      <w:pPr>
        <w:sectPr w:rsidR="007F7681">
          <w:headerReference w:type="even" r:id="rId26"/>
          <w:headerReference w:type="default" r:id="rId27"/>
          <w:pgSz w:w="11907" w:h="16840" w:code="9"/>
          <w:pgMar w:top="2381" w:right="2409" w:bottom="3543" w:left="2409" w:header="720" w:footer="3380" w:gutter="0"/>
          <w:cols w:space="720"/>
          <w:noEndnote/>
          <w:docGrid w:linePitch="326"/>
        </w:sectPr>
      </w:pPr>
    </w:p>
    <w:p w:rsidR="007F7681" w:rsidRDefault="007F7681"/>
    <w:sectPr w:rsidR="007F7681">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20" w:rsidRDefault="008D2320">
      <w:pPr>
        <w:rPr>
          <w:b/>
          <w:sz w:val="28"/>
        </w:rPr>
      </w:pPr>
      <w:r>
        <w:rPr>
          <w:b/>
          <w:sz w:val="28"/>
        </w:rPr>
        <w:t>Endnotes</w:t>
      </w:r>
    </w:p>
    <w:p w:rsidR="008D2320" w:rsidRDefault="008D2320">
      <w:pPr>
        <w:spacing w:after="240"/>
        <w:rPr>
          <w:rFonts w:ascii="Times" w:hAnsi="Times"/>
          <w:sz w:val="18"/>
        </w:rPr>
      </w:pPr>
      <w:r>
        <w:rPr>
          <w:sz w:val="20"/>
        </w:rPr>
        <w:t>[For ease of reference detach these notes and read them alongside the draft.]</w:t>
      </w:r>
    </w:p>
    <w:p w:rsidR="008D2320" w:rsidRDefault="008D2320"/>
  </w:endnote>
  <w:endnote w:type="continuationSeparator" w:id="0">
    <w:p w:rsidR="008D2320" w:rsidRDefault="008D2320">
      <w:pPr>
        <w:pStyle w:val="Footer"/>
      </w:pPr>
    </w:p>
    <w:p w:rsidR="008D2320" w:rsidRDefault="008D2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8105C">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8105C">
      <w:rPr>
        <w:noProof/>
        <w:sz w:val="20"/>
      </w:rPr>
      <w:t>iii</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Footer"/>
      <w:pBdr>
        <w:bottom w:val="single" w:sz="4" w:space="1" w:color="auto"/>
      </w:pBdr>
      <w:rPr>
        <w:sz w:val="20"/>
      </w:rPr>
    </w:pPr>
  </w:p>
  <w:p w:rsidR="00587F60" w:rsidRDefault="00587F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41FB">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41FB">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8105C">
      <w:rPr>
        <w:noProof/>
        <w:sz w:val="20"/>
      </w:rPr>
      <w:t>i</w:t>
    </w:r>
    <w:r>
      <w:rPr>
        <w:sz w:val="20"/>
      </w:rPr>
      <w:fldChar w:fldCharType="end"/>
    </w:r>
  </w:p>
  <w:p w:rsidR="00587F60" w:rsidRDefault="00587F6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20" w:rsidRDefault="008D2320">
      <w:r>
        <w:separator/>
      </w:r>
    </w:p>
  </w:footnote>
  <w:footnote w:type="continuationSeparator" w:id="0">
    <w:p w:rsidR="008D2320" w:rsidRDefault="008D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1FB" w:rsidRDefault="00C441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D2320" w:rsidTr="00130940">
      <w:trPr>
        <w:cantSplit/>
        <w:jc w:val="center"/>
      </w:trPr>
      <w:tc>
        <w:tcPr>
          <w:tcW w:w="7258" w:type="dxa"/>
          <w:gridSpan w:val="2"/>
        </w:tcPr>
        <w:p w:rsidR="008D2320" w:rsidRDefault="008D2320">
          <w:pPr>
            <w:pStyle w:val="Header"/>
            <w:ind w:right="17"/>
            <w:jc w:val="right"/>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5715" w:type="dxa"/>
        </w:tcPr>
        <w:p w:rsidR="008D2320" w:rsidRDefault="008D2320">
          <w:pPr>
            <w:pStyle w:val="Header"/>
            <w:spacing w:before="40"/>
            <w:jc w:val="right"/>
          </w:pPr>
          <w:r>
            <w:fldChar w:fldCharType="begin"/>
          </w:r>
          <w:r>
            <w:instrText xml:space="preserve"> STYLEREF "nHeading 3" </w:instrText>
          </w:r>
          <w:r>
            <w:fldChar w:fldCharType="separate"/>
          </w:r>
          <w:r w:rsidR="00C441FB">
            <w:t>Compilation table</w:t>
          </w:r>
          <w:r>
            <w:fldChar w:fldCharType="end"/>
          </w:r>
        </w:p>
      </w:tc>
      <w:tc>
        <w:tcPr>
          <w:tcW w:w="1548" w:type="dxa"/>
        </w:tcPr>
        <w:p w:rsidR="008D2320" w:rsidRDefault="008D2320">
          <w:pPr>
            <w:pStyle w:val="Header"/>
            <w:spacing w:before="40"/>
            <w:ind w:right="17"/>
            <w:jc w:val="right"/>
          </w:pPr>
          <w:r>
            <w:rPr>
              <w:b/>
            </w:rPr>
            <w:fldChar w:fldCharType="begin"/>
          </w:r>
          <w:r>
            <w:rPr>
              <w:b/>
            </w:rPr>
            <w:instrText xml:space="preserve"> STYLEREF "nHeading 2" </w:instrText>
          </w:r>
          <w:r>
            <w:rPr>
              <w:b/>
            </w:rPr>
            <w:fldChar w:fldCharType="separate"/>
          </w:r>
          <w:r w:rsidR="00C441FB">
            <w:rPr>
              <w:b/>
            </w:rPr>
            <w:t>Notes</w:t>
          </w:r>
          <w:r>
            <w:rPr>
              <w:b/>
            </w:rPr>
            <w:fldChar w:fldCharType="end"/>
          </w:r>
        </w:p>
      </w:tc>
    </w:tr>
    <w:tr w:rsidR="008D2320" w:rsidTr="00130940">
      <w:trPr>
        <w:jc w:val="center"/>
      </w:trPr>
      <w:tc>
        <w:tcPr>
          <w:tcW w:w="5715" w:type="dxa"/>
        </w:tcPr>
        <w:p w:rsidR="008D2320" w:rsidRDefault="008D2320">
          <w:pPr>
            <w:pStyle w:val="Header"/>
            <w:spacing w:before="40"/>
            <w:jc w:val="right"/>
          </w:pPr>
        </w:p>
      </w:tc>
      <w:tc>
        <w:tcPr>
          <w:tcW w:w="1548" w:type="dxa"/>
        </w:tcPr>
        <w:p w:rsidR="008D2320" w:rsidRDefault="008D2320">
          <w:pPr>
            <w:pStyle w:val="Header"/>
            <w:spacing w:before="40"/>
            <w:ind w:right="17"/>
            <w:jc w:val="right"/>
          </w:pPr>
        </w:p>
      </w:tc>
    </w:tr>
    <w:tr w:rsidR="008D2320" w:rsidTr="00130940">
      <w:trPr>
        <w:cantSplit/>
        <w:jc w:val="center"/>
      </w:trPr>
      <w:tc>
        <w:tcPr>
          <w:tcW w:w="7258" w:type="dxa"/>
          <w:gridSpan w:val="2"/>
        </w:tcPr>
        <w:p w:rsidR="008D2320" w:rsidRDefault="008D2320">
          <w:pPr>
            <w:pStyle w:val="Header"/>
            <w:spacing w:before="40"/>
            <w:ind w:right="17"/>
            <w:jc w:val="right"/>
          </w:pPr>
        </w:p>
      </w:tc>
    </w:tr>
  </w:tbl>
  <w:p w:rsidR="008D2320" w:rsidRDefault="008D2320">
    <w:pPr>
      <w:pStyle w:val="Header"/>
      <w:pBdr>
        <w:top w:val="single" w:sz="4" w:space="1" w:color="auto"/>
      </w:pBdr>
    </w:pPr>
    <w:bookmarkStart w:id="72" w:name="Compilation"/>
    <w:bookmarkEnd w:id="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D2320" w:rsidTr="00130940">
      <w:trPr>
        <w:cantSplit/>
        <w:jc w:val="center"/>
      </w:trPr>
      <w:tc>
        <w:tcPr>
          <w:tcW w:w="7263" w:type="dxa"/>
          <w:gridSpan w:val="2"/>
        </w:tcPr>
        <w:p w:rsidR="008D2320" w:rsidRDefault="008D2320">
          <w:pPr>
            <w:pStyle w:val="Header"/>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1348" w:type="dxa"/>
        </w:tcPr>
        <w:p w:rsidR="008D2320" w:rsidRDefault="008D2320">
          <w:pPr>
            <w:pStyle w:val="Header"/>
            <w:spacing w:before="40"/>
          </w:pPr>
        </w:p>
      </w:tc>
      <w:tc>
        <w:tcPr>
          <w:tcW w:w="5915" w:type="dxa"/>
        </w:tcPr>
        <w:p w:rsidR="008D2320" w:rsidRDefault="008D2320">
          <w:pPr>
            <w:pStyle w:val="Header"/>
            <w:spacing w:before="40"/>
          </w:pPr>
        </w:p>
      </w:tc>
    </w:tr>
    <w:tr w:rsidR="008D2320" w:rsidTr="00130940">
      <w:trPr>
        <w:jc w:val="center"/>
      </w:trPr>
      <w:tc>
        <w:tcPr>
          <w:tcW w:w="1348" w:type="dxa"/>
        </w:tcPr>
        <w:p w:rsidR="008D2320" w:rsidRDefault="008D2320">
          <w:pPr>
            <w:pStyle w:val="Header"/>
            <w:spacing w:before="40"/>
          </w:pPr>
        </w:p>
      </w:tc>
      <w:tc>
        <w:tcPr>
          <w:tcW w:w="5915" w:type="dxa"/>
        </w:tcPr>
        <w:p w:rsidR="008D2320" w:rsidRDefault="008D2320">
          <w:pPr>
            <w:pStyle w:val="Header"/>
            <w:spacing w:before="40"/>
          </w:pPr>
        </w:p>
      </w:tc>
    </w:tr>
    <w:tr w:rsidR="008D2320" w:rsidTr="00130940">
      <w:trPr>
        <w:cantSplit/>
        <w:jc w:val="center"/>
      </w:trPr>
      <w:tc>
        <w:tcPr>
          <w:tcW w:w="7263" w:type="dxa"/>
          <w:gridSpan w:val="2"/>
        </w:tcPr>
        <w:p w:rsidR="008D2320" w:rsidRDefault="008D2320">
          <w:pPr>
            <w:pStyle w:val="Header"/>
            <w:spacing w:before="40"/>
          </w:pPr>
          <w:r>
            <w:t>Defined terms</w:t>
          </w:r>
        </w:p>
      </w:tc>
    </w:tr>
  </w:tbl>
  <w:p w:rsidR="008D2320" w:rsidRDefault="008D2320">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D2320" w:rsidTr="00130940">
      <w:trPr>
        <w:cantSplit/>
        <w:jc w:val="center"/>
      </w:trPr>
      <w:tc>
        <w:tcPr>
          <w:tcW w:w="7263" w:type="dxa"/>
          <w:gridSpan w:val="2"/>
        </w:tcPr>
        <w:p w:rsidR="008D2320" w:rsidRDefault="008D2320">
          <w:pPr>
            <w:pStyle w:val="Header"/>
            <w:spacing w:before="40"/>
            <w:ind w:right="17"/>
            <w:jc w:val="right"/>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5884" w:type="dxa"/>
        </w:tcPr>
        <w:p w:rsidR="008D2320" w:rsidRDefault="008D2320">
          <w:pPr>
            <w:pStyle w:val="Header"/>
            <w:spacing w:before="40"/>
            <w:jc w:val="right"/>
          </w:pPr>
        </w:p>
      </w:tc>
      <w:tc>
        <w:tcPr>
          <w:tcW w:w="1379" w:type="dxa"/>
        </w:tcPr>
        <w:p w:rsidR="008D2320" w:rsidRDefault="008D2320">
          <w:pPr>
            <w:pStyle w:val="Header"/>
            <w:spacing w:before="40"/>
            <w:ind w:right="17"/>
            <w:jc w:val="right"/>
          </w:pPr>
        </w:p>
      </w:tc>
    </w:tr>
    <w:tr w:rsidR="008D2320" w:rsidTr="00130940">
      <w:trPr>
        <w:jc w:val="center"/>
      </w:trPr>
      <w:tc>
        <w:tcPr>
          <w:tcW w:w="5884" w:type="dxa"/>
        </w:tcPr>
        <w:p w:rsidR="008D2320" w:rsidRDefault="008D2320">
          <w:pPr>
            <w:pStyle w:val="Header"/>
            <w:spacing w:before="40"/>
            <w:jc w:val="right"/>
          </w:pPr>
        </w:p>
      </w:tc>
      <w:tc>
        <w:tcPr>
          <w:tcW w:w="1379" w:type="dxa"/>
        </w:tcPr>
        <w:p w:rsidR="008D2320" w:rsidRDefault="008D2320">
          <w:pPr>
            <w:pStyle w:val="Header"/>
            <w:spacing w:before="40"/>
            <w:ind w:right="17"/>
            <w:jc w:val="right"/>
          </w:pPr>
        </w:p>
      </w:tc>
    </w:tr>
    <w:tr w:rsidR="008D2320" w:rsidTr="00130940">
      <w:trPr>
        <w:cantSplit/>
        <w:jc w:val="center"/>
      </w:trPr>
      <w:tc>
        <w:tcPr>
          <w:tcW w:w="7263" w:type="dxa"/>
          <w:gridSpan w:val="2"/>
        </w:tcPr>
        <w:p w:rsidR="008D2320" w:rsidRDefault="008D2320">
          <w:pPr>
            <w:pStyle w:val="Header"/>
            <w:spacing w:before="40"/>
            <w:ind w:right="17"/>
            <w:jc w:val="right"/>
          </w:pPr>
          <w:r>
            <w:t>Defined terms</w:t>
          </w:r>
        </w:p>
      </w:tc>
    </w:tr>
  </w:tbl>
  <w:p w:rsidR="008D2320" w:rsidRDefault="008D2320">
    <w:pPr>
      <w:pStyle w:val="Header"/>
      <w:pBdr>
        <w:top w:val="single" w:sz="4" w:space="1" w:color="auto"/>
      </w:pBdr>
    </w:pPr>
    <w:bookmarkStart w:id="77" w:name="DefinedTerms"/>
    <w:bookmarkEnd w:id="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1FB" w:rsidRDefault="00C44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0" w:rsidRDefault="008D23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7F60" w:rsidTr="00130940">
      <w:trPr>
        <w:cantSplit/>
        <w:jc w:val="center"/>
      </w:trPr>
      <w:tc>
        <w:tcPr>
          <w:tcW w:w="7258" w:type="dxa"/>
          <w:gridSpan w:val="2"/>
        </w:tcPr>
        <w:p w:rsidR="00587F60" w:rsidRDefault="00587F60">
          <w:pPr>
            <w:pStyle w:val="Header"/>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587F60" w:rsidTr="00130940">
      <w:trPr>
        <w:jc w:val="center"/>
      </w:trPr>
      <w:tc>
        <w:tcPr>
          <w:tcW w:w="1548" w:type="dxa"/>
        </w:tcPr>
        <w:p w:rsidR="00587F60" w:rsidRDefault="00587F60">
          <w:pPr>
            <w:pStyle w:val="Header"/>
            <w:spacing w:before="40"/>
          </w:pPr>
        </w:p>
      </w:tc>
      <w:tc>
        <w:tcPr>
          <w:tcW w:w="5715" w:type="dxa"/>
        </w:tcPr>
        <w:p w:rsidR="00587F60" w:rsidRDefault="00587F60">
          <w:pPr>
            <w:pStyle w:val="Header"/>
            <w:spacing w:before="40"/>
          </w:pPr>
        </w:p>
      </w:tc>
    </w:tr>
    <w:tr w:rsidR="00587F60" w:rsidTr="00130940">
      <w:trPr>
        <w:jc w:val="center"/>
      </w:trPr>
      <w:tc>
        <w:tcPr>
          <w:tcW w:w="1548" w:type="dxa"/>
        </w:tcPr>
        <w:p w:rsidR="00587F60" w:rsidRDefault="00587F60">
          <w:pPr>
            <w:pStyle w:val="Header"/>
            <w:spacing w:before="40"/>
          </w:pPr>
        </w:p>
      </w:tc>
      <w:tc>
        <w:tcPr>
          <w:tcW w:w="5715" w:type="dxa"/>
        </w:tcPr>
        <w:p w:rsidR="00587F60" w:rsidRDefault="00587F60">
          <w:pPr>
            <w:pStyle w:val="Header"/>
            <w:spacing w:before="40"/>
          </w:pPr>
        </w:p>
      </w:tc>
    </w:tr>
    <w:tr w:rsidR="00587F60" w:rsidTr="00130940">
      <w:trPr>
        <w:cantSplit/>
        <w:jc w:val="center"/>
      </w:trPr>
      <w:tc>
        <w:tcPr>
          <w:tcW w:w="7258" w:type="dxa"/>
          <w:gridSpan w:val="2"/>
        </w:tcPr>
        <w:p w:rsidR="00587F60" w:rsidRDefault="00587F60">
          <w:pPr>
            <w:pStyle w:val="Header"/>
            <w:spacing w:before="40"/>
          </w:pPr>
          <w:r>
            <w:t>Contents</w:t>
          </w:r>
        </w:p>
      </w:tc>
    </w:tr>
  </w:tbl>
  <w:p w:rsidR="00587F60" w:rsidRDefault="00587F6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7F60" w:rsidTr="00130940">
      <w:trPr>
        <w:cantSplit/>
        <w:jc w:val="center"/>
      </w:trPr>
      <w:tc>
        <w:tcPr>
          <w:tcW w:w="7258" w:type="dxa"/>
          <w:gridSpan w:val="2"/>
        </w:tcPr>
        <w:p w:rsidR="00587F60" w:rsidRDefault="00587F60">
          <w:pPr>
            <w:pStyle w:val="Header"/>
            <w:ind w:right="17"/>
            <w:jc w:val="right"/>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587F60" w:rsidTr="00130940">
      <w:trPr>
        <w:jc w:val="center"/>
      </w:trPr>
      <w:tc>
        <w:tcPr>
          <w:tcW w:w="5715" w:type="dxa"/>
        </w:tcPr>
        <w:p w:rsidR="00587F60" w:rsidRDefault="00587F60">
          <w:pPr>
            <w:pStyle w:val="Header"/>
            <w:spacing w:before="40"/>
            <w:jc w:val="right"/>
          </w:pPr>
        </w:p>
      </w:tc>
      <w:tc>
        <w:tcPr>
          <w:tcW w:w="1548" w:type="dxa"/>
        </w:tcPr>
        <w:p w:rsidR="00587F60" w:rsidRDefault="00587F60">
          <w:pPr>
            <w:pStyle w:val="Header"/>
            <w:spacing w:before="40"/>
            <w:ind w:right="17"/>
            <w:jc w:val="right"/>
          </w:pPr>
        </w:p>
      </w:tc>
    </w:tr>
    <w:tr w:rsidR="00587F60" w:rsidTr="00130940">
      <w:trPr>
        <w:jc w:val="center"/>
      </w:trPr>
      <w:tc>
        <w:tcPr>
          <w:tcW w:w="5715" w:type="dxa"/>
        </w:tcPr>
        <w:p w:rsidR="00587F60" w:rsidRDefault="00587F60">
          <w:pPr>
            <w:pStyle w:val="Header"/>
            <w:spacing w:before="40"/>
            <w:jc w:val="right"/>
          </w:pPr>
        </w:p>
      </w:tc>
      <w:tc>
        <w:tcPr>
          <w:tcW w:w="1548" w:type="dxa"/>
        </w:tcPr>
        <w:p w:rsidR="00587F60" w:rsidRDefault="00587F60">
          <w:pPr>
            <w:pStyle w:val="Header"/>
            <w:spacing w:before="40"/>
            <w:ind w:right="17"/>
            <w:jc w:val="right"/>
          </w:pPr>
        </w:p>
      </w:tc>
    </w:tr>
    <w:tr w:rsidR="00587F60" w:rsidTr="00130940">
      <w:trPr>
        <w:cantSplit/>
        <w:jc w:val="center"/>
      </w:trPr>
      <w:tc>
        <w:tcPr>
          <w:tcW w:w="7258" w:type="dxa"/>
          <w:gridSpan w:val="2"/>
        </w:tcPr>
        <w:p w:rsidR="00587F60" w:rsidRDefault="00587F60">
          <w:pPr>
            <w:pStyle w:val="Header"/>
            <w:spacing w:before="40"/>
            <w:ind w:right="17"/>
            <w:jc w:val="right"/>
          </w:pPr>
          <w:r>
            <w:t>Contents</w:t>
          </w:r>
        </w:p>
      </w:tc>
    </w:tr>
  </w:tbl>
  <w:p w:rsidR="00587F60" w:rsidRDefault="00587F6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60" w:rsidRDefault="00587F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D2320" w:rsidTr="00130940">
      <w:trPr>
        <w:cantSplit/>
        <w:jc w:val="center"/>
      </w:trPr>
      <w:tc>
        <w:tcPr>
          <w:tcW w:w="7263" w:type="dxa"/>
          <w:gridSpan w:val="2"/>
        </w:tcPr>
        <w:p w:rsidR="008D2320" w:rsidRDefault="008D2320">
          <w:pPr>
            <w:pStyle w:val="Header"/>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1548" w:type="dxa"/>
        </w:tcPr>
        <w:p w:rsidR="008D2320" w:rsidRDefault="008D2320">
          <w:pPr>
            <w:pStyle w:val="Header"/>
            <w:spacing w:before="40"/>
          </w:pPr>
          <w:r>
            <w:rPr>
              <w:b/>
            </w:rPr>
            <w:fldChar w:fldCharType="begin"/>
          </w:r>
          <w:r>
            <w:rPr>
              <w:b/>
            </w:rPr>
            <w:instrText>STYLEREF CharPartNo</w:instrText>
          </w:r>
          <w:r>
            <w:rPr>
              <w:b/>
            </w:rPr>
            <w:fldChar w:fldCharType="end"/>
          </w:r>
        </w:p>
      </w:tc>
      <w:tc>
        <w:tcPr>
          <w:tcW w:w="5715" w:type="dxa"/>
          <w:vAlign w:val="bottom"/>
        </w:tcPr>
        <w:p w:rsidR="008D2320" w:rsidRDefault="008D2320">
          <w:pPr>
            <w:pStyle w:val="Header"/>
            <w:spacing w:before="40"/>
          </w:pPr>
          <w:r>
            <w:fldChar w:fldCharType="begin"/>
          </w:r>
          <w:r>
            <w:instrText xml:space="preserve"> styleref CharPartText </w:instrText>
          </w:r>
          <w:r>
            <w:fldChar w:fldCharType="end"/>
          </w:r>
        </w:p>
      </w:tc>
    </w:tr>
    <w:tr w:rsidR="008D2320" w:rsidTr="00130940">
      <w:trPr>
        <w:jc w:val="center"/>
      </w:trPr>
      <w:tc>
        <w:tcPr>
          <w:tcW w:w="1548" w:type="dxa"/>
        </w:tcPr>
        <w:p w:rsidR="008D2320" w:rsidRDefault="008D2320">
          <w:pPr>
            <w:pStyle w:val="Header"/>
            <w:spacing w:before="40"/>
          </w:pPr>
          <w:r>
            <w:rPr>
              <w:b/>
            </w:rPr>
            <w:fldChar w:fldCharType="begin"/>
          </w:r>
          <w:r>
            <w:rPr>
              <w:b/>
            </w:rPr>
            <w:instrText>STYLEREF CharDivNo</w:instrText>
          </w:r>
          <w:r>
            <w:rPr>
              <w:b/>
            </w:rPr>
            <w:fldChar w:fldCharType="end"/>
          </w:r>
        </w:p>
      </w:tc>
      <w:tc>
        <w:tcPr>
          <w:tcW w:w="5715" w:type="dxa"/>
          <w:vAlign w:val="bottom"/>
        </w:tcPr>
        <w:p w:rsidR="008D2320" w:rsidRDefault="008D2320">
          <w:pPr>
            <w:pStyle w:val="Header"/>
            <w:spacing w:before="40"/>
          </w:pPr>
          <w:r>
            <w:fldChar w:fldCharType="begin"/>
          </w:r>
          <w:r>
            <w:instrText xml:space="preserve"> styleref CharDivText </w:instrText>
          </w:r>
          <w:r>
            <w:fldChar w:fldCharType="end"/>
          </w:r>
        </w:p>
      </w:tc>
    </w:tr>
    <w:tr w:rsidR="008D2320" w:rsidTr="00130940">
      <w:trPr>
        <w:cantSplit/>
        <w:jc w:val="center"/>
      </w:trPr>
      <w:tc>
        <w:tcPr>
          <w:tcW w:w="7263" w:type="dxa"/>
          <w:gridSpan w:val="2"/>
        </w:tcPr>
        <w:p w:rsidR="008D2320" w:rsidRDefault="008D2320">
          <w:pPr>
            <w:pStyle w:val="Header"/>
            <w:spacing w:before="40"/>
          </w:pPr>
          <w:r>
            <w:rPr>
              <w:b/>
            </w:rPr>
            <w:t xml:space="preserve">r. </w:t>
          </w:r>
          <w:r>
            <w:rPr>
              <w:b/>
            </w:rPr>
            <w:fldChar w:fldCharType="begin"/>
          </w:r>
          <w:r>
            <w:rPr>
              <w:b/>
            </w:rPr>
            <w:instrText>STYLEREF CharSectNo</w:instrText>
          </w:r>
          <w:r>
            <w:rPr>
              <w:b/>
            </w:rPr>
            <w:fldChar w:fldCharType="separate"/>
          </w:r>
          <w:r w:rsidR="00C441FB">
            <w:rPr>
              <w:b/>
            </w:rPr>
            <w:t>1</w:t>
          </w:r>
          <w:r>
            <w:rPr>
              <w:b/>
            </w:rPr>
            <w:fldChar w:fldCharType="end"/>
          </w:r>
        </w:p>
      </w:tc>
    </w:tr>
  </w:tbl>
  <w:p w:rsidR="008D2320" w:rsidRDefault="008D23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D2320" w:rsidTr="00130940">
      <w:trPr>
        <w:cantSplit/>
        <w:jc w:val="center"/>
      </w:trPr>
      <w:tc>
        <w:tcPr>
          <w:tcW w:w="7263" w:type="dxa"/>
          <w:gridSpan w:val="2"/>
        </w:tcPr>
        <w:p w:rsidR="008D2320" w:rsidRDefault="008D2320">
          <w:pPr>
            <w:pStyle w:val="Header"/>
            <w:spacing w:before="40"/>
            <w:jc w:val="right"/>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5715" w:type="dxa"/>
          <w:vAlign w:val="bottom"/>
        </w:tcPr>
        <w:p w:rsidR="008D2320" w:rsidRDefault="008D2320">
          <w:pPr>
            <w:pStyle w:val="Header"/>
            <w:spacing w:before="40"/>
            <w:jc w:val="right"/>
          </w:pPr>
          <w:r>
            <w:fldChar w:fldCharType="begin"/>
          </w:r>
          <w:r>
            <w:instrText xml:space="preserve"> styleref CharPartText </w:instrText>
          </w:r>
          <w:r>
            <w:fldChar w:fldCharType="end"/>
          </w:r>
        </w:p>
      </w:tc>
      <w:tc>
        <w:tcPr>
          <w:tcW w:w="1548" w:type="dxa"/>
        </w:tcPr>
        <w:p w:rsidR="008D2320" w:rsidRDefault="008D2320">
          <w:pPr>
            <w:pStyle w:val="Header"/>
            <w:spacing w:before="40"/>
            <w:jc w:val="right"/>
          </w:pPr>
          <w:r>
            <w:rPr>
              <w:b/>
            </w:rPr>
            <w:fldChar w:fldCharType="begin"/>
          </w:r>
          <w:r>
            <w:rPr>
              <w:b/>
            </w:rPr>
            <w:instrText>STYLEREF CharPartNo</w:instrText>
          </w:r>
          <w:r>
            <w:rPr>
              <w:b/>
            </w:rPr>
            <w:fldChar w:fldCharType="end"/>
          </w:r>
        </w:p>
      </w:tc>
    </w:tr>
    <w:tr w:rsidR="008D2320" w:rsidTr="00130940">
      <w:trPr>
        <w:jc w:val="center"/>
      </w:trPr>
      <w:tc>
        <w:tcPr>
          <w:tcW w:w="5715" w:type="dxa"/>
          <w:vAlign w:val="bottom"/>
        </w:tcPr>
        <w:p w:rsidR="008D2320" w:rsidRDefault="008D2320">
          <w:pPr>
            <w:pStyle w:val="Header"/>
            <w:jc w:val="right"/>
          </w:pPr>
          <w:r>
            <w:rPr>
              <w:b/>
            </w:rPr>
            <w:fldChar w:fldCharType="begin"/>
          </w:r>
          <w:r>
            <w:rPr>
              <w:b/>
            </w:rPr>
            <w:instrText xml:space="preserve"> styleref CharDivText </w:instrText>
          </w:r>
          <w:r>
            <w:rPr>
              <w:b/>
            </w:rPr>
            <w:fldChar w:fldCharType="end"/>
          </w:r>
        </w:p>
      </w:tc>
      <w:tc>
        <w:tcPr>
          <w:tcW w:w="1548" w:type="dxa"/>
        </w:tcPr>
        <w:p w:rsidR="008D2320" w:rsidRDefault="008D2320">
          <w:pPr>
            <w:pStyle w:val="Header"/>
            <w:spacing w:before="40"/>
            <w:jc w:val="right"/>
          </w:pPr>
          <w:r>
            <w:rPr>
              <w:b/>
            </w:rPr>
            <w:fldChar w:fldCharType="begin"/>
          </w:r>
          <w:r>
            <w:rPr>
              <w:b/>
            </w:rPr>
            <w:instrText>STYLEREF CharDivNo</w:instrText>
          </w:r>
          <w:r>
            <w:rPr>
              <w:b/>
            </w:rPr>
            <w:fldChar w:fldCharType="end"/>
          </w:r>
        </w:p>
      </w:tc>
    </w:tr>
    <w:tr w:rsidR="008D2320" w:rsidTr="00130940">
      <w:trPr>
        <w:cantSplit/>
        <w:jc w:val="center"/>
      </w:trPr>
      <w:tc>
        <w:tcPr>
          <w:tcW w:w="7263" w:type="dxa"/>
          <w:gridSpan w:val="2"/>
        </w:tcPr>
        <w:p w:rsidR="008D2320" w:rsidRDefault="008D2320">
          <w:pPr>
            <w:pStyle w:val="Header"/>
            <w:spacing w:before="40"/>
            <w:jc w:val="right"/>
          </w:pPr>
          <w:r>
            <w:rPr>
              <w:b/>
            </w:rPr>
            <w:t xml:space="preserve">r. </w:t>
          </w:r>
          <w:r>
            <w:rPr>
              <w:b/>
            </w:rPr>
            <w:fldChar w:fldCharType="begin"/>
          </w:r>
          <w:r>
            <w:rPr>
              <w:b/>
            </w:rPr>
            <w:instrText>STYLEREF CharSectNo</w:instrText>
          </w:r>
          <w:r>
            <w:rPr>
              <w:b/>
            </w:rPr>
            <w:fldChar w:fldCharType="separate"/>
          </w:r>
          <w:r w:rsidR="00C441FB">
            <w:rPr>
              <w:b/>
            </w:rPr>
            <w:t>1</w:t>
          </w:r>
          <w:r>
            <w:rPr>
              <w:b/>
            </w:rPr>
            <w:fldChar w:fldCharType="end"/>
          </w:r>
        </w:p>
      </w:tc>
    </w:tr>
  </w:tbl>
  <w:p w:rsidR="008D2320" w:rsidRDefault="008D23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D2320" w:rsidTr="00130940">
      <w:trPr>
        <w:cantSplit/>
        <w:jc w:val="center"/>
      </w:trPr>
      <w:tc>
        <w:tcPr>
          <w:tcW w:w="7258" w:type="dxa"/>
          <w:gridSpan w:val="2"/>
        </w:tcPr>
        <w:p w:rsidR="008D2320" w:rsidRDefault="008D2320">
          <w:pPr>
            <w:pStyle w:val="Header"/>
          </w:pPr>
          <w:r>
            <w:rPr>
              <w:b/>
              <w:i/>
            </w:rPr>
            <w:fldChar w:fldCharType="begin"/>
          </w:r>
          <w:r>
            <w:rPr>
              <w:b/>
              <w:i/>
            </w:rPr>
            <w:instrText xml:space="preserve"> STYLEREF "Name of Act/Reg" </w:instrText>
          </w:r>
          <w:r>
            <w:rPr>
              <w:b/>
              <w:i/>
            </w:rPr>
            <w:fldChar w:fldCharType="separate"/>
          </w:r>
          <w:r w:rsidR="00C441FB">
            <w:rPr>
              <w:b/>
              <w:i/>
            </w:rPr>
            <w:t>Public Health Regulations 2017</w:t>
          </w:r>
          <w:r>
            <w:rPr>
              <w:b/>
              <w:i/>
            </w:rPr>
            <w:fldChar w:fldCharType="end"/>
          </w:r>
        </w:p>
      </w:tc>
    </w:tr>
    <w:tr w:rsidR="008D2320" w:rsidTr="00130940">
      <w:trPr>
        <w:jc w:val="center"/>
      </w:trPr>
      <w:tc>
        <w:tcPr>
          <w:tcW w:w="1548" w:type="dxa"/>
        </w:tcPr>
        <w:p w:rsidR="008D2320" w:rsidRDefault="008D2320">
          <w:pPr>
            <w:pStyle w:val="Header"/>
            <w:spacing w:before="40"/>
          </w:pPr>
          <w:r>
            <w:rPr>
              <w:b/>
            </w:rPr>
            <w:fldChar w:fldCharType="begin"/>
          </w:r>
          <w:r>
            <w:rPr>
              <w:b/>
            </w:rPr>
            <w:instrText xml:space="preserve"> STYLEREF "nHeading 2" </w:instrText>
          </w:r>
          <w:r>
            <w:rPr>
              <w:b/>
            </w:rPr>
            <w:fldChar w:fldCharType="separate"/>
          </w:r>
          <w:r w:rsidR="00C441FB">
            <w:rPr>
              <w:b/>
            </w:rPr>
            <w:t>Notes</w:t>
          </w:r>
          <w:r>
            <w:rPr>
              <w:b/>
            </w:rPr>
            <w:fldChar w:fldCharType="end"/>
          </w:r>
        </w:p>
      </w:tc>
      <w:tc>
        <w:tcPr>
          <w:tcW w:w="5715" w:type="dxa"/>
        </w:tcPr>
        <w:p w:rsidR="008D2320" w:rsidRDefault="008D2320">
          <w:pPr>
            <w:pStyle w:val="Header"/>
            <w:spacing w:before="40"/>
          </w:pPr>
          <w:r>
            <w:fldChar w:fldCharType="begin"/>
          </w:r>
          <w:r>
            <w:instrText xml:space="preserve"> STYLEREF "nHeading 3" </w:instrText>
          </w:r>
          <w:r>
            <w:fldChar w:fldCharType="separate"/>
          </w:r>
          <w:r w:rsidR="00C441FB">
            <w:t>Compilation table</w:t>
          </w:r>
          <w:r>
            <w:fldChar w:fldCharType="end"/>
          </w:r>
        </w:p>
      </w:tc>
    </w:tr>
    <w:tr w:rsidR="008D2320" w:rsidTr="00130940">
      <w:trPr>
        <w:jc w:val="center"/>
      </w:trPr>
      <w:tc>
        <w:tcPr>
          <w:tcW w:w="1548" w:type="dxa"/>
        </w:tcPr>
        <w:p w:rsidR="008D2320" w:rsidRDefault="008D2320">
          <w:pPr>
            <w:pStyle w:val="Header"/>
            <w:spacing w:before="40"/>
          </w:pPr>
        </w:p>
      </w:tc>
      <w:tc>
        <w:tcPr>
          <w:tcW w:w="5715" w:type="dxa"/>
        </w:tcPr>
        <w:p w:rsidR="008D2320" w:rsidRDefault="008D2320">
          <w:pPr>
            <w:pStyle w:val="Header"/>
            <w:spacing w:before="40"/>
          </w:pPr>
        </w:p>
      </w:tc>
    </w:tr>
    <w:tr w:rsidR="008D2320" w:rsidTr="00130940">
      <w:trPr>
        <w:cantSplit/>
        <w:jc w:val="center"/>
      </w:trPr>
      <w:tc>
        <w:tcPr>
          <w:tcW w:w="7258" w:type="dxa"/>
          <w:gridSpan w:val="2"/>
        </w:tcPr>
        <w:p w:rsidR="008D2320" w:rsidRDefault="008D2320">
          <w:pPr>
            <w:pStyle w:val="Header"/>
            <w:spacing w:before="40"/>
          </w:pPr>
        </w:p>
      </w:tc>
    </w:tr>
  </w:tbl>
  <w:p w:rsidR="008D2320" w:rsidRDefault="008D2320">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20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s>
  <w:rsids>
    <w:rsidRoot w:val="007F7681"/>
    <w:rsid w:val="00063D43"/>
    <w:rsid w:val="000736C1"/>
    <w:rsid w:val="000A2BD2"/>
    <w:rsid w:val="00130940"/>
    <w:rsid w:val="00155E49"/>
    <w:rsid w:val="001B3729"/>
    <w:rsid w:val="0030515E"/>
    <w:rsid w:val="003C409F"/>
    <w:rsid w:val="003C7348"/>
    <w:rsid w:val="004716E5"/>
    <w:rsid w:val="00567DE0"/>
    <w:rsid w:val="00587F60"/>
    <w:rsid w:val="005E639F"/>
    <w:rsid w:val="006D5CAC"/>
    <w:rsid w:val="006E4D03"/>
    <w:rsid w:val="00747059"/>
    <w:rsid w:val="007F7681"/>
    <w:rsid w:val="00875145"/>
    <w:rsid w:val="00897938"/>
    <w:rsid w:val="008D2320"/>
    <w:rsid w:val="0099205A"/>
    <w:rsid w:val="009D25C9"/>
    <w:rsid w:val="00A10DA5"/>
    <w:rsid w:val="00A37794"/>
    <w:rsid w:val="00B83C5A"/>
    <w:rsid w:val="00C441FB"/>
    <w:rsid w:val="00C8228F"/>
    <w:rsid w:val="00CB4B6F"/>
    <w:rsid w:val="00CD1A80"/>
    <w:rsid w:val="00D8105C"/>
    <w:rsid w:val="00E0487E"/>
    <w:rsid w:val="00FC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83D4-F73C-40AA-BA9C-34790FD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5034</Words>
  <Characters>27385</Characters>
  <Application>Microsoft Office Word</Application>
  <DocSecurity>0</DocSecurity>
  <Lines>1053</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2017 - 00-f0-00</dc:title>
  <dc:subject/>
  <dc:creator/>
  <cp:keywords/>
  <dc:description/>
  <cp:lastModifiedBy>Master Repository Process</cp:lastModifiedBy>
  <cp:revision>4</cp:revision>
  <cp:lastPrinted>2018-12-06T07:02:00Z</cp:lastPrinted>
  <dcterms:created xsi:type="dcterms:W3CDTF">2021-05-06T08:11:00Z</dcterms:created>
  <dcterms:modified xsi:type="dcterms:W3CDTF">2021-05-06T08:11:00Z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08 May 2021</vt:lpwstr>
  </property>
  <property fmtid="{D5CDD505-2E9C-101B-9397-08002B2CF9AE}" pid="4" name="Suffix">
    <vt:lpwstr>00-f0-00</vt:lpwstr>
  </property>
  <property fmtid="{D5CDD505-2E9C-101B-9397-08002B2CF9AE}" pid="5" name="CommencementDate">
    <vt:lpwstr>20210508</vt:lpwstr>
  </property>
</Properties>
</file>