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2" w:rsidRDefault="003261E1">
      <w:pPr>
        <w:pStyle w:val="PrincipalActReg"/>
        <w:spacing w:before="12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7A6992" w:rsidRDefault="003261E1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2160" w:after="0"/>
      </w:pPr>
      <w:r>
        <w:t>State Enterprises (Commonwealth Tax Equivalents) Act 1996</w:t>
      </w:r>
    </w:p>
    <w:p w:rsidR="007A6992" w:rsidRDefault="003261E1">
      <w:pPr>
        <w:pStyle w:val="NameofActReg"/>
        <w:spacing w:before="3760" w:after="4200"/>
      </w:pPr>
      <w:r>
        <w:rPr>
          <w:noProof/>
        </w:rPr>
        <w:t>State Enterprises (Commonwealth Tax Equivalents) (Application) Regulations 1997</w:t>
      </w:r>
    </w:p>
    <w:p w:rsidR="007A6992" w:rsidRDefault="007A6992">
      <w:pPr>
        <w:pStyle w:val="yHeading3"/>
        <w:keepNext w:val="0"/>
        <w:spacing w:before="0"/>
        <w:outlineLvl w:val="9"/>
        <w:sectPr w:rsidR="007A69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7A6992">
        <w:trPr>
          <w:cantSplit/>
        </w:trPr>
        <w:tc>
          <w:tcPr>
            <w:tcW w:w="2434" w:type="dxa"/>
            <w:vMerge w:val="restart"/>
          </w:tcPr>
          <w:p w:rsidR="007A6992" w:rsidRDefault="007A6992"/>
        </w:tc>
        <w:tc>
          <w:tcPr>
            <w:tcW w:w="2434" w:type="dxa"/>
            <w:vMerge w:val="restart"/>
          </w:tcPr>
          <w:p w:rsidR="007A6992" w:rsidRDefault="007A6992">
            <w:pPr>
              <w:jc w:val="center"/>
            </w:pPr>
          </w:p>
        </w:tc>
        <w:tc>
          <w:tcPr>
            <w:tcW w:w="2434" w:type="dxa"/>
          </w:tcPr>
          <w:p w:rsidR="007A6992" w:rsidRDefault="007A6992">
            <w:pPr>
              <w:rPr>
                <w:sz w:val="22"/>
              </w:rPr>
            </w:pPr>
          </w:p>
        </w:tc>
      </w:tr>
      <w:tr w:rsidR="007A6992">
        <w:trPr>
          <w:cantSplit/>
        </w:trPr>
        <w:tc>
          <w:tcPr>
            <w:tcW w:w="2434" w:type="dxa"/>
            <w:vMerge/>
          </w:tcPr>
          <w:p w:rsidR="007A6992" w:rsidRDefault="007A6992"/>
        </w:tc>
        <w:tc>
          <w:tcPr>
            <w:tcW w:w="2434" w:type="dxa"/>
            <w:vMerge/>
          </w:tcPr>
          <w:p w:rsidR="007A6992" w:rsidRDefault="007A6992">
            <w:pPr>
              <w:jc w:val="center"/>
            </w:pPr>
          </w:p>
        </w:tc>
        <w:tc>
          <w:tcPr>
            <w:tcW w:w="2434" w:type="dxa"/>
          </w:tcPr>
          <w:p w:rsidR="007A6992" w:rsidRDefault="003261E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6 June 2003</w:t>
            </w:r>
          </w:p>
        </w:tc>
      </w:tr>
    </w:tbl>
    <w:p w:rsidR="007A6992" w:rsidRDefault="003261E1">
      <w:pPr>
        <w:pStyle w:val="WA"/>
        <w:spacing w:before="120"/>
      </w:pPr>
      <w:r>
        <w:t>Western Australia</w:t>
      </w:r>
    </w:p>
    <w:p w:rsidR="007A6992" w:rsidRDefault="003261E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E410C">
        <w:rPr>
          <w:noProof/>
        </w:rPr>
        <w:t>State Enterprises (Commonwealth Tax Equivalents) (Application) Regulations 1997</w:t>
      </w:r>
      <w:r>
        <w:fldChar w:fldCharType="end"/>
      </w:r>
    </w:p>
    <w:p w:rsidR="007A6992" w:rsidRDefault="003261E1">
      <w:pPr>
        <w:pStyle w:val="Arrangement"/>
      </w:pPr>
      <w:r>
        <w:t>CONTENTS</w:t>
      </w:r>
    </w:p>
    <w:p w:rsidR="007A6992" w:rsidRDefault="003261E1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_Toc41465248 \h </w:instrText>
      </w:r>
      <w:r>
        <w:rPr>
          <w:noProof/>
        </w:rPr>
      </w:r>
      <w:r>
        <w:rPr>
          <w:noProof/>
        </w:rPr>
        <w:fldChar w:fldCharType="separate"/>
      </w:r>
      <w:r w:rsidR="004E410C">
        <w:rPr>
          <w:noProof/>
        </w:rPr>
        <w:t>1</w:t>
      </w:r>
      <w:r>
        <w:rPr>
          <w:noProof/>
        </w:rPr>
        <w:fldChar w:fldCharType="end"/>
      </w:r>
    </w:p>
    <w:p w:rsidR="007A6992" w:rsidRDefault="003261E1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_Toc41465249 \h </w:instrText>
      </w:r>
      <w:r>
        <w:rPr>
          <w:noProof/>
        </w:rPr>
      </w:r>
      <w:r>
        <w:rPr>
          <w:noProof/>
        </w:rPr>
        <w:fldChar w:fldCharType="separate"/>
      </w:r>
      <w:r w:rsidR="004E410C">
        <w:rPr>
          <w:noProof/>
        </w:rPr>
        <w:t>1</w:t>
      </w:r>
      <w:r>
        <w:rPr>
          <w:noProof/>
        </w:rPr>
        <w:fldChar w:fldCharType="end"/>
      </w:r>
    </w:p>
    <w:p w:rsidR="007A6992" w:rsidRDefault="003261E1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State enterprises prescribed (section 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_Toc41465250 \h </w:instrText>
      </w:r>
      <w:r>
        <w:rPr>
          <w:noProof/>
        </w:rPr>
      </w:r>
      <w:r>
        <w:rPr>
          <w:noProof/>
        </w:rPr>
        <w:fldChar w:fldCharType="separate"/>
      </w:r>
      <w:r w:rsidR="004E410C">
        <w:rPr>
          <w:noProof/>
        </w:rPr>
        <w:t>1</w:t>
      </w:r>
      <w:r>
        <w:rPr>
          <w:noProof/>
        </w:rPr>
        <w:fldChar w:fldCharType="end"/>
      </w:r>
    </w:p>
    <w:p w:rsidR="007A6992" w:rsidRDefault="003261E1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7A6992" w:rsidRDefault="003261E1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_Toc41465251 \h </w:instrText>
      </w:r>
      <w:r>
        <w:rPr>
          <w:noProof/>
        </w:rPr>
      </w:r>
      <w:r>
        <w:rPr>
          <w:noProof/>
        </w:rPr>
        <w:fldChar w:fldCharType="separate"/>
      </w:r>
      <w:r w:rsidR="004E410C">
        <w:rPr>
          <w:noProof/>
        </w:rPr>
        <w:t>5</w:t>
      </w:r>
      <w:r>
        <w:rPr>
          <w:noProof/>
        </w:rPr>
        <w:fldChar w:fldCharType="end"/>
      </w:r>
    </w:p>
    <w:p w:rsidR="007A6992" w:rsidRDefault="003261E1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7A6992" w:rsidRDefault="007A6992">
      <w:pPr>
        <w:pStyle w:val="NoteHeading"/>
        <w:sectPr w:rsidR="007A699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7A6992">
        <w:trPr>
          <w:cantSplit/>
        </w:trPr>
        <w:tc>
          <w:tcPr>
            <w:tcW w:w="2434" w:type="dxa"/>
            <w:vMerge w:val="restart"/>
          </w:tcPr>
          <w:p w:rsidR="007A6992" w:rsidRDefault="007A6992"/>
        </w:tc>
        <w:tc>
          <w:tcPr>
            <w:tcW w:w="2434" w:type="dxa"/>
            <w:vMerge w:val="restart"/>
          </w:tcPr>
          <w:p w:rsidR="007A6992" w:rsidRDefault="003261E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7A6992" w:rsidRDefault="007A6992">
            <w:pPr>
              <w:rPr>
                <w:sz w:val="22"/>
              </w:rPr>
            </w:pPr>
          </w:p>
        </w:tc>
      </w:tr>
      <w:tr w:rsidR="007A6992">
        <w:trPr>
          <w:cantSplit/>
        </w:trPr>
        <w:tc>
          <w:tcPr>
            <w:tcW w:w="2434" w:type="dxa"/>
            <w:vMerge/>
          </w:tcPr>
          <w:p w:rsidR="007A6992" w:rsidRDefault="007A6992"/>
        </w:tc>
        <w:tc>
          <w:tcPr>
            <w:tcW w:w="2434" w:type="dxa"/>
            <w:vMerge/>
          </w:tcPr>
          <w:p w:rsidR="007A6992" w:rsidRDefault="007A6992">
            <w:pPr>
              <w:jc w:val="center"/>
            </w:pPr>
          </w:p>
        </w:tc>
        <w:tc>
          <w:tcPr>
            <w:tcW w:w="2434" w:type="dxa"/>
          </w:tcPr>
          <w:p w:rsidR="007A6992" w:rsidRDefault="003261E1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6</w:t>
            </w:r>
            <w:r>
              <w:rPr>
                <w:b/>
                <w:snapToGrid w:val="0"/>
                <w:sz w:val="22"/>
              </w:rPr>
              <w:t xml:space="preserve"> June 2003</w:t>
            </w:r>
          </w:p>
        </w:tc>
      </w:tr>
    </w:tbl>
    <w:p w:rsidR="007A6992" w:rsidRDefault="003261E1">
      <w:pPr>
        <w:pStyle w:val="WA"/>
        <w:spacing w:before="120"/>
      </w:pPr>
      <w:r>
        <w:t>Western Australia</w:t>
      </w:r>
    </w:p>
    <w:p w:rsidR="007A6992" w:rsidRDefault="003261E1"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 w:rsidR="007A6992" w:rsidRDefault="003261E1">
      <w:pPr>
        <w:pStyle w:val="NameofActReg"/>
      </w:pPr>
      <w:r>
        <w:t>State Enterprises (Commonwealth Tax Equivalents) (Application) Regulations 1997</w:t>
      </w:r>
    </w:p>
    <w:p w:rsidR="007A6992" w:rsidRDefault="003261E1">
      <w:pPr>
        <w:pStyle w:val="Heading5"/>
        <w:rPr>
          <w:snapToGrid w:val="0"/>
        </w:rPr>
      </w:pPr>
      <w:bookmarkStart w:id="1" w:name="_Toc5010346"/>
      <w:bookmarkStart w:id="2" w:name="_Toc12954836"/>
      <w:bookmarkStart w:id="3" w:name="_Toc38938770"/>
      <w:bookmarkStart w:id="4" w:name="_Toc4146524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7A6992" w:rsidRDefault="003261E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7A6992" w:rsidRDefault="003261E1">
      <w:pPr>
        <w:pStyle w:val="Heading5"/>
        <w:spacing w:before="260"/>
        <w:rPr>
          <w:snapToGrid w:val="0"/>
        </w:rPr>
      </w:pPr>
      <w:bookmarkStart w:id="5" w:name="_Toc5010347"/>
      <w:bookmarkStart w:id="6" w:name="_Toc12954837"/>
      <w:bookmarkStart w:id="7" w:name="_Toc38938771"/>
      <w:bookmarkStart w:id="8" w:name="_Toc4146524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7A6992" w:rsidRDefault="003261E1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7A6992" w:rsidRDefault="003261E1">
      <w:pPr>
        <w:pStyle w:val="Heading5"/>
        <w:spacing w:before="260"/>
        <w:rPr>
          <w:snapToGrid w:val="0"/>
        </w:rPr>
      </w:pPr>
      <w:bookmarkStart w:id="9" w:name="_Toc5010348"/>
      <w:bookmarkStart w:id="10" w:name="_Toc12954838"/>
      <w:bookmarkStart w:id="11" w:name="_Toc38938772"/>
      <w:bookmarkStart w:id="12" w:name="_Toc4146525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7A6992" w:rsidRDefault="003261E1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7A6992" w:rsidRDefault="003261E1">
      <w:pPr>
        <w:pStyle w:val="MiscellaneousHeading"/>
        <w:keepLines/>
        <w:spacing w:before="220" w:after="120"/>
        <w:rPr>
          <w:b/>
          <w:snapToGrid w:val="0"/>
        </w:rPr>
      </w:pPr>
      <w:r>
        <w:rPr>
          <w:b/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 w:rsidR="007A6992">
        <w:trPr>
          <w:cantSplit/>
          <w:tblHeader/>
        </w:trPr>
        <w:tc>
          <w:tcPr>
            <w:tcW w:w="4536" w:type="dxa"/>
          </w:tcPr>
          <w:p w:rsidR="007A6992" w:rsidRDefault="003261E1">
            <w:pPr>
              <w:pStyle w:val="Table"/>
              <w:keepNext/>
              <w:keepLine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keepNext/>
              <w:keepLines/>
              <w:ind w:right="-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Bright Telecommunications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rPr>
                <w:spacing w:val="-4"/>
              </w:rPr>
              <w:t xml:space="preserve"> come into operation </w:t>
            </w:r>
            <w:r>
              <w:rPr>
                <w:spacing w:val="-4"/>
                <w:vertAlign w:val="superscript"/>
              </w:rPr>
              <w:t>1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t xml:space="preserve">Electricity Corporation established by the </w:t>
            </w:r>
            <w:r>
              <w:rPr>
                <w:i/>
                <w:snapToGrid w:val="0"/>
              </w:rPr>
              <w:t>Electricity Corporation Act 1994</w:t>
            </w:r>
            <w:r>
              <w:rPr>
                <w:snapToGrid w:val="0"/>
              </w:rPr>
              <w:t>, s. 4 [Western Power]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br/>
              <w:t>1 January 2001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t xml:space="preserve">The Western Australian Government Railways Commission constituted under the </w:t>
            </w:r>
            <w:r>
              <w:rPr>
                <w:i/>
                <w:snapToGrid w:val="0"/>
              </w:rPr>
              <w:t>Government Railways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8 [Westrail]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ind w:right="-108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6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October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Busselton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s. 6 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7A6992">
        <w:trPr>
          <w:cantSplit/>
        </w:trPr>
        <w:tc>
          <w:tcPr>
            <w:tcW w:w="4536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 w:rsidR="007A6992" w:rsidRDefault="003261E1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 w:rsidR="007A6992" w:rsidRDefault="003261E1"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1573.]</w:t>
      </w:r>
    </w:p>
    <w:p w:rsidR="007A6992" w:rsidRDefault="007A6992">
      <w:pPr>
        <w:rPr>
          <w:rStyle w:val="CharDivText"/>
        </w:rPr>
        <w:sectPr w:rsidR="007A699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A6992" w:rsidRDefault="003261E1">
      <w:pPr>
        <w:pStyle w:val="nHeading2"/>
      </w:pPr>
      <w:r>
        <w:t>Notes</w:t>
      </w:r>
    </w:p>
    <w:p w:rsidR="007A6992" w:rsidRDefault="003261E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6 June 2003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7A6992" w:rsidRDefault="003261E1">
      <w:pPr>
        <w:pStyle w:val="nHeading3"/>
        <w:rPr>
          <w:snapToGrid w:val="0"/>
        </w:rPr>
      </w:pPr>
      <w:bookmarkStart w:id="13" w:name="_Toc41465251"/>
      <w:r>
        <w:rPr>
          <w:snapToGrid w:val="0"/>
        </w:rPr>
        <w:t>Compilation table</w:t>
      </w:r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7A6992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A6992" w:rsidRDefault="003261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A6992" w:rsidRDefault="003261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7A6992" w:rsidRDefault="003261E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A6992">
        <w:tc>
          <w:tcPr>
            <w:tcW w:w="3118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 w:rsidR="007A6992">
        <w:tc>
          <w:tcPr>
            <w:tcW w:w="3118" w:type="dxa"/>
          </w:tcPr>
          <w:p w:rsidR="007A6992" w:rsidRDefault="003261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 w:rsidR="007A6992">
        <w:tc>
          <w:tcPr>
            <w:tcW w:w="3118" w:type="dxa"/>
          </w:tcPr>
          <w:p w:rsidR="007A6992" w:rsidRDefault="003261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 w:rsidR="007A6992">
        <w:tc>
          <w:tcPr>
            <w:tcW w:w="3118" w:type="dxa"/>
          </w:tcPr>
          <w:p w:rsidR="007A6992" w:rsidRDefault="003261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 w:rsidR="007A6992">
        <w:tc>
          <w:tcPr>
            <w:tcW w:w="3118" w:type="dxa"/>
          </w:tcPr>
          <w:p w:rsidR="007A6992" w:rsidRDefault="003261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7A6992">
        <w:tc>
          <w:tcPr>
            <w:tcW w:w="3118" w:type="dxa"/>
          </w:tcPr>
          <w:p w:rsidR="007A6992" w:rsidRDefault="003261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 w:rsidR="007A6992">
        <w:tc>
          <w:tcPr>
            <w:tcW w:w="3118" w:type="dxa"/>
          </w:tcPr>
          <w:p w:rsidR="007A6992" w:rsidRDefault="003261E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7A6992" w:rsidRDefault="003261E1"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 w:rsidR="007A6992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7A6992" w:rsidRDefault="003261E1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</w:tbl>
    <w:p w:rsidR="007A6992" w:rsidRDefault="003261E1">
      <w:pPr>
        <w:pStyle w:val="nSubsection"/>
      </w:pPr>
      <w:r>
        <w:rPr>
          <w:vertAlign w:val="superscript"/>
        </w:rPr>
        <w:t>2</w:t>
      </w:r>
      <w:r>
        <w:tab/>
        <w:t>Came into operation on 1 Jan 2000.</w:t>
      </w:r>
    </w:p>
    <w:p w:rsidR="007A6992" w:rsidRDefault="003261E1"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 w:rsidR="007A6992" w:rsidRDefault="007A6992"/>
    <w:p w:rsidR="007A6992" w:rsidRDefault="007A6992">
      <w:pPr>
        <w:sectPr w:rsidR="007A6992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7A6992" w:rsidRDefault="007A6992"/>
    <w:sectPr w:rsidR="007A6992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92" w:rsidRDefault="003261E1">
      <w:r>
        <w:separator/>
      </w:r>
    </w:p>
  </w:endnote>
  <w:endnote w:type="continuationSeparator" w:id="0">
    <w:p w:rsidR="007A6992" w:rsidRDefault="0032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E410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A6992" w:rsidRDefault="003261E1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E410C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E410C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Footer"/>
      <w:tabs>
        <w:tab w:val="clear" w:pos="4153"/>
        <w:tab w:val="right" w:pos="7088"/>
      </w:tabs>
      <w:rPr>
        <w:rStyle w:val="PageNumber"/>
      </w:rPr>
    </w:pPr>
  </w:p>
  <w:p w:rsidR="007A6992" w:rsidRDefault="003261E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06 Jun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E410C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E410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A6992" w:rsidRDefault="003261E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92" w:rsidRDefault="003261E1">
      <w:r>
        <w:separator/>
      </w:r>
    </w:p>
  </w:footnote>
  <w:footnote w:type="continuationSeparator" w:id="0">
    <w:p w:rsidR="007A6992" w:rsidRDefault="0032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7A6992">
      <w:trPr>
        <w:cantSplit/>
      </w:trPr>
      <w:tc>
        <w:tcPr>
          <w:tcW w:w="7160" w:type="dxa"/>
          <w:gridSpan w:val="2"/>
        </w:tcPr>
        <w:p w:rsidR="007A6992" w:rsidRDefault="003261E1">
          <w:pPr>
            <w:pStyle w:val="HeaderActNameLeft"/>
          </w:pPr>
          <w:fldSimple w:instr=" Styleref &quot;Name of Act/Reg&quot; ">
            <w:r w:rsidR="004E410C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7A6992">
      <w:tc>
        <w:tcPr>
          <w:tcW w:w="1548" w:type="dxa"/>
        </w:tcPr>
        <w:p w:rsidR="007A6992" w:rsidRDefault="007A6992">
          <w:pPr>
            <w:pStyle w:val="HeaderNumberLeft"/>
          </w:pPr>
        </w:p>
      </w:tc>
      <w:tc>
        <w:tcPr>
          <w:tcW w:w="5612" w:type="dxa"/>
        </w:tcPr>
        <w:p w:rsidR="007A6992" w:rsidRDefault="007A6992">
          <w:pPr>
            <w:pStyle w:val="HeaderTextLeft"/>
          </w:pPr>
        </w:p>
      </w:tc>
    </w:tr>
    <w:tr w:rsidR="007A6992">
      <w:tc>
        <w:tcPr>
          <w:tcW w:w="1548" w:type="dxa"/>
        </w:tcPr>
        <w:p w:rsidR="007A6992" w:rsidRDefault="007A6992">
          <w:pPr>
            <w:pStyle w:val="HeaderNumberLeft"/>
          </w:pPr>
        </w:p>
      </w:tc>
      <w:tc>
        <w:tcPr>
          <w:tcW w:w="5612" w:type="dxa"/>
        </w:tcPr>
        <w:p w:rsidR="007A6992" w:rsidRDefault="007A6992">
          <w:pPr>
            <w:pStyle w:val="HeaderTextLeft"/>
          </w:pPr>
        </w:p>
      </w:tc>
    </w:tr>
    <w:tr w:rsidR="007A6992">
      <w:trPr>
        <w:cantSplit/>
      </w:trPr>
      <w:tc>
        <w:tcPr>
          <w:tcW w:w="7160" w:type="dxa"/>
          <w:gridSpan w:val="2"/>
        </w:tcPr>
        <w:p w:rsidR="007A6992" w:rsidRDefault="007A6992">
          <w:pPr>
            <w:pStyle w:val="HeaderSectionLeft"/>
          </w:pPr>
        </w:p>
      </w:tc>
    </w:tr>
  </w:tbl>
  <w:p w:rsidR="007A6992" w:rsidRDefault="007A699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7A6992">
      <w:trPr>
        <w:cantSplit/>
      </w:trPr>
      <w:tc>
        <w:tcPr>
          <w:tcW w:w="7160" w:type="dxa"/>
          <w:gridSpan w:val="2"/>
        </w:tcPr>
        <w:p w:rsidR="007A6992" w:rsidRDefault="003261E1">
          <w:pPr>
            <w:pStyle w:val="HeaderActNameRight"/>
          </w:pPr>
          <w:fldSimple w:instr=" Styleref &quot;Name of Act/Reg&quot; ">
            <w:r w:rsidR="004E410C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7A6992">
      <w:tc>
        <w:tcPr>
          <w:tcW w:w="5760" w:type="dxa"/>
        </w:tcPr>
        <w:p w:rsidR="007A6992" w:rsidRDefault="007A6992">
          <w:pPr>
            <w:pStyle w:val="HeaderTextRight"/>
          </w:pPr>
        </w:p>
      </w:tc>
      <w:tc>
        <w:tcPr>
          <w:tcW w:w="1400" w:type="dxa"/>
        </w:tcPr>
        <w:p w:rsidR="007A6992" w:rsidRDefault="007A6992">
          <w:pPr>
            <w:pStyle w:val="HeaderNumberRight"/>
          </w:pPr>
        </w:p>
      </w:tc>
    </w:tr>
    <w:tr w:rsidR="007A6992">
      <w:tc>
        <w:tcPr>
          <w:tcW w:w="5760" w:type="dxa"/>
        </w:tcPr>
        <w:p w:rsidR="007A6992" w:rsidRDefault="007A6992">
          <w:pPr>
            <w:pStyle w:val="HeaderTextRight"/>
          </w:pPr>
        </w:p>
      </w:tc>
      <w:tc>
        <w:tcPr>
          <w:tcW w:w="1400" w:type="dxa"/>
        </w:tcPr>
        <w:p w:rsidR="007A6992" w:rsidRDefault="007A6992">
          <w:pPr>
            <w:pStyle w:val="HeaderNumberRight"/>
          </w:pPr>
        </w:p>
      </w:tc>
    </w:tr>
    <w:tr w:rsidR="007A6992">
      <w:trPr>
        <w:cantSplit/>
      </w:trPr>
      <w:tc>
        <w:tcPr>
          <w:tcW w:w="7160" w:type="dxa"/>
          <w:gridSpan w:val="2"/>
        </w:tcPr>
        <w:p w:rsidR="007A6992" w:rsidRDefault="007A6992">
          <w:pPr>
            <w:pStyle w:val="HeaderSectionRight"/>
          </w:pPr>
        </w:p>
      </w:tc>
    </w:tr>
  </w:tbl>
  <w:p w:rsidR="007A6992" w:rsidRDefault="007A6992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3261E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E410C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7A6992" w:rsidRDefault="007A6992">
    <w:pPr>
      <w:pStyle w:val="headerpartodd"/>
      <w:ind w:left="0" w:firstLine="0"/>
      <w:rPr>
        <w:b w:val="0"/>
        <w:i/>
      </w:rPr>
    </w:pPr>
  </w:p>
  <w:p w:rsidR="007A6992" w:rsidRDefault="007A6992">
    <w:pPr>
      <w:pStyle w:val="headerpart"/>
    </w:pPr>
  </w:p>
  <w:p w:rsidR="007A6992" w:rsidRDefault="007A6992">
    <w:pPr>
      <w:pStyle w:val="headerpart"/>
    </w:pPr>
  </w:p>
  <w:p w:rsidR="007A6992" w:rsidRDefault="007A6992">
    <w:pPr>
      <w:pBdr>
        <w:bottom w:val="single" w:sz="6" w:space="1" w:color="auto"/>
      </w:pBdr>
      <w:rPr>
        <w:b/>
      </w:rPr>
    </w:pPr>
  </w:p>
  <w:p w:rsidR="007A6992" w:rsidRDefault="007A6992"/>
  <w:p w:rsidR="007A6992" w:rsidRDefault="007A699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3261E1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E410C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7A6992" w:rsidRDefault="007A6992">
    <w:pPr>
      <w:pStyle w:val="headerpartodd"/>
      <w:ind w:left="0" w:firstLine="0"/>
      <w:jc w:val="right"/>
      <w:rPr>
        <w:b w:val="0"/>
        <w:i/>
      </w:rPr>
    </w:pPr>
  </w:p>
  <w:p w:rsidR="007A6992" w:rsidRDefault="007A6992">
    <w:pPr>
      <w:pStyle w:val="headerpart"/>
      <w:jc w:val="right"/>
    </w:pPr>
  </w:p>
  <w:p w:rsidR="007A6992" w:rsidRDefault="007A6992">
    <w:pPr>
      <w:pStyle w:val="headerpart"/>
      <w:jc w:val="right"/>
    </w:pPr>
  </w:p>
  <w:p w:rsidR="007A6992" w:rsidRDefault="007A6992">
    <w:pPr>
      <w:pBdr>
        <w:bottom w:val="single" w:sz="6" w:space="1" w:color="auto"/>
      </w:pBdr>
      <w:jc w:val="right"/>
      <w:rPr>
        <w:b/>
      </w:rPr>
    </w:pPr>
  </w:p>
  <w:p w:rsidR="007A6992" w:rsidRDefault="007A6992"/>
  <w:p w:rsidR="007A6992" w:rsidRDefault="007A69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A6992">
      <w:trPr>
        <w:cantSplit/>
      </w:trPr>
      <w:tc>
        <w:tcPr>
          <w:tcW w:w="7312" w:type="dxa"/>
          <w:gridSpan w:val="2"/>
        </w:tcPr>
        <w:p w:rsidR="007A6992" w:rsidRDefault="003261E1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4E410C">
            <w:rPr>
              <w:i w:val="0"/>
              <w:noProof/>
            </w:rPr>
            <w:t>State Enterprises (Commonwealth Tax Equivalents) (Application) Regulations 1997</w:t>
          </w:r>
          <w:r>
            <w:rPr>
              <w:i w:val="0"/>
            </w:rPr>
            <w:fldChar w:fldCharType="end"/>
          </w:r>
        </w:p>
      </w:tc>
    </w:tr>
    <w:tr w:rsidR="007A6992">
      <w:tc>
        <w:tcPr>
          <w:tcW w:w="1548" w:type="dxa"/>
        </w:tcPr>
        <w:p w:rsidR="007A6992" w:rsidRDefault="007A6992">
          <w:pPr>
            <w:pStyle w:val="HeaderNumberLeft"/>
          </w:pPr>
        </w:p>
      </w:tc>
      <w:tc>
        <w:tcPr>
          <w:tcW w:w="5764" w:type="dxa"/>
        </w:tcPr>
        <w:p w:rsidR="007A6992" w:rsidRDefault="007A6992">
          <w:pPr>
            <w:pStyle w:val="HeaderTextLeft"/>
          </w:pPr>
        </w:p>
      </w:tc>
    </w:tr>
    <w:tr w:rsidR="007A6992">
      <w:tc>
        <w:tcPr>
          <w:tcW w:w="1548" w:type="dxa"/>
        </w:tcPr>
        <w:p w:rsidR="007A6992" w:rsidRDefault="007A6992">
          <w:pPr>
            <w:pStyle w:val="HeaderNumberLeft"/>
          </w:pPr>
        </w:p>
      </w:tc>
      <w:tc>
        <w:tcPr>
          <w:tcW w:w="5764" w:type="dxa"/>
        </w:tcPr>
        <w:p w:rsidR="007A6992" w:rsidRDefault="007A6992">
          <w:pPr>
            <w:pStyle w:val="HeaderTextLeft"/>
          </w:pPr>
        </w:p>
      </w:tc>
    </w:tr>
    <w:tr w:rsidR="007A6992">
      <w:trPr>
        <w:cantSplit/>
      </w:trPr>
      <w:tc>
        <w:tcPr>
          <w:tcW w:w="7312" w:type="dxa"/>
          <w:gridSpan w:val="2"/>
        </w:tcPr>
        <w:p w:rsidR="007A6992" w:rsidRDefault="007A6992">
          <w:pPr>
            <w:pStyle w:val="HeaderSectionLeft"/>
          </w:pPr>
        </w:p>
      </w:tc>
    </w:tr>
  </w:tbl>
  <w:p w:rsidR="007A6992" w:rsidRDefault="007A699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7A6992">
      <w:trPr>
        <w:cantSplit/>
      </w:trPr>
      <w:tc>
        <w:tcPr>
          <w:tcW w:w="7312" w:type="dxa"/>
          <w:gridSpan w:val="2"/>
        </w:tcPr>
        <w:p w:rsidR="007A6992" w:rsidRDefault="003261E1">
          <w:pPr>
            <w:pStyle w:val="HeaderActNameRight"/>
          </w:pPr>
          <w:fldSimple w:instr=" Styleref &quot;Name of Act/Reg&quot; ">
            <w:r w:rsidR="004E410C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7A6992">
      <w:tc>
        <w:tcPr>
          <w:tcW w:w="5760" w:type="dxa"/>
        </w:tcPr>
        <w:p w:rsidR="007A6992" w:rsidRDefault="007A6992">
          <w:pPr>
            <w:pStyle w:val="HeaderTextRight"/>
          </w:pPr>
        </w:p>
      </w:tc>
      <w:tc>
        <w:tcPr>
          <w:tcW w:w="1552" w:type="dxa"/>
        </w:tcPr>
        <w:p w:rsidR="007A6992" w:rsidRDefault="007A6992">
          <w:pPr>
            <w:pStyle w:val="HeaderNumberRight"/>
          </w:pPr>
        </w:p>
      </w:tc>
    </w:tr>
    <w:tr w:rsidR="007A6992">
      <w:tc>
        <w:tcPr>
          <w:tcW w:w="5760" w:type="dxa"/>
        </w:tcPr>
        <w:p w:rsidR="007A6992" w:rsidRDefault="007A6992">
          <w:pPr>
            <w:pStyle w:val="HeaderTextRight"/>
          </w:pPr>
        </w:p>
      </w:tc>
      <w:tc>
        <w:tcPr>
          <w:tcW w:w="1552" w:type="dxa"/>
        </w:tcPr>
        <w:p w:rsidR="007A6992" w:rsidRDefault="007A6992">
          <w:pPr>
            <w:pStyle w:val="HeaderNumberRight"/>
          </w:pPr>
        </w:p>
      </w:tc>
    </w:tr>
    <w:tr w:rsidR="007A6992">
      <w:trPr>
        <w:cantSplit/>
      </w:trPr>
      <w:tc>
        <w:tcPr>
          <w:tcW w:w="7312" w:type="dxa"/>
          <w:gridSpan w:val="2"/>
        </w:tcPr>
        <w:p w:rsidR="007A6992" w:rsidRDefault="007A6992">
          <w:pPr>
            <w:pStyle w:val="HeaderSectionRight"/>
          </w:pPr>
        </w:p>
      </w:tc>
    </w:tr>
  </w:tbl>
  <w:p w:rsidR="007A6992" w:rsidRDefault="007A699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A6992">
      <w:trPr>
        <w:cantSplit/>
      </w:trPr>
      <w:tc>
        <w:tcPr>
          <w:tcW w:w="7258" w:type="dxa"/>
          <w:gridSpan w:val="2"/>
        </w:tcPr>
        <w:p w:rsidR="007A6992" w:rsidRDefault="003261E1">
          <w:pPr>
            <w:pStyle w:val="HeaderActNameLeft"/>
          </w:pPr>
          <w:fldSimple w:instr=" Styleref &quot;Name of Act/Reg&quot; ">
            <w:r w:rsidR="004E410C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7A6992">
      <w:tc>
        <w:tcPr>
          <w:tcW w:w="1548" w:type="dxa"/>
        </w:tcPr>
        <w:p w:rsidR="007A6992" w:rsidRDefault="003261E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7A6992" w:rsidRDefault="003261E1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7A6992">
      <w:tc>
        <w:tcPr>
          <w:tcW w:w="1548" w:type="dxa"/>
        </w:tcPr>
        <w:p w:rsidR="007A6992" w:rsidRDefault="003261E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A6992" w:rsidRDefault="003261E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A6992">
      <w:trPr>
        <w:cantSplit/>
      </w:trPr>
      <w:tc>
        <w:tcPr>
          <w:tcW w:w="7258" w:type="dxa"/>
          <w:gridSpan w:val="2"/>
        </w:tcPr>
        <w:p w:rsidR="007A6992" w:rsidRDefault="003261E1">
          <w:pPr>
            <w:pStyle w:val="HeaderSectionLeft"/>
          </w:pPr>
          <w:r>
            <w:t xml:space="preserve">r. </w:t>
          </w:r>
          <w:fldSimple w:instr=" styleref CharSectno ">
            <w:r w:rsidR="004E410C">
              <w:rPr>
                <w:noProof/>
              </w:rPr>
              <w:t>1</w:t>
            </w:r>
          </w:fldSimple>
        </w:p>
      </w:tc>
    </w:tr>
  </w:tbl>
  <w:p w:rsidR="007A6992" w:rsidRDefault="007A699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A6992">
      <w:trPr>
        <w:cantSplit/>
      </w:trPr>
      <w:tc>
        <w:tcPr>
          <w:tcW w:w="7258" w:type="dxa"/>
          <w:gridSpan w:val="2"/>
        </w:tcPr>
        <w:p w:rsidR="007A6992" w:rsidRDefault="003261E1">
          <w:pPr>
            <w:pStyle w:val="HeaderActNameRight"/>
            <w:ind w:right="17"/>
          </w:pPr>
          <w:fldSimple w:instr=" Styleref &quot;Name of Act/Reg&quot; ">
            <w:r w:rsidR="004E410C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7A6992">
      <w:tc>
        <w:tcPr>
          <w:tcW w:w="5715" w:type="dxa"/>
        </w:tcPr>
        <w:p w:rsidR="007A6992" w:rsidRDefault="003261E1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7A6992" w:rsidRDefault="003261E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A6992">
      <w:tc>
        <w:tcPr>
          <w:tcW w:w="5715" w:type="dxa"/>
        </w:tcPr>
        <w:p w:rsidR="007A6992" w:rsidRDefault="003261E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A6992" w:rsidRDefault="003261E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A6992">
      <w:trPr>
        <w:cantSplit/>
      </w:trPr>
      <w:tc>
        <w:tcPr>
          <w:tcW w:w="7258" w:type="dxa"/>
          <w:gridSpan w:val="2"/>
        </w:tcPr>
        <w:p w:rsidR="007A6992" w:rsidRDefault="003261E1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4E410C">
              <w:rPr>
                <w:noProof/>
              </w:rPr>
              <w:t>1</w:t>
            </w:r>
          </w:fldSimple>
        </w:p>
      </w:tc>
    </w:tr>
  </w:tbl>
  <w:p w:rsidR="007A6992" w:rsidRDefault="007A699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2" w:rsidRDefault="007A6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1"/>
    <w:rsid w:val="003261E1"/>
    <w:rsid w:val="004E410C"/>
    <w:rsid w:val="006D7753"/>
    <w:rsid w:val="007A6992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5119</Characters>
  <Application>Microsoft Office Word</Application>
  <DocSecurity>0</DocSecurity>
  <Lines>255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5911</CharactersWithSpaces>
  <SharedDoc>false</SharedDoc>
  <HLinks>
    <vt:vector size="18" baseType="variant">
      <vt:variant>
        <vt:i4>3014716</vt:i4>
      </vt:variant>
      <vt:variant>
        <vt:i4>1811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1997 - 01-a0-04</dc:title>
  <dc:subject/>
  <dc:creator>Brian John Cunnane</dc:creator>
  <cp:keywords/>
  <cp:lastModifiedBy>svcMRProcess</cp:lastModifiedBy>
  <cp:revision>4</cp:revision>
  <cp:lastPrinted>2003-06-11T00:58:00Z</cp:lastPrinted>
  <dcterms:created xsi:type="dcterms:W3CDTF">2013-02-18T22:48:00Z</dcterms:created>
  <dcterms:modified xsi:type="dcterms:W3CDTF">2013-02-18T22:48:00Z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20030606</vt:lpwstr>
  </property>
  <property fmtid="{D5CDD505-2E9C-101B-9397-08002B2CF9AE}" pid="4" name="DocumentType">
    <vt:lpwstr>Reg</vt:lpwstr>
  </property>
  <property fmtid="{D5CDD505-2E9C-101B-9397-08002B2CF9AE}" pid="5" name="AsAtDate">
    <vt:lpwstr>06 Jun 2003</vt:lpwstr>
  </property>
  <property fmtid="{D5CDD505-2E9C-101B-9397-08002B2CF9AE}" pid="6" name="Suffix">
    <vt:lpwstr>01-a0-04</vt:lpwstr>
  </property>
</Properties>
</file>