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01" w:rsidRDefault="00D72AE8">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93901" w:rsidRDefault="00D72AE8">
      <w:pPr>
        <w:pStyle w:val="PrincipalActRegPage1"/>
      </w:pPr>
      <w:r>
        <w:fldChar w:fldCharType="begin"/>
      </w:r>
      <w:r>
        <w:instrText xml:space="preserve"> STYLEREF "PrincipalAct_Reg"</w:instrText>
      </w:r>
      <w:r>
        <w:fldChar w:fldCharType="separate"/>
      </w:r>
      <w:r w:rsidR="00DC3470">
        <w:rPr>
          <w:noProof/>
        </w:rPr>
        <w:t>Dangerous Goods Safety Act 2004</w:t>
      </w:r>
      <w:r>
        <w:fldChar w:fldCharType="end"/>
      </w:r>
    </w:p>
    <w:p w:rsidR="00793901" w:rsidRDefault="00D72AE8">
      <w:pPr>
        <w:pStyle w:val="NameofActRegPage1"/>
        <w:spacing w:before="1800" w:after="4200"/>
        <w:outlineLvl w:val="0"/>
      </w:pPr>
      <w:r>
        <w:fldChar w:fldCharType="begin"/>
      </w:r>
      <w:r>
        <w:instrText xml:space="preserve"> STYLEREF "Name Of Act/Reg"</w:instrText>
      </w:r>
      <w:r>
        <w:fldChar w:fldCharType="separate"/>
      </w:r>
      <w:r w:rsidR="00DC3470">
        <w:rPr>
          <w:noProof/>
        </w:rPr>
        <w:t>Dangerous Goods Safety (Major Hazard Facilities) Regulations 2007</w:t>
      </w:r>
      <w:r>
        <w:fldChar w:fldCharType="end"/>
      </w:r>
    </w:p>
    <w:p w:rsidR="00793901" w:rsidRDefault="00793901">
      <w:pPr>
        <w:jc w:val="center"/>
        <w:sectPr w:rsidR="0079390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72AE8" w:rsidRDefault="00D72AE8">
      <w:pPr>
        <w:pStyle w:val="WA"/>
      </w:pPr>
      <w:r>
        <w:lastRenderedPageBreak/>
        <w:t>Western Australia</w:t>
      </w:r>
    </w:p>
    <w:p w:rsidR="00793901" w:rsidRDefault="00D72AE8">
      <w:pPr>
        <w:pStyle w:val="NameofActRegPage1"/>
      </w:pPr>
      <w:r>
        <w:fldChar w:fldCharType="begin"/>
      </w:r>
      <w:r>
        <w:instrText xml:space="preserve"> STYLEREF "Name Of Act/Reg"</w:instrText>
      </w:r>
      <w:r>
        <w:fldChar w:fldCharType="separate"/>
      </w:r>
      <w:r w:rsidR="00DC3470">
        <w:rPr>
          <w:noProof/>
        </w:rPr>
        <w:t>Dangerous Goods Safety (Major Hazard Facilities) Regulations 2007</w:t>
      </w:r>
      <w:r>
        <w:fldChar w:fldCharType="end"/>
      </w:r>
    </w:p>
    <w:p w:rsidR="00793901" w:rsidRDefault="00D72AE8">
      <w:pPr>
        <w:pStyle w:val="Arrangement"/>
      </w:pPr>
      <w:r>
        <w:t>Contents</w:t>
      </w:r>
    </w:p>
    <w:p w:rsidR="007D0E8D" w:rsidRDefault="00D72AE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D0E8D">
        <w:t>Part 1 — Preliminary</w:t>
      </w:r>
    </w:p>
    <w:p w:rsidR="007D0E8D" w:rsidRDefault="007D0E8D">
      <w:pPr>
        <w:pStyle w:val="TOC8"/>
        <w:rPr>
          <w:rFonts w:asciiTheme="minorHAnsi" w:eastAsiaTheme="minorEastAsia" w:hAnsiTheme="minorHAnsi" w:cstheme="minorBidi"/>
          <w:szCs w:val="22"/>
        </w:rPr>
      </w:pPr>
      <w:r>
        <w:t>1.</w:t>
      </w:r>
      <w:r>
        <w:tab/>
        <w:t>Citation</w:t>
      </w:r>
      <w:r>
        <w:tab/>
      </w:r>
      <w:r>
        <w:fldChar w:fldCharType="begin"/>
      </w:r>
      <w:r>
        <w:instrText xml:space="preserve"> PAGEREF _Toc74910935 \h </w:instrText>
      </w:r>
      <w:r>
        <w:fldChar w:fldCharType="separate"/>
      </w:r>
      <w:r w:rsidR="00DC3470">
        <w:t>1</w:t>
      </w:r>
      <w:r>
        <w:fldChar w:fldCharType="end"/>
      </w:r>
    </w:p>
    <w:p w:rsidR="007D0E8D" w:rsidRDefault="007D0E8D">
      <w:pPr>
        <w:pStyle w:val="TOC8"/>
        <w:rPr>
          <w:rFonts w:asciiTheme="minorHAnsi" w:eastAsiaTheme="minorEastAsia" w:hAnsiTheme="minorHAnsi" w:cstheme="minorBidi"/>
          <w:szCs w:val="22"/>
        </w:rPr>
      </w:pPr>
      <w:r>
        <w:t>2.</w:t>
      </w:r>
      <w:r>
        <w:tab/>
        <w:t>Commencement</w:t>
      </w:r>
      <w:r>
        <w:tab/>
      </w:r>
      <w:r>
        <w:fldChar w:fldCharType="begin"/>
      </w:r>
      <w:r>
        <w:instrText xml:space="preserve"> PAGEREF _Toc74910936 \h </w:instrText>
      </w:r>
      <w:r>
        <w:fldChar w:fldCharType="separate"/>
      </w:r>
      <w:r w:rsidR="00DC3470">
        <w:t>1</w:t>
      </w:r>
      <w:r>
        <w:fldChar w:fldCharType="end"/>
      </w:r>
    </w:p>
    <w:p w:rsidR="007D0E8D" w:rsidRDefault="007D0E8D">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_Toc74910937 \h </w:instrText>
      </w:r>
      <w:r>
        <w:fldChar w:fldCharType="separate"/>
      </w:r>
      <w:r w:rsidR="00DC3470">
        <w:t>1</w:t>
      </w:r>
      <w:r>
        <w:fldChar w:fldCharType="end"/>
      </w:r>
    </w:p>
    <w:p w:rsidR="007D0E8D" w:rsidRDefault="007D0E8D">
      <w:pPr>
        <w:pStyle w:val="TOC8"/>
        <w:rPr>
          <w:rFonts w:asciiTheme="minorHAnsi" w:eastAsiaTheme="minorEastAsia" w:hAnsiTheme="minorHAnsi" w:cstheme="minorBidi"/>
          <w:szCs w:val="22"/>
        </w:rPr>
      </w:pPr>
      <w:r>
        <w:t>4.</w:t>
      </w:r>
      <w:r>
        <w:tab/>
        <w:t>Terms used</w:t>
      </w:r>
      <w:r>
        <w:tab/>
      </w:r>
      <w:r>
        <w:fldChar w:fldCharType="begin"/>
      </w:r>
      <w:r>
        <w:instrText xml:space="preserve"> PAGEREF _Toc74910938 \h </w:instrText>
      </w:r>
      <w:r>
        <w:fldChar w:fldCharType="separate"/>
      </w:r>
      <w:r w:rsidR="00DC3470">
        <w:t>2</w:t>
      </w:r>
      <w:r>
        <w:fldChar w:fldCharType="end"/>
      </w:r>
    </w:p>
    <w:p w:rsidR="007D0E8D" w:rsidRDefault="007D0E8D">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_Toc74910939 \h </w:instrText>
      </w:r>
      <w:r>
        <w:fldChar w:fldCharType="separate"/>
      </w:r>
      <w:r w:rsidR="00DC3470">
        <w:t>6</w:t>
      </w:r>
      <w:r>
        <w:fldChar w:fldCharType="end"/>
      </w:r>
    </w:p>
    <w:p w:rsidR="007D0E8D" w:rsidRDefault="007D0E8D">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_Toc74910940 \h </w:instrText>
      </w:r>
      <w:r>
        <w:fldChar w:fldCharType="separate"/>
      </w:r>
      <w:r w:rsidR="00DC3470">
        <w:t>6</w:t>
      </w:r>
      <w:r>
        <w:fldChar w:fldCharType="end"/>
      </w:r>
    </w:p>
    <w:p w:rsidR="007D0E8D" w:rsidRDefault="007D0E8D">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_Toc74910941 \h </w:instrText>
      </w:r>
      <w:r>
        <w:fldChar w:fldCharType="separate"/>
      </w:r>
      <w:r w:rsidR="00DC3470">
        <w:t>7</w:t>
      </w:r>
      <w:r>
        <w:fldChar w:fldCharType="end"/>
      </w:r>
    </w:p>
    <w:p w:rsidR="007D0E8D" w:rsidRDefault="007D0E8D">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_Toc74910942 \h </w:instrText>
      </w:r>
      <w:r>
        <w:fldChar w:fldCharType="separate"/>
      </w:r>
      <w:r w:rsidR="00DC3470">
        <w:t>8</w:t>
      </w:r>
      <w:r>
        <w:fldChar w:fldCharType="end"/>
      </w:r>
    </w:p>
    <w:p w:rsidR="007D0E8D" w:rsidRDefault="007D0E8D">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_Toc74910943 \h </w:instrText>
      </w:r>
      <w:r>
        <w:fldChar w:fldCharType="separate"/>
      </w:r>
      <w:r w:rsidR="00DC3470">
        <w:t>9</w:t>
      </w:r>
      <w:r>
        <w:fldChar w:fldCharType="end"/>
      </w:r>
    </w:p>
    <w:p w:rsidR="007D0E8D" w:rsidRDefault="007D0E8D">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_Toc74910944 \h </w:instrText>
      </w:r>
      <w:r>
        <w:fldChar w:fldCharType="separate"/>
      </w:r>
      <w:r w:rsidR="00DC3470">
        <w:t>10</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Part 2 — Main offences</w:t>
      </w:r>
    </w:p>
    <w:p w:rsidR="007D0E8D" w:rsidRDefault="007D0E8D">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_Toc74910946 \h </w:instrText>
      </w:r>
      <w:r>
        <w:fldChar w:fldCharType="separate"/>
      </w:r>
      <w:r w:rsidR="00DC3470">
        <w:t>11</w:t>
      </w:r>
      <w:r>
        <w:fldChar w:fldCharType="end"/>
      </w:r>
    </w:p>
    <w:p w:rsidR="007D0E8D" w:rsidRDefault="007D0E8D">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_Toc74910947 \h </w:instrText>
      </w:r>
      <w:r>
        <w:fldChar w:fldCharType="separate"/>
      </w:r>
      <w:r w:rsidR="00DC3470">
        <w:t>11</w:t>
      </w:r>
      <w:r>
        <w:fldChar w:fldCharType="end"/>
      </w:r>
    </w:p>
    <w:p w:rsidR="007D0E8D" w:rsidRDefault="007D0E8D">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sidRPr="00BF0386">
        <w:rPr>
          <w:color w:val="000000"/>
        </w:rPr>
        <w:t>safety report</w:t>
      </w:r>
      <w:r>
        <w:tab/>
      </w:r>
      <w:r>
        <w:fldChar w:fldCharType="begin"/>
      </w:r>
      <w:r>
        <w:instrText xml:space="preserve"> PAGEREF _Toc74910948 \h </w:instrText>
      </w:r>
      <w:r>
        <w:fldChar w:fldCharType="separate"/>
      </w:r>
      <w:r w:rsidR="00DC3470">
        <w:t>12</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rsidR="007D0E8D" w:rsidRDefault="007D0E8D">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_Toc74910950 \h </w:instrText>
      </w:r>
      <w:r>
        <w:fldChar w:fldCharType="separate"/>
      </w:r>
      <w:r w:rsidR="00DC3470">
        <w:t>13</w:t>
      </w:r>
      <w:r>
        <w:fldChar w:fldCharType="end"/>
      </w:r>
    </w:p>
    <w:p w:rsidR="007D0E8D" w:rsidRDefault="007D0E8D">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_Toc74910951 \h </w:instrText>
      </w:r>
      <w:r>
        <w:fldChar w:fldCharType="separate"/>
      </w:r>
      <w:r w:rsidR="00DC3470">
        <w:t>13</w:t>
      </w:r>
      <w:r>
        <w:fldChar w:fldCharType="end"/>
      </w:r>
    </w:p>
    <w:p w:rsidR="007D0E8D" w:rsidRDefault="007D0E8D">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_Toc74910952 \h </w:instrText>
      </w:r>
      <w:r>
        <w:fldChar w:fldCharType="separate"/>
      </w:r>
      <w:r w:rsidR="00DC3470">
        <w:t>14</w:t>
      </w:r>
      <w:r>
        <w:fldChar w:fldCharType="end"/>
      </w:r>
    </w:p>
    <w:p w:rsidR="007D0E8D" w:rsidRDefault="007D0E8D">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_Toc74910953 \h </w:instrText>
      </w:r>
      <w:r>
        <w:fldChar w:fldCharType="separate"/>
      </w:r>
      <w:r w:rsidR="00DC3470">
        <w:t>15</w:t>
      </w:r>
      <w:r>
        <w:fldChar w:fldCharType="end"/>
      </w:r>
    </w:p>
    <w:p w:rsidR="007D0E8D" w:rsidRDefault="007D0E8D">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_Toc74910954 \h </w:instrText>
      </w:r>
      <w:r>
        <w:fldChar w:fldCharType="separate"/>
      </w:r>
      <w:r w:rsidR="00DC3470">
        <w:t>16</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rsidR="007D0E8D" w:rsidRDefault="007D0E8D">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_Toc74910956 \h </w:instrText>
      </w:r>
      <w:r>
        <w:fldChar w:fldCharType="separate"/>
      </w:r>
      <w:r w:rsidR="00DC3470">
        <w:t>17</w:t>
      </w:r>
      <w:r>
        <w:fldChar w:fldCharType="end"/>
      </w:r>
    </w:p>
    <w:p w:rsidR="007D0E8D" w:rsidRDefault="007D0E8D">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_Toc74910957 \h </w:instrText>
      </w:r>
      <w:r>
        <w:fldChar w:fldCharType="separate"/>
      </w:r>
      <w:r w:rsidR="00DC3470">
        <w:t>18</w:t>
      </w:r>
      <w:r>
        <w:fldChar w:fldCharType="end"/>
      </w:r>
    </w:p>
    <w:p w:rsidR="007D0E8D" w:rsidRDefault="007D0E8D">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_Toc74910958 \h </w:instrText>
      </w:r>
      <w:r>
        <w:fldChar w:fldCharType="separate"/>
      </w:r>
      <w:r w:rsidR="00DC3470">
        <w:t>18</w:t>
      </w:r>
      <w:r>
        <w:fldChar w:fldCharType="end"/>
      </w:r>
    </w:p>
    <w:p w:rsidR="007D0E8D" w:rsidRDefault="007D0E8D">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_Toc74910959 \h </w:instrText>
      </w:r>
      <w:r>
        <w:fldChar w:fldCharType="separate"/>
      </w:r>
      <w:r w:rsidR="00DC3470">
        <w:t>19</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Part 5 — </w:t>
      </w:r>
      <w:r w:rsidRPr="00BF0386">
        <w:rPr>
          <w:color w:val="000000"/>
        </w:rPr>
        <w:t>Safety reports</w:t>
      </w:r>
    </w:p>
    <w:p w:rsidR="007D0E8D" w:rsidRDefault="007D0E8D">
      <w:pPr>
        <w:pStyle w:val="TOC8"/>
        <w:rPr>
          <w:rFonts w:asciiTheme="minorHAnsi" w:eastAsiaTheme="minorEastAsia" w:hAnsiTheme="minorHAnsi" w:cstheme="minorBidi"/>
          <w:szCs w:val="22"/>
        </w:rPr>
      </w:pPr>
      <w:r>
        <w:t>23.</w:t>
      </w:r>
      <w:r>
        <w:tab/>
        <w:t>R</w:t>
      </w:r>
      <w:r w:rsidRPr="00BF0386">
        <w:rPr>
          <w:color w:val="000000"/>
        </w:rPr>
        <w:t>isk assessment, operator of major hazard facility to prepare</w:t>
      </w:r>
      <w:r>
        <w:tab/>
      </w:r>
      <w:r>
        <w:fldChar w:fldCharType="begin"/>
      </w:r>
      <w:r>
        <w:instrText xml:space="preserve"> PAGEREF _Toc74910961 \h </w:instrText>
      </w:r>
      <w:r>
        <w:fldChar w:fldCharType="separate"/>
      </w:r>
      <w:r w:rsidR="00DC3470">
        <w:t>20</w:t>
      </w:r>
      <w:r>
        <w:fldChar w:fldCharType="end"/>
      </w:r>
    </w:p>
    <w:p w:rsidR="007D0E8D" w:rsidRDefault="007D0E8D">
      <w:pPr>
        <w:pStyle w:val="TOC8"/>
        <w:rPr>
          <w:rFonts w:asciiTheme="minorHAnsi" w:eastAsiaTheme="minorEastAsia" w:hAnsiTheme="minorHAnsi" w:cstheme="minorBidi"/>
          <w:szCs w:val="22"/>
        </w:rPr>
      </w:pPr>
      <w:r>
        <w:t>24.</w:t>
      </w:r>
      <w:r>
        <w:tab/>
        <w:t>S</w:t>
      </w:r>
      <w:r w:rsidRPr="00BF0386">
        <w:rPr>
          <w:color w:val="000000"/>
        </w:rPr>
        <w:t>afety management system, operator of major hazard facility to prepare</w:t>
      </w:r>
      <w:r>
        <w:tab/>
      </w:r>
      <w:r>
        <w:fldChar w:fldCharType="begin"/>
      </w:r>
      <w:r>
        <w:instrText xml:space="preserve"> PAGEREF _Toc74910962 \h </w:instrText>
      </w:r>
      <w:r>
        <w:fldChar w:fldCharType="separate"/>
      </w:r>
      <w:r w:rsidR="00DC3470">
        <w:t>21</w:t>
      </w:r>
      <w:r>
        <w:fldChar w:fldCharType="end"/>
      </w:r>
    </w:p>
    <w:p w:rsidR="007D0E8D" w:rsidRDefault="007D0E8D">
      <w:pPr>
        <w:pStyle w:val="TOC8"/>
        <w:rPr>
          <w:rFonts w:asciiTheme="minorHAnsi" w:eastAsiaTheme="minorEastAsia" w:hAnsiTheme="minorHAnsi" w:cstheme="minorBidi"/>
          <w:szCs w:val="22"/>
        </w:rPr>
      </w:pPr>
      <w:r>
        <w:t>25.</w:t>
      </w:r>
      <w:r>
        <w:tab/>
        <w:t>S</w:t>
      </w:r>
      <w:r w:rsidRPr="00BF0386">
        <w:rPr>
          <w:color w:val="000000"/>
        </w:rPr>
        <w:t>afety report, operator of major hazard facility to prepare</w:t>
      </w:r>
      <w:r>
        <w:tab/>
      </w:r>
      <w:r>
        <w:fldChar w:fldCharType="begin"/>
      </w:r>
      <w:r>
        <w:instrText xml:space="preserve"> PAGEREF _Toc74910963 \h </w:instrText>
      </w:r>
      <w:r>
        <w:fldChar w:fldCharType="separate"/>
      </w:r>
      <w:r w:rsidR="00DC3470">
        <w:t>21</w:t>
      </w:r>
      <w:r>
        <w:fldChar w:fldCharType="end"/>
      </w:r>
    </w:p>
    <w:p w:rsidR="007D0E8D" w:rsidRDefault="007D0E8D">
      <w:pPr>
        <w:pStyle w:val="TOC8"/>
        <w:rPr>
          <w:rFonts w:asciiTheme="minorHAnsi" w:eastAsiaTheme="minorEastAsia" w:hAnsiTheme="minorHAnsi" w:cstheme="minorBidi"/>
          <w:szCs w:val="22"/>
        </w:rPr>
      </w:pPr>
      <w:r>
        <w:t>26.</w:t>
      </w:r>
      <w:r>
        <w:tab/>
        <w:t>S</w:t>
      </w:r>
      <w:r w:rsidRPr="00BF0386">
        <w:rPr>
          <w:color w:val="000000"/>
        </w:rPr>
        <w:t>afety report, application for approval of</w:t>
      </w:r>
      <w:r>
        <w:tab/>
      </w:r>
      <w:r>
        <w:fldChar w:fldCharType="begin"/>
      </w:r>
      <w:r>
        <w:instrText xml:space="preserve"> PAGEREF _Toc74910964 \h </w:instrText>
      </w:r>
      <w:r>
        <w:fldChar w:fldCharType="separate"/>
      </w:r>
      <w:r w:rsidR="00DC3470">
        <w:t>22</w:t>
      </w:r>
      <w:r>
        <w:fldChar w:fldCharType="end"/>
      </w:r>
    </w:p>
    <w:p w:rsidR="007D0E8D" w:rsidRDefault="007D0E8D">
      <w:pPr>
        <w:pStyle w:val="TOC8"/>
        <w:rPr>
          <w:rFonts w:asciiTheme="minorHAnsi" w:eastAsiaTheme="minorEastAsia" w:hAnsiTheme="minorHAnsi" w:cstheme="minorBidi"/>
          <w:szCs w:val="22"/>
        </w:rPr>
      </w:pPr>
      <w:r>
        <w:t>27.</w:t>
      </w:r>
      <w:r>
        <w:tab/>
        <w:t>S</w:t>
      </w:r>
      <w:r w:rsidRPr="00BF0386">
        <w:rPr>
          <w:color w:val="000000"/>
        </w:rPr>
        <w:t xml:space="preserve">afety report, approval of </w:t>
      </w:r>
      <w:r>
        <w:t>by Chief Officer</w:t>
      </w:r>
      <w:r>
        <w:tab/>
      </w:r>
      <w:r>
        <w:fldChar w:fldCharType="begin"/>
      </w:r>
      <w:r>
        <w:instrText xml:space="preserve"> PAGEREF _Toc74910965 \h </w:instrText>
      </w:r>
      <w:r>
        <w:fldChar w:fldCharType="separate"/>
      </w:r>
      <w:r w:rsidR="00DC3470">
        <w:t>22</w:t>
      </w:r>
      <w:r>
        <w:fldChar w:fldCharType="end"/>
      </w:r>
    </w:p>
    <w:p w:rsidR="007D0E8D" w:rsidRDefault="007D0E8D">
      <w:pPr>
        <w:pStyle w:val="TOC8"/>
        <w:rPr>
          <w:rFonts w:asciiTheme="minorHAnsi" w:eastAsiaTheme="minorEastAsia" w:hAnsiTheme="minorHAnsi" w:cstheme="minorBidi"/>
          <w:szCs w:val="22"/>
        </w:rPr>
      </w:pPr>
      <w:r>
        <w:t>28.</w:t>
      </w:r>
      <w:r>
        <w:tab/>
        <w:t xml:space="preserve">Withdrawal of approval of </w:t>
      </w:r>
      <w:r w:rsidRPr="00BF0386">
        <w:rPr>
          <w:color w:val="000000"/>
        </w:rPr>
        <w:t>safety report</w:t>
      </w:r>
      <w:r>
        <w:tab/>
      </w:r>
      <w:r>
        <w:fldChar w:fldCharType="begin"/>
      </w:r>
      <w:r>
        <w:instrText xml:space="preserve"> PAGEREF _Toc74910966 \h </w:instrText>
      </w:r>
      <w:r>
        <w:fldChar w:fldCharType="separate"/>
      </w:r>
      <w:r w:rsidR="00DC3470">
        <w:t>23</w:t>
      </w:r>
      <w:r>
        <w:fldChar w:fldCharType="end"/>
      </w:r>
    </w:p>
    <w:p w:rsidR="007D0E8D" w:rsidRDefault="007D0E8D">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sidRPr="00BF0386">
        <w:rPr>
          <w:color w:val="000000"/>
        </w:rPr>
        <w:t>safety report</w:t>
      </w:r>
      <w:r>
        <w:tab/>
      </w:r>
      <w:r>
        <w:fldChar w:fldCharType="begin"/>
      </w:r>
      <w:r>
        <w:instrText xml:space="preserve"> PAGEREF _Toc74910967 \h </w:instrText>
      </w:r>
      <w:r>
        <w:fldChar w:fldCharType="separate"/>
      </w:r>
      <w:r w:rsidR="00DC3470">
        <w:t>23</w:t>
      </w:r>
      <w:r>
        <w:fldChar w:fldCharType="end"/>
      </w:r>
    </w:p>
    <w:p w:rsidR="007D0E8D" w:rsidRDefault="007D0E8D">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_Toc74910968 \h </w:instrText>
      </w:r>
      <w:r>
        <w:fldChar w:fldCharType="separate"/>
      </w:r>
      <w:r w:rsidR="00DC3470">
        <w:t>24</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lastRenderedPageBreak/>
        <w:t>Part 6 — Miscellaneous</w:t>
      </w:r>
    </w:p>
    <w:p w:rsidR="007D0E8D" w:rsidRDefault="007D0E8D">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_Toc74910970 \h </w:instrText>
      </w:r>
      <w:r>
        <w:fldChar w:fldCharType="separate"/>
      </w:r>
      <w:r w:rsidR="00DC3470">
        <w:t>27</w:t>
      </w:r>
      <w:r>
        <w:fldChar w:fldCharType="end"/>
      </w:r>
    </w:p>
    <w:p w:rsidR="007D0E8D" w:rsidRDefault="007D0E8D">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_Toc74910971 \h </w:instrText>
      </w:r>
      <w:r>
        <w:fldChar w:fldCharType="separate"/>
      </w:r>
      <w:r w:rsidR="00DC3470">
        <w:t>27</w:t>
      </w:r>
      <w:r>
        <w:fldChar w:fldCharType="end"/>
      </w:r>
    </w:p>
    <w:p w:rsidR="007D0E8D" w:rsidRDefault="007D0E8D">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_Toc74910972 \h </w:instrText>
      </w:r>
      <w:r>
        <w:fldChar w:fldCharType="separate"/>
      </w:r>
      <w:r w:rsidR="00DC3470">
        <w:t>27</w:t>
      </w:r>
      <w:r>
        <w:fldChar w:fldCharType="end"/>
      </w:r>
    </w:p>
    <w:p w:rsidR="007D0E8D" w:rsidRDefault="007D0E8D">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_Toc74910973 \h </w:instrText>
      </w:r>
      <w:r>
        <w:fldChar w:fldCharType="separate"/>
      </w:r>
      <w:r w:rsidR="00DC3470">
        <w:t>28</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rsidR="007D0E8D" w:rsidRDefault="007D0E8D">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_Toc74910975 \h </w:instrText>
      </w:r>
      <w:r>
        <w:fldChar w:fldCharType="separate"/>
      </w:r>
      <w:r w:rsidR="00DC3470">
        <w:t>31</w:t>
      </w:r>
      <w:r>
        <w:fldChar w:fldCharType="end"/>
      </w:r>
    </w:p>
    <w:p w:rsidR="007D0E8D" w:rsidRDefault="007D0E8D">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_Toc74910976 \h </w:instrText>
      </w:r>
      <w:r>
        <w:fldChar w:fldCharType="separate"/>
      </w:r>
      <w:r w:rsidR="00DC3470">
        <w:t>33</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Schedule 2 — Notifiable information</w:t>
      </w:r>
    </w:p>
    <w:p w:rsidR="007D0E8D" w:rsidRDefault="007D0E8D">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_Toc74910978 \h </w:instrText>
      </w:r>
      <w:r>
        <w:fldChar w:fldCharType="separate"/>
      </w:r>
      <w:r w:rsidR="00DC3470">
        <w:t>38</w:t>
      </w:r>
      <w:r>
        <w:fldChar w:fldCharType="end"/>
      </w:r>
    </w:p>
    <w:p w:rsidR="007D0E8D" w:rsidRDefault="007D0E8D">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_Toc74910979 \h </w:instrText>
      </w:r>
      <w:r>
        <w:fldChar w:fldCharType="separate"/>
      </w:r>
      <w:r w:rsidR="00DC3470">
        <w:t>38</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Schedule 3 — Fees</w:t>
      </w:r>
    </w:p>
    <w:p w:rsidR="007D0E8D" w:rsidRDefault="007D0E8D">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_Toc74910981 \h </w:instrText>
      </w:r>
      <w:r>
        <w:fldChar w:fldCharType="separate"/>
      </w:r>
      <w:r w:rsidR="00DC3470">
        <w:t>39</w:t>
      </w:r>
      <w:r>
        <w:fldChar w:fldCharType="end"/>
      </w:r>
    </w:p>
    <w:p w:rsidR="007D0E8D" w:rsidRDefault="007D0E8D">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_Toc74910982 \h </w:instrText>
      </w:r>
      <w:r>
        <w:fldChar w:fldCharType="separate"/>
      </w:r>
      <w:r w:rsidR="00DC3470">
        <w:t>39</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sidRPr="00BF0386">
        <w:rPr>
          <w:color w:val="000000"/>
        </w:rPr>
        <w:t>safety management system</w:t>
      </w:r>
    </w:p>
    <w:p w:rsidR="007D0E8D" w:rsidRDefault="007D0E8D">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_Toc74910984 \h </w:instrText>
      </w:r>
      <w:r>
        <w:fldChar w:fldCharType="separate"/>
      </w:r>
      <w:r w:rsidR="00DC3470">
        <w:t>41</w:t>
      </w:r>
      <w:r>
        <w:fldChar w:fldCharType="end"/>
      </w:r>
    </w:p>
    <w:p w:rsidR="007D0E8D" w:rsidRDefault="007D0E8D">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_Toc74910985 \h </w:instrText>
      </w:r>
      <w:r>
        <w:fldChar w:fldCharType="separate"/>
      </w:r>
      <w:r w:rsidR="00DC3470">
        <w:t>41</w:t>
      </w:r>
      <w:r>
        <w:fldChar w:fldCharType="end"/>
      </w:r>
    </w:p>
    <w:p w:rsidR="007D0E8D" w:rsidRDefault="007D0E8D">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_Toc74910986 \h </w:instrText>
      </w:r>
      <w:r>
        <w:fldChar w:fldCharType="separate"/>
      </w:r>
      <w:r w:rsidR="00DC3470">
        <w:t>41</w:t>
      </w:r>
      <w:r>
        <w:fldChar w:fldCharType="end"/>
      </w:r>
    </w:p>
    <w:p w:rsidR="007D0E8D" w:rsidRDefault="007D0E8D">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_Toc74910987 \h </w:instrText>
      </w:r>
      <w:r>
        <w:fldChar w:fldCharType="separate"/>
      </w:r>
      <w:r w:rsidR="00DC3470">
        <w:t>41</w:t>
      </w:r>
      <w:r>
        <w:fldChar w:fldCharType="end"/>
      </w:r>
    </w:p>
    <w:p w:rsidR="007D0E8D" w:rsidRDefault="007D0E8D">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_Toc74910988 \h </w:instrText>
      </w:r>
      <w:r>
        <w:fldChar w:fldCharType="separate"/>
      </w:r>
      <w:r w:rsidR="00DC3470">
        <w:t>42</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t>Notes</w:t>
      </w:r>
    </w:p>
    <w:p w:rsidR="007D0E8D" w:rsidRDefault="007D0E8D" w:rsidP="007D0E8D">
      <w:pPr>
        <w:pStyle w:val="TOC8"/>
        <w:rPr>
          <w:rFonts w:asciiTheme="minorHAnsi" w:eastAsiaTheme="minorEastAsia" w:hAnsiTheme="minorHAnsi" w:cstheme="minorBidi"/>
          <w:szCs w:val="22"/>
        </w:rPr>
      </w:pPr>
      <w:r>
        <w:tab/>
        <w:t>Compilation table</w:t>
      </w:r>
      <w:r>
        <w:tab/>
      </w:r>
      <w:r>
        <w:fldChar w:fldCharType="begin"/>
      </w:r>
      <w:r>
        <w:instrText xml:space="preserve"> PAGEREF _Toc74910990 \h </w:instrText>
      </w:r>
      <w:r>
        <w:fldChar w:fldCharType="separate"/>
      </w:r>
      <w:r w:rsidR="00DC3470">
        <w:t>43</w:t>
      </w:r>
      <w:r>
        <w:fldChar w:fldCharType="end"/>
      </w:r>
    </w:p>
    <w:p w:rsidR="007D0E8D" w:rsidRDefault="007D0E8D" w:rsidP="007D0E8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_Toc74910991 \h </w:instrText>
      </w:r>
      <w:r>
        <w:fldChar w:fldCharType="separate"/>
      </w:r>
      <w:r w:rsidR="00DC3470">
        <w:t>45</w:t>
      </w:r>
      <w:r>
        <w:fldChar w:fldCharType="end"/>
      </w:r>
    </w:p>
    <w:p w:rsidR="007D0E8D" w:rsidRDefault="007D0E8D" w:rsidP="007D0E8D">
      <w:pPr>
        <w:pStyle w:val="TOC8"/>
        <w:rPr>
          <w:rFonts w:asciiTheme="minorHAnsi" w:eastAsiaTheme="minorEastAsia" w:hAnsiTheme="minorHAnsi" w:cstheme="minorBidi"/>
          <w:szCs w:val="22"/>
        </w:rPr>
      </w:pPr>
      <w:r>
        <w:tab/>
        <w:t>Other notes</w:t>
      </w:r>
      <w:r>
        <w:tab/>
      </w:r>
      <w:r>
        <w:fldChar w:fldCharType="begin"/>
      </w:r>
      <w:r>
        <w:instrText xml:space="preserve"> PAGEREF _Toc74910992 \h </w:instrText>
      </w:r>
      <w:r>
        <w:fldChar w:fldCharType="separate"/>
      </w:r>
      <w:r w:rsidR="00DC3470">
        <w:t>45</w:t>
      </w:r>
      <w:r>
        <w:fldChar w:fldCharType="end"/>
      </w:r>
    </w:p>
    <w:p w:rsidR="007D0E8D" w:rsidRDefault="007D0E8D">
      <w:pPr>
        <w:pStyle w:val="TOC2"/>
        <w:tabs>
          <w:tab w:val="right" w:leader="dot" w:pos="7077"/>
        </w:tabs>
        <w:rPr>
          <w:rFonts w:asciiTheme="minorHAnsi" w:eastAsiaTheme="minorEastAsia" w:hAnsiTheme="minorHAnsi" w:cstheme="minorBidi"/>
          <w:b w:val="0"/>
          <w:sz w:val="22"/>
          <w:szCs w:val="22"/>
        </w:rPr>
      </w:pPr>
      <w:r>
        <w:lastRenderedPageBreak/>
        <w:t>Defined terms</w:t>
      </w:r>
    </w:p>
    <w:p w:rsidR="00793901" w:rsidRDefault="00D72AE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93901" w:rsidRDefault="00793901">
      <w:pPr>
        <w:pStyle w:val="NoteHeading"/>
        <w:sectPr w:rsidR="0079390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93901" w:rsidRDefault="00D72AE8">
      <w:pPr>
        <w:pStyle w:val="PrincipalActReg"/>
      </w:pPr>
      <w:r>
        <w:lastRenderedPageBreak/>
        <w:t>Dangerous Goods Safety Act 2004</w:t>
      </w:r>
    </w:p>
    <w:p w:rsidR="00793901" w:rsidRDefault="00D72AE8">
      <w:pPr>
        <w:pStyle w:val="NameofActReg"/>
      </w:pPr>
      <w:r>
        <w:t>Dangerous Goods Safety (Major Hazard Facilities) Regulations 2007</w:t>
      </w:r>
    </w:p>
    <w:p w:rsidR="00793901" w:rsidRDefault="00D72AE8">
      <w:pPr>
        <w:pStyle w:val="Heading2"/>
        <w:pageBreakBefore w:val="0"/>
        <w:spacing w:before="240"/>
      </w:pPr>
      <w:bookmarkStart w:id="3" w:name="_Toc74910254"/>
      <w:bookmarkStart w:id="4" w:name="_Toc74910313"/>
      <w:bookmarkStart w:id="5" w:name="_Toc74910934"/>
      <w:r>
        <w:rPr>
          <w:rStyle w:val="CharPartNo"/>
        </w:rPr>
        <w:t>Part 1</w:t>
      </w:r>
      <w:r>
        <w:rPr>
          <w:rStyle w:val="CharDivNo"/>
        </w:rPr>
        <w:t> </w:t>
      </w:r>
      <w:r>
        <w:t>—</w:t>
      </w:r>
      <w:r>
        <w:rPr>
          <w:rStyle w:val="CharDivText"/>
        </w:rPr>
        <w:t> </w:t>
      </w:r>
      <w:r>
        <w:rPr>
          <w:rStyle w:val="CharPartText"/>
        </w:rPr>
        <w:t>Preliminary</w:t>
      </w:r>
      <w:bookmarkEnd w:id="3"/>
      <w:bookmarkEnd w:id="4"/>
      <w:bookmarkEnd w:id="5"/>
    </w:p>
    <w:p w:rsidR="00793901" w:rsidRDefault="00D72AE8">
      <w:pPr>
        <w:pStyle w:val="Heading5"/>
      </w:pPr>
      <w:bookmarkStart w:id="6" w:name="_Toc74910935"/>
      <w:r>
        <w:rPr>
          <w:rStyle w:val="CharSectno"/>
        </w:rPr>
        <w:t>1</w:t>
      </w:r>
      <w:r>
        <w:t>.</w:t>
      </w:r>
      <w:r>
        <w:tab/>
        <w:t>Citation</w:t>
      </w:r>
      <w:bookmarkEnd w:id="6"/>
    </w:p>
    <w:p w:rsidR="00793901" w:rsidRDefault="00D72AE8">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rsidR="00793901" w:rsidRDefault="00D72AE8">
      <w:pPr>
        <w:pStyle w:val="Heading5"/>
      </w:pPr>
      <w:bookmarkStart w:id="7" w:name="_Toc74910936"/>
      <w:r>
        <w:rPr>
          <w:rStyle w:val="CharSectno"/>
        </w:rPr>
        <w:t>2</w:t>
      </w:r>
      <w:r>
        <w:t>.</w:t>
      </w:r>
      <w:r>
        <w:tab/>
        <w:t>Commencement</w:t>
      </w:r>
      <w:bookmarkEnd w:id="7"/>
    </w:p>
    <w:p w:rsidR="00793901" w:rsidRDefault="00D72AE8">
      <w:pPr>
        <w:pStyle w:val="Subsection"/>
      </w:pPr>
      <w:r>
        <w:tab/>
      </w:r>
      <w:r>
        <w:tab/>
        <w:t>These regulations come into operation as follows:</w:t>
      </w:r>
    </w:p>
    <w:p w:rsidR="00793901" w:rsidRDefault="00D72AE8">
      <w:pPr>
        <w:pStyle w:val="Indenta"/>
      </w:pPr>
      <w:r>
        <w:tab/>
        <w:t>(a)</w:t>
      </w:r>
      <w:r>
        <w:tab/>
        <w:t xml:space="preserve">regulations 1 and 2 — on the day on which these regulations are published in the </w:t>
      </w:r>
      <w:r>
        <w:rPr>
          <w:i/>
          <w:iCs/>
        </w:rPr>
        <w:t>Gazette</w:t>
      </w:r>
      <w:r>
        <w:t>;</w:t>
      </w:r>
    </w:p>
    <w:p w:rsidR="00793901" w:rsidRDefault="00D72AE8">
      <w:pPr>
        <w:pStyle w:val="Indenta"/>
      </w:pPr>
      <w:r>
        <w:tab/>
        <w:t>(b)</w:t>
      </w:r>
      <w:r>
        <w:tab/>
        <w:t xml:space="preserve">the rest of the regulations — on the day on which Part 3 of the </w:t>
      </w:r>
      <w:r>
        <w:rPr>
          <w:i/>
          <w:iCs/>
        </w:rPr>
        <w:t>Dangerous Goods Safety Act 2004</w:t>
      </w:r>
      <w:r>
        <w:t xml:space="preserve"> comes into operation.</w:t>
      </w:r>
    </w:p>
    <w:p w:rsidR="00793901" w:rsidRDefault="00D72AE8">
      <w:pPr>
        <w:pStyle w:val="Heading5"/>
      </w:pPr>
      <w:bookmarkStart w:id="8" w:name="_Toc74910937"/>
      <w:r>
        <w:rPr>
          <w:rStyle w:val="CharSectno"/>
        </w:rPr>
        <w:t>3</w:t>
      </w:r>
      <w:r>
        <w:t>.</w:t>
      </w:r>
      <w:r>
        <w:tab/>
        <w:t>Application of regulations</w:t>
      </w:r>
      <w:bookmarkEnd w:id="8"/>
    </w:p>
    <w:p w:rsidR="00793901" w:rsidRDefault="00D72AE8">
      <w:pPr>
        <w:pStyle w:val="Subsection"/>
      </w:pPr>
      <w:r>
        <w:tab/>
        <w:t>(1)</w:t>
      </w:r>
      <w:r>
        <w:tab/>
        <w:t>Except as provided in subregulation (2), these regulations apply to and in relation to a place at which more than the critical quantity of Schedule 1 substances is present or is likely to be present.</w:t>
      </w:r>
    </w:p>
    <w:p w:rsidR="00793901" w:rsidRDefault="00D72AE8">
      <w:pPr>
        <w:pStyle w:val="Subsection"/>
        <w:keepNext/>
      </w:pPr>
      <w:r>
        <w:tab/>
        <w:t>(2)</w:t>
      </w:r>
      <w:r>
        <w:tab/>
        <w:t xml:space="preserve">These regulations do not apply to or in relation to a place if — </w:t>
      </w:r>
    </w:p>
    <w:p w:rsidR="00793901" w:rsidRDefault="00D72AE8">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rsidR="00793901" w:rsidRDefault="00D72AE8">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rsidR="00793901" w:rsidRDefault="00D72AE8">
      <w:pPr>
        <w:pStyle w:val="Heading5"/>
      </w:pPr>
      <w:bookmarkStart w:id="9" w:name="_Toc74910938"/>
      <w:r>
        <w:rPr>
          <w:rStyle w:val="CharSectno"/>
        </w:rPr>
        <w:t>4</w:t>
      </w:r>
      <w:r>
        <w:t>.</w:t>
      </w:r>
      <w:r>
        <w:tab/>
        <w:t>Terms used</w:t>
      </w:r>
      <w:bookmarkEnd w:id="9"/>
    </w:p>
    <w:p w:rsidR="00793901" w:rsidRDefault="00D72AE8">
      <w:pPr>
        <w:pStyle w:val="Subsection"/>
      </w:pPr>
      <w:r>
        <w:tab/>
      </w:r>
      <w:r>
        <w:tab/>
        <w:t xml:space="preserve">In these regulations, unless the contrary intention appears — </w:t>
      </w:r>
    </w:p>
    <w:p w:rsidR="00793901" w:rsidRDefault="00D72AE8">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793901" w:rsidRDefault="00D72AE8">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rsidR="00793901" w:rsidRDefault="00D72AE8">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rsidR="00793901" w:rsidRDefault="00D72AE8">
      <w:pPr>
        <w:pStyle w:val="Defstart"/>
        <w:spacing w:before="100"/>
      </w:pPr>
      <w:r>
        <w:rPr>
          <w:b/>
        </w:rPr>
        <w:tab/>
      </w:r>
      <w:r>
        <w:rPr>
          <w:rStyle w:val="CharDefText"/>
        </w:rPr>
        <w:t>commencement day</w:t>
      </w:r>
      <w:r>
        <w:t xml:space="preserve"> means the day on which the Act Part 3 comes into operation;</w:t>
      </w:r>
    </w:p>
    <w:p w:rsidR="00793901" w:rsidRDefault="00D72AE8">
      <w:pPr>
        <w:pStyle w:val="Defstart"/>
        <w:keepNext/>
        <w:spacing w:before="100"/>
      </w:pPr>
      <w:r>
        <w:rPr>
          <w:b/>
        </w:rPr>
        <w:lastRenderedPageBreak/>
        <w:tab/>
      </w:r>
      <w:r>
        <w:rPr>
          <w:rStyle w:val="CharDefText"/>
        </w:rPr>
        <w:t>compliance day</w:t>
      </w:r>
      <w:r>
        <w:rPr>
          <w:bCs/>
        </w:rPr>
        <w:t>, in relation to a major hazard facility,</w:t>
      </w:r>
      <w:r>
        <w:t xml:space="preserve"> means — </w:t>
      </w:r>
    </w:p>
    <w:p w:rsidR="00793901" w:rsidRDefault="00D72AE8">
      <w:pPr>
        <w:pStyle w:val="Defpara"/>
        <w:keepNext/>
        <w:spacing w:before="100"/>
      </w:pPr>
      <w:r>
        <w:tab/>
        <w:t>(a)</w:t>
      </w:r>
      <w:r>
        <w:tab/>
        <w:t xml:space="preserve">in the case of a facility other than a modified place — </w:t>
      </w:r>
    </w:p>
    <w:p w:rsidR="00793901" w:rsidRDefault="00D72AE8">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rsidR="00793901" w:rsidRDefault="00D72AE8">
      <w:pPr>
        <w:pStyle w:val="Defitem"/>
        <w:spacing w:before="100"/>
      </w:pPr>
      <w:r>
        <w:tab/>
        <w:t>(I)</w:t>
      </w:r>
      <w:r>
        <w:tab/>
        <w:t>the day specified in the notice under regulation 21(2)(a)(i); or</w:t>
      </w:r>
    </w:p>
    <w:p w:rsidR="00793901" w:rsidRDefault="00D72AE8">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rsidR="00793901" w:rsidRDefault="00D72AE8">
      <w:pPr>
        <w:pStyle w:val="Defsubpara"/>
        <w:spacing w:before="100"/>
      </w:pPr>
      <w:r>
        <w:tab/>
      </w:r>
      <w:r>
        <w:tab/>
        <w:t>or</w:t>
      </w:r>
    </w:p>
    <w:p w:rsidR="00793901" w:rsidRDefault="00D72AE8">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rsidR="00793901" w:rsidRDefault="00D72AE8">
      <w:pPr>
        <w:pStyle w:val="Defpara"/>
        <w:spacing w:before="100"/>
      </w:pPr>
      <w:r>
        <w:tab/>
      </w:r>
      <w:r>
        <w:tab/>
        <w:t>or</w:t>
      </w:r>
    </w:p>
    <w:p w:rsidR="00793901" w:rsidRDefault="00D72AE8">
      <w:pPr>
        <w:pStyle w:val="Defpara"/>
        <w:spacing w:before="100"/>
      </w:pPr>
      <w:r>
        <w:tab/>
        <w:t>(b)</w:t>
      </w:r>
      <w:r>
        <w:tab/>
        <w:t>in the case of a modified place — the day when the notifiable change occurs;</w:t>
      </w:r>
    </w:p>
    <w:p w:rsidR="00793901" w:rsidRDefault="00D72AE8">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rsidR="00793901" w:rsidRDefault="00D72AE8">
      <w:pPr>
        <w:pStyle w:val="Defstart"/>
        <w:spacing w:before="100"/>
      </w:pPr>
      <w:r>
        <w:rPr>
          <w:b/>
        </w:rPr>
        <w:tab/>
      </w:r>
      <w:r>
        <w:rPr>
          <w:rStyle w:val="CharDefText"/>
        </w:rPr>
        <w:t>Dangerous Goods List</w:t>
      </w:r>
      <w:r>
        <w:t xml:space="preserve"> means the list set out in the ADG Code section 3.2.3;</w:t>
      </w:r>
    </w:p>
    <w:p w:rsidR="00793901" w:rsidRDefault="00D72AE8">
      <w:pPr>
        <w:pStyle w:val="Defstart"/>
        <w:keepNext/>
        <w:spacing w:before="100"/>
      </w:pPr>
      <w:r>
        <w:rPr>
          <w:b/>
        </w:rPr>
        <w:tab/>
      </w:r>
      <w:r>
        <w:rPr>
          <w:rStyle w:val="CharDefText"/>
        </w:rPr>
        <w:t>employee</w:t>
      </w:r>
      <w:r>
        <w:t xml:space="preserve">, at a place, means any person who works at the place under — </w:t>
      </w:r>
    </w:p>
    <w:p w:rsidR="00793901" w:rsidRDefault="00D72AE8">
      <w:pPr>
        <w:pStyle w:val="Defpara"/>
        <w:spacing w:before="100"/>
      </w:pPr>
      <w:r>
        <w:tab/>
        <w:t>(a)</w:t>
      </w:r>
      <w:r>
        <w:tab/>
        <w:t>a contract of service; or</w:t>
      </w:r>
    </w:p>
    <w:p w:rsidR="00793901" w:rsidRDefault="00D72AE8">
      <w:pPr>
        <w:pStyle w:val="Defpara"/>
        <w:spacing w:before="100"/>
      </w:pPr>
      <w:r>
        <w:tab/>
        <w:t>(b)</w:t>
      </w:r>
      <w:r>
        <w:tab/>
        <w:t>a contract for services; or</w:t>
      </w:r>
    </w:p>
    <w:p w:rsidR="00793901" w:rsidRDefault="00D72AE8">
      <w:pPr>
        <w:pStyle w:val="Defpara"/>
        <w:spacing w:before="100"/>
      </w:pPr>
      <w:r>
        <w:lastRenderedPageBreak/>
        <w:tab/>
        <w:t>(c)</w:t>
      </w:r>
      <w:r>
        <w:tab/>
        <w:t xml:space="preserve">a training contract registered under the </w:t>
      </w:r>
      <w:r>
        <w:rPr>
          <w:i/>
        </w:rPr>
        <w:t>Vocational Education and Training Act 1996</w:t>
      </w:r>
      <w:r>
        <w:t xml:space="preserve"> Part 7 Division 2;</w:t>
      </w:r>
    </w:p>
    <w:p w:rsidR="00793901" w:rsidRDefault="00D72AE8">
      <w:pPr>
        <w:pStyle w:val="Defstart"/>
        <w:spacing w:before="100"/>
      </w:pPr>
      <w:r>
        <w:rPr>
          <w:b/>
        </w:rPr>
        <w:tab/>
      </w:r>
      <w:r>
        <w:rPr>
          <w:rStyle w:val="CharDefText"/>
        </w:rPr>
        <w:t>existing facility</w:t>
      </w:r>
      <w:r>
        <w:t xml:space="preserve"> means a place — </w:t>
      </w:r>
    </w:p>
    <w:p w:rsidR="00793901" w:rsidRDefault="00D72AE8">
      <w:pPr>
        <w:pStyle w:val="Defpara"/>
        <w:spacing w:before="100"/>
      </w:pPr>
      <w:r>
        <w:tab/>
        <w:t>(a)</w:t>
      </w:r>
      <w:r>
        <w:tab/>
        <w:t>at which more than the critical quantity of Schedule 1 substances is present; and</w:t>
      </w:r>
    </w:p>
    <w:p w:rsidR="00793901" w:rsidRDefault="00D72AE8">
      <w:pPr>
        <w:pStyle w:val="Defpara"/>
        <w:spacing w:before="100"/>
      </w:pPr>
      <w:r>
        <w:tab/>
        <w:t>(b)</w:t>
      </w:r>
      <w:r>
        <w:tab/>
        <w:t xml:space="preserve">that immediately before the commencement day — </w:t>
      </w:r>
    </w:p>
    <w:p w:rsidR="00793901" w:rsidRDefault="00D72AE8">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rsidR="00793901" w:rsidRDefault="00D72AE8">
      <w:pPr>
        <w:pStyle w:val="Defsubpara"/>
        <w:spacing w:before="100"/>
      </w:pPr>
      <w:r>
        <w:tab/>
        <w:t>(ii)</w:t>
      </w:r>
      <w:r>
        <w:tab/>
        <w:t>at which more than the critical quantity of Schedule 1 substances was permitted, under the licence, to be present;</w:t>
      </w:r>
    </w:p>
    <w:p w:rsidR="00793901" w:rsidRDefault="00D72AE8">
      <w:pPr>
        <w:pStyle w:val="Defstart"/>
        <w:spacing w:before="100"/>
      </w:pPr>
      <w:r>
        <w:rPr>
          <w:b/>
        </w:rPr>
        <w:tab/>
      </w:r>
      <w:r>
        <w:rPr>
          <w:rStyle w:val="CharDefText"/>
        </w:rPr>
        <w:t>harm</w:t>
      </w:r>
      <w:r>
        <w:t xml:space="preserve"> means — </w:t>
      </w:r>
    </w:p>
    <w:p w:rsidR="00793901" w:rsidRDefault="00D72AE8">
      <w:pPr>
        <w:pStyle w:val="Defpara"/>
        <w:spacing w:before="100"/>
      </w:pPr>
      <w:r>
        <w:tab/>
        <w:t>(a)</w:t>
      </w:r>
      <w:r>
        <w:tab/>
        <w:t>injury to, or harm to the health of, an individual; or</w:t>
      </w:r>
    </w:p>
    <w:p w:rsidR="00793901" w:rsidRDefault="00D72AE8">
      <w:pPr>
        <w:pStyle w:val="Defpara"/>
        <w:spacing w:before="100"/>
      </w:pPr>
      <w:r>
        <w:tab/>
        <w:t>(b)</w:t>
      </w:r>
      <w:r>
        <w:tab/>
        <w:t>damage or harm to property or the environment;</w:t>
      </w:r>
    </w:p>
    <w:p w:rsidR="00793901" w:rsidRDefault="00D72AE8">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rsidR="00793901" w:rsidRDefault="00D72AE8">
      <w:pPr>
        <w:pStyle w:val="Defstart"/>
        <w:spacing w:before="100"/>
      </w:pPr>
      <w:r>
        <w:rPr>
          <w:b/>
        </w:rPr>
        <w:tab/>
      </w:r>
      <w:r>
        <w:rPr>
          <w:rStyle w:val="CharDefText"/>
        </w:rPr>
        <w:t>major hazard facility</w:t>
      </w:r>
      <w:r>
        <w:t xml:space="preserve"> has the meaning given in regulation 5;</w:t>
      </w:r>
    </w:p>
    <w:p w:rsidR="00793901" w:rsidRDefault="00D72AE8">
      <w:pPr>
        <w:pStyle w:val="Defstart"/>
        <w:spacing w:before="100"/>
      </w:pPr>
      <w:r>
        <w:rPr>
          <w:b/>
        </w:rPr>
        <w:tab/>
      </w:r>
      <w:r>
        <w:rPr>
          <w:rStyle w:val="CharDefText"/>
        </w:rPr>
        <w:t>major incident</w:t>
      </w:r>
      <w:r>
        <w:t xml:space="preserve"> means an incident involving or affecting a Schedule 1 substance, including — </w:t>
      </w:r>
    </w:p>
    <w:p w:rsidR="00793901" w:rsidRDefault="00D72AE8">
      <w:pPr>
        <w:pStyle w:val="Defpara"/>
        <w:spacing w:before="100"/>
      </w:pPr>
      <w:r>
        <w:tab/>
        <w:t>(a)</w:t>
      </w:r>
      <w:r>
        <w:tab/>
        <w:t>an emission of a Schedule 1 substance; or</w:t>
      </w:r>
    </w:p>
    <w:p w:rsidR="00793901" w:rsidRDefault="00D72AE8">
      <w:pPr>
        <w:pStyle w:val="Defpara"/>
        <w:spacing w:before="100"/>
      </w:pPr>
      <w:r>
        <w:tab/>
        <w:t>(b)</w:t>
      </w:r>
      <w:r>
        <w:tab/>
        <w:t>a loss of containment of a Schedule 1 substance; or</w:t>
      </w:r>
    </w:p>
    <w:p w:rsidR="00793901" w:rsidRDefault="00D72AE8">
      <w:pPr>
        <w:pStyle w:val="Defpara"/>
        <w:spacing w:before="100"/>
      </w:pPr>
      <w:r>
        <w:tab/>
        <w:t>(c)</w:t>
      </w:r>
      <w:r>
        <w:tab/>
        <w:t>a fire; or</w:t>
      </w:r>
    </w:p>
    <w:p w:rsidR="00793901" w:rsidRDefault="00D72AE8">
      <w:pPr>
        <w:pStyle w:val="Defpara"/>
        <w:spacing w:before="100"/>
      </w:pPr>
      <w:r>
        <w:tab/>
        <w:t>(d)</w:t>
      </w:r>
      <w:r>
        <w:tab/>
        <w:t>an explosion; or</w:t>
      </w:r>
    </w:p>
    <w:p w:rsidR="00793901" w:rsidRDefault="00D72AE8">
      <w:pPr>
        <w:pStyle w:val="Defpara"/>
        <w:spacing w:before="100"/>
      </w:pPr>
      <w:r>
        <w:tab/>
        <w:t>(e)</w:t>
      </w:r>
      <w:r>
        <w:tab/>
        <w:t xml:space="preserve">a release of energy, </w:t>
      </w:r>
    </w:p>
    <w:p w:rsidR="00793901" w:rsidRDefault="00D72AE8">
      <w:pPr>
        <w:pStyle w:val="Defstart"/>
        <w:spacing w:before="100"/>
      </w:pPr>
      <w:r>
        <w:tab/>
        <w:t>that causes serious harm to people, property or the environment;</w:t>
      </w:r>
    </w:p>
    <w:p w:rsidR="00793901" w:rsidRDefault="00D72AE8">
      <w:pPr>
        <w:pStyle w:val="Defstart"/>
        <w:keepNext/>
        <w:spacing w:before="100"/>
      </w:pPr>
      <w:r>
        <w:rPr>
          <w:b/>
        </w:rPr>
        <w:lastRenderedPageBreak/>
        <w:tab/>
      </w:r>
      <w:r>
        <w:rPr>
          <w:rStyle w:val="CharDefText"/>
        </w:rPr>
        <w:t>modified place</w:t>
      </w:r>
      <w:r>
        <w:t xml:space="preserve"> means a place — </w:t>
      </w:r>
    </w:p>
    <w:p w:rsidR="00793901" w:rsidRDefault="00D72AE8">
      <w:pPr>
        <w:pStyle w:val="Defpara"/>
        <w:spacing w:before="100"/>
      </w:pPr>
      <w:r>
        <w:tab/>
        <w:t>(a)</w:t>
      </w:r>
      <w:r>
        <w:tab/>
        <w:t>in respect of which an operator is required to give the Chief Officer notification under regulation 15(3); and</w:t>
      </w:r>
    </w:p>
    <w:p w:rsidR="00793901" w:rsidRDefault="00D72AE8">
      <w:pPr>
        <w:pStyle w:val="Defpara"/>
        <w:spacing w:before="100"/>
      </w:pPr>
      <w:r>
        <w:tab/>
        <w:t>(b)</w:t>
      </w:r>
      <w:r>
        <w:tab/>
        <w:t>that becomes, subsequent to the operator giving notification under regulation 15(3), a major hazard facility;</w:t>
      </w:r>
    </w:p>
    <w:p w:rsidR="00793901" w:rsidRDefault="00D72AE8">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rsidR="00793901" w:rsidRDefault="00D72AE8">
      <w:pPr>
        <w:pStyle w:val="Defstart"/>
        <w:spacing w:before="100"/>
      </w:pPr>
      <w:r>
        <w:rPr>
          <w:b/>
        </w:rPr>
        <w:tab/>
      </w:r>
      <w:r>
        <w:rPr>
          <w:rStyle w:val="CharDefText"/>
        </w:rPr>
        <w:t>notifiable information</w:t>
      </w:r>
      <w:r>
        <w:t xml:space="preserve"> means the information listed in Schedule 2;</w:t>
      </w:r>
    </w:p>
    <w:p w:rsidR="00793901" w:rsidRDefault="00D72AE8">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rsidR="00793901" w:rsidRDefault="00D72AE8">
      <w:pPr>
        <w:pStyle w:val="Defstart"/>
        <w:spacing w:before="100"/>
      </w:pPr>
      <w:r>
        <w:rPr>
          <w:b/>
        </w:rPr>
        <w:tab/>
      </w:r>
      <w:r>
        <w:rPr>
          <w:rStyle w:val="CharDefText"/>
        </w:rPr>
        <w:t>place</w:t>
      </w:r>
      <w:r>
        <w:t xml:space="preserve"> has the meaning given in regulation 6;</w:t>
      </w:r>
    </w:p>
    <w:p w:rsidR="00793901" w:rsidRDefault="00D72AE8">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rsidR="00793901" w:rsidRDefault="00D72AE8">
      <w:pPr>
        <w:pStyle w:val="Defpara"/>
        <w:spacing w:before="100"/>
      </w:pPr>
      <w:r>
        <w:tab/>
        <w:t>(a)</w:t>
      </w:r>
      <w:r>
        <w:tab/>
        <w:t xml:space="preserve">in the case of a facility other than a modified place — </w:t>
      </w:r>
    </w:p>
    <w:p w:rsidR="00793901" w:rsidRDefault="00D72AE8">
      <w:pPr>
        <w:pStyle w:val="Defsubpara"/>
        <w:spacing w:before="100"/>
      </w:pPr>
      <w:r>
        <w:tab/>
        <w:t>(i)</w:t>
      </w:r>
      <w:r>
        <w:tab/>
        <w:t>if more than the critical quantity of Schedule 1 substances is at the facility — the present; or</w:t>
      </w:r>
    </w:p>
    <w:p w:rsidR="00793901" w:rsidRDefault="00D72AE8">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rsidR="00793901" w:rsidRDefault="00D72AE8">
      <w:pPr>
        <w:pStyle w:val="Defpara"/>
        <w:spacing w:before="100"/>
      </w:pPr>
      <w:r>
        <w:tab/>
      </w:r>
      <w:r>
        <w:tab/>
        <w:t>or</w:t>
      </w:r>
    </w:p>
    <w:p w:rsidR="00793901" w:rsidRDefault="00D72AE8">
      <w:pPr>
        <w:pStyle w:val="Defpara"/>
        <w:keepNext/>
        <w:spacing w:before="120"/>
      </w:pPr>
      <w:r>
        <w:tab/>
        <w:t>(b)</w:t>
      </w:r>
      <w:r>
        <w:tab/>
        <w:t xml:space="preserve">in the case of a modified place — </w:t>
      </w:r>
    </w:p>
    <w:p w:rsidR="00793901" w:rsidRDefault="00D72AE8">
      <w:pPr>
        <w:pStyle w:val="Defsubpara"/>
        <w:keepNext/>
        <w:spacing w:before="120"/>
      </w:pPr>
      <w:r>
        <w:tab/>
        <w:t>(i)</w:t>
      </w:r>
      <w:r>
        <w:tab/>
        <w:t>if the notifiable change has occurred — the present; or</w:t>
      </w:r>
    </w:p>
    <w:p w:rsidR="00793901" w:rsidRDefault="00D72AE8">
      <w:pPr>
        <w:pStyle w:val="Defsubpara"/>
        <w:spacing w:before="120"/>
      </w:pPr>
      <w:r>
        <w:tab/>
        <w:t>(ii)</w:t>
      </w:r>
      <w:r>
        <w:tab/>
        <w:t>if the notifiable change has not occurred — the time when the notifiable change occurs;</w:t>
      </w:r>
    </w:p>
    <w:p w:rsidR="00793901" w:rsidRDefault="00D72AE8">
      <w:pPr>
        <w:pStyle w:val="Defstart"/>
        <w:spacing w:before="120"/>
      </w:pPr>
      <w:r>
        <w:rPr>
          <w:b/>
        </w:rPr>
        <w:lastRenderedPageBreak/>
        <w:tab/>
      </w:r>
      <w:r>
        <w:rPr>
          <w:rStyle w:val="CharDefText"/>
          <w:color w:val="000000"/>
        </w:rPr>
        <w:t>risk assessment</w:t>
      </w:r>
      <w:r>
        <w:t xml:space="preserve"> means a document that complies with regulation 23(2);</w:t>
      </w:r>
    </w:p>
    <w:p w:rsidR="00793901" w:rsidRDefault="00D72AE8">
      <w:pPr>
        <w:pStyle w:val="Defstart"/>
        <w:spacing w:before="120"/>
      </w:pPr>
      <w:r>
        <w:rPr>
          <w:b/>
        </w:rPr>
        <w:tab/>
      </w:r>
      <w:r>
        <w:rPr>
          <w:rStyle w:val="CharDefText"/>
          <w:color w:val="000000"/>
        </w:rPr>
        <w:t>safety management system</w:t>
      </w:r>
      <w:r>
        <w:t xml:space="preserve"> means a document that complies with regulation 24(2);</w:t>
      </w:r>
    </w:p>
    <w:p w:rsidR="00793901" w:rsidRDefault="00D72AE8">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rsidR="00793901" w:rsidRDefault="00D72AE8">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rsidR="00793901" w:rsidRDefault="00D72AE8">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rsidR="00793901" w:rsidRDefault="00D72AE8">
      <w:pPr>
        <w:pStyle w:val="Footnotesection"/>
      </w:pPr>
      <w:r>
        <w:tab/>
        <w:t>[Regulation 4 amended: Gazette 22 Jun 2010 p. 2783; 5 Feb 2016 p. 359</w:t>
      </w:r>
      <w:r>
        <w:noBreakHyphen/>
        <w:t>60; SL 2020/193 r. 6.]</w:t>
      </w:r>
    </w:p>
    <w:p w:rsidR="00793901" w:rsidRDefault="00D72AE8">
      <w:pPr>
        <w:pStyle w:val="Heading5"/>
        <w:spacing w:before="260"/>
      </w:pPr>
      <w:bookmarkStart w:id="10" w:name="_Toc74910939"/>
      <w:r>
        <w:rPr>
          <w:rStyle w:val="CharSectno"/>
        </w:rPr>
        <w:t>5</w:t>
      </w:r>
      <w:r>
        <w:t>.</w:t>
      </w:r>
      <w:r>
        <w:tab/>
        <w:t>Major hazard facility, meaning of</w:t>
      </w:r>
      <w:bookmarkEnd w:id="10"/>
    </w:p>
    <w:p w:rsidR="00793901" w:rsidRDefault="00D72AE8">
      <w:pPr>
        <w:pStyle w:val="Subsection"/>
        <w:spacing w:before="180"/>
      </w:pPr>
      <w:r>
        <w:tab/>
      </w:r>
      <w:r>
        <w:tab/>
        <w:t xml:space="preserve">A place is a major hazard facility for the purposes of these regulations if — </w:t>
      </w:r>
    </w:p>
    <w:p w:rsidR="00793901" w:rsidRDefault="00D72AE8">
      <w:pPr>
        <w:pStyle w:val="Indenta"/>
        <w:spacing w:before="100"/>
      </w:pPr>
      <w:r>
        <w:tab/>
        <w:t>(a)</w:t>
      </w:r>
      <w:r>
        <w:tab/>
        <w:t>the operator of the place has been given a notice under regulation 21(1) of the Chief Officer’s decision to classify the place as a major hazard facility; and</w:t>
      </w:r>
    </w:p>
    <w:p w:rsidR="00793901" w:rsidRDefault="00D72AE8">
      <w:pPr>
        <w:pStyle w:val="Indenta"/>
        <w:spacing w:before="100"/>
      </w:pPr>
      <w:r>
        <w:tab/>
        <w:t>(b)</w:t>
      </w:r>
      <w:r>
        <w:tab/>
        <w:t>the Chief Officer has not subsequently revoked that decision under regulation 22.</w:t>
      </w:r>
    </w:p>
    <w:p w:rsidR="00793901" w:rsidRDefault="00D72AE8">
      <w:pPr>
        <w:pStyle w:val="Heading5"/>
      </w:pPr>
      <w:bookmarkStart w:id="11" w:name="_Toc74910940"/>
      <w:r>
        <w:rPr>
          <w:rStyle w:val="CharSectno"/>
        </w:rPr>
        <w:t>6</w:t>
      </w:r>
      <w:r>
        <w:t>.</w:t>
      </w:r>
      <w:r>
        <w:tab/>
        <w:t>Place, meaning of</w:t>
      </w:r>
      <w:bookmarkEnd w:id="11"/>
    </w:p>
    <w:p w:rsidR="00793901" w:rsidRDefault="00D72AE8">
      <w:pPr>
        <w:pStyle w:val="Subsection"/>
      </w:pPr>
      <w:r>
        <w:tab/>
        <w:t>(1)</w:t>
      </w:r>
      <w:r>
        <w:tab/>
        <w:t>An area of land, or of water, or of land and water is a place for the purposes of these regulations if it is controlled or managed by one person.</w:t>
      </w:r>
    </w:p>
    <w:p w:rsidR="00793901" w:rsidRDefault="00D72AE8">
      <w:pPr>
        <w:pStyle w:val="Subsection"/>
        <w:keepNext/>
      </w:pPr>
      <w:r>
        <w:lastRenderedPageBreak/>
        <w:tab/>
        <w:t>(2)</w:t>
      </w:r>
      <w:r>
        <w:tab/>
        <w:t xml:space="preserve">Two or more areas of land, or of water, or of land and water that are situated near each other are one place for the purposes of these regulations if — </w:t>
      </w:r>
    </w:p>
    <w:p w:rsidR="00793901" w:rsidRDefault="00D72AE8">
      <w:pPr>
        <w:pStyle w:val="Indenta"/>
      </w:pPr>
      <w:r>
        <w:tab/>
        <w:t>(a)</w:t>
      </w:r>
      <w:r>
        <w:tab/>
        <w:t>all areas are controlled or managed by one person; and</w:t>
      </w:r>
    </w:p>
    <w:p w:rsidR="00793901" w:rsidRDefault="00D72AE8">
      <w:pPr>
        <w:pStyle w:val="Indenta"/>
      </w:pPr>
      <w:r>
        <w:tab/>
        <w:t>(b)</w:t>
      </w:r>
      <w:r>
        <w:tab/>
        <w:t>the Chief Officer determines that the areas are to be treated as one place for the purposes of these regulations.</w:t>
      </w:r>
    </w:p>
    <w:p w:rsidR="00793901" w:rsidRDefault="00D72AE8">
      <w:pPr>
        <w:pStyle w:val="Subsection"/>
      </w:pPr>
      <w:r>
        <w:tab/>
        <w:t>(3)</w:t>
      </w:r>
      <w:r>
        <w:tab/>
        <w:t xml:space="preserve">In this regulation, a person is to be taken to control or manage an area of land or water if the person controls or manages — </w:t>
      </w:r>
    </w:p>
    <w:p w:rsidR="00793901" w:rsidRDefault="00D72AE8">
      <w:pPr>
        <w:pStyle w:val="Indenta"/>
      </w:pPr>
      <w:r>
        <w:tab/>
        <w:t>(a)</w:t>
      </w:r>
      <w:r>
        <w:tab/>
        <w:t>a dock; or</w:t>
      </w:r>
    </w:p>
    <w:p w:rsidR="00793901" w:rsidRDefault="00D72AE8">
      <w:pPr>
        <w:pStyle w:val="Indenta"/>
      </w:pPr>
      <w:r>
        <w:tab/>
        <w:t>(b)</w:t>
      </w:r>
      <w:r>
        <w:tab/>
        <w:t xml:space="preserve">a pier; or </w:t>
      </w:r>
    </w:p>
    <w:p w:rsidR="00793901" w:rsidRDefault="00D72AE8">
      <w:pPr>
        <w:pStyle w:val="Indenta"/>
      </w:pPr>
      <w:r>
        <w:tab/>
        <w:t>(c)</w:t>
      </w:r>
      <w:r>
        <w:tab/>
        <w:t>a jetty; or</w:t>
      </w:r>
    </w:p>
    <w:p w:rsidR="00793901" w:rsidRDefault="00D72AE8">
      <w:pPr>
        <w:pStyle w:val="Indenta"/>
      </w:pPr>
      <w:r>
        <w:tab/>
        <w:t>(d)</w:t>
      </w:r>
      <w:r>
        <w:tab/>
        <w:t>a pipeline; or</w:t>
      </w:r>
    </w:p>
    <w:p w:rsidR="00793901" w:rsidRDefault="00D72AE8">
      <w:pPr>
        <w:pStyle w:val="Indenta"/>
      </w:pPr>
      <w:r>
        <w:tab/>
        <w:t>(e)</w:t>
      </w:r>
      <w:r>
        <w:tab/>
        <w:t>a conveying system,</w:t>
      </w:r>
    </w:p>
    <w:p w:rsidR="00793901" w:rsidRDefault="00D72AE8">
      <w:pPr>
        <w:pStyle w:val="Subsection"/>
      </w:pPr>
      <w:r>
        <w:tab/>
      </w:r>
      <w:r>
        <w:tab/>
        <w:t>situated on, over or in the area.</w:t>
      </w:r>
    </w:p>
    <w:p w:rsidR="00793901" w:rsidRDefault="00D72AE8">
      <w:pPr>
        <w:pStyle w:val="Heading5"/>
      </w:pPr>
      <w:bookmarkStart w:id="12" w:name="_Toc74910941"/>
      <w:r>
        <w:rPr>
          <w:rStyle w:val="CharSectno"/>
        </w:rPr>
        <w:t>7</w:t>
      </w:r>
      <w:r>
        <w:t>.</w:t>
      </w:r>
      <w:r>
        <w:tab/>
        <w:t>When Sch. 1 substances are likely to be at a place</w:t>
      </w:r>
      <w:bookmarkEnd w:id="12"/>
    </w:p>
    <w:p w:rsidR="00793901" w:rsidRDefault="00D72AE8">
      <w:pPr>
        <w:pStyle w:val="Subsection"/>
      </w:pPr>
      <w:r>
        <w:tab/>
      </w:r>
      <w:r>
        <w:tab/>
        <w:t xml:space="preserve">For the purposes of these regulations, a Schedule 1 substance is likely to be at a place in a particular quantity if the operator of the place has made a decision to — </w:t>
      </w:r>
    </w:p>
    <w:p w:rsidR="00793901" w:rsidRDefault="00D72AE8">
      <w:pPr>
        <w:pStyle w:val="Indenta"/>
      </w:pPr>
      <w:r>
        <w:tab/>
        <w:t>(a)</w:t>
      </w:r>
      <w:r>
        <w:tab/>
        <w:t>implement a change to the plant or a process at the place that is likely to result in the substance being at the place in that quantity; or</w:t>
      </w:r>
    </w:p>
    <w:p w:rsidR="00793901" w:rsidRDefault="00D72AE8">
      <w:pPr>
        <w:pStyle w:val="Indenta"/>
      </w:pPr>
      <w:r>
        <w:tab/>
        <w:t>(b)</w:t>
      </w:r>
      <w:r>
        <w:tab/>
        <w:t>introduce new plant or a new process at the place that is likely to result in the substance being at the place in that quantity.</w:t>
      </w:r>
    </w:p>
    <w:p w:rsidR="00793901" w:rsidRDefault="00D72AE8">
      <w:pPr>
        <w:pStyle w:val="Heading5"/>
      </w:pPr>
      <w:bookmarkStart w:id="13" w:name="_Toc74910942"/>
      <w:r>
        <w:rPr>
          <w:rStyle w:val="CharSectno"/>
        </w:rPr>
        <w:lastRenderedPageBreak/>
        <w:t>8</w:t>
      </w:r>
      <w:r>
        <w:t>.</w:t>
      </w:r>
      <w:r>
        <w:tab/>
        <w:t>Quantity of substances at or likely to be at a place, determining</w:t>
      </w:r>
      <w:bookmarkEnd w:id="13"/>
    </w:p>
    <w:p w:rsidR="00793901" w:rsidRDefault="00D72AE8">
      <w:pPr>
        <w:pStyle w:val="Subsection"/>
        <w:keepNext/>
      </w:pPr>
      <w:r>
        <w:tab/>
        <w:t>(1)</w:t>
      </w:r>
      <w:r>
        <w:tab/>
        <w:t xml:space="preserve">For the purposes of these regulations, the quantity of a substance that is at a place, or that is likely to be at a place, at a particular time is determined by adding — </w:t>
      </w:r>
    </w:p>
    <w:p w:rsidR="00793901" w:rsidRDefault="00D72AE8">
      <w:pPr>
        <w:pStyle w:val="Indenta"/>
      </w:pPr>
      <w:r>
        <w:tab/>
        <w:t>(a)</w:t>
      </w:r>
      <w:r>
        <w:tab/>
        <w:t xml:space="preserve">the maximum quantity of the substance that could be present at the place at that time in — </w:t>
      </w:r>
    </w:p>
    <w:p w:rsidR="00793901" w:rsidRDefault="00D72AE8">
      <w:pPr>
        <w:pStyle w:val="Indenti"/>
      </w:pPr>
      <w:r>
        <w:tab/>
        <w:t>(i)</w:t>
      </w:r>
      <w:r>
        <w:tab/>
        <w:t>process vessels and interconnecting piping and conveying systems; and</w:t>
      </w:r>
    </w:p>
    <w:p w:rsidR="00793901" w:rsidRDefault="00D72AE8">
      <w:pPr>
        <w:pStyle w:val="Indenti"/>
      </w:pPr>
      <w:r>
        <w:tab/>
        <w:t>(ii)</w:t>
      </w:r>
      <w:r>
        <w:tab/>
        <w:t>storage tanks, storage vessels and storage areas; and</w:t>
      </w:r>
    </w:p>
    <w:p w:rsidR="00793901" w:rsidRDefault="00D72AE8">
      <w:pPr>
        <w:pStyle w:val="Indenti"/>
      </w:pPr>
      <w:r>
        <w:tab/>
        <w:t>(iii)</w:t>
      </w:r>
      <w:r>
        <w:tab/>
        <w:t>pipelines outside process areas;</w:t>
      </w:r>
    </w:p>
    <w:p w:rsidR="00793901" w:rsidRDefault="00D72AE8">
      <w:pPr>
        <w:pStyle w:val="Indenta"/>
      </w:pPr>
      <w:r>
        <w:tab/>
      </w:r>
      <w:r>
        <w:tab/>
        <w:t>and</w:t>
      </w:r>
    </w:p>
    <w:p w:rsidR="00793901" w:rsidRDefault="00D72AE8">
      <w:pPr>
        <w:pStyle w:val="Indenta"/>
      </w:pPr>
      <w:r>
        <w:tab/>
        <w:t>(b)</w:t>
      </w:r>
      <w:r>
        <w:tab/>
        <w:t>the maximum quantity of the substance that could, at that time, escape onto, or escape into the airspace above, the place as a result of the failure of a pipeline connected to (but not part of) the place; and</w:t>
      </w:r>
    </w:p>
    <w:p w:rsidR="00793901" w:rsidRDefault="00D72AE8">
      <w:pPr>
        <w:pStyle w:val="Indenta"/>
      </w:pPr>
      <w:r>
        <w:tab/>
        <w:t>(c)</w:t>
      </w:r>
      <w:r>
        <w:tab/>
        <w:t>any other quantity of the substance that is at the place, or is likely to be at the place, as the case requires, at that time but is not included in the quantities referred to in paragraphs (a) and (b).</w:t>
      </w:r>
    </w:p>
    <w:p w:rsidR="00793901" w:rsidRDefault="00D72AE8">
      <w:pPr>
        <w:pStyle w:val="Subsection"/>
      </w:pPr>
      <w:r>
        <w:tab/>
        <w:t>(2)</w:t>
      </w:r>
      <w:r>
        <w:tab/>
        <w:t xml:space="preserve">If a substance is at a place, or is likely to be at a place, as part of a mixture, the quantity of the substance present in that mixture is to be calculated using this formula — </w:t>
      </w:r>
    </w:p>
    <w:p w:rsidR="00793901" w:rsidRDefault="00D72AE8">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5pt" o:ole="">
            <v:imagedata r:id="rId21" o:title=""/>
          </v:shape>
          <o:OLEObject Type="Embed" ProgID="Equation.3" ShapeID="_x0000_i1025" DrawAspect="Content" ObjectID="_1685782795" r:id="rId22"/>
        </w:object>
      </w:r>
    </w:p>
    <w:p w:rsidR="00793901" w:rsidRDefault="00D72AE8">
      <w:pPr>
        <w:pStyle w:val="Subsection"/>
      </w:pPr>
      <w:r>
        <w:tab/>
      </w:r>
      <w:r>
        <w:tab/>
        <w:t xml:space="preserve">where — </w:t>
      </w:r>
    </w:p>
    <w:p w:rsidR="00793901" w:rsidRDefault="00D72AE8">
      <w:pPr>
        <w:pStyle w:val="Indenta"/>
        <w:tabs>
          <w:tab w:val="clear" w:pos="1332"/>
          <w:tab w:val="clear" w:pos="1616"/>
          <w:tab w:val="left" w:pos="1134"/>
        </w:tabs>
        <w:ind w:left="1560" w:hanging="1560"/>
      </w:pPr>
      <w:r>
        <w:tab/>
        <w:t>a</w:t>
      </w:r>
      <w:r>
        <w:tab/>
        <w:t>is the quantity of the mixture that contains the substance; and</w:t>
      </w:r>
    </w:p>
    <w:p w:rsidR="00793901" w:rsidRDefault="00D72AE8">
      <w:pPr>
        <w:pStyle w:val="Indenta"/>
        <w:tabs>
          <w:tab w:val="clear" w:pos="1332"/>
          <w:tab w:val="clear" w:pos="1616"/>
          <w:tab w:val="left" w:pos="1560"/>
        </w:tabs>
        <w:ind w:left="1134" w:hanging="1134"/>
      </w:pPr>
      <w:r>
        <w:tab/>
        <w:t>b</w:t>
      </w:r>
      <w:r>
        <w:tab/>
        <w:t>is the percentage of the mixture that is the substance; and</w:t>
      </w:r>
    </w:p>
    <w:p w:rsidR="00793901" w:rsidRDefault="00D72AE8">
      <w:pPr>
        <w:pStyle w:val="Indenta"/>
        <w:tabs>
          <w:tab w:val="clear" w:pos="1332"/>
          <w:tab w:val="clear" w:pos="1616"/>
          <w:tab w:val="left" w:pos="1560"/>
        </w:tabs>
        <w:ind w:left="1134" w:hanging="1134"/>
      </w:pPr>
      <w:r>
        <w:tab/>
        <w:t>c</w:t>
      </w:r>
      <w:r>
        <w:tab/>
        <w:t>is the quantity of the substance present in the mixture.</w:t>
      </w:r>
    </w:p>
    <w:p w:rsidR="00793901" w:rsidRDefault="00D72AE8">
      <w:pPr>
        <w:pStyle w:val="Heading5"/>
      </w:pPr>
      <w:bookmarkStart w:id="14" w:name="_Toc74910943"/>
      <w:r>
        <w:rPr>
          <w:rStyle w:val="CharSectno"/>
        </w:rPr>
        <w:lastRenderedPageBreak/>
        <w:t>9</w:t>
      </w:r>
      <w:r>
        <w:t>.</w:t>
      </w:r>
      <w:r>
        <w:tab/>
        <w:t>Critical quantity of Sch. 1 substances at or likely to be at a place, determining</w:t>
      </w:r>
      <w:bookmarkEnd w:id="14"/>
    </w:p>
    <w:p w:rsidR="00793901" w:rsidRDefault="00D72AE8">
      <w:pPr>
        <w:pStyle w:val="Subsection"/>
      </w:pPr>
      <w:r>
        <w:tab/>
        <w:t>(1)</w:t>
      </w:r>
      <w:r>
        <w:tab/>
        <w:t xml:space="preserve">In this regulation — </w:t>
      </w:r>
    </w:p>
    <w:p w:rsidR="00793901" w:rsidRDefault="00D72AE8">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rsidR="00793901" w:rsidRDefault="00D72AE8">
      <w:pPr>
        <w:pStyle w:val="Subsection"/>
      </w:pPr>
      <w:r>
        <w:tab/>
        <w:t>(2)</w:t>
      </w:r>
      <w:r>
        <w:tab/>
        <w:t xml:space="preserve">For the purposes of these regulations, more than the critical quantity of Schedule 1 substances is at a place, or is likely to be at a place, if — </w:t>
      </w:r>
    </w:p>
    <w:p w:rsidR="00793901" w:rsidRDefault="00D72AE8">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rsidR="00793901" w:rsidRDefault="00D72AE8">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rsidR="00793901" w:rsidRDefault="00D72AE8">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rsidR="00793901" w:rsidRDefault="00D72AE8">
      <w:pPr>
        <w:pStyle w:val="Subsection"/>
      </w:pPr>
      <w:r>
        <w:tab/>
      </w:r>
      <w:r>
        <w:tab/>
        <w:t xml:space="preserve">where — </w:t>
      </w:r>
    </w:p>
    <w:p w:rsidR="00793901" w:rsidRDefault="00D72AE8">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rsidR="00793901" w:rsidRDefault="00D72AE8">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rsidR="00793901" w:rsidRDefault="00D72AE8">
      <w:pPr>
        <w:pStyle w:val="Indenta"/>
        <w:tabs>
          <w:tab w:val="clear" w:pos="1332"/>
          <w:tab w:val="clear" w:pos="1616"/>
          <w:tab w:val="left" w:pos="1134"/>
          <w:tab w:val="left" w:pos="3119"/>
        </w:tabs>
        <w:ind w:left="3119" w:hanging="3119"/>
      </w:pPr>
      <w:r>
        <w:tab/>
        <w:t xml:space="preserve">Qx, Qy … and Qn </w:t>
      </w:r>
      <w:r>
        <w:tab/>
        <w:t>are the threshold quantities for x, y … and n.</w:t>
      </w:r>
    </w:p>
    <w:p w:rsidR="00793901" w:rsidRDefault="00D72AE8">
      <w:pPr>
        <w:pStyle w:val="Heading5"/>
      </w:pPr>
      <w:bookmarkStart w:id="15" w:name="_Toc74910944"/>
      <w:r>
        <w:rPr>
          <w:rStyle w:val="CharSectno"/>
        </w:rPr>
        <w:lastRenderedPageBreak/>
        <w:t>10</w:t>
      </w:r>
      <w:r>
        <w:t>.</w:t>
      </w:r>
      <w:r>
        <w:tab/>
        <w:t>Threshold quantity for a Sch. 1 substance, determining</w:t>
      </w:r>
      <w:bookmarkEnd w:id="15"/>
    </w:p>
    <w:p w:rsidR="00793901" w:rsidRDefault="00D72AE8">
      <w:pPr>
        <w:pStyle w:val="Subsection"/>
      </w:pPr>
      <w:r>
        <w:tab/>
        <w:t>(1)</w:t>
      </w:r>
      <w:r>
        <w:tab/>
        <w:t xml:space="preserve">In this regulation — </w:t>
      </w:r>
    </w:p>
    <w:p w:rsidR="00793901" w:rsidRDefault="00D72AE8">
      <w:pPr>
        <w:pStyle w:val="Defstart"/>
      </w:pPr>
      <w:r>
        <w:rPr>
          <w:b/>
        </w:rPr>
        <w:tab/>
      </w:r>
      <w:r>
        <w:rPr>
          <w:rStyle w:val="CharDefText"/>
        </w:rPr>
        <w:t>Table 1</w:t>
      </w:r>
      <w:r>
        <w:t xml:space="preserve"> means Schedule 1 Table 1;</w:t>
      </w:r>
    </w:p>
    <w:p w:rsidR="00793901" w:rsidRDefault="00D72AE8">
      <w:pPr>
        <w:pStyle w:val="Defstart"/>
      </w:pPr>
      <w:r>
        <w:rPr>
          <w:b/>
        </w:rPr>
        <w:tab/>
      </w:r>
      <w:r>
        <w:rPr>
          <w:rStyle w:val="CharDefText"/>
        </w:rPr>
        <w:t>Table 2</w:t>
      </w:r>
      <w:r>
        <w:t xml:space="preserve"> means Schedule 1 Table 2.</w:t>
      </w:r>
    </w:p>
    <w:p w:rsidR="00793901" w:rsidRDefault="00D72AE8">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rsidR="00793901" w:rsidRDefault="00D72AE8">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rsidR="00793901" w:rsidRDefault="00D72AE8">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rsidR="00793901" w:rsidRDefault="00D72AE8">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rsidR="00793901" w:rsidRDefault="00D72AE8">
      <w:pPr>
        <w:pStyle w:val="Subsection"/>
      </w:pPr>
      <w:r>
        <w:tab/>
        <w:t>(6)</w:t>
      </w:r>
      <w:r>
        <w:tab/>
        <w:t>A decision by the Chief Officer under subregulation (5) is final and conclusive.</w:t>
      </w:r>
    </w:p>
    <w:p w:rsidR="00793901" w:rsidRDefault="00D72AE8">
      <w:pPr>
        <w:pStyle w:val="Footnotesection"/>
      </w:pPr>
      <w:r>
        <w:tab/>
        <w:t>[Regulation 10 amended: SL 2020/193 r. 7.]</w:t>
      </w:r>
    </w:p>
    <w:p w:rsidR="00793901" w:rsidRDefault="00D72AE8">
      <w:pPr>
        <w:pStyle w:val="Heading2"/>
      </w:pPr>
      <w:bookmarkStart w:id="16" w:name="_Toc74910265"/>
      <w:bookmarkStart w:id="17" w:name="_Toc74910324"/>
      <w:bookmarkStart w:id="18" w:name="_Toc74910945"/>
      <w:r>
        <w:rPr>
          <w:rStyle w:val="CharPartNo"/>
        </w:rPr>
        <w:lastRenderedPageBreak/>
        <w:t>Part 2</w:t>
      </w:r>
      <w:r>
        <w:rPr>
          <w:rStyle w:val="CharDivNo"/>
        </w:rPr>
        <w:t> </w:t>
      </w:r>
      <w:r>
        <w:t>—</w:t>
      </w:r>
      <w:r>
        <w:rPr>
          <w:rStyle w:val="CharDivText"/>
        </w:rPr>
        <w:t> </w:t>
      </w:r>
      <w:r>
        <w:rPr>
          <w:rStyle w:val="CharPartText"/>
        </w:rPr>
        <w:t>Main offences</w:t>
      </w:r>
      <w:bookmarkEnd w:id="16"/>
      <w:bookmarkEnd w:id="17"/>
      <w:bookmarkEnd w:id="18"/>
    </w:p>
    <w:p w:rsidR="00793901" w:rsidRDefault="00D72AE8">
      <w:pPr>
        <w:pStyle w:val="Heading5"/>
      </w:pPr>
      <w:bookmarkStart w:id="19" w:name="_Toc74910946"/>
      <w:r>
        <w:rPr>
          <w:rStyle w:val="CharSectno"/>
        </w:rPr>
        <w:t>11</w:t>
      </w:r>
      <w:r>
        <w:t>.</w:t>
      </w:r>
      <w:r>
        <w:tab/>
        <w:t>Sch. 1 substances at a place not to exceed critical quantity without prior notification to Chief Officer</w:t>
      </w:r>
      <w:bookmarkEnd w:id="19"/>
    </w:p>
    <w:p w:rsidR="00793901" w:rsidRDefault="00D72AE8">
      <w:pPr>
        <w:pStyle w:val="Subsection"/>
      </w:pPr>
      <w:r>
        <w:tab/>
        <w:t>(1)</w:t>
      </w:r>
      <w:r>
        <w:tab/>
        <w:t xml:space="preserve">The operator of a place must ensure that no more than the critical quantity of Schedule 1 substances is present at the place until — </w:t>
      </w:r>
    </w:p>
    <w:p w:rsidR="00793901" w:rsidRDefault="00D72AE8">
      <w:pPr>
        <w:pStyle w:val="Indenta"/>
      </w:pPr>
      <w:r>
        <w:tab/>
        <w:t>(a)</w:t>
      </w:r>
      <w:r>
        <w:tab/>
        <w:t>the operator has been given a notice under regulation 21(1) of the Chief Officer’s decision not to classify the place as a major hazard facility; or</w:t>
      </w:r>
    </w:p>
    <w:p w:rsidR="00793901" w:rsidRDefault="00D72AE8">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Subsection"/>
      </w:pPr>
      <w:r>
        <w:tab/>
        <w:t>(2)</w:t>
      </w:r>
      <w:r>
        <w:tab/>
        <w:t>Subregulation (1) does not apply in relation to an existing facility.</w:t>
      </w:r>
    </w:p>
    <w:p w:rsidR="00793901" w:rsidRDefault="00D72AE8">
      <w:pPr>
        <w:pStyle w:val="Heading5"/>
      </w:pPr>
      <w:bookmarkStart w:id="20" w:name="_Toc74910947"/>
      <w:r>
        <w:rPr>
          <w:rStyle w:val="CharSectno"/>
        </w:rPr>
        <w:t>12</w:t>
      </w:r>
      <w:r>
        <w:t>.</w:t>
      </w:r>
      <w:r>
        <w:tab/>
        <w:t>No significant change to certain places without prior notification to Chief Officer</w:t>
      </w:r>
      <w:bookmarkEnd w:id="20"/>
    </w:p>
    <w:p w:rsidR="00793901" w:rsidRDefault="00D72AE8">
      <w:pPr>
        <w:pStyle w:val="Subsection"/>
      </w:pPr>
      <w:r>
        <w:tab/>
      </w:r>
      <w:r>
        <w:tab/>
        <w:t xml:space="preserve">An operator who is required to give the Chief Officer notification under regulation 15(3) in respect of a place must ensure that the notifiable change does not occur until — </w:t>
      </w:r>
    </w:p>
    <w:p w:rsidR="00793901" w:rsidRDefault="00D72AE8">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rsidR="00793901" w:rsidRDefault="00D72AE8">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rsidR="00793901" w:rsidRDefault="00D72AE8">
      <w:pPr>
        <w:pStyle w:val="Penstart"/>
      </w:pPr>
      <w:r>
        <w:tab/>
        <w:t>Penalty:</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Heading5"/>
      </w:pPr>
      <w:bookmarkStart w:id="21" w:name="_Toc74910948"/>
      <w:r>
        <w:rPr>
          <w:rStyle w:val="CharSectno"/>
        </w:rPr>
        <w:t>13</w:t>
      </w:r>
      <w:r>
        <w:t>.</w:t>
      </w:r>
      <w:r>
        <w:tab/>
        <w:t xml:space="preserve">Major hazard facility to operate in accordance with safety management system in approved </w:t>
      </w:r>
      <w:r>
        <w:rPr>
          <w:color w:val="000000"/>
        </w:rPr>
        <w:t>safety report</w:t>
      </w:r>
      <w:bookmarkEnd w:id="21"/>
    </w:p>
    <w:p w:rsidR="00793901" w:rsidRDefault="00D72AE8">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Heading2"/>
      </w:pPr>
      <w:bookmarkStart w:id="22" w:name="_Toc74910269"/>
      <w:bookmarkStart w:id="23" w:name="_Toc74910328"/>
      <w:bookmarkStart w:id="24" w:name="_Toc74910949"/>
      <w:r>
        <w:rPr>
          <w:rStyle w:val="CharPartNo"/>
        </w:rPr>
        <w:lastRenderedPageBreak/>
        <w:t>Part 3</w:t>
      </w:r>
      <w:r>
        <w:rPr>
          <w:rStyle w:val="CharDivNo"/>
        </w:rPr>
        <w:t> </w:t>
      </w:r>
      <w:r>
        <w:t>—</w:t>
      </w:r>
      <w:r>
        <w:rPr>
          <w:rStyle w:val="CharDivText"/>
        </w:rPr>
        <w:t> </w:t>
      </w:r>
      <w:r>
        <w:rPr>
          <w:rStyle w:val="CharPartText"/>
        </w:rPr>
        <w:t>Notification requirements</w:t>
      </w:r>
      <w:bookmarkEnd w:id="22"/>
      <w:bookmarkEnd w:id="23"/>
      <w:bookmarkEnd w:id="24"/>
    </w:p>
    <w:p w:rsidR="00793901" w:rsidRDefault="00D72AE8">
      <w:pPr>
        <w:pStyle w:val="Heading5"/>
      </w:pPr>
      <w:bookmarkStart w:id="25" w:name="_Toc74910950"/>
      <w:r>
        <w:rPr>
          <w:rStyle w:val="CharSectno"/>
        </w:rPr>
        <w:t>14</w:t>
      </w:r>
      <w:r>
        <w:t>.</w:t>
      </w:r>
      <w:r>
        <w:tab/>
        <w:t>Operator to notify Chief Officer if more than critical quantity of Sch. 1 substances likely to be at place</w:t>
      </w:r>
      <w:bookmarkEnd w:id="25"/>
    </w:p>
    <w:p w:rsidR="00793901" w:rsidRDefault="00D72AE8">
      <w:pPr>
        <w:pStyle w:val="Subsection"/>
      </w:pPr>
      <w:r>
        <w:tab/>
      </w:r>
      <w:r>
        <w:tab/>
        <w:t xml:space="preserve">The operator of a place must give the Chief Officer notification that complies with regulation 17 as soon as practicable if — </w:t>
      </w:r>
    </w:p>
    <w:p w:rsidR="00793901" w:rsidRDefault="00D72AE8">
      <w:pPr>
        <w:pStyle w:val="Indenta"/>
      </w:pPr>
      <w:r>
        <w:tab/>
        <w:t>(a)</w:t>
      </w:r>
      <w:r>
        <w:tab/>
        <w:t>more than the critical quantity of Schedule 1 substances is likely to be at the place; and</w:t>
      </w:r>
    </w:p>
    <w:p w:rsidR="00793901" w:rsidRDefault="00D72AE8">
      <w:pPr>
        <w:pStyle w:val="Indenta"/>
      </w:pPr>
      <w:r>
        <w:tab/>
        <w:t>(b)</w:t>
      </w:r>
      <w:r>
        <w:tab/>
        <w:t>the operator has not been given a notice under regulation 21(1) of the Chief Officer’s decision whether to classify the place as a major hazard facility.</w:t>
      </w:r>
    </w:p>
    <w:p w:rsidR="00793901" w:rsidRDefault="00D72AE8">
      <w:pPr>
        <w:pStyle w:val="Penstart"/>
      </w:pPr>
      <w:r>
        <w:tab/>
        <w:t>Penalty:</w:t>
      </w:r>
    </w:p>
    <w:p w:rsidR="00793901" w:rsidRDefault="00D72AE8">
      <w:pPr>
        <w:pStyle w:val="Penpara"/>
        <w:spacing w:before="60"/>
      </w:pPr>
      <w:r>
        <w:tab/>
        <w:t>(a)</w:t>
      </w:r>
      <w:r>
        <w:tab/>
        <w:t>for an individual, a fine of $10 000 or imprisonment for 10 months or both;</w:t>
      </w:r>
    </w:p>
    <w:p w:rsidR="00793901" w:rsidRDefault="00D72AE8">
      <w:pPr>
        <w:pStyle w:val="Penpara"/>
        <w:spacing w:before="60"/>
      </w:pPr>
      <w:r>
        <w:tab/>
        <w:t>(b)</w:t>
      </w:r>
      <w:r>
        <w:tab/>
        <w:t>for a body corporate, a fine of $50 000.</w:t>
      </w:r>
    </w:p>
    <w:p w:rsidR="00793901" w:rsidRDefault="00D72AE8">
      <w:pPr>
        <w:pStyle w:val="Heading5"/>
      </w:pPr>
      <w:bookmarkStart w:id="26" w:name="_Toc74910951"/>
      <w:r>
        <w:rPr>
          <w:rStyle w:val="CharSectno"/>
        </w:rPr>
        <w:t>15</w:t>
      </w:r>
      <w:r>
        <w:t>.</w:t>
      </w:r>
      <w:r>
        <w:tab/>
        <w:t>Operator of certain places to notify Chief Officer of certain changes</w:t>
      </w:r>
      <w:bookmarkEnd w:id="26"/>
    </w:p>
    <w:p w:rsidR="00793901" w:rsidRDefault="00D72AE8">
      <w:pPr>
        <w:pStyle w:val="Subsection"/>
      </w:pPr>
      <w:r>
        <w:tab/>
        <w:t>(1)</w:t>
      </w:r>
      <w:r>
        <w:tab/>
        <w:t xml:space="preserve">In this regulation — </w:t>
      </w:r>
    </w:p>
    <w:p w:rsidR="00793901" w:rsidRDefault="00D72AE8">
      <w:pPr>
        <w:pStyle w:val="Defstart"/>
      </w:pPr>
      <w:r>
        <w:rPr>
          <w:b/>
        </w:rPr>
        <w:tab/>
      </w:r>
      <w:r>
        <w:rPr>
          <w:rStyle w:val="CharDefText"/>
        </w:rPr>
        <w:t>notifiable change</w:t>
      </w:r>
      <w:r>
        <w:rPr>
          <w:bCs/>
        </w:rPr>
        <w:t xml:space="preserve">, in relation to a place, </w:t>
      </w:r>
      <w:r>
        <w:t xml:space="preserve">means a significant change to — </w:t>
      </w:r>
    </w:p>
    <w:p w:rsidR="00793901" w:rsidRDefault="00D72AE8">
      <w:pPr>
        <w:pStyle w:val="Defpara"/>
      </w:pPr>
      <w:r>
        <w:tab/>
        <w:t>(a)</w:t>
      </w:r>
      <w:r>
        <w:tab/>
        <w:t>any plant, process or substance used at the place (including the introduction of new plant, process or substance); or</w:t>
      </w:r>
    </w:p>
    <w:p w:rsidR="00793901" w:rsidRDefault="00D72AE8">
      <w:pPr>
        <w:pStyle w:val="Defpara"/>
      </w:pPr>
      <w:r>
        <w:tab/>
        <w:t>(b)</w:t>
      </w:r>
      <w:r>
        <w:tab/>
        <w:t>the layout of the place or where dangerous goods are to be stored, handled or transported within the place.</w:t>
      </w:r>
    </w:p>
    <w:p w:rsidR="00793901" w:rsidRDefault="00D72AE8">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rsidR="00793901" w:rsidRDefault="00D72AE8">
      <w:pPr>
        <w:pStyle w:val="Indenta"/>
      </w:pPr>
      <w:r>
        <w:tab/>
        <w:t>(a)</w:t>
      </w:r>
      <w:r>
        <w:tab/>
        <w:t>a notice under regulation 21(1) of the Chief Officer’s decision not to classify the place as a major hazard facility; or</w:t>
      </w:r>
    </w:p>
    <w:p w:rsidR="00793901" w:rsidRDefault="00D72AE8">
      <w:pPr>
        <w:pStyle w:val="Indenta"/>
      </w:pPr>
      <w:r>
        <w:lastRenderedPageBreak/>
        <w:tab/>
        <w:t>(b)</w:t>
      </w:r>
      <w:r>
        <w:tab/>
        <w:t>a notice under regulation 22(3)(b) of the Chief Officer’s decision to revoke a decision to classify the place as a major hazard facility.</w:t>
      </w:r>
    </w:p>
    <w:p w:rsidR="00793901" w:rsidRDefault="00D72AE8">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rsidR="00793901" w:rsidRDefault="00D72AE8">
      <w:pPr>
        <w:pStyle w:val="Penstart"/>
      </w:pPr>
      <w:r>
        <w:tab/>
        <w:t>Penalty:</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r>
        <w:tab/>
      </w:r>
    </w:p>
    <w:p w:rsidR="00793901" w:rsidRDefault="00D72AE8">
      <w:pPr>
        <w:pStyle w:val="Footnotesection"/>
      </w:pPr>
      <w:r>
        <w:tab/>
        <w:t>[Regulation 15 amended: Gazette 22 Jun 2010 p. 2783.]</w:t>
      </w:r>
    </w:p>
    <w:p w:rsidR="00793901" w:rsidRDefault="00D72AE8">
      <w:pPr>
        <w:pStyle w:val="Heading5"/>
      </w:pPr>
      <w:bookmarkStart w:id="27" w:name="_Toc74910952"/>
      <w:r>
        <w:rPr>
          <w:rStyle w:val="CharSectno"/>
        </w:rPr>
        <w:t>16</w:t>
      </w:r>
      <w:r>
        <w:t>.</w:t>
      </w:r>
      <w:r>
        <w:tab/>
        <w:t>Chief Officer may direct operator to give notification in some cases</w:t>
      </w:r>
      <w:bookmarkEnd w:id="27"/>
    </w:p>
    <w:p w:rsidR="00793901" w:rsidRDefault="00D72AE8">
      <w:pPr>
        <w:pStyle w:val="Subsection"/>
      </w:pPr>
      <w:r>
        <w:tab/>
        <w:t>(1)</w:t>
      </w:r>
      <w:r>
        <w:tab/>
        <w:t xml:space="preserve">If the Chief Officer suspects on reasonable grounds that — </w:t>
      </w:r>
    </w:p>
    <w:p w:rsidR="00793901" w:rsidRDefault="00D72AE8">
      <w:pPr>
        <w:pStyle w:val="Indenta"/>
      </w:pPr>
      <w:r>
        <w:tab/>
        <w:t>(a)</w:t>
      </w:r>
      <w:r>
        <w:tab/>
        <w:t>more than the critical quantity of Schedule 1 substances is at a place, or is likely to be at a place, that is not a major hazard facility; and</w:t>
      </w:r>
    </w:p>
    <w:p w:rsidR="00793901" w:rsidRDefault="00D72AE8">
      <w:pPr>
        <w:pStyle w:val="Indenta"/>
        <w:keepNext/>
      </w:pPr>
      <w:r>
        <w:lastRenderedPageBreak/>
        <w:tab/>
        <w:t>(b)</w:t>
      </w:r>
      <w:r>
        <w:tab/>
        <w:t>a major incident could occur at the place,</w:t>
      </w:r>
    </w:p>
    <w:p w:rsidR="00793901" w:rsidRDefault="00D72AE8">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rsidR="00793901" w:rsidRDefault="00D72AE8">
      <w:pPr>
        <w:pStyle w:val="Subsection"/>
      </w:pPr>
      <w:r>
        <w:tab/>
        <w:t>(2)</w:t>
      </w:r>
      <w:r>
        <w:tab/>
        <w:t>An operator must comply with a direction given under subregulation (1).</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Heading5"/>
      </w:pPr>
      <w:bookmarkStart w:id="28" w:name="_Toc74910953"/>
      <w:r>
        <w:rPr>
          <w:rStyle w:val="CharSectno"/>
        </w:rPr>
        <w:t>17</w:t>
      </w:r>
      <w:r>
        <w:t>.</w:t>
      </w:r>
      <w:r>
        <w:tab/>
        <w:t>Notification required under r. 14, 15 and 16, form and content of</w:t>
      </w:r>
      <w:bookmarkEnd w:id="28"/>
      <w:r>
        <w:t xml:space="preserve"> </w:t>
      </w:r>
    </w:p>
    <w:p w:rsidR="00793901" w:rsidRDefault="00D72AE8">
      <w:pPr>
        <w:pStyle w:val="Subsection"/>
      </w:pPr>
      <w:r>
        <w:tab/>
        <w:t>(1)</w:t>
      </w:r>
      <w:r>
        <w:tab/>
        <w:t xml:space="preserve">In this regulation — </w:t>
      </w:r>
    </w:p>
    <w:p w:rsidR="00793901" w:rsidRDefault="00D72AE8">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rsidR="00793901" w:rsidRDefault="00D72AE8">
      <w:pPr>
        <w:pStyle w:val="Defpara"/>
      </w:pPr>
      <w:r>
        <w:tab/>
        <w:t>(a)</w:t>
      </w:r>
      <w:r>
        <w:tab/>
        <w:t xml:space="preserve">in the case of a place other than a place in respect of which notification is given under regulation 15(3) — </w:t>
      </w:r>
    </w:p>
    <w:p w:rsidR="00793901" w:rsidRDefault="00D72AE8">
      <w:pPr>
        <w:pStyle w:val="Defsubpara"/>
      </w:pPr>
      <w:r>
        <w:tab/>
        <w:t>(i)</w:t>
      </w:r>
      <w:r>
        <w:tab/>
        <w:t>if more than the critical quantity of Schedule 1 substances is at the place when the notification is given — the date of the notification; or</w:t>
      </w:r>
    </w:p>
    <w:p w:rsidR="00793901" w:rsidRDefault="00D72AE8">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rsidR="00793901" w:rsidRDefault="00D72AE8">
      <w:pPr>
        <w:pStyle w:val="Defpara"/>
      </w:pPr>
      <w:r>
        <w:tab/>
      </w:r>
      <w:r>
        <w:tab/>
        <w:t>or</w:t>
      </w:r>
    </w:p>
    <w:p w:rsidR="00793901" w:rsidRDefault="00D72AE8">
      <w:pPr>
        <w:pStyle w:val="Defpara"/>
      </w:pPr>
      <w:r>
        <w:tab/>
        <w:t>(b)</w:t>
      </w:r>
      <w:r>
        <w:tab/>
        <w:t>in the case of a place in respect of which notification is given under regulation 15(3) — the day when the notifiable change is expected to occur.</w:t>
      </w:r>
    </w:p>
    <w:p w:rsidR="00793901" w:rsidRDefault="00D72AE8">
      <w:pPr>
        <w:pStyle w:val="Subsection"/>
        <w:keepNext/>
      </w:pPr>
      <w:r>
        <w:lastRenderedPageBreak/>
        <w:tab/>
        <w:t>(2)</w:t>
      </w:r>
      <w:r>
        <w:tab/>
        <w:t xml:space="preserve">The notification required under regulation 14, 15 or 16 must — </w:t>
      </w:r>
    </w:p>
    <w:p w:rsidR="00793901" w:rsidRDefault="00D72AE8">
      <w:pPr>
        <w:pStyle w:val="Indenta"/>
      </w:pPr>
      <w:r>
        <w:tab/>
        <w:t>(a)</w:t>
      </w:r>
      <w:r>
        <w:tab/>
        <w:t>be in writing; and</w:t>
      </w:r>
    </w:p>
    <w:p w:rsidR="00793901" w:rsidRDefault="00D72AE8">
      <w:pPr>
        <w:pStyle w:val="Indenta"/>
      </w:pPr>
      <w:r>
        <w:tab/>
        <w:t>(b)</w:t>
      </w:r>
      <w:r>
        <w:tab/>
        <w:t>state the relevant date; and</w:t>
      </w:r>
    </w:p>
    <w:p w:rsidR="00793901" w:rsidRDefault="00D72AE8">
      <w:pPr>
        <w:pStyle w:val="Indenta"/>
      </w:pPr>
      <w:r>
        <w:tab/>
        <w:t>(c)</w:t>
      </w:r>
      <w:r>
        <w:tab/>
        <w:t>contain the notifiable information for the place as it exists, or as the operator expects it will exist, on the relevant date.</w:t>
      </w:r>
    </w:p>
    <w:p w:rsidR="00793901" w:rsidRDefault="00D72AE8">
      <w:pPr>
        <w:pStyle w:val="Heading5"/>
      </w:pPr>
      <w:bookmarkStart w:id="29" w:name="_Toc74910954"/>
      <w:r>
        <w:rPr>
          <w:rStyle w:val="CharSectno"/>
        </w:rPr>
        <w:t>18</w:t>
      </w:r>
      <w:r>
        <w:t>.</w:t>
      </w:r>
      <w:r>
        <w:tab/>
        <w:t>Chief Officer may direct operator to give further information</w:t>
      </w:r>
      <w:bookmarkEnd w:id="29"/>
    </w:p>
    <w:p w:rsidR="00793901" w:rsidRDefault="00D72AE8">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rsidR="00793901" w:rsidRDefault="00D72AE8">
      <w:pPr>
        <w:pStyle w:val="Subsection"/>
      </w:pPr>
      <w:r>
        <w:tab/>
        <w:t>(2)</w:t>
      </w:r>
      <w:r>
        <w:tab/>
        <w:t>An operator must comply with a direction given under subregulation (1).</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Heading2"/>
      </w:pPr>
      <w:bookmarkStart w:id="30" w:name="_Toc74910275"/>
      <w:bookmarkStart w:id="31" w:name="_Toc74910334"/>
      <w:bookmarkStart w:id="32" w:name="_Toc74910955"/>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30"/>
      <w:bookmarkEnd w:id="31"/>
      <w:bookmarkEnd w:id="32"/>
    </w:p>
    <w:p w:rsidR="00793901" w:rsidRDefault="00D72AE8">
      <w:pPr>
        <w:pStyle w:val="Heading5"/>
      </w:pPr>
      <w:bookmarkStart w:id="33" w:name="_Toc74910956"/>
      <w:r>
        <w:rPr>
          <w:rStyle w:val="CharSectno"/>
        </w:rPr>
        <w:t>19</w:t>
      </w:r>
      <w:r>
        <w:t>.</w:t>
      </w:r>
      <w:r>
        <w:tab/>
        <w:t>Classifying places as major hazard facilities, Chief Officer’s functions as to</w:t>
      </w:r>
      <w:bookmarkEnd w:id="33"/>
    </w:p>
    <w:p w:rsidR="00793901" w:rsidRDefault="00D72AE8">
      <w:pPr>
        <w:pStyle w:val="Subsection"/>
      </w:pPr>
      <w:r>
        <w:tab/>
        <w:t>(1)</w:t>
      </w:r>
      <w:r>
        <w:tab/>
        <w:t>The Chief Officer must decide whether or not to classify an existing facility as a major hazard facility for the purposes of these regulations.</w:t>
      </w:r>
    </w:p>
    <w:p w:rsidR="00793901" w:rsidRDefault="00D72AE8">
      <w:pPr>
        <w:pStyle w:val="Subsection"/>
      </w:pPr>
      <w:r>
        <w:tab/>
        <w:t>(2)</w:t>
      </w:r>
      <w:r>
        <w:tab/>
        <w:t>On receiving a notification under Part 3 from the operator of a place, the Chief Officer must decide whether or not to classify the place as a major hazard facility for the purposes of these regulations.</w:t>
      </w:r>
    </w:p>
    <w:p w:rsidR="00793901" w:rsidRDefault="00D72AE8">
      <w:pPr>
        <w:pStyle w:val="Subsection"/>
      </w:pPr>
      <w:r>
        <w:tab/>
        <w:t>(3)</w:t>
      </w:r>
      <w:r>
        <w:tab/>
        <w:t xml:space="preserve">The Chief Officer may decide to classify a place as a major hazard facility for the purposes of these regulations if the Chief Officer is satisfied on reasonable grounds that — </w:t>
      </w:r>
    </w:p>
    <w:p w:rsidR="00793901" w:rsidRDefault="00D72AE8">
      <w:pPr>
        <w:pStyle w:val="Indenta"/>
      </w:pPr>
      <w:r>
        <w:tab/>
        <w:t>(a)</w:t>
      </w:r>
      <w:r>
        <w:tab/>
        <w:t>more than the critical quantity of Schedule 1 substances is at the place or is likely to be at the place; and</w:t>
      </w:r>
    </w:p>
    <w:p w:rsidR="00793901" w:rsidRDefault="00D72AE8">
      <w:pPr>
        <w:pStyle w:val="Indenta"/>
      </w:pPr>
      <w:r>
        <w:tab/>
        <w:t>(b)</w:t>
      </w:r>
      <w:r>
        <w:tab/>
        <w:t>a major incident could occur at the place.</w:t>
      </w:r>
    </w:p>
    <w:p w:rsidR="00793901" w:rsidRDefault="00D72AE8">
      <w:pPr>
        <w:pStyle w:val="Subsection"/>
      </w:pPr>
      <w:r>
        <w:tab/>
        <w:t>(4)</w:t>
      </w:r>
      <w:r>
        <w:tab/>
        <w:t xml:space="preserve">The matters to be considered by the Chief Officer when determining whether a major incident could occur at a place include — </w:t>
      </w:r>
    </w:p>
    <w:p w:rsidR="00793901" w:rsidRDefault="00D72AE8">
      <w:pPr>
        <w:pStyle w:val="Indenta"/>
      </w:pPr>
      <w:r>
        <w:tab/>
        <w:t>(a)</w:t>
      </w:r>
      <w:r>
        <w:tab/>
        <w:t>the quantity and properties of Schedule 1 substances at the place or likely to be at the place; and</w:t>
      </w:r>
    </w:p>
    <w:p w:rsidR="00793901" w:rsidRDefault="00D72AE8">
      <w:pPr>
        <w:pStyle w:val="Indenta"/>
      </w:pPr>
      <w:r>
        <w:tab/>
        <w:t>(b)</w:t>
      </w:r>
      <w:r>
        <w:tab/>
        <w:t>the circumstances in which Schedule 1 substances are or will be stored, handled or transported while at the place; and</w:t>
      </w:r>
    </w:p>
    <w:p w:rsidR="00793901" w:rsidRDefault="00D72AE8">
      <w:pPr>
        <w:pStyle w:val="Indenta"/>
      </w:pPr>
      <w:r>
        <w:tab/>
        <w:t>(c)</w:t>
      </w:r>
      <w:r>
        <w:tab/>
        <w:t>any other written law that applies to the place for the purpose of ensuring that dangerous goods are stored, handled and transported safely; and</w:t>
      </w:r>
    </w:p>
    <w:p w:rsidR="00793901" w:rsidRDefault="00D72AE8">
      <w:pPr>
        <w:pStyle w:val="Indenta"/>
      </w:pPr>
      <w:r>
        <w:tab/>
        <w:t>(d)</w:t>
      </w:r>
      <w:r>
        <w:tab/>
        <w:t>the likely effects of an incident occurring at the place on people, property or the environment outside, as well as inside, the place.</w:t>
      </w:r>
    </w:p>
    <w:p w:rsidR="00793901" w:rsidRDefault="00D72AE8">
      <w:pPr>
        <w:pStyle w:val="Heading5"/>
      </w:pPr>
      <w:bookmarkStart w:id="34" w:name="_Toc74910957"/>
      <w:r>
        <w:rPr>
          <w:rStyle w:val="CharSectno"/>
        </w:rPr>
        <w:lastRenderedPageBreak/>
        <w:t>20</w:t>
      </w:r>
      <w:r>
        <w:t>.</w:t>
      </w:r>
      <w:r>
        <w:tab/>
        <w:t>Chief Officer to consult before classifying place as major hazard facility</w:t>
      </w:r>
      <w:bookmarkEnd w:id="34"/>
    </w:p>
    <w:p w:rsidR="00793901" w:rsidRDefault="00D72AE8">
      <w:pPr>
        <w:pStyle w:val="Subsection"/>
      </w:pPr>
      <w:r>
        <w:tab/>
      </w:r>
      <w:r>
        <w:tab/>
        <w:t xml:space="preserve">Before the Chief Officer decides to classify a place as a major hazard facility for the purposes of these regulations, the Chief Officer must — </w:t>
      </w:r>
    </w:p>
    <w:p w:rsidR="00793901" w:rsidRDefault="00D72AE8">
      <w:pPr>
        <w:pStyle w:val="Indenta"/>
      </w:pPr>
      <w:r>
        <w:tab/>
        <w:t>(a)</w:t>
      </w:r>
      <w:r>
        <w:tab/>
        <w:t xml:space="preserve">give the operator of the place written notice of — </w:t>
      </w:r>
    </w:p>
    <w:p w:rsidR="00793901" w:rsidRDefault="00D72AE8">
      <w:pPr>
        <w:pStyle w:val="Indenti"/>
      </w:pPr>
      <w:r>
        <w:tab/>
        <w:t>(i)</w:t>
      </w:r>
      <w:r>
        <w:tab/>
        <w:t>the Chief Officer’s intention to make the decision; and</w:t>
      </w:r>
    </w:p>
    <w:p w:rsidR="00793901" w:rsidRDefault="00D72AE8">
      <w:pPr>
        <w:pStyle w:val="Indenti"/>
      </w:pPr>
      <w:r>
        <w:tab/>
        <w:t>(ii)</w:t>
      </w:r>
      <w:r>
        <w:tab/>
        <w:t>the reasons for the intended decision;</w:t>
      </w:r>
    </w:p>
    <w:p w:rsidR="00793901" w:rsidRDefault="00D72AE8">
      <w:pPr>
        <w:pStyle w:val="Indenta"/>
      </w:pPr>
      <w:r>
        <w:tab/>
      </w:r>
      <w:r>
        <w:tab/>
        <w:t>and</w:t>
      </w:r>
    </w:p>
    <w:p w:rsidR="00793901" w:rsidRDefault="00D72AE8">
      <w:pPr>
        <w:pStyle w:val="Indenta"/>
      </w:pPr>
      <w:r>
        <w:tab/>
        <w:t>(b)</w:t>
      </w:r>
      <w:r>
        <w:tab/>
        <w:t>invite the operator to make submissions to the Chief Officer in relation to the intended decision before a date specified in the notice; and</w:t>
      </w:r>
    </w:p>
    <w:p w:rsidR="00793901" w:rsidRDefault="00D72AE8">
      <w:pPr>
        <w:pStyle w:val="Indenta"/>
      </w:pPr>
      <w:r>
        <w:tab/>
        <w:t>(c)</w:t>
      </w:r>
      <w:r>
        <w:tab/>
        <w:t>consider any submissions made by the operator.</w:t>
      </w:r>
    </w:p>
    <w:p w:rsidR="00793901" w:rsidRDefault="00D72AE8">
      <w:pPr>
        <w:pStyle w:val="Heading5"/>
      </w:pPr>
      <w:bookmarkStart w:id="35" w:name="_Toc74910958"/>
      <w:r>
        <w:rPr>
          <w:rStyle w:val="CharSectno"/>
        </w:rPr>
        <w:t>21</w:t>
      </w:r>
      <w:r>
        <w:t>.</w:t>
      </w:r>
      <w:r>
        <w:tab/>
        <w:t>Chief Officer to notify decision whether or not to classify a place as a major hazard facility</w:t>
      </w:r>
      <w:bookmarkEnd w:id="35"/>
    </w:p>
    <w:p w:rsidR="00793901" w:rsidRDefault="00D72AE8">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rsidR="00793901" w:rsidRDefault="00D72AE8">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rsidR="00793901" w:rsidRDefault="00D72AE8">
      <w:pPr>
        <w:pStyle w:val="Indenta"/>
      </w:pPr>
      <w:r>
        <w:tab/>
        <w:t>(a)</w:t>
      </w:r>
      <w:r>
        <w:tab/>
        <w:t xml:space="preserve">in the case of a place other than a modified place — </w:t>
      </w:r>
    </w:p>
    <w:p w:rsidR="00793901" w:rsidRDefault="00D72AE8">
      <w:pPr>
        <w:pStyle w:val="Indenti"/>
      </w:pPr>
      <w:r>
        <w:tab/>
        <w:t>(i)</w:t>
      </w:r>
      <w:r>
        <w:tab/>
        <w:t>if more than the critical quantity of Schedule 1 substances is at the place — the day specified in the notice;</w:t>
      </w:r>
    </w:p>
    <w:p w:rsidR="00793901" w:rsidRDefault="00D72AE8">
      <w:pPr>
        <w:pStyle w:val="Indenti"/>
      </w:pPr>
      <w:r>
        <w:tab/>
        <w:t>(ii)</w:t>
      </w:r>
      <w:r>
        <w:tab/>
        <w:t xml:space="preserve">if more than the critical quantity of Schedule 1 substances is likely to be at the place — the day when more than the critical quantity of </w:t>
      </w:r>
      <w:r>
        <w:lastRenderedPageBreak/>
        <w:t>Schedule 1 substances is at the facility for the first time;</w:t>
      </w:r>
    </w:p>
    <w:p w:rsidR="00793901" w:rsidRDefault="00D72AE8">
      <w:pPr>
        <w:pStyle w:val="Indenta"/>
      </w:pPr>
      <w:r>
        <w:tab/>
        <w:t>(b)</w:t>
      </w:r>
      <w:r>
        <w:tab/>
        <w:t>in the case of a modified place — the day when the notifiable change occurs.</w:t>
      </w:r>
    </w:p>
    <w:p w:rsidR="00793901" w:rsidRDefault="00D72AE8">
      <w:pPr>
        <w:pStyle w:val="Subsection"/>
      </w:pPr>
      <w:r>
        <w:tab/>
        <w:t>(3)</w:t>
      </w:r>
      <w:r>
        <w:tab/>
        <w:t xml:space="preserve">If the Chief Officer decides to classify an existing facility as a major hazard facility, the date specified in the notice under subregulation (2)(a)(i) is to be — </w:t>
      </w:r>
    </w:p>
    <w:p w:rsidR="00793901" w:rsidRDefault="00D72AE8">
      <w:pPr>
        <w:pStyle w:val="Indenta"/>
      </w:pPr>
      <w:r>
        <w:tab/>
        <w:t>(a)</w:t>
      </w:r>
      <w:r>
        <w:tab/>
        <w:t>a date not earlier than the first anniversary of the commencement day; or</w:t>
      </w:r>
    </w:p>
    <w:p w:rsidR="00793901" w:rsidRDefault="00D72AE8">
      <w:pPr>
        <w:pStyle w:val="Indenta"/>
      </w:pPr>
      <w:r>
        <w:tab/>
        <w:t>(b)</w:t>
      </w:r>
      <w:r>
        <w:tab/>
        <w:t>a date agreed between the Chief Officer and the operator.</w:t>
      </w:r>
    </w:p>
    <w:p w:rsidR="00793901" w:rsidRDefault="00D72AE8">
      <w:pPr>
        <w:pStyle w:val="Heading5"/>
      </w:pPr>
      <w:bookmarkStart w:id="36" w:name="_Toc74910959"/>
      <w:r>
        <w:rPr>
          <w:rStyle w:val="CharSectno"/>
        </w:rPr>
        <w:t>22</w:t>
      </w:r>
      <w:r>
        <w:t>.</w:t>
      </w:r>
      <w:r>
        <w:tab/>
        <w:t>Chief Officer may revoke decision to classify place as major hazard facility</w:t>
      </w:r>
      <w:bookmarkEnd w:id="36"/>
    </w:p>
    <w:p w:rsidR="00793901" w:rsidRDefault="00D72AE8">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rsidR="00793901" w:rsidRDefault="00D72AE8">
      <w:pPr>
        <w:pStyle w:val="Subsection"/>
      </w:pPr>
      <w:r>
        <w:tab/>
        <w:t>(2)</w:t>
      </w:r>
      <w:r>
        <w:tab/>
        <w:t>The operator of a major hazard facility may, in writing, request the Chief Officer to revoke the decision made under regulation 19 to classify the place as a major hazard facility.</w:t>
      </w:r>
    </w:p>
    <w:p w:rsidR="00793901" w:rsidRDefault="00D72AE8">
      <w:pPr>
        <w:pStyle w:val="Subsection"/>
      </w:pPr>
      <w:r>
        <w:tab/>
        <w:t>(3)</w:t>
      </w:r>
      <w:r>
        <w:tab/>
        <w:t xml:space="preserve">Within 90 days of receiving a request under subregulation (2) from the operator of a place, the Chief Officer must — </w:t>
      </w:r>
    </w:p>
    <w:p w:rsidR="00793901" w:rsidRDefault="00D72AE8">
      <w:pPr>
        <w:pStyle w:val="Indenta"/>
      </w:pPr>
      <w:r>
        <w:tab/>
        <w:t>(a)</w:t>
      </w:r>
      <w:r>
        <w:tab/>
        <w:t>decide whether or not to revoke the decision made under regulation 19 in respect of the place; and</w:t>
      </w:r>
    </w:p>
    <w:p w:rsidR="00793901" w:rsidRDefault="00D72AE8">
      <w:pPr>
        <w:pStyle w:val="Indenta"/>
      </w:pPr>
      <w:r>
        <w:tab/>
        <w:t>(b)</w:t>
      </w:r>
      <w:r>
        <w:tab/>
        <w:t xml:space="preserve">give the </w:t>
      </w:r>
      <w:r>
        <w:rPr>
          <w:color w:val="000000"/>
        </w:rPr>
        <w:t xml:space="preserve">operator a written notice of the decision </w:t>
      </w:r>
      <w:r>
        <w:t>made under paragraph (a).</w:t>
      </w:r>
    </w:p>
    <w:p w:rsidR="00793901" w:rsidRDefault="00D72AE8">
      <w:pPr>
        <w:pStyle w:val="Heading2"/>
      </w:pPr>
      <w:bookmarkStart w:id="37" w:name="_Toc74910280"/>
      <w:bookmarkStart w:id="38" w:name="_Toc74910339"/>
      <w:bookmarkStart w:id="39" w:name="_Toc74910960"/>
      <w:r>
        <w:rPr>
          <w:rStyle w:val="CharPartNo"/>
        </w:rPr>
        <w:lastRenderedPageBreak/>
        <w:t>Part 5</w:t>
      </w:r>
      <w:r>
        <w:rPr>
          <w:rStyle w:val="CharDivNo"/>
        </w:rPr>
        <w:t> </w:t>
      </w:r>
      <w:r>
        <w:t>—</w:t>
      </w:r>
      <w:r>
        <w:rPr>
          <w:rStyle w:val="CharDivText"/>
        </w:rPr>
        <w:t> </w:t>
      </w:r>
      <w:r>
        <w:rPr>
          <w:rStyle w:val="CharPartText"/>
          <w:color w:val="000000"/>
        </w:rPr>
        <w:t>Safety reports</w:t>
      </w:r>
      <w:bookmarkEnd w:id="37"/>
      <w:bookmarkEnd w:id="38"/>
      <w:bookmarkEnd w:id="39"/>
    </w:p>
    <w:p w:rsidR="00793901" w:rsidRDefault="00D72AE8">
      <w:pPr>
        <w:pStyle w:val="Heading5"/>
      </w:pPr>
      <w:bookmarkStart w:id="40" w:name="_Toc74910961"/>
      <w:r>
        <w:rPr>
          <w:rStyle w:val="CharSectno"/>
        </w:rPr>
        <w:t>23</w:t>
      </w:r>
      <w:r>
        <w:t>.</w:t>
      </w:r>
      <w:r>
        <w:tab/>
        <w:t>R</w:t>
      </w:r>
      <w:r>
        <w:rPr>
          <w:color w:val="000000"/>
        </w:rPr>
        <w:t>isk assessment, operator of major hazard facility to prepare</w:t>
      </w:r>
      <w:bookmarkEnd w:id="40"/>
    </w:p>
    <w:p w:rsidR="00793901" w:rsidRDefault="00D72AE8">
      <w:pPr>
        <w:pStyle w:val="Subsection"/>
        <w:rPr>
          <w:color w:val="000000"/>
        </w:rPr>
      </w:pPr>
      <w:r>
        <w:tab/>
        <w:t>(1)</w:t>
      </w:r>
      <w:r>
        <w:tab/>
        <w:t xml:space="preserve">The operator of a major hazard facility must prepare a </w:t>
      </w:r>
      <w:r>
        <w:rPr>
          <w:color w:val="000000"/>
        </w:rPr>
        <w:t>risk assessment for the facility.</w:t>
      </w:r>
    </w:p>
    <w:p w:rsidR="00793901" w:rsidRDefault="00D72AE8">
      <w:pPr>
        <w:pStyle w:val="Subsection"/>
      </w:pPr>
      <w:r>
        <w:tab/>
        <w:t>(2)</w:t>
      </w:r>
      <w:r>
        <w:tab/>
        <w:t xml:space="preserve">A </w:t>
      </w:r>
      <w:r>
        <w:rPr>
          <w:color w:val="000000"/>
        </w:rPr>
        <w:t>risk assessment</w:t>
      </w:r>
      <w:r>
        <w:t xml:space="preserve"> for a facility is a document that — </w:t>
      </w:r>
    </w:p>
    <w:p w:rsidR="00793901" w:rsidRDefault="00D72AE8">
      <w:pPr>
        <w:pStyle w:val="Indenta"/>
      </w:pPr>
      <w:r>
        <w:tab/>
        <w:t>(a)</w:t>
      </w:r>
      <w:r>
        <w:tab/>
        <w:t>identifies all hazards relating to dangerous goods at the facility as it exists, or as the operator expects it will exist, at the relevant time; and</w:t>
      </w:r>
    </w:p>
    <w:p w:rsidR="00793901" w:rsidRDefault="00D72AE8">
      <w:pPr>
        <w:pStyle w:val="Indenta"/>
      </w:pPr>
      <w:r>
        <w:tab/>
        <w:t>(b)</w:t>
      </w:r>
      <w:r>
        <w:tab/>
        <w:t xml:space="preserve">for each hazard, assesses — </w:t>
      </w:r>
    </w:p>
    <w:p w:rsidR="00793901" w:rsidRDefault="00D72AE8">
      <w:pPr>
        <w:pStyle w:val="Indenti"/>
      </w:pPr>
      <w:r>
        <w:tab/>
        <w:t>(i)</w:t>
      </w:r>
      <w:r>
        <w:tab/>
        <w:t>the probability of the hazard causing a major incident; and</w:t>
      </w:r>
    </w:p>
    <w:p w:rsidR="00793901" w:rsidRDefault="00D72AE8">
      <w:pPr>
        <w:pStyle w:val="Indenti"/>
      </w:pPr>
      <w:r>
        <w:tab/>
        <w:t>(ii)</w:t>
      </w:r>
      <w:r>
        <w:tab/>
        <w:t>the nature of the harm to people, property and the environment that is likely to result from the occurrence of that incident;</w:t>
      </w:r>
    </w:p>
    <w:p w:rsidR="00793901" w:rsidRDefault="00D72AE8">
      <w:pPr>
        <w:pStyle w:val="Indenta"/>
      </w:pPr>
      <w:r>
        <w:tab/>
      </w:r>
      <w:r>
        <w:tab/>
        <w:t>and</w:t>
      </w:r>
    </w:p>
    <w:p w:rsidR="00793901" w:rsidRDefault="00D72AE8">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rsidR="00793901" w:rsidRDefault="00D72AE8">
      <w:pPr>
        <w:pStyle w:val="Indenti"/>
      </w:pPr>
      <w:r>
        <w:tab/>
        <w:t>(i)</w:t>
      </w:r>
      <w:r>
        <w:tab/>
        <w:t>the probability of the hazard causing a major incident; and</w:t>
      </w:r>
    </w:p>
    <w:p w:rsidR="00793901" w:rsidRDefault="00D72AE8">
      <w:pPr>
        <w:pStyle w:val="Indenti"/>
      </w:pPr>
      <w:r>
        <w:tab/>
        <w:t>(ii)</w:t>
      </w:r>
      <w:r>
        <w:tab/>
        <w:t>the harm to people, property and the environment that is likely to result from the occurrence of that incident;</w:t>
      </w:r>
    </w:p>
    <w:p w:rsidR="00793901" w:rsidRDefault="00D72AE8">
      <w:pPr>
        <w:pStyle w:val="Indenta"/>
      </w:pPr>
      <w:r>
        <w:tab/>
      </w:r>
      <w:r>
        <w:tab/>
        <w:t>and</w:t>
      </w:r>
    </w:p>
    <w:p w:rsidR="00793901" w:rsidRDefault="00D72AE8">
      <w:pPr>
        <w:pStyle w:val="Indenta"/>
      </w:pPr>
      <w:r>
        <w:tab/>
        <w:t>(d)</w:t>
      </w:r>
      <w:r>
        <w:tab/>
        <w:t>records the method of reasoning used to determine the matters referred to in paragraphs (a) to (c); and</w:t>
      </w:r>
    </w:p>
    <w:p w:rsidR="00793901" w:rsidRDefault="00D72AE8">
      <w:pPr>
        <w:pStyle w:val="Indenta"/>
      </w:pPr>
      <w:r>
        <w:tab/>
        <w:t>(e)</w:t>
      </w:r>
      <w:r>
        <w:tab/>
        <w:t>has been prepared in consultation with employees and records the details of the consultation; and</w:t>
      </w:r>
    </w:p>
    <w:p w:rsidR="00793901" w:rsidRDefault="00D72AE8">
      <w:pPr>
        <w:pStyle w:val="Indenta"/>
      </w:pPr>
      <w:r>
        <w:tab/>
        <w:t>(f)</w:t>
      </w:r>
      <w:r>
        <w:tab/>
        <w:t>is in a form acceptable to the Chief Officer.</w:t>
      </w:r>
    </w:p>
    <w:p w:rsidR="00793901" w:rsidRDefault="00D72AE8">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rsidR="00793901" w:rsidRDefault="00D72AE8">
      <w:pPr>
        <w:pStyle w:val="Heading5"/>
        <w:spacing w:before="260"/>
      </w:pPr>
      <w:bookmarkStart w:id="41" w:name="_Toc74910962"/>
      <w:r>
        <w:rPr>
          <w:rStyle w:val="CharSectno"/>
        </w:rPr>
        <w:t>24</w:t>
      </w:r>
      <w:r>
        <w:t>.</w:t>
      </w:r>
      <w:r>
        <w:tab/>
        <w:t>S</w:t>
      </w:r>
      <w:r>
        <w:rPr>
          <w:color w:val="000000"/>
        </w:rPr>
        <w:t>afety management system, operator of major hazard facility to prepare</w:t>
      </w:r>
      <w:bookmarkEnd w:id="41"/>
    </w:p>
    <w:p w:rsidR="00793901" w:rsidRDefault="00D72AE8">
      <w:pPr>
        <w:pStyle w:val="Subsection"/>
        <w:spacing w:before="180"/>
        <w:rPr>
          <w:color w:val="000000"/>
        </w:rPr>
      </w:pPr>
      <w:r>
        <w:tab/>
        <w:t>(1)</w:t>
      </w:r>
      <w:r>
        <w:tab/>
        <w:t xml:space="preserve">The operator of a major hazard facility must prepare a </w:t>
      </w:r>
      <w:r>
        <w:rPr>
          <w:color w:val="000000"/>
        </w:rPr>
        <w:t>safety management system for the facility.</w:t>
      </w:r>
    </w:p>
    <w:p w:rsidR="00793901" w:rsidRDefault="00D72AE8">
      <w:pPr>
        <w:pStyle w:val="Subsection"/>
        <w:spacing w:before="180"/>
      </w:pPr>
      <w:r>
        <w:tab/>
        <w:t>(2)</w:t>
      </w:r>
      <w:r>
        <w:tab/>
      </w:r>
      <w:r>
        <w:rPr>
          <w:color w:val="000000"/>
        </w:rPr>
        <w:t>A safety management system for</w:t>
      </w:r>
      <w:r>
        <w:t xml:space="preserve"> a facility is a document that — </w:t>
      </w:r>
    </w:p>
    <w:p w:rsidR="00793901" w:rsidRDefault="00D72AE8">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rsidR="00793901" w:rsidRDefault="00D72AE8">
      <w:pPr>
        <w:pStyle w:val="Indenta"/>
        <w:spacing w:before="100"/>
      </w:pPr>
      <w:r>
        <w:tab/>
        <w:t>(b)</w:t>
      </w:r>
      <w:r>
        <w:tab/>
        <w:t>has been prepared in consultation with employees and records the details of the consultation; and</w:t>
      </w:r>
    </w:p>
    <w:p w:rsidR="00793901" w:rsidRDefault="00D72AE8">
      <w:pPr>
        <w:pStyle w:val="Indenta"/>
        <w:spacing w:before="100"/>
      </w:pPr>
      <w:r>
        <w:tab/>
        <w:t>(c)</w:t>
      </w:r>
      <w:r>
        <w:tab/>
        <w:t>is in a form acceptable to the Chief Officer.</w:t>
      </w:r>
    </w:p>
    <w:p w:rsidR="00793901" w:rsidRDefault="00D72AE8">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rsidR="00793901" w:rsidRDefault="00D72AE8">
      <w:pPr>
        <w:pStyle w:val="Heading5"/>
        <w:spacing w:before="260"/>
      </w:pPr>
      <w:bookmarkStart w:id="42" w:name="_Toc74910963"/>
      <w:r>
        <w:rPr>
          <w:rStyle w:val="CharSectno"/>
        </w:rPr>
        <w:t>25</w:t>
      </w:r>
      <w:r>
        <w:t>.</w:t>
      </w:r>
      <w:r>
        <w:tab/>
        <w:t>S</w:t>
      </w:r>
      <w:r>
        <w:rPr>
          <w:color w:val="000000"/>
        </w:rPr>
        <w:t>afety report, operator of major hazard facility to prepare</w:t>
      </w:r>
      <w:bookmarkEnd w:id="42"/>
    </w:p>
    <w:p w:rsidR="00793901" w:rsidRDefault="00D72AE8">
      <w:pPr>
        <w:pStyle w:val="Subsection"/>
        <w:spacing w:before="180"/>
        <w:rPr>
          <w:color w:val="000000"/>
        </w:rPr>
      </w:pPr>
      <w:r>
        <w:tab/>
        <w:t>(1)</w:t>
      </w:r>
      <w:r>
        <w:tab/>
        <w:t xml:space="preserve">The operator of a major hazard facility must prepare a </w:t>
      </w:r>
      <w:r>
        <w:rPr>
          <w:color w:val="000000"/>
        </w:rPr>
        <w:t>safety report for the facility.</w:t>
      </w:r>
    </w:p>
    <w:p w:rsidR="00793901" w:rsidRDefault="00D72AE8">
      <w:pPr>
        <w:pStyle w:val="Subsection"/>
        <w:spacing w:before="180"/>
      </w:pPr>
      <w:r>
        <w:tab/>
        <w:t>(2)</w:t>
      </w:r>
      <w:r>
        <w:tab/>
      </w:r>
      <w:r>
        <w:rPr>
          <w:color w:val="000000"/>
        </w:rPr>
        <w:t>A safety report for</w:t>
      </w:r>
      <w:r>
        <w:t xml:space="preserve"> a facility is a document that — </w:t>
      </w:r>
    </w:p>
    <w:p w:rsidR="00793901" w:rsidRDefault="00D72AE8">
      <w:pPr>
        <w:pStyle w:val="Indenta"/>
        <w:spacing w:before="100"/>
      </w:pPr>
      <w:r>
        <w:tab/>
        <w:t>(a)</w:t>
      </w:r>
      <w:r>
        <w:tab/>
        <w:t>contains the notifiable information for the facility as it exists, or as the operator expects it will exist, at the relevant time; and</w:t>
      </w:r>
    </w:p>
    <w:p w:rsidR="00793901" w:rsidRDefault="00D72AE8">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rsidR="00793901" w:rsidRDefault="00D72AE8">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rsidR="00793901" w:rsidRDefault="00D72AE8">
      <w:pPr>
        <w:pStyle w:val="Indenta"/>
      </w:pPr>
      <w:r>
        <w:tab/>
        <w:t>(d)</w:t>
      </w:r>
      <w:r>
        <w:tab/>
        <w:t>is in a form acceptable to the Chief Officer.</w:t>
      </w:r>
    </w:p>
    <w:p w:rsidR="00793901" w:rsidRDefault="00D72AE8">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rsidR="00793901" w:rsidRDefault="00D72AE8">
      <w:pPr>
        <w:pStyle w:val="Heading5"/>
        <w:rPr>
          <w:color w:val="000000"/>
        </w:rPr>
      </w:pPr>
      <w:bookmarkStart w:id="43" w:name="_Toc74910964"/>
      <w:r>
        <w:rPr>
          <w:rStyle w:val="CharSectno"/>
        </w:rPr>
        <w:t>26</w:t>
      </w:r>
      <w:r>
        <w:t>.</w:t>
      </w:r>
      <w:r>
        <w:tab/>
        <w:t>S</w:t>
      </w:r>
      <w:r>
        <w:rPr>
          <w:color w:val="000000"/>
        </w:rPr>
        <w:t>afety report, application for approval of</w:t>
      </w:r>
      <w:bookmarkEnd w:id="43"/>
    </w:p>
    <w:p w:rsidR="00793901" w:rsidRDefault="00D72AE8">
      <w:pPr>
        <w:pStyle w:val="Subsection"/>
      </w:pPr>
      <w:r>
        <w:tab/>
        <w:t>(1)</w:t>
      </w:r>
      <w:r>
        <w:tab/>
        <w:t xml:space="preserve">An application for approval of a </w:t>
      </w:r>
      <w:r>
        <w:rPr>
          <w:color w:val="000000"/>
        </w:rPr>
        <w:t>safety report</w:t>
      </w:r>
      <w:r>
        <w:t xml:space="preserve"> for a facility must —</w:t>
      </w:r>
    </w:p>
    <w:p w:rsidR="00793901" w:rsidRDefault="00D72AE8">
      <w:pPr>
        <w:pStyle w:val="Indenta"/>
        <w:spacing w:before="100"/>
      </w:pPr>
      <w:r>
        <w:tab/>
        <w:t>(a)</w:t>
      </w:r>
      <w:r>
        <w:tab/>
        <w:t>be made to the Chief Officer in an approved form; and</w:t>
      </w:r>
    </w:p>
    <w:p w:rsidR="00793901" w:rsidRDefault="00D72AE8">
      <w:pPr>
        <w:pStyle w:val="Indenta"/>
        <w:spacing w:before="100"/>
      </w:pPr>
      <w:r>
        <w:tab/>
        <w:t>(b)</w:t>
      </w:r>
      <w:r>
        <w:tab/>
        <w:t>if it is the first application for approval of a safety report for the facility — be accompanied by the relevant fee specified in Schedule 3 clause 1.</w:t>
      </w:r>
    </w:p>
    <w:p w:rsidR="00793901" w:rsidRDefault="00D72AE8">
      <w:pPr>
        <w:pStyle w:val="Ednotesubsection"/>
      </w:pPr>
      <w:r>
        <w:tab/>
        <w:t>[(2)</w:t>
      </w:r>
      <w:r>
        <w:tab/>
        <w:t>deleted]</w:t>
      </w:r>
    </w:p>
    <w:p w:rsidR="00793901" w:rsidRDefault="00D72AE8">
      <w:pPr>
        <w:pStyle w:val="Footnotesection"/>
      </w:pPr>
      <w:r>
        <w:tab/>
        <w:t>[Regulation 26 amended: Gazette 16 Mar 2012 p. 1270.]</w:t>
      </w:r>
    </w:p>
    <w:p w:rsidR="00793901" w:rsidRDefault="00D72AE8">
      <w:pPr>
        <w:pStyle w:val="Heading5"/>
      </w:pPr>
      <w:bookmarkStart w:id="44" w:name="_Toc74910965"/>
      <w:r>
        <w:rPr>
          <w:rStyle w:val="CharSectno"/>
        </w:rPr>
        <w:t>27</w:t>
      </w:r>
      <w:r>
        <w:t>.</w:t>
      </w:r>
      <w:r>
        <w:tab/>
        <w:t>S</w:t>
      </w:r>
      <w:r>
        <w:rPr>
          <w:color w:val="000000"/>
        </w:rPr>
        <w:t xml:space="preserve">afety report, approval of </w:t>
      </w:r>
      <w:r>
        <w:t>by Chief Officer</w:t>
      </w:r>
      <w:bookmarkEnd w:id="44"/>
    </w:p>
    <w:p w:rsidR="00793901" w:rsidRDefault="00D72AE8">
      <w:pPr>
        <w:pStyle w:val="Subsection"/>
      </w:pPr>
      <w:r>
        <w:tab/>
        <w:t>(1)</w:t>
      </w:r>
      <w:r>
        <w:tab/>
        <w:t xml:space="preserve">The Chief Officer may approve a </w:t>
      </w:r>
      <w:r>
        <w:rPr>
          <w:color w:val="000000"/>
        </w:rPr>
        <w:t>safety report</w:t>
      </w:r>
      <w:r>
        <w:t xml:space="preserve"> for a major hazard facility if satisfied that — </w:t>
      </w:r>
    </w:p>
    <w:p w:rsidR="00793901" w:rsidRDefault="00D72AE8">
      <w:pPr>
        <w:pStyle w:val="Indenta"/>
        <w:spacing w:before="100"/>
      </w:pPr>
      <w:r>
        <w:tab/>
        <w:t>(a)</w:t>
      </w:r>
      <w:r>
        <w:tab/>
        <w:t xml:space="preserve">the </w:t>
      </w:r>
      <w:r>
        <w:rPr>
          <w:color w:val="000000"/>
        </w:rPr>
        <w:t>safety report</w:t>
      </w:r>
      <w:r>
        <w:t xml:space="preserve"> complies with regulation 25(2); and</w:t>
      </w:r>
    </w:p>
    <w:p w:rsidR="00793901" w:rsidRDefault="00D72AE8">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rsidR="00793901" w:rsidRDefault="00D72AE8">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rsidR="00793901" w:rsidRDefault="00D72AE8">
      <w:pPr>
        <w:pStyle w:val="Indenta"/>
        <w:spacing w:before="60"/>
      </w:pPr>
      <w:r>
        <w:tab/>
        <w:t>(a)</w:t>
      </w:r>
      <w:r>
        <w:tab/>
        <w:t>the severity of the risk to people, property or the environment from the dangerous goods; and</w:t>
      </w:r>
    </w:p>
    <w:p w:rsidR="00793901" w:rsidRDefault="00D72AE8">
      <w:pPr>
        <w:pStyle w:val="Indenta"/>
        <w:spacing w:before="60"/>
      </w:pPr>
      <w:r>
        <w:tab/>
        <w:t>(b)</w:t>
      </w:r>
      <w:r>
        <w:tab/>
        <w:t>the severity of any harm that might be caused by the dangerous goods to people, property or the environment; and</w:t>
      </w:r>
    </w:p>
    <w:p w:rsidR="00793901" w:rsidRDefault="00D72AE8">
      <w:pPr>
        <w:pStyle w:val="Indenta"/>
        <w:spacing w:before="60"/>
      </w:pPr>
      <w:r>
        <w:tab/>
        <w:t>(c)</w:t>
      </w:r>
      <w:r>
        <w:tab/>
        <w:t>public knowledge about the matters in paragraphs (a) and (b); and</w:t>
      </w:r>
    </w:p>
    <w:p w:rsidR="00793901" w:rsidRDefault="00D72AE8">
      <w:pPr>
        <w:pStyle w:val="Indenta"/>
        <w:spacing w:before="60"/>
      </w:pPr>
      <w:r>
        <w:tab/>
        <w:t>(d)</w:t>
      </w:r>
      <w:r>
        <w:tab/>
        <w:t>public knowledge about means to reduce or eliminate the risk referred to in paragraph (a) or to reduce the severity referred to in paragraph (b); and</w:t>
      </w:r>
    </w:p>
    <w:p w:rsidR="00793901" w:rsidRDefault="00D72AE8">
      <w:pPr>
        <w:pStyle w:val="Indenta"/>
        <w:spacing w:before="60"/>
      </w:pPr>
      <w:r>
        <w:tab/>
        <w:t>(e)</w:t>
      </w:r>
      <w:r>
        <w:tab/>
        <w:t>the availability, suitability and cost of those means.</w:t>
      </w:r>
    </w:p>
    <w:p w:rsidR="00793901" w:rsidRDefault="00D72AE8">
      <w:pPr>
        <w:pStyle w:val="Heading5"/>
      </w:pPr>
      <w:bookmarkStart w:id="45" w:name="_Toc74910966"/>
      <w:r>
        <w:rPr>
          <w:rStyle w:val="CharSectno"/>
        </w:rPr>
        <w:t>28</w:t>
      </w:r>
      <w:r>
        <w:t>.</w:t>
      </w:r>
      <w:r>
        <w:tab/>
        <w:t xml:space="preserve">Withdrawal of approval of </w:t>
      </w:r>
      <w:r>
        <w:rPr>
          <w:color w:val="000000"/>
        </w:rPr>
        <w:t>safety report</w:t>
      </w:r>
      <w:bookmarkEnd w:id="45"/>
    </w:p>
    <w:p w:rsidR="00793901" w:rsidRDefault="00D72AE8">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rsidR="00793901" w:rsidRDefault="00D72AE8">
      <w:pPr>
        <w:pStyle w:val="Subsection"/>
        <w:spacing w:before="140"/>
      </w:pPr>
      <w:r>
        <w:tab/>
        <w:t>(2)</w:t>
      </w:r>
      <w:r>
        <w:tab/>
        <w:t xml:space="preserve">The Chief Officer cannot withdraw approval of </w:t>
      </w:r>
      <w:r>
        <w:rPr>
          <w:color w:val="000000"/>
        </w:rPr>
        <w:t>a safety report</w:t>
      </w:r>
      <w:r>
        <w:t xml:space="preserve"> if — </w:t>
      </w:r>
    </w:p>
    <w:p w:rsidR="00793901" w:rsidRDefault="00D72AE8">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rsidR="00793901" w:rsidRDefault="00D72AE8">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rsidR="00793901" w:rsidRDefault="00D72AE8">
      <w:pPr>
        <w:pStyle w:val="Heading5"/>
        <w:rPr>
          <w:color w:val="000000"/>
        </w:rPr>
      </w:pPr>
      <w:bookmarkStart w:id="46" w:name="_Toc74910967"/>
      <w:r>
        <w:rPr>
          <w:rStyle w:val="CharSectno"/>
        </w:rPr>
        <w:t>29</w:t>
      </w:r>
      <w:r>
        <w:t>.</w:t>
      </w:r>
      <w:r>
        <w:tab/>
        <w:t xml:space="preserve">Chief Officer to consult etc. before refusing to approve or withdrawing approval of </w:t>
      </w:r>
      <w:r>
        <w:rPr>
          <w:color w:val="000000"/>
        </w:rPr>
        <w:t>safety report</w:t>
      </w:r>
      <w:bookmarkEnd w:id="46"/>
    </w:p>
    <w:p w:rsidR="00793901" w:rsidRDefault="00D72AE8">
      <w:pPr>
        <w:pStyle w:val="Subsection"/>
        <w:keepNext/>
      </w:pPr>
      <w:r>
        <w:tab/>
        <w:t>(1)</w:t>
      </w:r>
      <w:r>
        <w:tab/>
        <w:t xml:space="preserve">Before the Chief Officer — </w:t>
      </w:r>
    </w:p>
    <w:p w:rsidR="00793901" w:rsidRDefault="00D72AE8">
      <w:pPr>
        <w:pStyle w:val="Indenta"/>
        <w:spacing w:before="60"/>
      </w:pPr>
      <w:r>
        <w:tab/>
        <w:t>(a)</w:t>
      </w:r>
      <w:r>
        <w:tab/>
        <w:t>refuses to approve; or</w:t>
      </w:r>
    </w:p>
    <w:p w:rsidR="00793901" w:rsidRDefault="00D72AE8">
      <w:pPr>
        <w:pStyle w:val="Indenta"/>
      </w:pPr>
      <w:r>
        <w:lastRenderedPageBreak/>
        <w:tab/>
        <w:t>(b)</w:t>
      </w:r>
      <w:r>
        <w:tab/>
        <w:t>withdraws approval of,</w:t>
      </w:r>
    </w:p>
    <w:p w:rsidR="00793901" w:rsidRDefault="00D72AE8">
      <w:pPr>
        <w:pStyle w:val="Subsection"/>
        <w:spacing w:before="120"/>
      </w:pPr>
      <w:r>
        <w:tab/>
      </w:r>
      <w:r>
        <w:tab/>
        <w:t xml:space="preserve">a </w:t>
      </w:r>
      <w:r>
        <w:rPr>
          <w:color w:val="000000"/>
        </w:rPr>
        <w:t>safety report</w:t>
      </w:r>
      <w:r>
        <w:t xml:space="preserve">, the Chief Officer must — </w:t>
      </w:r>
    </w:p>
    <w:p w:rsidR="00793901" w:rsidRDefault="00D72AE8">
      <w:pPr>
        <w:pStyle w:val="Indenta"/>
        <w:spacing w:before="70"/>
      </w:pPr>
      <w:r>
        <w:tab/>
        <w:t>(c)</w:t>
      </w:r>
      <w:r>
        <w:tab/>
        <w:t xml:space="preserve">give the operator of the major hazard facility to which the </w:t>
      </w:r>
      <w:r>
        <w:rPr>
          <w:color w:val="000000"/>
        </w:rPr>
        <w:t>safety report</w:t>
      </w:r>
      <w:r>
        <w:t xml:space="preserve"> relates written notice of — </w:t>
      </w:r>
    </w:p>
    <w:p w:rsidR="00793901" w:rsidRDefault="00D72AE8">
      <w:pPr>
        <w:pStyle w:val="Indenti"/>
        <w:spacing w:before="70"/>
      </w:pPr>
      <w:r>
        <w:tab/>
        <w:t>(i)</w:t>
      </w:r>
      <w:r>
        <w:tab/>
        <w:t>the Chief Officer’s intention to make the decision referred to in paragraph (a) or (b); and</w:t>
      </w:r>
    </w:p>
    <w:p w:rsidR="00793901" w:rsidRDefault="00D72AE8">
      <w:pPr>
        <w:pStyle w:val="Indenti"/>
        <w:spacing w:before="70"/>
      </w:pPr>
      <w:r>
        <w:tab/>
        <w:t>(ii)</w:t>
      </w:r>
      <w:r>
        <w:tab/>
        <w:t>the reasons for the intended decision;</w:t>
      </w:r>
    </w:p>
    <w:p w:rsidR="00793901" w:rsidRDefault="00D72AE8">
      <w:pPr>
        <w:pStyle w:val="Indenta"/>
        <w:spacing w:before="70"/>
      </w:pPr>
      <w:r>
        <w:tab/>
      </w:r>
      <w:r>
        <w:tab/>
        <w:t>and</w:t>
      </w:r>
    </w:p>
    <w:p w:rsidR="00793901" w:rsidRDefault="00D72AE8">
      <w:pPr>
        <w:pStyle w:val="Indenta"/>
        <w:spacing w:before="70"/>
      </w:pPr>
      <w:r>
        <w:tab/>
        <w:t>(d)</w:t>
      </w:r>
      <w:r>
        <w:tab/>
        <w:t>invite the operator to make submissions to the Chief Officer in relation to the intended decision before a date specified in the notice; and</w:t>
      </w:r>
    </w:p>
    <w:p w:rsidR="00793901" w:rsidRDefault="00D72AE8">
      <w:pPr>
        <w:pStyle w:val="Indenta"/>
        <w:spacing w:before="70"/>
      </w:pPr>
      <w:r>
        <w:tab/>
        <w:t>(e)</w:t>
      </w:r>
      <w:r>
        <w:tab/>
        <w:t>consider any submissions made by the operator.</w:t>
      </w:r>
    </w:p>
    <w:p w:rsidR="00793901" w:rsidRDefault="00D72AE8">
      <w:pPr>
        <w:pStyle w:val="Subsection"/>
      </w:pPr>
      <w:r>
        <w:tab/>
        <w:t>(2)</w:t>
      </w:r>
      <w:r>
        <w:tab/>
        <w:t xml:space="preserve">If the Chief Officer — </w:t>
      </w:r>
    </w:p>
    <w:p w:rsidR="00793901" w:rsidRDefault="00D72AE8">
      <w:pPr>
        <w:pStyle w:val="Indenta"/>
      </w:pPr>
      <w:r>
        <w:tab/>
        <w:t>(a)</w:t>
      </w:r>
      <w:r>
        <w:tab/>
        <w:t>refuses to approve; or</w:t>
      </w:r>
    </w:p>
    <w:p w:rsidR="00793901" w:rsidRDefault="00D72AE8">
      <w:pPr>
        <w:pStyle w:val="Indenta"/>
      </w:pPr>
      <w:r>
        <w:tab/>
        <w:t>(b)</w:t>
      </w:r>
      <w:r>
        <w:tab/>
        <w:t>withdraws approval of,</w:t>
      </w:r>
    </w:p>
    <w:p w:rsidR="00793901" w:rsidRDefault="00D72AE8">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rsidR="00793901" w:rsidRDefault="00D72AE8">
      <w:pPr>
        <w:pStyle w:val="Heading5"/>
      </w:pPr>
      <w:bookmarkStart w:id="47" w:name="_Toc74910968"/>
      <w:r>
        <w:rPr>
          <w:rStyle w:val="CharSectno"/>
        </w:rPr>
        <w:t>30</w:t>
      </w:r>
      <w:r>
        <w:t>.</w:t>
      </w:r>
      <w:r>
        <w:tab/>
        <w:t>Safety report, review of by operator of major hazard facility</w:t>
      </w:r>
      <w:bookmarkEnd w:id="47"/>
    </w:p>
    <w:p w:rsidR="00793901" w:rsidRDefault="00D72AE8">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rsidR="00793901" w:rsidRDefault="00D72AE8">
      <w:pPr>
        <w:pStyle w:val="Indenta"/>
        <w:spacing w:before="70"/>
      </w:pPr>
      <w:r>
        <w:tab/>
        <w:t>(a)</w:t>
      </w:r>
      <w:r>
        <w:tab/>
        <w:t xml:space="preserve">before implementing a significant change to — </w:t>
      </w:r>
    </w:p>
    <w:p w:rsidR="00793901" w:rsidRDefault="00D72AE8">
      <w:pPr>
        <w:pStyle w:val="Indenti"/>
        <w:spacing w:before="70"/>
      </w:pPr>
      <w:r>
        <w:tab/>
        <w:t>(i)</w:t>
      </w:r>
      <w:r>
        <w:tab/>
        <w:t>any plant, process or substance used at the facility including the introduction of any new plant, process or substance; or</w:t>
      </w:r>
    </w:p>
    <w:p w:rsidR="00793901" w:rsidRDefault="00D72AE8">
      <w:pPr>
        <w:pStyle w:val="Indenti"/>
        <w:spacing w:before="70"/>
      </w:pPr>
      <w:r>
        <w:tab/>
        <w:t>(ii)</w:t>
      </w:r>
      <w:r>
        <w:tab/>
        <w:t>the layout of the facility or where dangerous goods are to be stored, handled or transported within the facility;</w:t>
      </w:r>
    </w:p>
    <w:p w:rsidR="00793901" w:rsidRDefault="00D72AE8">
      <w:pPr>
        <w:pStyle w:val="Indenta"/>
        <w:spacing w:before="70"/>
      </w:pPr>
      <w:r>
        <w:tab/>
      </w:r>
      <w:r>
        <w:tab/>
        <w:t>or</w:t>
      </w:r>
    </w:p>
    <w:p w:rsidR="00793901" w:rsidRDefault="00D72AE8">
      <w:pPr>
        <w:pStyle w:val="Indenta"/>
        <w:spacing w:before="100"/>
      </w:pPr>
      <w:r>
        <w:lastRenderedPageBreak/>
        <w:tab/>
        <w:t>(b)</w:t>
      </w:r>
      <w:r>
        <w:tab/>
        <w:t>as soon as practicable after a dangerous goods incident or major incident occurs at the facility; or</w:t>
      </w:r>
    </w:p>
    <w:p w:rsidR="00793901" w:rsidRDefault="00D72AE8">
      <w:pPr>
        <w:pStyle w:val="Indenta"/>
        <w:spacing w:before="100"/>
      </w:pPr>
      <w:r>
        <w:tab/>
        <w:t>(c)</w:t>
      </w:r>
      <w:r>
        <w:tab/>
        <w:t>as soon as practicable after becoming aware of a change in land use or zoning for the area surrounding the facility; or</w:t>
      </w:r>
    </w:p>
    <w:p w:rsidR="00793901" w:rsidRDefault="00D72AE8">
      <w:pPr>
        <w:pStyle w:val="Indenta"/>
        <w:spacing w:before="100"/>
      </w:pPr>
      <w:r>
        <w:tab/>
        <w:t>(d)</w:t>
      </w:r>
      <w:r>
        <w:tab/>
        <w:t>as soon as practicable after receiving information provided under a direction given under regulation 31(1); or</w:t>
      </w:r>
    </w:p>
    <w:p w:rsidR="00793901" w:rsidRDefault="00D72AE8">
      <w:pPr>
        <w:pStyle w:val="Indenta"/>
        <w:spacing w:before="100"/>
      </w:pPr>
      <w:r>
        <w:tab/>
        <w:t>(e)</w:t>
      </w:r>
      <w:r>
        <w:tab/>
        <w:t xml:space="preserve">as soon as practicable after the expiry of — </w:t>
      </w:r>
    </w:p>
    <w:p w:rsidR="00793901" w:rsidRDefault="00D72AE8">
      <w:pPr>
        <w:pStyle w:val="Indenti"/>
        <w:spacing w:before="100"/>
      </w:pPr>
      <w:r>
        <w:tab/>
        <w:t>(i)</w:t>
      </w:r>
      <w:r>
        <w:tab/>
        <w:t>5 years since the last review under this regulation; or</w:t>
      </w:r>
    </w:p>
    <w:p w:rsidR="00793901" w:rsidRDefault="00D72AE8">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rsidR="00793901" w:rsidRDefault="00D72AE8">
      <w:pPr>
        <w:pStyle w:val="Indenta"/>
        <w:spacing w:before="100"/>
      </w:pPr>
      <w:r>
        <w:tab/>
      </w:r>
      <w:r>
        <w:tab/>
        <w:t>or</w:t>
      </w:r>
    </w:p>
    <w:p w:rsidR="00793901" w:rsidRDefault="00D72AE8">
      <w:pPr>
        <w:pStyle w:val="Indenta"/>
        <w:spacing w:before="100"/>
      </w:pPr>
      <w:r>
        <w:tab/>
        <w:t>(f)</w:t>
      </w:r>
      <w:r>
        <w:tab/>
        <w:t>as soon as practicable after a request by the Chief Officer.</w:t>
      </w:r>
    </w:p>
    <w:p w:rsidR="00793901" w:rsidRDefault="00D72AE8">
      <w:pPr>
        <w:pStyle w:val="Penstart"/>
        <w:spacing w:before="100"/>
      </w:pPr>
      <w:r>
        <w:tab/>
        <w:t xml:space="preserve">Penalty: </w:t>
      </w:r>
    </w:p>
    <w:p w:rsidR="00793901" w:rsidRDefault="00D72AE8">
      <w:pPr>
        <w:pStyle w:val="Penpara"/>
        <w:spacing w:before="100"/>
      </w:pPr>
      <w:r>
        <w:tab/>
        <w:t>(a)</w:t>
      </w:r>
      <w:r>
        <w:tab/>
        <w:t>for an individual, a fine of $10 000 or imprisonment for 10 months or both;</w:t>
      </w:r>
    </w:p>
    <w:p w:rsidR="00793901" w:rsidRDefault="00D72AE8">
      <w:pPr>
        <w:pStyle w:val="Penpara"/>
        <w:spacing w:before="100"/>
      </w:pPr>
      <w:r>
        <w:tab/>
        <w:t>(b)</w:t>
      </w:r>
      <w:r>
        <w:tab/>
        <w:t>for a body corporate, a fine of $50 000.</w:t>
      </w:r>
    </w:p>
    <w:p w:rsidR="00793901" w:rsidRDefault="00D72AE8">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rsidR="00793901" w:rsidRDefault="00D72AE8">
      <w:pPr>
        <w:pStyle w:val="Subsection"/>
        <w:rPr>
          <w:color w:val="000000"/>
        </w:rPr>
      </w:pPr>
      <w:r>
        <w:rPr>
          <w:color w:val="FF0000"/>
        </w:rPr>
        <w:tab/>
      </w:r>
      <w:r>
        <w:rPr>
          <w:color w:val="000000"/>
        </w:rPr>
        <w:t>(3)</w:t>
      </w:r>
      <w:r>
        <w:rPr>
          <w:color w:val="000000"/>
        </w:rPr>
        <w:tab/>
        <w:t xml:space="preserve">If a review indicates one or more of the following — </w:t>
      </w:r>
    </w:p>
    <w:p w:rsidR="00793901" w:rsidRDefault="00D72AE8">
      <w:pPr>
        <w:pStyle w:val="Indenta"/>
        <w:spacing w:before="100"/>
        <w:rPr>
          <w:color w:val="000000"/>
        </w:rPr>
      </w:pPr>
      <w:r>
        <w:rPr>
          <w:color w:val="000000"/>
        </w:rPr>
        <w:tab/>
        <w:t>(a)</w:t>
      </w:r>
      <w:r>
        <w:rPr>
          <w:color w:val="000000"/>
        </w:rPr>
        <w:tab/>
        <w:t>that the safety report no longer complies with regulation 25(2);</w:t>
      </w:r>
    </w:p>
    <w:p w:rsidR="00793901" w:rsidRDefault="00D72AE8">
      <w:pPr>
        <w:pStyle w:val="Indenta"/>
        <w:spacing w:before="100"/>
        <w:rPr>
          <w:color w:val="000000"/>
        </w:rPr>
      </w:pPr>
      <w:r>
        <w:rPr>
          <w:color w:val="000000"/>
        </w:rPr>
        <w:tab/>
        <w:t>(b)</w:t>
      </w:r>
      <w:r>
        <w:rPr>
          <w:color w:val="000000"/>
        </w:rPr>
        <w:tab/>
        <w:t>that the risk assessment no longer complies with regulation 23(2);</w:t>
      </w:r>
    </w:p>
    <w:p w:rsidR="00793901" w:rsidRDefault="00D72AE8">
      <w:pPr>
        <w:pStyle w:val="Indenta"/>
        <w:keepNext/>
        <w:rPr>
          <w:color w:val="000000"/>
        </w:rPr>
      </w:pPr>
      <w:r>
        <w:rPr>
          <w:color w:val="000000"/>
        </w:rPr>
        <w:lastRenderedPageBreak/>
        <w:tab/>
        <w:t>(c)</w:t>
      </w:r>
      <w:r>
        <w:rPr>
          <w:color w:val="000000"/>
        </w:rPr>
        <w:tab/>
        <w:t>that the safety management system no longer complies with regulation 24(2),</w:t>
      </w:r>
    </w:p>
    <w:p w:rsidR="00793901" w:rsidRDefault="00D72AE8">
      <w:pPr>
        <w:pStyle w:val="Subsection"/>
        <w:rPr>
          <w:color w:val="000000"/>
        </w:rPr>
      </w:pPr>
      <w:r>
        <w:rPr>
          <w:color w:val="FF0000"/>
        </w:rPr>
        <w:tab/>
      </w:r>
      <w:r>
        <w:rPr>
          <w:color w:val="FF0000"/>
        </w:rPr>
        <w:tab/>
      </w:r>
      <w:r>
        <w:rPr>
          <w:color w:val="000000"/>
        </w:rPr>
        <w:t xml:space="preserve">the operator must immediately — </w:t>
      </w:r>
    </w:p>
    <w:p w:rsidR="00793901" w:rsidRDefault="00D72AE8">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rsidR="00793901" w:rsidRDefault="00D72AE8">
      <w:pPr>
        <w:pStyle w:val="Indenta"/>
      </w:pPr>
      <w:r>
        <w:rPr>
          <w:color w:val="000000"/>
        </w:rPr>
        <w:tab/>
        <w:t>(e)</w:t>
      </w:r>
      <w:r>
        <w:rPr>
          <w:color w:val="000000"/>
        </w:rPr>
        <w:tab/>
        <w:t>apply to the Chief Officer under regulation 26 for approval of the amended safety report.</w:t>
      </w:r>
    </w:p>
    <w:p w:rsidR="00793901" w:rsidRDefault="00D72AE8">
      <w:pPr>
        <w:pStyle w:val="Penstart"/>
      </w:pPr>
      <w:r>
        <w:tab/>
        <w:t>Penalty:</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rsidR="00793901" w:rsidRDefault="00D72AE8">
      <w:pPr>
        <w:pStyle w:val="Penstart"/>
      </w:pPr>
      <w:r>
        <w:tab/>
        <w:t xml:space="preserve">Penalty: </w:t>
      </w:r>
    </w:p>
    <w:p w:rsidR="00793901" w:rsidRDefault="00D72AE8">
      <w:pPr>
        <w:pStyle w:val="Penpara"/>
      </w:pPr>
      <w:r>
        <w:tab/>
        <w:t>(a)</w:t>
      </w:r>
      <w:r>
        <w:tab/>
        <w:t>for an individual, a fine of $2 000;</w:t>
      </w:r>
    </w:p>
    <w:p w:rsidR="00793901" w:rsidRDefault="00D72AE8">
      <w:pPr>
        <w:pStyle w:val="Penpara"/>
      </w:pPr>
      <w:r>
        <w:tab/>
        <w:t>(b)</w:t>
      </w:r>
      <w:r>
        <w:tab/>
        <w:t>for a body corporate, a fine of $10 000.</w:t>
      </w:r>
    </w:p>
    <w:p w:rsidR="00793901" w:rsidRDefault="00D72AE8">
      <w:pPr>
        <w:pStyle w:val="Heading2"/>
      </w:pPr>
      <w:bookmarkStart w:id="48" w:name="_Toc74910289"/>
      <w:bookmarkStart w:id="49" w:name="_Toc74910348"/>
      <w:bookmarkStart w:id="50" w:name="_Toc74910969"/>
      <w:r>
        <w:rPr>
          <w:rStyle w:val="CharPartNo"/>
        </w:rPr>
        <w:lastRenderedPageBreak/>
        <w:t>Part 6</w:t>
      </w:r>
      <w:r>
        <w:rPr>
          <w:rStyle w:val="CharDivNo"/>
        </w:rPr>
        <w:t> </w:t>
      </w:r>
      <w:r>
        <w:t>—</w:t>
      </w:r>
      <w:r>
        <w:rPr>
          <w:rStyle w:val="CharDivText"/>
        </w:rPr>
        <w:t> </w:t>
      </w:r>
      <w:r>
        <w:rPr>
          <w:rStyle w:val="CharPartText"/>
        </w:rPr>
        <w:t>Miscellaneous</w:t>
      </w:r>
      <w:bookmarkEnd w:id="48"/>
      <w:bookmarkEnd w:id="49"/>
      <w:bookmarkEnd w:id="50"/>
    </w:p>
    <w:p w:rsidR="00793901" w:rsidRDefault="00D72AE8">
      <w:pPr>
        <w:pStyle w:val="Heading5"/>
      </w:pPr>
      <w:bookmarkStart w:id="51" w:name="_Toc74910970"/>
      <w:r>
        <w:rPr>
          <w:rStyle w:val="CharSectno"/>
        </w:rPr>
        <w:t>31</w:t>
      </w:r>
      <w:r>
        <w:t>.</w:t>
      </w:r>
      <w:r>
        <w:tab/>
        <w:t>Major hazard facilities near to one another, Chief Officer may direct one to give information to the other</w:t>
      </w:r>
      <w:bookmarkEnd w:id="51"/>
    </w:p>
    <w:p w:rsidR="00793901" w:rsidRDefault="00D72AE8">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rsidR="00793901" w:rsidRDefault="00D72AE8">
      <w:pPr>
        <w:pStyle w:val="Subsection"/>
      </w:pPr>
      <w:r>
        <w:tab/>
        <w:t>(2)</w:t>
      </w:r>
      <w:r>
        <w:tab/>
        <w:t>An operator must comply with a direction given under subregulation (1).</w:t>
      </w:r>
    </w:p>
    <w:p w:rsidR="00793901" w:rsidRDefault="00D72AE8">
      <w:pPr>
        <w:pStyle w:val="Penstart"/>
      </w:pPr>
      <w:r>
        <w:tab/>
        <w:t xml:space="preserve">Penalty: </w:t>
      </w:r>
    </w:p>
    <w:p w:rsidR="00793901" w:rsidRDefault="00D72AE8">
      <w:pPr>
        <w:pStyle w:val="Penpara"/>
      </w:pPr>
      <w:r>
        <w:tab/>
        <w:t>(a)</w:t>
      </w:r>
      <w:r>
        <w:tab/>
        <w:t>for an individual, a fine of $10 000 or imprisonment for 10 months or both;</w:t>
      </w:r>
    </w:p>
    <w:p w:rsidR="00793901" w:rsidRDefault="00D72AE8">
      <w:pPr>
        <w:pStyle w:val="Penpara"/>
      </w:pPr>
      <w:r>
        <w:tab/>
        <w:t>(b)</w:t>
      </w:r>
      <w:r>
        <w:tab/>
        <w:t>for a body corporate, a fine of $50 000.</w:t>
      </w:r>
    </w:p>
    <w:p w:rsidR="00793901" w:rsidRDefault="00D72AE8">
      <w:pPr>
        <w:pStyle w:val="Heading5"/>
      </w:pPr>
      <w:bookmarkStart w:id="52" w:name="_Toc74910971"/>
      <w:r>
        <w:rPr>
          <w:rStyle w:val="CharSectno"/>
        </w:rPr>
        <w:t>32</w:t>
      </w:r>
      <w:r>
        <w:t>.</w:t>
      </w:r>
      <w:r>
        <w:tab/>
        <w:t>Closure of major hazard facility, operator to notify Chief Officer of</w:t>
      </w:r>
      <w:bookmarkEnd w:id="52"/>
      <w:r>
        <w:t xml:space="preserve"> </w:t>
      </w:r>
    </w:p>
    <w:p w:rsidR="00793901" w:rsidRDefault="00D72AE8">
      <w:pPr>
        <w:pStyle w:val="Subsection"/>
      </w:pPr>
      <w:r>
        <w:tab/>
      </w:r>
      <w:r>
        <w:tab/>
        <w:t>If a decision is made to permanently close down a major hazard facility, the operator of the facility must give the Chief Officer written notice of the intended closure.</w:t>
      </w:r>
    </w:p>
    <w:p w:rsidR="00793901" w:rsidRDefault="00D72AE8">
      <w:pPr>
        <w:pStyle w:val="Penstart"/>
      </w:pPr>
      <w:r>
        <w:tab/>
        <w:t>Penalty:</w:t>
      </w:r>
    </w:p>
    <w:p w:rsidR="00793901" w:rsidRDefault="00D72AE8">
      <w:pPr>
        <w:pStyle w:val="Penpara"/>
      </w:pPr>
      <w:r>
        <w:tab/>
        <w:t>(a)</w:t>
      </w:r>
      <w:r>
        <w:tab/>
        <w:t>for an individual, a fine of $2 000;</w:t>
      </w:r>
    </w:p>
    <w:p w:rsidR="00793901" w:rsidRDefault="00D72AE8">
      <w:pPr>
        <w:pStyle w:val="Penpara"/>
      </w:pPr>
      <w:r>
        <w:tab/>
        <w:t>(b)</w:t>
      </w:r>
      <w:r>
        <w:tab/>
        <w:t>for a body corporate, a fine of $10 000.</w:t>
      </w:r>
    </w:p>
    <w:p w:rsidR="00793901" w:rsidRDefault="00D72AE8">
      <w:pPr>
        <w:pStyle w:val="Heading5"/>
      </w:pPr>
      <w:bookmarkStart w:id="53" w:name="_Toc74910972"/>
      <w:r>
        <w:rPr>
          <w:rStyle w:val="CharSectno"/>
        </w:rPr>
        <w:t>33</w:t>
      </w:r>
      <w:r>
        <w:t>.</w:t>
      </w:r>
      <w:r>
        <w:tab/>
        <w:t>Classes of major hazard facility for purposes of fees</w:t>
      </w:r>
      <w:bookmarkEnd w:id="53"/>
    </w:p>
    <w:p w:rsidR="00793901" w:rsidRDefault="00D72AE8">
      <w:pPr>
        <w:pStyle w:val="Subsection"/>
      </w:pPr>
      <w:r>
        <w:tab/>
        <w:t>(1)</w:t>
      </w:r>
      <w:r>
        <w:tab/>
        <w:t>For the purposes of Schedule 3, major hazard facilities are to be classified under this regulation.</w:t>
      </w:r>
    </w:p>
    <w:p w:rsidR="00793901" w:rsidRDefault="00D72AE8">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rsidR="00793901" w:rsidRDefault="00D72AE8">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rsidR="00793901" w:rsidRDefault="00D72AE8">
      <w:pPr>
        <w:pStyle w:val="Subsection"/>
      </w:pPr>
      <w:r>
        <w:tab/>
        <w:t>(4)</w:t>
      </w:r>
      <w:r>
        <w:tab/>
        <w:t>A Class C facility is —</w:t>
      </w:r>
    </w:p>
    <w:p w:rsidR="00793901" w:rsidRDefault="00D72AE8">
      <w:pPr>
        <w:pStyle w:val="Indenta"/>
      </w:pPr>
      <w:r>
        <w:tab/>
        <w:t>(a)</w:t>
      </w:r>
      <w:r>
        <w:tab/>
        <w:t>any major hazard facility at which Schedule 1 substances are used in, or produced by means of, an industrial production process that the Chief Officer determines is a process of low complexity; or</w:t>
      </w:r>
    </w:p>
    <w:p w:rsidR="00793901" w:rsidRDefault="00D72AE8">
      <w:pPr>
        <w:pStyle w:val="Indenta"/>
      </w:pPr>
      <w:r>
        <w:tab/>
        <w:t>(b)</w:t>
      </w:r>
      <w:r>
        <w:tab/>
        <w:t>any major hazard facility at which Schedule 1 substances —</w:t>
      </w:r>
    </w:p>
    <w:p w:rsidR="00793901" w:rsidRDefault="00D72AE8">
      <w:pPr>
        <w:pStyle w:val="Indenti"/>
      </w:pPr>
      <w:r>
        <w:tab/>
        <w:t>(i)</w:t>
      </w:r>
      <w:r>
        <w:tab/>
        <w:t>are stored but not used in, or produced by means of, an industrial production process; and</w:t>
      </w:r>
    </w:p>
    <w:p w:rsidR="00793901" w:rsidRDefault="00D72AE8">
      <w:pPr>
        <w:pStyle w:val="Indenti"/>
      </w:pPr>
      <w:r>
        <w:tab/>
        <w:t>(ii)</w:t>
      </w:r>
      <w:r>
        <w:tab/>
        <w:t>in the view of the Chief Officer, are frequently handled.</w:t>
      </w:r>
    </w:p>
    <w:p w:rsidR="00793901" w:rsidRDefault="00D72AE8">
      <w:pPr>
        <w:pStyle w:val="Subsection"/>
      </w:pPr>
      <w:r>
        <w:tab/>
        <w:t>(5)</w:t>
      </w:r>
      <w:r>
        <w:tab/>
        <w:t>A Class D facility is any major hazard facility at which Schedule 1 substances —</w:t>
      </w:r>
    </w:p>
    <w:p w:rsidR="00793901" w:rsidRDefault="00D72AE8">
      <w:pPr>
        <w:pStyle w:val="Indenta"/>
      </w:pPr>
      <w:r>
        <w:tab/>
        <w:t>(a)</w:t>
      </w:r>
      <w:r>
        <w:tab/>
        <w:t>are stored but not used in, or produced by means of, an industrial production process; and</w:t>
      </w:r>
    </w:p>
    <w:p w:rsidR="00793901" w:rsidRDefault="00D72AE8">
      <w:pPr>
        <w:pStyle w:val="Indenta"/>
      </w:pPr>
      <w:r>
        <w:tab/>
        <w:t>(b)</w:t>
      </w:r>
      <w:r>
        <w:tab/>
        <w:t>in the view of the Chief Officer, are infrequently handled.</w:t>
      </w:r>
    </w:p>
    <w:p w:rsidR="00793901" w:rsidRDefault="00D72AE8">
      <w:pPr>
        <w:pStyle w:val="Footnotesection"/>
      </w:pPr>
      <w:r>
        <w:tab/>
        <w:t>[Regulation 33 inserted: Gazette 16 Mar 2012 p. 1270</w:t>
      </w:r>
      <w:r>
        <w:noBreakHyphen/>
        <w:t>1.]</w:t>
      </w:r>
    </w:p>
    <w:p w:rsidR="00793901" w:rsidRDefault="00D72AE8">
      <w:pPr>
        <w:pStyle w:val="Heading5"/>
      </w:pPr>
      <w:bookmarkStart w:id="54" w:name="_Toc74910973"/>
      <w:r>
        <w:rPr>
          <w:rStyle w:val="CharSectno"/>
        </w:rPr>
        <w:t>34</w:t>
      </w:r>
      <w:r>
        <w:t>.</w:t>
      </w:r>
      <w:r>
        <w:tab/>
        <w:t>Annual fee for major hazard facilities</w:t>
      </w:r>
      <w:bookmarkEnd w:id="54"/>
    </w:p>
    <w:p w:rsidR="00793901" w:rsidRDefault="00D72AE8">
      <w:pPr>
        <w:pStyle w:val="Subsection"/>
      </w:pPr>
      <w:r>
        <w:tab/>
        <w:t>(1)</w:t>
      </w:r>
      <w:r>
        <w:tab/>
        <w:t>In this regulation —</w:t>
      </w:r>
    </w:p>
    <w:p w:rsidR="00793901" w:rsidRDefault="00D72AE8">
      <w:pPr>
        <w:pStyle w:val="Defstart"/>
      </w:pPr>
      <w:r>
        <w:tab/>
      </w:r>
      <w:r>
        <w:rPr>
          <w:rStyle w:val="CharDefText"/>
        </w:rPr>
        <w:t>grace period</w:t>
      </w:r>
      <w:r>
        <w:t xml:space="preserve"> means, as the case requires —</w:t>
      </w:r>
    </w:p>
    <w:p w:rsidR="00793901" w:rsidRDefault="00D72AE8">
      <w:pPr>
        <w:pStyle w:val="Defpara"/>
      </w:pPr>
      <w:r>
        <w:tab/>
        <w:t>(a)</w:t>
      </w:r>
      <w:r>
        <w:tab/>
        <w:t>the one month period referred to in subregulation (4); or</w:t>
      </w:r>
    </w:p>
    <w:p w:rsidR="00793901" w:rsidRDefault="00D72AE8">
      <w:pPr>
        <w:pStyle w:val="Defpara"/>
      </w:pPr>
      <w:r>
        <w:tab/>
        <w:t>(b)</w:t>
      </w:r>
      <w:r>
        <w:tab/>
        <w:t>the 3 month period referred to in subregulation (6);</w:t>
      </w:r>
    </w:p>
    <w:p w:rsidR="00793901" w:rsidRDefault="00D72AE8">
      <w:pPr>
        <w:pStyle w:val="Defstart"/>
        <w:keepNext/>
      </w:pPr>
      <w:r>
        <w:lastRenderedPageBreak/>
        <w:tab/>
      </w:r>
      <w:r>
        <w:rPr>
          <w:rStyle w:val="CharDefText"/>
        </w:rPr>
        <w:t>site licence</w:t>
      </w:r>
      <w:r>
        <w:t xml:space="preserve"> means —</w:t>
      </w:r>
    </w:p>
    <w:p w:rsidR="00793901" w:rsidRDefault="00D72AE8">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rsidR="00793901" w:rsidRDefault="00D72AE8">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rsidR="00793901" w:rsidRDefault="00D72AE8">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rsidR="00793901" w:rsidRDefault="00D72AE8">
      <w:pPr>
        <w:pStyle w:val="Subsection"/>
      </w:pPr>
      <w:r>
        <w:tab/>
        <w:t>(2)</w:t>
      </w:r>
      <w:r>
        <w:tab/>
        <w:t>The holder of a site licence granted in respect of a dangerous goods site that is a major hazard facility must pay for each year the relevant annual fee specified in Schedule 3 clause 2.</w:t>
      </w:r>
    </w:p>
    <w:p w:rsidR="00793901" w:rsidRDefault="00D72AE8">
      <w:pPr>
        <w:pStyle w:val="Subsection"/>
      </w:pPr>
      <w:r>
        <w:tab/>
        <w:t>(3)</w:t>
      </w:r>
      <w:r>
        <w:tab/>
        <w:t>An annual fee payable under subregulation (2) must be paid annually.</w:t>
      </w:r>
    </w:p>
    <w:p w:rsidR="00793901" w:rsidRDefault="00D72AE8">
      <w:pPr>
        <w:pStyle w:val="Subsection"/>
      </w:pPr>
      <w:r>
        <w:tab/>
        <w:t>(4)</w:t>
      </w:r>
      <w:r>
        <w:tab/>
        <w:t>The first annual payment must be made before, on or within one month after the date on which a safety report for the site is approved under Part 5.</w:t>
      </w:r>
    </w:p>
    <w:p w:rsidR="00793901" w:rsidRDefault="00D72AE8">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rsidR="00793901" w:rsidRDefault="00D72AE8">
      <w:pPr>
        <w:pStyle w:val="Subsection"/>
      </w:pPr>
      <w:r>
        <w:tab/>
        <w:t>(6)</w:t>
      </w:r>
      <w:r>
        <w:tab/>
        <w:t>Each subsequent annual payment must be made before, on or within 3 months after —</w:t>
      </w:r>
    </w:p>
    <w:p w:rsidR="00793901" w:rsidRDefault="00D72AE8">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rsidR="00793901" w:rsidRDefault="00D72AE8">
      <w:pPr>
        <w:pStyle w:val="Indenta"/>
      </w:pPr>
      <w:r>
        <w:tab/>
        <w:t>(b)</w:t>
      </w:r>
      <w:r>
        <w:tab/>
        <w:t>in any other case — the anniversary of the date on which the first annual payment has to be made under subregulation (4).</w:t>
      </w:r>
    </w:p>
    <w:p w:rsidR="00793901" w:rsidRDefault="00D72AE8">
      <w:pPr>
        <w:pStyle w:val="Subsection"/>
      </w:pPr>
      <w:r>
        <w:tab/>
        <w:t>(7)</w:t>
      </w:r>
      <w:r>
        <w:tab/>
        <w:t>If under subregulation (4) or (6) a fee (including a fee reduced under subregulation (5)) is paid in the grace period, the holder must pay, with the fee, a late payment fee of $41.00.</w:t>
      </w:r>
    </w:p>
    <w:p w:rsidR="00793901" w:rsidRDefault="00D72AE8">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rsidR="00793901" w:rsidRDefault="00793901">
      <w:pPr>
        <w:sectPr w:rsidR="00793901">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rsidR="00793901" w:rsidRDefault="00D72AE8">
      <w:pPr>
        <w:pStyle w:val="yScheduleHeading"/>
      </w:pPr>
      <w:bookmarkStart w:id="55" w:name="_Toc74910294"/>
      <w:bookmarkStart w:id="56" w:name="_Toc74910353"/>
      <w:bookmarkStart w:id="57" w:name="_Toc74910974"/>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55"/>
      <w:bookmarkEnd w:id="56"/>
      <w:bookmarkEnd w:id="57"/>
    </w:p>
    <w:p w:rsidR="00793901" w:rsidRDefault="00D72AE8">
      <w:pPr>
        <w:pStyle w:val="yShoulderClause"/>
      </w:pPr>
      <w:r>
        <w:t>[r. 4 and 10]</w:t>
      </w:r>
    </w:p>
    <w:p w:rsidR="00793901" w:rsidRDefault="00D72AE8">
      <w:pPr>
        <w:pStyle w:val="yHeading5"/>
      </w:pPr>
      <w:bookmarkStart w:id="58" w:name="_Toc74910975"/>
      <w:r>
        <w:rPr>
          <w:rStyle w:val="CharSClsNo"/>
        </w:rPr>
        <w:t>1</w:t>
      </w:r>
      <w:r>
        <w:t>.</w:t>
      </w:r>
      <w:r>
        <w:tab/>
        <w:t>Threshold quantity for substances</w:t>
      </w:r>
      <w:bookmarkEnd w:id="58"/>
    </w:p>
    <w:p w:rsidR="00793901" w:rsidRDefault="00D72AE8">
      <w:pPr>
        <w:pStyle w:val="ySubsection"/>
      </w:pPr>
      <w:r>
        <w:tab/>
      </w:r>
      <w:r>
        <w:tab/>
        <w:t xml:space="preserve">In this clause — </w:t>
      </w:r>
    </w:p>
    <w:p w:rsidR="00793901" w:rsidRDefault="00D72AE8">
      <w:pPr>
        <w:pStyle w:val="yDefstart"/>
      </w:pPr>
      <w:r>
        <w:rPr>
          <w:b/>
        </w:rPr>
        <w:tab/>
      </w:r>
      <w:r>
        <w:rPr>
          <w:rStyle w:val="CharDefText"/>
        </w:rPr>
        <w:t>UN number</w:t>
      </w:r>
      <w:r>
        <w:t xml:space="preserve"> for a substance means the UN number assigned to the substance in the Dangerous Goods List column 1.</w:t>
      </w:r>
    </w:p>
    <w:p w:rsidR="00793901" w:rsidRDefault="00D72AE8">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rsidR="00793901">
        <w:trPr>
          <w:cantSplit/>
          <w:tblHeader/>
        </w:trPr>
        <w:tc>
          <w:tcPr>
            <w:tcW w:w="2977" w:type="dxa"/>
            <w:tcBorders>
              <w:top w:val="single" w:sz="4" w:space="0" w:color="auto"/>
              <w:bottom w:val="single" w:sz="4" w:space="0" w:color="auto"/>
            </w:tcBorders>
          </w:tcPr>
          <w:p w:rsidR="00793901" w:rsidRDefault="00D72AE8">
            <w:pPr>
              <w:pStyle w:val="yTableNAm"/>
              <w:rPr>
                <w:b/>
                <w:bCs/>
              </w:rPr>
            </w:pPr>
            <w:r>
              <w:rPr>
                <w:b/>
                <w:bCs/>
              </w:rPr>
              <w:t>Substance</w:t>
            </w:r>
          </w:p>
        </w:tc>
        <w:tc>
          <w:tcPr>
            <w:tcW w:w="1928" w:type="dxa"/>
            <w:tcBorders>
              <w:top w:val="single" w:sz="4" w:space="0" w:color="auto"/>
              <w:bottom w:val="single" w:sz="4" w:space="0" w:color="auto"/>
            </w:tcBorders>
          </w:tcPr>
          <w:p w:rsidR="00793901" w:rsidRDefault="00D72AE8">
            <w:pPr>
              <w:pStyle w:val="yTableNAm"/>
              <w:ind w:left="113"/>
              <w:rPr>
                <w:b/>
                <w:bCs/>
              </w:rPr>
            </w:pPr>
            <w:r>
              <w:rPr>
                <w:b/>
                <w:bCs/>
              </w:rPr>
              <w:t>UN number</w:t>
            </w:r>
          </w:p>
        </w:tc>
        <w:tc>
          <w:tcPr>
            <w:tcW w:w="1596" w:type="dxa"/>
            <w:tcBorders>
              <w:top w:val="single" w:sz="4" w:space="0" w:color="auto"/>
              <w:bottom w:val="single" w:sz="4" w:space="0" w:color="auto"/>
            </w:tcBorders>
          </w:tcPr>
          <w:p w:rsidR="00793901" w:rsidRDefault="00D72AE8">
            <w:pPr>
              <w:pStyle w:val="yTableNAm"/>
              <w:ind w:left="170"/>
              <w:rPr>
                <w:b/>
                <w:bCs/>
              </w:rPr>
            </w:pPr>
            <w:r>
              <w:rPr>
                <w:b/>
                <w:bCs/>
              </w:rPr>
              <w:t>Threshold quantity (in tonnes)</w:t>
            </w:r>
          </w:p>
        </w:tc>
      </w:tr>
      <w:tr w:rsidR="00793901">
        <w:trPr>
          <w:cantSplit/>
        </w:trPr>
        <w:tc>
          <w:tcPr>
            <w:tcW w:w="2977" w:type="dxa"/>
          </w:tcPr>
          <w:p w:rsidR="00793901" w:rsidRDefault="00D72AE8">
            <w:pPr>
              <w:pStyle w:val="yTableNAm"/>
            </w:pPr>
            <w:r>
              <w:t>ACETONE CYANOHYDRIN</w:t>
            </w:r>
          </w:p>
        </w:tc>
        <w:tc>
          <w:tcPr>
            <w:tcW w:w="1928" w:type="dxa"/>
          </w:tcPr>
          <w:p w:rsidR="00793901" w:rsidRDefault="00D72AE8">
            <w:pPr>
              <w:pStyle w:val="yTableNAm"/>
              <w:ind w:left="113"/>
            </w:pPr>
            <w:r>
              <w:t>1541</w:t>
            </w:r>
          </w:p>
        </w:tc>
        <w:tc>
          <w:tcPr>
            <w:tcW w:w="1596" w:type="dxa"/>
          </w:tcPr>
          <w:p w:rsidR="00793901" w:rsidRDefault="00D72AE8">
            <w:pPr>
              <w:pStyle w:val="yTableNAm"/>
              <w:ind w:left="170"/>
            </w:pPr>
            <w:r>
              <w:t>20</w:t>
            </w:r>
          </w:p>
        </w:tc>
      </w:tr>
      <w:tr w:rsidR="00793901">
        <w:trPr>
          <w:cantSplit/>
        </w:trPr>
        <w:tc>
          <w:tcPr>
            <w:tcW w:w="2977" w:type="dxa"/>
          </w:tcPr>
          <w:p w:rsidR="00793901" w:rsidRDefault="00D72AE8">
            <w:pPr>
              <w:pStyle w:val="yTableNAm"/>
            </w:pPr>
            <w:r>
              <w:t>ACETYLENE</w:t>
            </w:r>
          </w:p>
        </w:tc>
        <w:tc>
          <w:tcPr>
            <w:tcW w:w="1928" w:type="dxa"/>
          </w:tcPr>
          <w:p w:rsidR="00793901" w:rsidRDefault="00D72AE8">
            <w:pPr>
              <w:pStyle w:val="yTableNAm"/>
              <w:ind w:left="113"/>
            </w:pPr>
            <w:r>
              <w:t>1001</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ACROLEIN</w:t>
            </w:r>
          </w:p>
        </w:tc>
        <w:tc>
          <w:tcPr>
            <w:tcW w:w="1928" w:type="dxa"/>
          </w:tcPr>
          <w:p w:rsidR="00793901" w:rsidRDefault="00D72AE8">
            <w:pPr>
              <w:pStyle w:val="yTableNAm"/>
              <w:ind w:left="113"/>
            </w:pPr>
            <w:r>
              <w:t>1092</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ACRYLONITRILE</w:t>
            </w:r>
          </w:p>
        </w:tc>
        <w:tc>
          <w:tcPr>
            <w:tcW w:w="1928" w:type="dxa"/>
          </w:tcPr>
          <w:p w:rsidR="00793901" w:rsidRDefault="00D72AE8">
            <w:pPr>
              <w:pStyle w:val="yTableNAm"/>
              <w:ind w:left="113"/>
            </w:pPr>
            <w:r>
              <w:t>1093</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ALLYL ALCOHOL</w:t>
            </w:r>
          </w:p>
        </w:tc>
        <w:tc>
          <w:tcPr>
            <w:tcW w:w="1928" w:type="dxa"/>
          </w:tcPr>
          <w:p w:rsidR="00793901" w:rsidRDefault="00D72AE8">
            <w:pPr>
              <w:pStyle w:val="yTableNAm"/>
              <w:ind w:left="113"/>
            </w:pPr>
            <w:r>
              <w:t>1098</w:t>
            </w:r>
          </w:p>
        </w:tc>
        <w:tc>
          <w:tcPr>
            <w:tcW w:w="1596" w:type="dxa"/>
          </w:tcPr>
          <w:p w:rsidR="00793901" w:rsidRDefault="00D72AE8">
            <w:pPr>
              <w:pStyle w:val="yTableNAm"/>
              <w:ind w:left="170"/>
            </w:pPr>
            <w:r>
              <w:t>20</w:t>
            </w:r>
          </w:p>
        </w:tc>
      </w:tr>
      <w:tr w:rsidR="00793901">
        <w:trPr>
          <w:cantSplit/>
        </w:trPr>
        <w:tc>
          <w:tcPr>
            <w:tcW w:w="2977" w:type="dxa"/>
          </w:tcPr>
          <w:p w:rsidR="00793901" w:rsidRDefault="00D72AE8">
            <w:pPr>
              <w:pStyle w:val="yTableNAm"/>
            </w:pPr>
            <w:r>
              <w:t>ALLYLAMINE</w:t>
            </w:r>
          </w:p>
        </w:tc>
        <w:tc>
          <w:tcPr>
            <w:tcW w:w="1928" w:type="dxa"/>
          </w:tcPr>
          <w:p w:rsidR="00793901" w:rsidRDefault="00D72AE8">
            <w:pPr>
              <w:pStyle w:val="yTableNAm"/>
              <w:ind w:left="113"/>
            </w:pPr>
            <w:r>
              <w:t>2334</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AMMONIA, ANHYDROUS</w:t>
            </w:r>
          </w:p>
        </w:tc>
        <w:tc>
          <w:tcPr>
            <w:tcW w:w="1928" w:type="dxa"/>
          </w:tcPr>
          <w:p w:rsidR="00793901" w:rsidRDefault="00D72AE8">
            <w:pPr>
              <w:pStyle w:val="yTableNAm"/>
              <w:ind w:left="113"/>
            </w:pPr>
            <w:r>
              <w:t>1005</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AMMONIUM NITRATE FERTILIZERS</w:t>
            </w:r>
          </w:p>
        </w:tc>
        <w:tc>
          <w:tcPr>
            <w:tcW w:w="1928" w:type="dxa"/>
          </w:tcPr>
          <w:p w:rsidR="00793901" w:rsidRDefault="00D72AE8">
            <w:pPr>
              <w:pStyle w:val="yTableNAm"/>
              <w:ind w:left="113"/>
            </w:pPr>
            <w:r>
              <w:t>2067</w:t>
            </w:r>
          </w:p>
        </w:tc>
        <w:tc>
          <w:tcPr>
            <w:tcW w:w="1596" w:type="dxa"/>
          </w:tcPr>
          <w:p w:rsidR="00793901" w:rsidRDefault="00D72AE8">
            <w:pPr>
              <w:pStyle w:val="yTableNAm"/>
              <w:ind w:left="170"/>
            </w:pPr>
            <w:r>
              <w:t>5 000</w:t>
            </w:r>
          </w:p>
        </w:tc>
      </w:tr>
      <w:tr w:rsidR="00793901">
        <w:trPr>
          <w:cantSplit/>
        </w:trPr>
        <w:tc>
          <w:tcPr>
            <w:tcW w:w="2977" w:type="dxa"/>
          </w:tcPr>
          <w:p w:rsidR="00793901" w:rsidRDefault="00D72AE8">
            <w:pPr>
              <w:pStyle w:val="yTableNAm"/>
            </w:pPr>
            <w:r>
              <w:t>AMMONIUM NITRATE, with not more than 0.2% combustible substances, including any organic substance calculated as carbon, to the exclusion of any other added substance</w:t>
            </w:r>
          </w:p>
        </w:tc>
        <w:tc>
          <w:tcPr>
            <w:tcW w:w="1928" w:type="dxa"/>
          </w:tcPr>
          <w:p w:rsidR="00793901" w:rsidRDefault="00D72AE8">
            <w:pPr>
              <w:pStyle w:val="yTableNAm"/>
              <w:ind w:left="113"/>
            </w:pPr>
            <w:r>
              <w:t>1942</w:t>
            </w:r>
          </w:p>
        </w:tc>
        <w:tc>
          <w:tcPr>
            <w:tcW w:w="1596" w:type="dxa"/>
          </w:tcPr>
          <w:p w:rsidR="00793901" w:rsidRDefault="00D72AE8">
            <w:pPr>
              <w:pStyle w:val="yTableNAm"/>
              <w:ind w:left="170"/>
            </w:pPr>
            <w:r>
              <w:t>2 500</w:t>
            </w:r>
          </w:p>
        </w:tc>
      </w:tr>
      <w:tr w:rsidR="00793901">
        <w:trPr>
          <w:cantSplit/>
        </w:trPr>
        <w:tc>
          <w:tcPr>
            <w:tcW w:w="2977" w:type="dxa"/>
          </w:tcPr>
          <w:p w:rsidR="00793901" w:rsidRDefault="00D72AE8">
            <w:pPr>
              <w:pStyle w:val="yTableNAm"/>
            </w:pPr>
            <w:r>
              <w:t>ARSENIC PENTOXIDE, Arsenic (V) acid and other salts</w:t>
            </w:r>
          </w:p>
        </w:tc>
        <w:tc>
          <w:tcPr>
            <w:tcW w:w="1928" w:type="dxa"/>
          </w:tcPr>
          <w:p w:rsidR="00793901" w:rsidRDefault="00D72AE8">
            <w:pPr>
              <w:pStyle w:val="yTableNAm"/>
              <w:ind w:left="113"/>
            </w:pPr>
            <w:r>
              <w:t>1559</w:t>
            </w:r>
          </w:p>
        </w:tc>
        <w:tc>
          <w:tcPr>
            <w:tcW w:w="1596" w:type="dxa"/>
          </w:tcPr>
          <w:p w:rsidR="00793901" w:rsidRDefault="00D72AE8">
            <w:pPr>
              <w:pStyle w:val="yTableNAm"/>
              <w:ind w:left="170"/>
            </w:pPr>
            <w:r>
              <w:t>10</w:t>
            </w:r>
          </w:p>
        </w:tc>
      </w:tr>
      <w:tr w:rsidR="00793901">
        <w:trPr>
          <w:cantSplit/>
        </w:trPr>
        <w:tc>
          <w:tcPr>
            <w:tcW w:w="2977" w:type="dxa"/>
          </w:tcPr>
          <w:p w:rsidR="00793901" w:rsidRDefault="00D72AE8">
            <w:pPr>
              <w:pStyle w:val="yTableNAm"/>
            </w:pPr>
            <w:r>
              <w:lastRenderedPageBreak/>
              <w:t>ARSENIC TRIOXIDE, Arsenious (III) acid and other salts</w:t>
            </w:r>
          </w:p>
        </w:tc>
        <w:tc>
          <w:tcPr>
            <w:tcW w:w="1928" w:type="dxa"/>
          </w:tcPr>
          <w:p w:rsidR="00793901" w:rsidRDefault="00D72AE8">
            <w:pPr>
              <w:pStyle w:val="yTableNAm"/>
              <w:ind w:left="113"/>
            </w:pPr>
            <w:r>
              <w:t>1561</w:t>
            </w:r>
          </w:p>
        </w:tc>
        <w:tc>
          <w:tcPr>
            <w:tcW w:w="1596" w:type="dxa"/>
          </w:tcPr>
          <w:p w:rsidR="00793901" w:rsidRDefault="00D72AE8">
            <w:pPr>
              <w:pStyle w:val="yTableNAm"/>
              <w:ind w:left="170"/>
            </w:pPr>
            <w:r>
              <w:t>0.10</w:t>
            </w:r>
          </w:p>
        </w:tc>
      </w:tr>
      <w:tr w:rsidR="00793901">
        <w:trPr>
          <w:cantSplit/>
        </w:trPr>
        <w:tc>
          <w:tcPr>
            <w:tcW w:w="2977" w:type="dxa"/>
          </w:tcPr>
          <w:p w:rsidR="00793901" w:rsidRDefault="00D72AE8">
            <w:pPr>
              <w:pStyle w:val="yTableNAm"/>
            </w:pPr>
            <w:r>
              <w:t>ARSINE</w:t>
            </w:r>
          </w:p>
        </w:tc>
        <w:tc>
          <w:tcPr>
            <w:tcW w:w="1928" w:type="dxa"/>
          </w:tcPr>
          <w:p w:rsidR="00793901" w:rsidRDefault="00D72AE8">
            <w:pPr>
              <w:pStyle w:val="yTableNAm"/>
              <w:ind w:left="113"/>
            </w:pPr>
            <w:r>
              <w:t>2188</w:t>
            </w:r>
          </w:p>
        </w:tc>
        <w:tc>
          <w:tcPr>
            <w:tcW w:w="1596" w:type="dxa"/>
          </w:tcPr>
          <w:p w:rsidR="00793901" w:rsidRDefault="00D72AE8">
            <w:pPr>
              <w:pStyle w:val="yTableNAm"/>
              <w:ind w:left="170"/>
            </w:pPr>
            <w:r>
              <w:t>0.01</w:t>
            </w:r>
          </w:p>
        </w:tc>
      </w:tr>
      <w:tr w:rsidR="00793901">
        <w:trPr>
          <w:cantSplit/>
        </w:trPr>
        <w:tc>
          <w:tcPr>
            <w:tcW w:w="2977" w:type="dxa"/>
          </w:tcPr>
          <w:p w:rsidR="00793901" w:rsidRDefault="00D72AE8">
            <w:pPr>
              <w:pStyle w:val="yTableNAm"/>
            </w:pPr>
            <w:r>
              <w:t>BROMINE or BROMINE SOLUTIONS</w:t>
            </w:r>
          </w:p>
        </w:tc>
        <w:tc>
          <w:tcPr>
            <w:tcW w:w="1928" w:type="dxa"/>
          </w:tcPr>
          <w:p w:rsidR="00793901" w:rsidRDefault="00D72AE8">
            <w:pPr>
              <w:pStyle w:val="yTableNAm"/>
              <w:ind w:left="113"/>
            </w:pPr>
            <w:r>
              <w:t>1744</w:t>
            </w:r>
          </w:p>
        </w:tc>
        <w:tc>
          <w:tcPr>
            <w:tcW w:w="1596" w:type="dxa"/>
          </w:tcPr>
          <w:p w:rsidR="00793901" w:rsidRDefault="00D72AE8">
            <w:pPr>
              <w:pStyle w:val="yTableNAm"/>
              <w:ind w:left="170"/>
            </w:pPr>
            <w:r>
              <w:t>100</w:t>
            </w:r>
          </w:p>
        </w:tc>
      </w:tr>
      <w:tr w:rsidR="00793901">
        <w:trPr>
          <w:cantSplit/>
        </w:trPr>
        <w:tc>
          <w:tcPr>
            <w:tcW w:w="2977" w:type="dxa"/>
          </w:tcPr>
          <w:p w:rsidR="00793901" w:rsidRDefault="00D72AE8">
            <w:pPr>
              <w:pStyle w:val="yTableNAm"/>
            </w:pPr>
            <w:r>
              <w:t>CARBON DISULFIDE</w:t>
            </w:r>
          </w:p>
        </w:tc>
        <w:tc>
          <w:tcPr>
            <w:tcW w:w="1928" w:type="dxa"/>
          </w:tcPr>
          <w:p w:rsidR="00793901" w:rsidRDefault="00D72AE8">
            <w:pPr>
              <w:pStyle w:val="yTableNAm"/>
              <w:ind w:left="113"/>
            </w:pPr>
            <w:r>
              <w:t>1131</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CHLORINE</w:t>
            </w:r>
          </w:p>
        </w:tc>
        <w:tc>
          <w:tcPr>
            <w:tcW w:w="1928" w:type="dxa"/>
          </w:tcPr>
          <w:p w:rsidR="00793901" w:rsidRDefault="00D72AE8">
            <w:pPr>
              <w:pStyle w:val="yTableNAm"/>
              <w:ind w:left="113"/>
            </w:pPr>
            <w:r>
              <w:t>1017</w:t>
            </w:r>
          </w:p>
        </w:tc>
        <w:tc>
          <w:tcPr>
            <w:tcW w:w="1596" w:type="dxa"/>
          </w:tcPr>
          <w:p w:rsidR="00793901" w:rsidRDefault="00D72AE8">
            <w:pPr>
              <w:pStyle w:val="yTableNAm"/>
              <w:ind w:left="170"/>
            </w:pPr>
            <w:r>
              <w:t>25</w:t>
            </w:r>
          </w:p>
        </w:tc>
      </w:tr>
      <w:tr w:rsidR="00793901">
        <w:trPr>
          <w:cantSplit/>
        </w:trPr>
        <w:tc>
          <w:tcPr>
            <w:tcW w:w="2977" w:type="dxa"/>
          </w:tcPr>
          <w:p w:rsidR="00793901" w:rsidRDefault="00D72AE8">
            <w:pPr>
              <w:pStyle w:val="yTableNAm"/>
            </w:pPr>
            <w:r>
              <w:t>DIOXINS</w:t>
            </w:r>
          </w:p>
        </w:tc>
        <w:tc>
          <w:tcPr>
            <w:tcW w:w="1928" w:type="dxa"/>
          </w:tcPr>
          <w:p w:rsidR="00793901" w:rsidRDefault="00D72AE8">
            <w:pPr>
              <w:pStyle w:val="yTableNAm"/>
              <w:ind w:left="113"/>
            </w:pPr>
            <w:r>
              <w:noBreakHyphen/>
            </w:r>
            <w:r>
              <w:noBreakHyphen/>
            </w:r>
            <w:r>
              <w:noBreakHyphen/>
            </w:r>
          </w:p>
        </w:tc>
        <w:tc>
          <w:tcPr>
            <w:tcW w:w="1596" w:type="dxa"/>
          </w:tcPr>
          <w:p w:rsidR="00793901" w:rsidRDefault="00D72AE8">
            <w:pPr>
              <w:pStyle w:val="yTableNAm"/>
              <w:ind w:left="170"/>
            </w:pPr>
            <w:r>
              <w:t>0.10</w:t>
            </w:r>
          </w:p>
        </w:tc>
      </w:tr>
      <w:tr w:rsidR="00793901">
        <w:trPr>
          <w:cantSplit/>
        </w:trPr>
        <w:tc>
          <w:tcPr>
            <w:tcW w:w="2977" w:type="dxa"/>
          </w:tcPr>
          <w:p w:rsidR="00793901" w:rsidRDefault="00D72AE8">
            <w:pPr>
              <w:pStyle w:val="yTableNAm"/>
            </w:pPr>
            <w:r>
              <w:t>ETHYL NITRATE</w:t>
            </w:r>
          </w:p>
        </w:tc>
        <w:tc>
          <w:tcPr>
            <w:tcW w:w="1928" w:type="dxa"/>
          </w:tcPr>
          <w:p w:rsidR="00793901" w:rsidRDefault="00D72AE8">
            <w:pPr>
              <w:pStyle w:val="yTableNAm"/>
              <w:ind w:left="113"/>
            </w:pPr>
            <w:r>
              <w:noBreakHyphen/>
            </w:r>
            <w:r>
              <w:noBreakHyphen/>
            </w:r>
            <w:r>
              <w:noBreakHyphen/>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ETHYLENE DIBROMIDE</w:t>
            </w:r>
          </w:p>
        </w:tc>
        <w:tc>
          <w:tcPr>
            <w:tcW w:w="1928" w:type="dxa"/>
          </w:tcPr>
          <w:p w:rsidR="00793901" w:rsidRDefault="00D72AE8">
            <w:pPr>
              <w:pStyle w:val="yTableNAm"/>
              <w:ind w:left="113"/>
            </w:pPr>
            <w:r>
              <w:t>1605</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ETHYLENE OXIDE</w:t>
            </w:r>
          </w:p>
        </w:tc>
        <w:tc>
          <w:tcPr>
            <w:tcW w:w="1928" w:type="dxa"/>
          </w:tcPr>
          <w:p w:rsidR="00793901" w:rsidRDefault="00D72AE8">
            <w:pPr>
              <w:pStyle w:val="yTableNAm"/>
              <w:ind w:left="113"/>
            </w:pPr>
            <w:r>
              <w:t>1040</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ETYLENEIMINE</w:t>
            </w:r>
          </w:p>
        </w:tc>
        <w:tc>
          <w:tcPr>
            <w:tcW w:w="1928" w:type="dxa"/>
          </w:tcPr>
          <w:p w:rsidR="00793901" w:rsidRDefault="00D72AE8">
            <w:pPr>
              <w:pStyle w:val="yTableNAm"/>
              <w:ind w:left="113"/>
            </w:pPr>
            <w:r>
              <w:t>1185</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FLUORINE</w:t>
            </w:r>
          </w:p>
        </w:tc>
        <w:tc>
          <w:tcPr>
            <w:tcW w:w="1928" w:type="dxa"/>
          </w:tcPr>
          <w:p w:rsidR="00793901" w:rsidRDefault="00D72AE8">
            <w:pPr>
              <w:pStyle w:val="yTableNAm"/>
              <w:ind w:left="113"/>
            </w:pPr>
            <w:r>
              <w:t>1045</w:t>
            </w:r>
          </w:p>
        </w:tc>
        <w:tc>
          <w:tcPr>
            <w:tcW w:w="1596" w:type="dxa"/>
          </w:tcPr>
          <w:p w:rsidR="00793901" w:rsidRDefault="00D72AE8">
            <w:pPr>
              <w:pStyle w:val="yTableNAm"/>
              <w:ind w:left="170"/>
            </w:pPr>
            <w:r>
              <w:t>25</w:t>
            </w:r>
          </w:p>
        </w:tc>
      </w:tr>
      <w:tr w:rsidR="00793901">
        <w:trPr>
          <w:cantSplit/>
        </w:trPr>
        <w:tc>
          <w:tcPr>
            <w:tcW w:w="2977" w:type="dxa"/>
          </w:tcPr>
          <w:p w:rsidR="00793901" w:rsidRDefault="00D72AE8">
            <w:pPr>
              <w:pStyle w:val="yTableNAm"/>
            </w:pPr>
            <w:r>
              <w:t>FORMALDEHYDE</w:t>
            </w:r>
          </w:p>
        </w:tc>
        <w:tc>
          <w:tcPr>
            <w:tcW w:w="1928" w:type="dxa"/>
          </w:tcPr>
          <w:p w:rsidR="00793901" w:rsidRDefault="00D72AE8">
            <w:pPr>
              <w:pStyle w:val="yTableNAm"/>
              <w:ind w:left="113"/>
            </w:pPr>
            <w:r>
              <w:t>1198 or 2209</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HYDROFLUORIC ACID SOLUTION, greater than 50%</w:t>
            </w:r>
          </w:p>
        </w:tc>
        <w:tc>
          <w:tcPr>
            <w:tcW w:w="1928" w:type="dxa"/>
          </w:tcPr>
          <w:p w:rsidR="00793901" w:rsidRDefault="00D72AE8">
            <w:pPr>
              <w:pStyle w:val="yTableNAm"/>
              <w:ind w:left="113"/>
            </w:pPr>
            <w:r>
              <w:t>1790</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HYDROGEN</w:t>
            </w:r>
          </w:p>
        </w:tc>
        <w:tc>
          <w:tcPr>
            <w:tcW w:w="1928" w:type="dxa"/>
          </w:tcPr>
          <w:p w:rsidR="00793901" w:rsidRDefault="00D72AE8">
            <w:pPr>
              <w:pStyle w:val="yTableNAm"/>
              <w:ind w:left="113"/>
            </w:pPr>
            <w:r>
              <w:t>1049</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HYDROGEN CHLORIDE, anhydrous</w:t>
            </w:r>
          </w:p>
        </w:tc>
        <w:tc>
          <w:tcPr>
            <w:tcW w:w="1928" w:type="dxa"/>
          </w:tcPr>
          <w:p w:rsidR="00793901" w:rsidRDefault="00D72AE8">
            <w:pPr>
              <w:pStyle w:val="yTableNAm"/>
              <w:ind w:left="113"/>
            </w:pPr>
            <w:r>
              <w:t>1050</w:t>
            </w:r>
          </w:p>
        </w:tc>
        <w:tc>
          <w:tcPr>
            <w:tcW w:w="1596" w:type="dxa"/>
          </w:tcPr>
          <w:p w:rsidR="00793901" w:rsidRDefault="00D72AE8">
            <w:pPr>
              <w:pStyle w:val="yTableNAm"/>
              <w:ind w:left="170"/>
            </w:pPr>
            <w:r>
              <w:t>250</w:t>
            </w:r>
          </w:p>
        </w:tc>
      </w:tr>
      <w:tr w:rsidR="00793901">
        <w:trPr>
          <w:cantSplit/>
        </w:trPr>
        <w:tc>
          <w:tcPr>
            <w:tcW w:w="2977" w:type="dxa"/>
          </w:tcPr>
          <w:p w:rsidR="00793901" w:rsidRDefault="00D72AE8">
            <w:pPr>
              <w:pStyle w:val="yTableNAm"/>
            </w:pPr>
            <w:r>
              <w:t>HYDROGEN CHLORIDE, refrigerated liquid</w:t>
            </w:r>
          </w:p>
        </w:tc>
        <w:tc>
          <w:tcPr>
            <w:tcW w:w="1928" w:type="dxa"/>
          </w:tcPr>
          <w:p w:rsidR="00793901" w:rsidRDefault="00D72AE8">
            <w:pPr>
              <w:pStyle w:val="yTableNAm"/>
              <w:ind w:left="113"/>
            </w:pPr>
            <w:r>
              <w:t>2186</w:t>
            </w:r>
          </w:p>
        </w:tc>
        <w:tc>
          <w:tcPr>
            <w:tcW w:w="1596" w:type="dxa"/>
          </w:tcPr>
          <w:p w:rsidR="00793901" w:rsidRDefault="00D72AE8">
            <w:pPr>
              <w:pStyle w:val="yTableNAm"/>
              <w:ind w:left="170"/>
            </w:pPr>
            <w:r>
              <w:t>250</w:t>
            </w:r>
          </w:p>
        </w:tc>
      </w:tr>
      <w:tr w:rsidR="00793901">
        <w:trPr>
          <w:cantSplit/>
        </w:trPr>
        <w:tc>
          <w:tcPr>
            <w:tcW w:w="2977" w:type="dxa"/>
          </w:tcPr>
          <w:p w:rsidR="00793901" w:rsidRDefault="00D72AE8">
            <w:pPr>
              <w:pStyle w:val="yTableNAm"/>
            </w:pPr>
            <w:r>
              <w:t>HYDROGEN CYANIDE</w:t>
            </w:r>
          </w:p>
        </w:tc>
        <w:tc>
          <w:tcPr>
            <w:tcW w:w="1928" w:type="dxa"/>
          </w:tcPr>
          <w:p w:rsidR="00793901" w:rsidRDefault="00D72AE8">
            <w:pPr>
              <w:pStyle w:val="yTableNAm"/>
              <w:ind w:left="113"/>
            </w:pPr>
            <w:r>
              <w:t>1051 or 1614</w:t>
            </w:r>
          </w:p>
        </w:tc>
        <w:tc>
          <w:tcPr>
            <w:tcW w:w="1596" w:type="dxa"/>
          </w:tcPr>
          <w:p w:rsidR="00793901" w:rsidRDefault="00D72AE8">
            <w:pPr>
              <w:pStyle w:val="yTableNAm"/>
              <w:ind w:left="170"/>
            </w:pPr>
            <w:r>
              <w:t>20</w:t>
            </w:r>
          </w:p>
        </w:tc>
      </w:tr>
      <w:tr w:rsidR="00793901">
        <w:trPr>
          <w:cantSplit/>
        </w:trPr>
        <w:tc>
          <w:tcPr>
            <w:tcW w:w="2977" w:type="dxa"/>
          </w:tcPr>
          <w:p w:rsidR="00793901" w:rsidRDefault="00D72AE8">
            <w:pPr>
              <w:pStyle w:val="yTableNAm"/>
            </w:pPr>
            <w:r>
              <w:t>HYDROGEN FLUORIDE</w:t>
            </w:r>
          </w:p>
        </w:tc>
        <w:tc>
          <w:tcPr>
            <w:tcW w:w="1928" w:type="dxa"/>
          </w:tcPr>
          <w:p w:rsidR="00793901" w:rsidRDefault="00D72AE8">
            <w:pPr>
              <w:pStyle w:val="yTableNAm"/>
              <w:ind w:left="113"/>
            </w:pPr>
            <w:r>
              <w:t>1052</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HYDROGEN SULFIDE</w:t>
            </w:r>
          </w:p>
        </w:tc>
        <w:tc>
          <w:tcPr>
            <w:tcW w:w="1928" w:type="dxa"/>
          </w:tcPr>
          <w:p w:rsidR="00793901" w:rsidRDefault="00D72AE8">
            <w:pPr>
              <w:pStyle w:val="yTableNAm"/>
              <w:ind w:left="113"/>
            </w:pPr>
            <w:r>
              <w:t>1053</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LP GASES</w:t>
            </w:r>
          </w:p>
        </w:tc>
        <w:tc>
          <w:tcPr>
            <w:tcW w:w="1928" w:type="dxa"/>
          </w:tcPr>
          <w:p w:rsidR="00793901" w:rsidRDefault="00D72AE8">
            <w:pPr>
              <w:pStyle w:val="yTableNAm"/>
              <w:ind w:left="113"/>
            </w:pPr>
            <w:r>
              <w:t>1011, 1012, 1075, 1978 or 1077</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lastRenderedPageBreak/>
              <w:t>METHYL BROMIDE</w:t>
            </w:r>
          </w:p>
        </w:tc>
        <w:tc>
          <w:tcPr>
            <w:tcW w:w="1928" w:type="dxa"/>
          </w:tcPr>
          <w:p w:rsidR="00793901" w:rsidRDefault="00D72AE8">
            <w:pPr>
              <w:pStyle w:val="yTableNAm"/>
              <w:ind w:left="113"/>
            </w:pPr>
            <w:r>
              <w:t>1062</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METHANE or NATURAL GAS</w:t>
            </w:r>
          </w:p>
        </w:tc>
        <w:tc>
          <w:tcPr>
            <w:tcW w:w="1928" w:type="dxa"/>
          </w:tcPr>
          <w:p w:rsidR="00793901" w:rsidRDefault="00D72AE8">
            <w:pPr>
              <w:pStyle w:val="yTableNAm"/>
              <w:ind w:left="113"/>
            </w:pPr>
            <w:r>
              <w:t>1971 or 1972</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METHYL ISOCYANATE</w:t>
            </w:r>
          </w:p>
        </w:tc>
        <w:tc>
          <w:tcPr>
            <w:tcW w:w="1928" w:type="dxa"/>
          </w:tcPr>
          <w:p w:rsidR="00793901" w:rsidRDefault="00D72AE8">
            <w:pPr>
              <w:pStyle w:val="yTableNAm"/>
              <w:ind w:left="113"/>
            </w:pPr>
            <w:r>
              <w:t>2480</w:t>
            </w:r>
          </w:p>
        </w:tc>
        <w:tc>
          <w:tcPr>
            <w:tcW w:w="1596" w:type="dxa"/>
          </w:tcPr>
          <w:p w:rsidR="00793901" w:rsidRDefault="00D72AE8">
            <w:pPr>
              <w:pStyle w:val="yTableNAm"/>
              <w:ind w:left="170"/>
            </w:pPr>
            <w:r>
              <w:t>0.15</w:t>
            </w:r>
          </w:p>
        </w:tc>
      </w:tr>
      <w:tr w:rsidR="00793901">
        <w:trPr>
          <w:cantSplit/>
        </w:trPr>
        <w:tc>
          <w:tcPr>
            <w:tcW w:w="2977" w:type="dxa"/>
          </w:tcPr>
          <w:p w:rsidR="00793901" w:rsidRDefault="00D72AE8">
            <w:pPr>
              <w:pStyle w:val="yTableNAm"/>
            </w:pPr>
            <w:r>
              <w:t>OXIDES OF NITROGEN, including nitrous oxide, nitrogen dioxide and nitrogen trioxide</w:t>
            </w:r>
          </w:p>
        </w:tc>
        <w:tc>
          <w:tcPr>
            <w:tcW w:w="1928" w:type="dxa"/>
          </w:tcPr>
          <w:p w:rsidR="00793901" w:rsidRDefault="00D72AE8">
            <w:pPr>
              <w:pStyle w:val="yTableNAm"/>
              <w:ind w:left="113"/>
            </w:pPr>
            <w:r>
              <w:t>1067, 1070, 1660, 1975, 2201 or 2421</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OXYGEN</w:t>
            </w:r>
          </w:p>
        </w:tc>
        <w:tc>
          <w:tcPr>
            <w:tcW w:w="1928" w:type="dxa"/>
          </w:tcPr>
          <w:p w:rsidR="00793901" w:rsidRDefault="00D72AE8">
            <w:pPr>
              <w:pStyle w:val="yTableNAm"/>
              <w:ind w:left="113"/>
            </w:pPr>
            <w:r>
              <w:t>1072 or 1073</w:t>
            </w:r>
          </w:p>
        </w:tc>
        <w:tc>
          <w:tcPr>
            <w:tcW w:w="1596" w:type="dxa"/>
          </w:tcPr>
          <w:p w:rsidR="00793901" w:rsidRDefault="00D72AE8">
            <w:pPr>
              <w:pStyle w:val="yTableNAm"/>
              <w:ind w:left="170"/>
            </w:pPr>
            <w:r>
              <w:t>2 000</w:t>
            </w:r>
          </w:p>
        </w:tc>
      </w:tr>
      <w:tr w:rsidR="00793901">
        <w:trPr>
          <w:cantSplit/>
        </w:trPr>
        <w:tc>
          <w:tcPr>
            <w:tcW w:w="2977" w:type="dxa"/>
          </w:tcPr>
          <w:p w:rsidR="00793901" w:rsidRDefault="00D72AE8">
            <w:pPr>
              <w:pStyle w:val="yTableNAm"/>
            </w:pPr>
            <w:r>
              <w:t>PHOSGENE</w:t>
            </w:r>
          </w:p>
        </w:tc>
        <w:tc>
          <w:tcPr>
            <w:tcW w:w="1928" w:type="dxa"/>
          </w:tcPr>
          <w:p w:rsidR="00793901" w:rsidRDefault="00D72AE8">
            <w:pPr>
              <w:pStyle w:val="yTableNAm"/>
              <w:ind w:left="113"/>
            </w:pPr>
            <w:r>
              <w:t>1076</w:t>
            </w:r>
          </w:p>
        </w:tc>
        <w:tc>
          <w:tcPr>
            <w:tcW w:w="1596" w:type="dxa"/>
          </w:tcPr>
          <w:p w:rsidR="00793901" w:rsidRDefault="00D72AE8">
            <w:pPr>
              <w:pStyle w:val="yTableNAm"/>
              <w:ind w:left="170"/>
            </w:pPr>
            <w:r>
              <w:t>0.75</w:t>
            </w:r>
          </w:p>
        </w:tc>
      </w:tr>
      <w:tr w:rsidR="00793901">
        <w:trPr>
          <w:cantSplit/>
        </w:trPr>
        <w:tc>
          <w:tcPr>
            <w:tcW w:w="2977" w:type="dxa"/>
          </w:tcPr>
          <w:p w:rsidR="00793901" w:rsidRDefault="00D72AE8">
            <w:pPr>
              <w:pStyle w:val="yTableNAm"/>
            </w:pPr>
            <w:r>
              <w:t>PROPYLENEIMINE</w:t>
            </w:r>
          </w:p>
        </w:tc>
        <w:tc>
          <w:tcPr>
            <w:tcW w:w="1928" w:type="dxa"/>
          </w:tcPr>
          <w:p w:rsidR="00793901" w:rsidRDefault="00D72AE8">
            <w:pPr>
              <w:pStyle w:val="yTableNAm"/>
              <w:ind w:left="113"/>
            </w:pPr>
            <w:r>
              <w:t>1921</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PROPYLENE OXIDE</w:t>
            </w:r>
          </w:p>
        </w:tc>
        <w:tc>
          <w:tcPr>
            <w:tcW w:w="1928" w:type="dxa"/>
          </w:tcPr>
          <w:p w:rsidR="00793901" w:rsidRDefault="00D72AE8">
            <w:pPr>
              <w:pStyle w:val="yTableNAm"/>
              <w:ind w:left="113"/>
            </w:pPr>
            <w:r>
              <w:t>1280</w:t>
            </w:r>
          </w:p>
        </w:tc>
        <w:tc>
          <w:tcPr>
            <w:tcW w:w="1596" w:type="dxa"/>
          </w:tcPr>
          <w:p w:rsidR="00793901" w:rsidRDefault="00D72AE8">
            <w:pPr>
              <w:pStyle w:val="yTableNAm"/>
              <w:ind w:left="170"/>
            </w:pPr>
            <w:r>
              <w:t>50</w:t>
            </w:r>
          </w:p>
        </w:tc>
      </w:tr>
      <w:tr w:rsidR="00793901">
        <w:trPr>
          <w:cantSplit/>
        </w:trPr>
        <w:tc>
          <w:tcPr>
            <w:tcW w:w="2977" w:type="dxa"/>
          </w:tcPr>
          <w:p w:rsidR="00793901" w:rsidRDefault="00D72AE8">
            <w:pPr>
              <w:pStyle w:val="yTableNAm"/>
            </w:pPr>
            <w:r>
              <w:t>SODIUM CHLORATE, solid</w:t>
            </w:r>
          </w:p>
        </w:tc>
        <w:tc>
          <w:tcPr>
            <w:tcW w:w="1928" w:type="dxa"/>
          </w:tcPr>
          <w:p w:rsidR="00793901" w:rsidRDefault="00D72AE8">
            <w:pPr>
              <w:pStyle w:val="yTableNAm"/>
              <w:ind w:left="113"/>
            </w:pPr>
            <w:r>
              <w:t>1495</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SULFURIC ANHYDRIDE (or SULFUR TRIOXIDE)</w:t>
            </w:r>
          </w:p>
        </w:tc>
        <w:tc>
          <w:tcPr>
            <w:tcW w:w="1928" w:type="dxa"/>
          </w:tcPr>
          <w:p w:rsidR="00793901" w:rsidRDefault="00D72AE8">
            <w:pPr>
              <w:pStyle w:val="yTableNAm"/>
              <w:ind w:left="113"/>
            </w:pPr>
            <w:r>
              <w:t>1829</w:t>
            </w:r>
          </w:p>
        </w:tc>
        <w:tc>
          <w:tcPr>
            <w:tcW w:w="1596" w:type="dxa"/>
          </w:tcPr>
          <w:p w:rsidR="00793901" w:rsidRDefault="00D72AE8">
            <w:pPr>
              <w:pStyle w:val="yTableNAm"/>
              <w:ind w:left="170"/>
            </w:pPr>
            <w:r>
              <w:t>75</w:t>
            </w:r>
          </w:p>
        </w:tc>
      </w:tr>
      <w:tr w:rsidR="00793901">
        <w:trPr>
          <w:cantSplit/>
        </w:trPr>
        <w:tc>
          <w:tcPr>
            <w:tcW w:w="2977" w:type="dxa"/>
          </w:tcPr>
          <w:p w:rsidR="00793901" w:rsidRDefault="00D72AE8">
            <w:pPr>
              <w:pStyle w:val="yTableNAm"/>
            </w:pPr>
            <w:r>
              <w:t>SULFUR DICHLORIDE</w:t>
            </w:r>
          </w:p>
        </w:tc>
        <w:tc>
          <w:tcPr>
            <w:tcW w:w="1928" w:type="dxa"/>
          </w:tcPr>
          <w:p w:rsidR="00793901" w:rsidRDefault="00D72AE8">
            <w:pPr>
              <w:pStyle w:val="yTableNAm"/>
              <w:ind w:left="113"/>
            </w:pPr>
            <w:r>
              <w:t>1828</w:t>
            </w:r>
          </w:p>
        </w:tc>
        <w:tc>
          <w:tcPr>
            <w:tcW w:w="1596" w:type="dxa"/>
          </w:tcPr>
          <w:p w:rsidR="00793901" w:rsidRDefault="00D72AE8">
            <w:pPr>
              <w:pStyle w:val="yTableNAm"/>
              <w:ind w:left="170"/>
            </w:pPr>
            <w:r>
              <w:t>1</w:t>
            </w:r>
          </w:p>
        </w:tc>
      </w:tr>
      <w:tr w:rsidR="00793901">
        <w:trPr>
          <w:cantSplit/>
        </w:trPr>
        <w:tc>
          <w:tcPr>
            <w:tcW w:w="2977" w:type="dxa"/>
          </w:tcPr>
          <w:p w:rsidR="00793901" w:rsidRDefault="00D72AE8">
            <w:pPr>
              <w:pStyle w:val="yTableNAm"/>
            </w:pPr>
            <w:r>
              <w:t>SULFUR DIOXIDE, liquefied</w:t>
            </w:r>
          </w:p>
        </w:tc>
        <w:tc>
          <w:tcPr>
            <w:tcW w:w="1928" w:type="dxa"/>
          </w:tcPr>
          <w:p w:rsidR="00793901" w:rsidRDefault="00D72AE8">
            <w:pPr>
              <w:pStyle w:val="yTableNAm"/>
              <w:ind w:left="113"/>
            </w:pPr>
            <w:r>
              <w:t>1079</w:t>
            </w:r>
          </w:p>
        </w:tc>
        <w:tc>
          <w:tcPr>
            <w:tcW w:w="1596" w:type="dxa"/>
          </w:tcPr>
          <w:p w:rsidR="00793901" w:rsidRDefault="00D72AE8">
            <w:pPr>
              <w:pStyle w:val="yTableNAm"/>
              <w:ind w:left="170"/>
            </w:pPr>
            <w:r>
              <w:t>200</w:t>
            </w:r>
          </w:p>
        </w:tc>
      </w:tr>
      <w:tr w:rsidR="00793901">
        <w:trPr>
          <w:cantSplit/>
        </w:trPr>
        <w:tc>
          <w:tcPr>
            <w:tcW w:w="2977" w:type="dxa"/>
          </w:tcPr>
          <w:p w:rsidR="00793901" w:rsidRDefault="00D72AE8">
            <w:pPr>
              <w:pStyle w:val="yTableNAm"/>
            </w:pPr>
            <w:r>
              <w:t xml:space="preserve">TITANIUM TETRACHLORIDE </w:t>
            </w:r>
          </w:p>
        </w:tc>
        <w:tc>
          <w:tcPr>
            <w:tcW w:w="1928" w:type="dxa"/>
          </w:tcPr>
          <w:p w:rsidR="00793901" w:rsidRDefault="00D72AE8">
            <w:pPr>
              <w:pStyle w:val="yTableNAm"/>
              <w:ind w:left="113"/>
            </w:pPr>
            <w:r>
              <w:t>1838</w:t>
            </w:r>
          </w:p>
        </w:tc>
        <w:tc>
          <w:tcPr>
            <w:tcW w:w="1596" w:type="dxa"/>
          </w:tcPr>
          <w:p w:rsidR="00793901" w:rsidRDefault="00D72AE8">
            <w:pPr>
              <w:pStyle w:val="yTableNAm"/>
              <w:ind w:left="170"/>
            </w:pPr>
            <w:r>
              <w:t>500</w:t>
            </w:r>
          </w:p>
        </w:tc>
      </w:tr>
      <w:tr w:rsidR="00793901">
        <w:trPr>
          <w:cantSplit/>
        </w:trPr>
        <w:tc>
          <w:tcPr>
            <w:tcW w:w="2977" w:type="dxa"/>
            <w:tcBorders>
              <w:bottom w:val="single" w:sz="4" w:space="0" w:color="auto"/>
            </w:tcBorders>
          </w:tcPr>
          <w:p w:rsidR="00793901" w:rsidRDefault="00D72AE8">
            <w:pPr>
              <w:pStyle w:val="yTableNAm"/>
            </w:pPr>
            <w:r>
              <w:t>TOLUENE DIISOCYANATE</w:t>
            </w:r>
          </w:p>
        </w:tc>
        <w:tc>
          <w:tcPr>
            <w:tcW w:w="1928" w:type="dxa"/>
            <w:tcBorders>
              <w:bottom w:val="single" w:sz="4" w:space="0" w:color="auto"/>
            </w:tcBorders>
          </w:tcPr>
          <w:p w:rsidR="00793901" w:rsidRDefault="00D72AE8">
            <w:pPr>
              <w:pStyle w:val="yTableNAm"/>
              <w:ind w:left="113"/>
            </w:pPr>
            <w:r>
              <w:t>2078</w:t>
            </w:r>
          </w:p>
        </w:tc>
        <w:tc>
          <w:tcPr>
            <w:tcW w:w="1596" w:type="dxa"/>
            <w:tcBorders>
              <w:bottom w:val="single" w:sz="4" w:space="0" w:color="auto"/>
            </w:tcBorders>
          </w:tcPr>
          <w:p w:rsidR="00793901" w:rsidRDefault="00D72AE8">
            <w:pPr>
              <w:pStyle w:val="yTableNAm"/>
              <w:ind w:left="170"/>
            </w:pPr>
            <w:r>
              <w:t>200</w:t>
            </w:r>
          </w:p>
        </w:tc>
      </w:tr>
    </w:tbl>
    <w:p w:rsidR="00793901" w:rsidRDefault="00D72AE8">
      <w:pPr>
        <w:pStyle w:val="yFootnotesection"/>
      </w:pPr>
      <w:r>
        <w:tab/>
        <w:t>[Clause 1 amended: Gazette 22 Jun 2010 p. 2783.]</w:t>
      </w:r>
    </w:p>
    <w:p w:rsidR="00793901" w:rsidRDefault="00D72AE8">
      <w:pPr>
        <w:pStyle w:val="yHeading5"/>
      </w:pPr>
      <w:bookmarkStart w:id="59" w:name="_Toc74910976"/>
      <w:r>
        <w:rPr>
          <w:rStyle w:val="CharSClsNo"/>
        </w:rPr>
        <w:t>2</w:t>
      </w:r>
      <w:r>
        <w:t>.</w:t>
      </w:r>
      <w:r>
        <w:tab/>
        <w:t>Threshold quantity for categories of substances</w:t>
      </w:r>
      <w:bookmarkEnd w:id="59"/>
    </w:p>
    <w:p w:rsidR="00793901" w:rsidRDefault="00D72AE8">
      <w:pPr>
        <w:pStyle w:val="ySubsection"/>
      </w:pPr>
      <w:r>
        <w:tab/>
      </w:r>
      <w:r>
        <w:tab/>
        <w:t xml:space="preserve">In this clause — </w:t>
      </w:r>
    </w:p>
    <w:p w:rsidR="00793901" w:rsidRDefault="00D72AE8">
      <w:pPr>
        <w:pStyle w:val="yDefstart"/>
      </w:pPr>
      <w:r>
        <w:rPr>
          <w:b/>
        </w:rPr>
        <w:tab/>
      </w:r>
      <w:r>
        <w:rPr>
          <w:rStyle w:val="CharDefText"/>
        </w:rPr>
        <w:t>class</w:t>
      </w:r>
      <w:r>
        <w:t xml:space="preserve"> for a substance means —</w:t>
      </w:r>
    </w:p>
    <w:p w:rsidR="00793901" w:rsidRDefault="00D72AE8">
      <w:pPr>
        <w:pStyle w:val="yDefpara"/>
      </w:pPr>
      <w:r>
        <w:tab/>
        <w:t>(a)</w:t>
      </w:r>
      <w:r>
        <w:tab/>
        <w:t>the class assigned to the substance in the Dangerous Goods List column 3; or</w:t>
      </w:r>
    </w:p>
    <w:p w:rsidR="00793901" w:rsidRDefault="00D72AE8">
      <w:pPr>
        <w:pStyle w:val="yDefpara"/>
      </w:pPr>
      <w:r>
        <w:lastRenderedPageBreak/>
        <w:tab/>
        <w:t>(b)</w:t>
      </w:r>
      <w:r>
        <w:tab/>
        <w:t>if the class is not assigned as described in paragraph (a), the class determined using the relevant procedure referred to in the ADG Code;</w:t>
      </w:r>
    </w:p>
    <w:p w:rsidR="00793901" w:rsidRDefault="00D72AE8">
      <w:pPr>
        <w:pStyle w:val="yDefstart"/>
      </w:pPr>
      <w:r>
        <w:rPr>
          <w:b/>
        </w:rPr>
        <w:tab/>
      </w:r>
      <w:r>
        <w:rPr>
          <w:rStyle w:val="CharDefText"/>
        </w:rPr>
        <w:t>classification code</w:t>
      </w:r>
      <w:r>
        <w:t xml:space="preserve"> for a substance means —</w:t>
      </w:r>
    </w:p>
    <w:p w:rsidR="00793901" w:rsidRDefault="00D72AE8">
      <w:pPr>
        <w:pStyle w:val="yDefpara"/>
      </w:pPr>
      <w:r>
        <w:tab/>
        <w:t>(a)</w:t>
      </w:r>
      <w:r>
        <w:tab/>
        <w:t>the classification code assigned to the substance in the AE Code Appendix 2 column 4; or</w:t>
      </w:r>
    </w:p>
    <w:p w:rsidR="00793901" w:rsidRDefault="00D72AE8">
      <w:pPr>
        <w:pStyle w:val="yDefpara"/>
      </w:pPr>
      <w:r>
        <w:tab/>
        <w:t>(b)</w:t>
      </w:r>
      <w:r>
        <w:tab/>
        <w:t>if the classification code is not assigned as described in paragraph (a), the classification code determined using the relevant procedure referred to in the AE Code;</w:t>
      </w:r>
    </w:p>
    <w:p w:rsidR="00793901" w:rsidRDefault="00D72AE8">
      <w:pPr>
        <w:pStyle w:val="yDefstart"/>
      </w:pPr>
      <w:r>
        <w:rPr>
          <w:b/>
        </w:rPr>
        <w:tab/>
      </w:r>
      <w:r>
        <w:rPr>
          <w:rStyle w:val="CharDefText"/>
        </w:rPr>
        <w:t>division</w:t>
      </w:r>
      <w:r>
        <w:t xml:space="preserve"> for a substance means —</w:t>
      </w:r>
    </w:p>
    <w:p w:rsidR="00793901" w:rsidRDefault="00D72AE8">
      <w:pPr>
        <w:pStyle w:val="yDefpara"/>
      </w:pPr>
      <w:r>
        <w:tab/>
        <w:t>(a)</w:t>
      </w:r>
      <w:r>
        <w:tab/>
        <w:t>the division assigned to the substance in the Dangerous Goods List column 3 or the AE Code Appendix 2 column 4, whichever applies; or</w:t>
      </w:r>
    </w:p>
    <w:p w:rsidR="00793901" w:rsidRDefault="00D72AE8">
      <w:pPr>
        <w:pStyle w:val="yDefpara"/>
      </w:pPr>
      <w:r>
        <w:tab/>
        <w:t>(b)</w:t>
      </w:r>
      <w:r>
        <w:tab/>
        <w:t>if the division is not assigned as described in paragraph (a), the division determined using the relevant procedure referred to in the ADG Code or the AE Code, whichever applies;</w:t>
      </w:r>
    </w:p>
    <w:p w:rsidR="00793901" w:rsidRDefault="00D72AE8">
      <w:pPr>
        <w:pStyle w:val="yDefstart"/>
      </w:pPr>
      <w:r>
        <w:rPr>
          <w:b/>
        </w:rPr>
        <w:tab/>
      </w:r>
      <w:r>
        <w:rPr>
          <w:rStyle w:val="CharDefText"/>
        </w:rPr>
        <w:t>goods too dangerous to transport</w:t>
      </w:r>
      <w:r>
        <w:t xml:space="preserve"> means —</w:t>
      </w:r>
    </w:p>
    <w:p w:rsidR="00793901" w:rsidRDefault="00D72AE8">
      <w:pPr>
        <w:pStyle w:val="yDefpara"/>
      </w:pPr>
      <w:r>
        <w:tab/>
        <w:t>(a)</w:t>
      </w:r>
      <w:r>
        <w:tab/>
        <w:t>dangerous good listed in the ADG Code Appendix A; or</w:t>
      </w:r>
    </w:p>
    <w:p w:rsidR="00793901" w:rsidRDefault="00D72AE8">
      <w:pPr>
        <w:pStyle w:val="yDefpara"/>
      </w:pPr>
      <w:r>
        <w:tab/>
        <w:t>(b)</w:t>
      </w:r>
      <w:r>
        <w:tab/>
        <w:t xml:space="preserve">other dangerous goods prescribed under the </w:t>
      </w:r>
      <w:r>
        <w:rPr>
          <w:i/>
          <w:iCs/>
        </w:rPr>
        <w:t>Dangerous Goods Safety (General) Regulations 2007</w:t>
      </w:r>
      <w:r>
        <w:t xml:space="preserve"> to be goods too dangerous to transport;</w:t>
      </w:r>
    </w:p>
    <w:p w:rsidR="00793901" w:rsidRDefault="00D72AE8">
      <w:pPr>
        <w:pStyle w:val="yDefstart"/>
      </w:pPr>
      <w:r>
        <w:rPr>
          <w:b/>
        </w:rPr>
        <w:tab/>
      </w:r>
      <w:r>
        <w:rPr>
          <w:rStyle w:val="CharDefText"/>
        </w:rPr>
        <w:t>hazchem code</w:t>
      </w:r>
      <w:r>
        <w:t xml:space="preserve"> </w:t>
      </w:r>
      <w:r>
        <w:rPr>
          <w:bCs/>
        </w:rPr>
        <w:t>for</w:t>
      </w:r>
      <w:r>
        <w:t xml:space="preserve"> a substance means —</w:t>
      </w:r>
    </w:p>
    <w:p w:rsidR="00793901" w:rsidRDefault="00D72AE8">
      <w:pPr>
        <w:pStyle w:val="yDefpara"/>
      </w:pPr>
      <w:r>
        <w:tab/>
        <w:t>(a)</w:t>
      </w:r>
      <w:r>
        <w:tab/>
        <w:t>the hazchem code assigned to the substance in the ADG Code Appendix C C3 List of Emergency Action Codes; or</w:t>
      </w:r>
    </w:p>
    <w:p w:rsidR="00793901" w:rsidRDefault="00D72AE8">
      <w:pPr>
        <w:pStyle w:val="yDefpara"/>
      </w:pPr>
      <w:r>
        <w:tab/>
        <w:t>(b)</w:t>
      </w:r>
      <w:r>
        <w:tab/>
        <w:t>if the hazchem code is not assigned as described in paragraph (a), the hazchem code determined using the relevant procedure referred to in the ADG Code;</w:t>
      </w:r>
    </w:p>
    <w:p w:rsidR="00793901" w:rsidRDefault="00D72AE8">
      <w:pPr>
        <w:pStyle w:val="yDefstart"/>
      </w:pPr>
      <w:r>
        <w:rPr>
          <w:b/>
        </w:rPr>
        <w:tab/>
      </w:r>
      <w:r>
        <w:rPr>
          <w:rStyle w:val="CharDefText"/>
        </w:rPr>
        <w:t>packing group</w:t>
      </w:r>
      <w:r>
        <w:t xml:space="preserve"> </w:t>
      </w:r>
      <w:r>
        <w:rPr>
          <w:bCs/>
        </w:rPr>
        <w:t>for</w:t>
      </w:r>
      <w:r>
        <w:t xml:space="preserve"> a substance means —</w:t>
      </w:r>
    </w:p>
    <w:p w:rsidR="00793901" w:rsidRDefault="00D72AE8">
      <w:pPr>
        <w:pStyle w:val="yDefpara"/>
      </w:pPr>
      <w:r>
        <w:tab/>
        <w:t>(a)</w:t>
      </w:r>
      <w:r>
        <w:tab/>
        <w:t>the packing group assigned to the substance in the Dangerous Goods List column 5; or</w:t>
      </w:r>
    </w:p>
    <w:p w:rsidR="00793901" w:rsidRDefault="00D72AE8">
      <w:pPr>
        <w:pStyle w:val="yDefpara"/>
      </w:pPr>
      <w:r>
        <w:tab/>
        <w:t>(b)</w:t>
      </w:r>
      <w:r>
        <w:tab/>
        <w:t>if the packing group is not assigned as described in paragraph (a), the packing group determined using the relevant procedure referred to in the ADG Code;</w:t>
      </w:r>
    </w:p>
    <w:p w:rsidR="00793901" w:rsidRDefault="00D72AE8">
      <w:pPr>
        <w:pStyle w:val="yDefstart"/>
        <w:keepNext/>
      </w:pPr>
      <w:r>
        <w:lastRenderedPageBreak/>
        <w:tab/>
      </w:r>
      <w:r>
        <w:rPr>
          <w:rStyle w:val="CharDefText"/>
        </w:rPr>
        <w:t>subsidiary hazard</w:t>
      </w:r>
      <w:r>
        <w:t xml:space="preserve"> for a substance means — </w:t>
      </w:r>
    </w:p>
    <w:p w:rsidR="00793901" w:rsidRDefault="00D72AE8">
      <w:pPr>
        <w:pStyle w:val="yDefpara"/>
      </w:pPr>
      <w:r>
        <w:tab/>
        <w:t>(a)</w:t>
      </w:r>
      <w:r>
        <w:tab/>
        <w:t>the subsidiary hazard assigned to the substance in the Dangerous Goods List column 4; or</w:t>
      </w:r>
    </w:p>
    <w:p w:rsidR="00793901" w:rsidRDefault="00D72AE8">
      <w:pPr>
        <w:pStyle w:val="yDefpara"/>
      </w:pPr>
      <w:r>
        <w:tab/>
        <w:t>(b)</w:t>
      </w:r>
      <w:r>
        <w:tab/>
        <w:t>if the subsidiary hazard is not assigned as described in paragraph (a), the subsidiary hazard determined using the relevant procedure referred to in the ADG Code.</w:t>
      </w:r>
    </w:p>
    <w:p w:rsidR="00793901" w:rsidRDefault="00D72AE8">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rsidR="00793901">
        <w:trPr>
          <w:cantSplit/>
          <w:tblHeader/>
        </w:trPr>
        <w:tc>
          <w:tcPr>
            <w:tcW w:w="4678" w:type="dxa"/>
            <w:gridSpan w:val="2"/>
            <w:tcBorders>
              <w:top w:val="single" w:sz="4" w:space="0" w:color="auto"/>
              <w:bottom w:val="single" w:sz="4" w:space="0" w:color="auto"/>
            </w:tcBorders>
          </w:tcPr>
          <w:p w:rsidR="00793901" w:rsidRDefault="00D72AE8">
            <w:pPr>
              <w:pStyle w:val="yTableNAm"/>
              <w:rPr>
                <w:b/>
              </w:rPr>
            </w:pPr>
            <w:r>
              <w:rPr>
                <w:b/>
              </w:rPr>
              <w:t>Category of substances</w:t>
            </w:r>
          </w:p>
        </w:tc>
        <w:tc>
          <w:tcPr>
            <w:tcW w:w="1950" w:type="dxa"/>
            <w:tcBorders>
              <w:top w:val="single" w:sz="4" w:space="0" w:color="auto"/>
              <w:bottom w:val="single" w:sz="4" w:space="0" w:color="auto"/>
            </w:tcBorders>
          </w:tcPr>
          <w:p w:rsidR="00793901" w:rsidRDefault="00D72AE8">
            <w:pPr>
              <w:pStyle w:val="yTableNAm"/>
              <w:rPr>
                <w:b/>
              </w:rPr>
            </w:pPr>
            <w:r>
              <w:rPr>
                <w:b/>
              </w:rPr>
              <w:t>Threshold quantity (in tonnes)</w:t>
            </w:r>
          </w:p>
        </w:tc>
      </w:tr>
      <w:tr w:rsidR="00793901">
        <w:trPr>
          <w:cantSplit/>
        </w:trPr>
        <w:tc>
          <w:tcPr>
            <w:tcW w:w="1970" w:type="dxa"/>
          </w:tcPr>
          <w:p w:rsidR="00793901" w:rsidRDefault="00D72AE8">
            <w:pPr>
              <w:pStyle w:val="yTableNAm"/>
            </w:pPr>
            <w:r>
              <w:t xml:space="preserve">Explosives — </w:t>
            </w:r>
          </w:p>
        </w:tc>
        <w:tc>
          <w:tcPr>
            <w:tcW w:w="2708" w:type="dxa"/>
          </w:tcPr>
          <w:p w:rsidR="00793901" w:rsidRDefault="00D72AE8">
            <w:pPr>
              <w:pStyle w:val="yTableNAm"/>
              <w:numPr>
                <w:ilvl w:val="0"/>
                <w:numId w:val="1"/>
              </w:numPr>
              <w:tabs>
                <w:tab w:val="clear" w:pos="567"/>
                <w:tab w:val="clear" w:pos="720"/>
                <w:tab w:val="num" w:pos="376"/>
              </w:tabs>
              <w:ind w:left="376" w:hanging="376"/>
            </w:pPr>
            <w:r>
              <w:t>of classification code 1.1A</w:t>
            </w:r>
          </w:p>
        </w:tc>
        <w:tc>
          <w:tcPr>
            <w:tcW w:w="1950" w:type="dxa"/>
          </w:tcPr>
          <w:p w:rsidR="00793901" w:rsidRDefault="00D72AE8">
            <w:pPr>
              <w:pStyle w:val="yTableNAm"/>
            </w:pPr>
            <w:r>
              <w:t>10 (excluding packaging, casings and non</w:t>
            </w:r>
            <w:r>
              <w:noBreakHyphen/>
              <w:t>explosive components)</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rsidR="00793901" w:rsidRDefault="00D72AE8">
            <w:pPr>
              <w:pStyle w:val="yTableNAm"/>
            </w:pPr>
            <w:r>
              <w:t>50 (excluding packaging, casings and non</w:t>
            </w:r>
            <w:r>
              <w:noBreakHyphen/>
              <w:t>explosive components)</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of division 1.2</w:t>
            </w:r>
          </w:p>
        </w:tc>
        <w:tc>
          <w:tcPr>
            <w:tcW w:w="1950" w:type="dxa"/>
          </w:tcPr>
          <w:p w:rsidR="00793901" w:rsidRDefault="00D72AE8">
            <w:pPr>
              <w:pStyle w:val="yTableNAm"/>
            </w:pPr>
            <w:r>
              <w:t>200 (excluding packaging, casings and non</w:t>
            </w:r>
            <w:r>
              <w:noBreakHyphen/>
              <w:t>explosive components)</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of division 1.3</w:t>
            </w:r>
          </w:p>
        </w:tc>
        <w:tc>
          <w:tcPr>
            <w:tcW w:w="1950" w:type="dxa"/>
          </w:tcPr>
          <w:p w:rsidR="00793901" w:rsidRDefault="00D72AE8">
            <w:pPr>
              <w:pStyle w:val="yTableNAm"/>
            </w:pPr>
            <w:r>
              <w:t>200 (excluding packaging, casings and non</w:t>
            </w:r>
            <w:r>
              <w:noBreakHyphen/>
              <w:t>explosive components)</w:t>
            </w:r>
          </w:p>
        </w:tc>
      </w:tr>
      <w:tr w:rsidR="00793901">
        <w:trPr>
          <w:cantSplit/>
        </w:trPr>
        <w:tc>
          <w:tcPr>
            <w:tcW w:w="1970" w:type="dxa"/>
          </w:tcPr>
          <w:p w:rsidR="00793901" w:rsidRDefault="00D72AE8">
            <w:pPr>
              <w:pStyle w:val="yTableNAm"/>
            </w:pPr>
            <w:r>
              <w:t xml:space="preserve">Compressed or liquefied gases — </w:t>
            </w:r>
          </w:p>
        </w:tc>
        <w:tc>
          <w:tcPr>
            <w:tcW w:w="2708" w:type="dxa"/>
          </w:tcPr>
          <w:p w:rsidR="00793901" w:rsidRDefault="00D72AE8">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of division 2.3</w:t>
            </w:r>
          </w:p>
        </w:tc>
        <w:tc>
          <w:tcPr>
            <w:tcW w:w="1950" w:type="dxa"/>
          </w:tcPr>
          <w:p w:rsidR="00793901" w:rsidRDefault="00D72AE8">
            <w:pPr>
              <w:pStyle w:val="yTableNAm"/>
            </w:pPr>
            <w:r>
              <w:t>20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rsidR="00793901" w:rsidRDefault="00D72AE8">
            <w:pPr>
              <w:pStyle w:val="yTableNAm"/>
            </w:pPr>
            <w:r>
              <w:t>200</w:t>
            </w:r>
          </w:p>
        </w:tc>
      </w:tr>
      <w:tr w:rsidR="00793901">
        <w:trPr>
          <w:cantSplit/>
        </w:trPr>
        <w:tc>
          <w:tcPr>
            <w:tcW w:w="1970" w:type="dxa"/>
          </w:tcPr>
          <w:p w:rsidR="00793901" w:rsidRDefault="00D72AE8">
            <w:pPr>
              <w:pStyle w:val="yTableNAm"/>
            </w:pPr>
            <w:r>
              <w:lastRenderedPageBreak/>
              <w:t xml:space="preserve">Flammable materials — </w:t>
            </w:r>
          </w:p>
        </w:tc>
        <w:tc>
          <w:tcPr>
            <w:tcW w:w="2708" w:type="dxa"/>
          </w:tcPr>
          <w:p w:rsidR="00793901" w:rsidRDefault="00D72AE8">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rsidR="00793901" w:rsidRDefault="00D72AE8">
            <w:pPr>
              <w:pStyle w:val="yTableNAm"/>
            </w:pPr>
            <w:r>
              <w:t>2 000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liquids of class 3 packing group II or III</w:t>
            </w:r>
          </w:p>
        </w:tc>
        <w:tc>
          <w:tcPr>
            <w:tcW w:w="1950" w:type="dxa"/>
          </w:tcPr>
          <w:p w:rsidR="00793901" w:rsidRDefault="00D72AE8">
            <w:pPr>
              <w:pStyle w:val="yTableNAm"/>
            </w:pPr>
            <w:r>
              <w:t>50 000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rsidR="00793901" w:rsidRDefault="00D72AE8">
            <w:pPr>
              <w:pStyle w:val="yTableNAm"/>
            </w:pPr>
            <w:r>
              <w:t>200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rsidR="00793901" w:rsidRDefault="00D72AE8">
            <w:pPr>
              <w:pStyle w:val="yTableNAm"/>
            </w:pPr>
            <w:r>
              <w:t>500</w:t>
            </w:r>
          </w:p>
        </w:tc>
      </w:tr>
      <w:tr w:rsidR="00793901">
        <w:trPr>
          <w:cantSplit/>
        </w:trPr>
        <w:tc>
          <w:tcPr>
            <w:tcW w:w="1970" w:type="dxa"/>
          </w:tcPr>
          <w:p w:rsidR="00793901" w:rsidRDefault="00D72AE8">
            <w:pPr>
              <w:pStyle w:val="yTableNAm"/>
            </w:pPr>
            <w:r>
              <w:t xml:space="preserve">Oxidising materials of division 5.1 packing group I or II </w:t>
            </w:r>
          </w:p>
        </w:tc>
        <w:tc>
          <w:tcPr>
            <w:tcW w:w="2708" w:type="dxa"/>
          </w:tcPr>
          <w:p w:rsidR="00793901" w:rsidRDefault="00793901">
            <w:pPr>
              <w:pStyle w:val="yTableNAm"/>
              <w:tabs>
                <w:tab w:val="clear" w:pos="567"/>
              </w:tabs>
              <w:ind w:left="91"/>
            </w:pPr>
          </w:p>
        </w:tc>
        <w:tc>
          <w:tcPr>
            <w:tcW w:w="1950" w:type="dxa"/>
          </w:tcPr>
          <w:p w:rsidR="00793901" w:rsidRDefault="00D72AE8">
            <w:pPr>
              <w:pStyle w:val="yTableNAm"/>
            </w:pPr>
            <w:r>
              <w:t>200</w:t>
            </w:r>
          </w:p>
        </w:tc>
      </w:tr>
      <w:tr w:rsidR="00793901">
        <w:trPr>
          <w:cantSplit/>
        </w:trPr>
        <w:tc>
          <w:tcPr>
            <w:tcW w:w="1970" w:type="dxa"/>
          </w:tcPr>
          <w:p w:rsidR="00793901" w:rsidRDefault="00D72AE8">
            <w:pPr>
              <w:pStyle w:val="yTableNAm"/>
            </w:pPr>
            <w:r>
              <w:t>Peroxides, organic, of division 5.2</w:t>
            </w:r>
          </w:p>
        </w:tc>
        <w:tc>
          <w:tcPr>
            <w:tcW w:w="2708" w:type="dxa"/>
          </w:tcPr>
          <w:p w:rsidR="00793901" w:rsidRDefault="00793901">
            <w:pPr>
              <w:pStyle w:val="yTableNAm"/>
              <w:tabs>
                <w:tab w:val="clear" w:pos="567"/>
              </w:tabs>
              <w:ind w:left="91"/>
            </w:pPr>
          </w:p>
        </w:tc>
        <w:tc>
          <w:tcPr>
            <w:tcW w:w="1950" w:type="dxa"/>
          </w:tcPr>
          <w:p w:rsidR="00793901" w:rsidRDefault="00D72AE8">
            <w:pPr>
              <w:pStyle w:val="yTableNAm"/>
            </w:pPr>
            <w:r>
              <w:t>200</w:t>
            </w:r>
          </w:p>
        </w:tc>
      </w:tr>
      <w:tr w:rsidR="00793901">
        <w:trPr>
          <w:cantSplit/>
        </w:trPr>
        <w:tc>
          <w:tcPr>
            <w:tcW w:w="1970" w:type="dxa"/>
          </w:tcPr>
          <w:p w:rsidR="00793901" w:rsidRDefault="00D72AE8">
            <w:pPr>
              <w:pStyle w:val="yTableNAm"/>
            </w:pPr>
            <w:r>
              <w:t xml:space="preserve">Toxic solids or liquids — </w:t>
            </w:r>
          </w:p>
        </w:tc>
        <w:tc>
          <w:tcPr>
            <w:tcW w:w="2708" w:type="dxa"/>
          </w:tcPr>
          <w:p w:rsidR="00793901" w:rsidRDefault="00D72AE8">
            <w:pPr>
              <w:pStyle w:val="yTableNAm"/>
              <w:numPr>
                <w:ilvl w:val="0"/>
                <w:numId w:val="1"/>
              </w:numPr>
              <w:tabs>
                <w:tab w:val="clear" w:pos="567"/>
                <w:tab w:val="clear" w:pos="720"/>
                <w:tab w:val="num" w:pos="376"/>
              </w:tabs>
              <w:ind w:left="376" w:hanging="376"/>
            </w:pPr>
            <w:r>
              <w:t>of division 6.1 packing group I</w:t>
            </w:r>
          </w:p>
        </w:tc>
        <w:tc>
          <w:tcPr>
            <w:tcW w:w="1950" w:type="dxa"/>
          </w:tcPr>
          <w:p w:rsidR="00793901" w:rsidRDefault="00D72AE8">
            <w:pPr>
              <w:pStyle w:val="yTableNAm"/>
            </w:pPr>
            <w:r>
              <w:t>20</w:t>
            </w:r>
          </w:p>
        </w:tc>
      </w:tr>
      <w:tr w:rsidR="00793901">
        <w:trPr>
          <w:cantSplit/>
        </w:trPr>
        <w:tc>
          <w:tcPr>
            <w:tcW w:w="1970" w:type="dxa"/>
          </w:tcPr>
          <w:p w:rsidR="00793901" w:rsidRDefault="00793901">
            <w:pPr>
              <w:pStyle w:val="yTableNAm"/>
            </w:pPr>
          </w:p>
        </w:tc>
        <w:tc>
          <w:tcPr>
            <w:tcW w:w="2708" w:type="dxa"/>
          </w:tcPr>
          <w:p w:rsidR="00793901" w:rsidRDefault="00D72AE8">
            <w:pPr>
              <w:pStyle w:val="yTableNAm"/>
              <w:numPr>
                <w:ilvl w:val="0"/>
                <w:numId w:val="1"/>
              </w:numPr>
              <w:tabs>
                <w:tab w:val="clear" w:pos="567"/>
                <w:tab w:val="clear" w:pos="720"/>
                <w:tab w:val="num" w:pos="376"/>
              </w:tabs>
              <w:ind w:left="376" w:hanging="376"/>
            </w:pPr>
            <w:r>
              <w:t>of division 6.1 packing group II</w:t>
            </w:r>
          </w:p>
        </w:tc>
        <w:tc>
          <w:tcPr>
            <w:tcW w:w="1950" w:type="dxa"/>
          </w:tcPr>
          <w:p w:rsidR="00793901" w:rsidRDefault="00D72AE8">
            <w:pPr>
              <w:pStyle w:val="yTableNAm"/>
            </w:pPr>
            <w:r>
              <w:t>200</w:t>
            </w:r>
          </w:p>
        </w:tc>
      </w:tr>
      <w:tr w:rsidR="00793901">
        <w:trPr>
          <w:cantSplit/>
        </w:trPr>
        <w:tc>
          <w:tcPr>
            <w:tcW w:w="1970" w:type="dxa"/>
            <w:tcBorders>
              <w:bottom w:val="single" w:sz="4" w:space="0" w:color="auto"/>
            </w:tcBorders>
          </w:tcPr>
          <w:p w:rsidR="00793901" w:rsidRDefault="00D72AE8">
            <w:pPr>
              <w:pStyle w:val="yTableNAm"/>
            </w:pPr>
            <w:r>
              <w:t>Goods too dangerous to transport</w:t>
            </w:r>
          </w:p>
        </w:tc>
        <w:tc>
          <w:tcPr>
            <w:tcW w:w="2708" w:type="dxa"/>
            <w:tcBorders>
              <w:bottom w:val="single" w:sz="4" w:space="0" w:color="auto"/>
            </w:tcBorders>
          </w:tcPr>
          <w:p w:rsidR="00793901" w:rsidRDefault="00793901">
            <w:pPr>
              <w:pStyle w:val="yTableNAm"/>
            </w:pPr>
          </w:p>
        </w:tc>
        <w:tc>
          <w:tcPr>
            <w:tcW w:w="1950" w:type="dxa"/>
            <w:tcBorders>
              <w:bottom w:val="single" w:sz="4" w:space="0" w:color="auto"/>
            </w:tcBorders>
          </w:tcPr>
          <w:p w:rsidR="00793901" w:rsidRDefault="00D72AE8">
            <w:pPr>
              <w:pStyle w:val="yTableNAm"/>
            </w:pPr>
            <w:r>
              <w:t>2</w:t>
            </w:r>
          </w:p>
        </w:tc>
      </w:tr>
    </w:tbl>
    <w:p w:rsidR="00793901" w:rsidRDefault="00D72AE8">
      <w:pPr>
        <w:pStyle w:val="yFootnotesection"/>
      </w:pPr>
      <w:r>
        <w:tab/>
        <w:t>[Clause 2 amended: Gazette 22 Jun 2010 p. 2783; SL 2020/193 r. 8.]</w:t>
      </w:r>
    </w:p>
    <w:p w:rsidR="00793901" w:rsidRDefault="00793901">
      <w:pPr>
        <w:sectPr w:rsidR="00793901">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rsidR="00793901" w:rsidRDefault="00D72AE8">
      <w:pPr>
        <w:pStyle w:val="yScheduleHeading"/>
      </w:pPr>
      <w:bookmarkStart w:id="61" w:name="_Toc74910297"/>
      <w:bookmarkStart w:id="62" w:name="_Toc74910356"/>
      <w:bookmarkStart w:id="63" w:name="_Toc74910977"/>
      <w:r>
        <w:rPr>
          <w:rStyle w:val="CharSchNo"/>
        </w:rPr>
        <w:lastRenderedPageBreak/>
        <w:t>Schedule 2</w:t>
      </w:r>
      <w:r>
        <w:rPr>
          <w:rStyle w:val="CharSDivNo"/>
        </w:rPr>
        <w:t> </w:t>
      </w:r>
      <w:r>
        <w:t>—</w:t>
      </w:r>
      <w:r>
        <w:rPr>
          <w:rStyle w:val="CharSDivText"/>
        </w:rPr>
        <w:t> </w:t>
      </w:r>
      <w:r>
        <w:rPr>
          <w:rStyle w:val="CharSchText"/>
        </w:rPr>
        <w:t>Notifiable information</w:t>
      </w:r>
      <w:bookmarkEnd w:id="61"/>
      <w:bookmarkEnd w:id="62"/>
      <w:bookmarkEnd w:id="63"/>
    </w:p>
    <w:p w:rsidR="00793901" w:rsidRDefault="00D72AE8">
      <w:pPr>
        <w:pStyle w:val="yShoulderClause"/>
      </w:pPr>
      <w:r>
        <w:t>[r. 4]</w:t>
      </w:r>
    </w:p>
    <w:p w:rsidR="00793901" w:rsidRDefault="00D72AE8">
      <w:pPr>
        <w:pStyle w:val="yHeading5"/>
      </w:pPr>
      <w:bookmarkStart w:id="64" w:name="_Toc74910978"/>
      <w:r>
        <w:rPr>
          <w:rStyle w:val="CharSClsNo"/>
        </w:rPr>
        <w:t>1</w:t>
      </w:r>
      <w:r>
        <w:t>.</w:t>
      </w:r>
      <w:r>
        <w:tab/>
        <w:t>Term used: material safety data sheet</w:t>
      </w:r>
      <w:bookmarkEnd w:id="64"/>
    </w:p>
    <w:p w:rsidR="00793901" w:rsidRDefault="00D72AE8">
      <w:pPr>
        <w:pStyle w:val="ySubsection"/>
      </w:pPr>
      <w:r>
        <w:tab/>
      </w:r>
      <w:r>
        <w:tab/>
        <w:t xml:space="preserve">In this Schedule — </w:t>
      </w:r>
    </w:p>
    <w:p w:rsidR="00793901" w:rsidRDefault="00D72AE8">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rsidR="00793901" w:rsidRDefault="00D72AE8">
      <w:pPr>
        <w:pStyle w:val="yHeading5"/>
      </w:pPr>
      <w:bookmarkStart w:id="65" w:name="_Toc74910979"/>
      <w:r>
        <w:rPr>
          <w:rStyle w:val="CharSClsNo"/>
        </w:rPr>
        <w:t>2</w:t>
      </w:r>
      <w:r>
        <w:t>.</w:t>
      </w:r>
      <w:r>
        <w:tab/>
        <w:t>Notifiable information</w:t>
      </w:r>
      <w:bookmarkEnd w:id="65"/>
    </w:p>
    <w:p w:rsidR="00793901" w:rsidRDefault="00D72AE8">
      <w:pPr>
        <w:pStyle w:val="ySubsection"/>
      </w:pPr>
      <w:r>
        <w:tab/>
      </w:r>
      <w:r>
        <w:tab/>
        <w:t xml:space="preserve">The following information is notifiable information — </w:t>
      </w:r>
    </w:p>
    <w:p w:rsidR="00793901" w:rsidRDefault="00D72AE8">
      <w:pPr>
        <w:pStyle w:val="yIndenta"/>
      </w:pPr>
      <w:r>
        <w:tab/>
        <w:t>(a)</w:t>
      </w:r>
      <w:r>
        <w:tab/>
        <w:t>if the operator of the place is a corporation, the corporation’s full corporate name, trading name, Australian Company Number, registered address and place of business and the nature of the corporation’s business;</w:t>
      </w:r>
    </w:p>
    <w:p w:rsidR="00793901" w:rsidRDefault="00D72AE8">
      <w:pPr>
        <w:pStyle w:val="yIndenta"/>
      </w:pPr>
      <w:r>
        <w:tab/>
        <w:t>(b)</w:t>
      </w:r>
      <w:r>
        <w:tab/>
        <w:t>if the operator of the place is an individual, the person’s full name, residential address and business address, any business name used by the person and the nature of the person’s business;</w:t>
      </w:r>
    </w:p>
    <w:p w:rsidR="00793901" w:rsidRDefault="00D72AE8">
      <w:pPr>
        <w:pStyle w:val="yIndenta"/>
      </w:pPr>
      <w:r>
        <w:tab/>
        <w:t>(c)</w:t>
      </w:r>
      <w:r>
        <w:tab/>
        <w:t>the location of the place;</w:t>
      </w:r>
    </w:p>
    <w:p w:rsidR="00793901" w:rsidRDefault="00D72AE8">
      <w:pPr>
        <w:pStyle w:val="yIndenta"/>
      </w:pPr>
      <w:r>
        <w:tab/>
        <w:t>(d)</w:t>
      </w:r>
      <w:r>
        <w:tab/>
        <w:t>land use and zoning for the area surrounding the place;</w:t>
      </w:r>
    </w:p>
    <w:p w:rsidR="00793901" w:rsidRDefault="00D72AE8">
      <w:pPr>
        <w:pStyle w:val="yIndenta"/>
      </w:pPr>
      <w:r>
        <w:tab/>
        <w:t>(e)</w:t>
      </w:r>
      <w:r>
        <w:tab/>
        <w:t>for each kind of dangerous goods at the place, its name, a copy of its material safety data sheet and the quantity at the place;</w:t>
      </w:r>
    </w:p>
    <w:p w:rsidR="00793901" w:rsidRDefault="00D72AE8">
      <w:pPr>
        <w:pStyle w:val="yIndenta"/>
      </w:pPr>
      <w:r>
        <w:tab/>
        <w:t>(f)</w:t>
      </w:r>
      <w:r>
        <w:tab/>
        <w:t>the nature of the business or other activity conducted at the place, including the nature of the presence of dangerous goods in the course of conducting the business or activity;</w:t>
      </w:r>
    </w:p>
    <w:p w:rsidR="00793901" w:rsidRDefault="00D72AE8">
      <w:pPr>
        <w:pStyle w:val="yIndenta"/>
      </w:pPr>
      <w:r>
        <w:tab/>
        <w:t>(g)</w:t>
      </w:r>
      <w:r>
        <w:tab/>
        <w:t>the number of employees at the place;</w:t>
      </w:r>
    </w:p>
    <w:p w:rsidR="00793901" w:rsidRDefault="00D72AE8">
      <w:pPr>
        <w:pStyle w:val="yIndenta"/>
        <w:rPr>
          <w:b/>
          <w:bCs/>
          <w:i/>
          <w:iCs/>
        </w:rPr>
      </w:pPr>
      <w:r>
        <w:tab/>
        <w:t>(h)</w:t>
      </w:r>
      <w:r>
        <w:tab/>
        <w:t>plans showing the layout of the place and where dangerous goods are to be stored, handled or transported within that place.</w:t>
      </w:r>
    </w:p>
    <w:p w:rsidR="00793901" w:rsidRDefault="00D72AE8">
      <w:pPr>
        <w:pStyle w:val="yScheduleHeading"/>
      </w:pPr>
      <w:bookmarkStart w:id="66" w:name="_Toc74910300"/>
      <w:bookmarkStart w:id="67" w:name="_Toc74910359"/>
      <w:bookmarkStart w:id="68" w:name="_Toc74910980"/>
      <w:r>
        <w:rPr>
          <w:rStyle w:val="CharSchNo"/>
        </w:rPr>
        <w:lastRenderedPageBreak/>
        <w:t>Schedule 3</w:t>
      </w:r>
      <w:r>
        <w:t> — </w:t>
      </w:r>
      <w:r>
        <w:rPr>
          <w:rStyle w:val="CharSchText"/>
        </w:rPr>
        <w:t>Fees</w:t>
      </w:r>
      <w:bookmarkEnd w:id="66"/>
      <w:bookmarkEnd w:id="67"/>
      <w:bookmarkEnd w:id="68"/>
    </w:p>
    <w:p w:rsidR="00793901" w:rsidRDefault="00D72AE8">
      <w:pPr>
        <w:pStyle w:val="yShoulderClause"/>
      </w:pPr>
      <w:r>
        <w:t>[r. 26 and 34]</w:t>
      </w:r>
    </w:p>
    <w:p w:rsidR="00793901" w:rsidRDefault="00D72AE8">
      <w:pPr>
        <w:pStyle w:val="yFootnoteheading"/>
      </w:pPr>
      <w:r>
        <w:tab/>
        <w:t>[Heading inserted: SL 2020/93 r. 4.]</w:t>
      </w:r>
    </w:p>
    <w:p w:rsidR="00793901" w:rsidRDefault="00D72AE8">
      <w:pPr>
        <w:pStyle w:val="yHeading5"/>
      </w:pPr>
      <w:bookmarkStart w:id="69" w:name="_Toc74910981"/>
      <w:r>
        <w:rPr>
          <w:rStyle w:val="CharSClsNo"/>
        </w:rPr>
        <w:t>1</w:t>
      </w:r>
      <w:r>
        <w:t>.</w:t>
      </w:r>
      <w:r>
        <w:tab/>
        <w:t>Fees for approval of safety reports (r. 26)</w:t>
      </w:r>
      <w:bookmarkEnd w:id="69"/>
    </w:p>
    <w:p w:rsidR="00793901" w:rsidRDefault="00D72AE8">
      <w:pPr>
        <w:pStyle w:val="ySubsection"/>
      </w:pPr>
      <w:r>
        <w:tab/>
      </w:r>
      <w:r>
        <w:tab/>
        <w:t>The relevant fee to be paid under regulation 26 for an application for approval of a safety report for a major hazard facility is the fee in the Table relevant to the class of the facility.</w:t>
      </w:r>
    </w:p>
    <w:p w:rsidR="00793901" w:rsidRDefault="00D72AE8">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793901">
        <w:trPr>
          <w:tblHeader/>
        </w:trPr>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rPr>
                <w:b/>
              </w:rPr>
            </w:pPr>
            <w:r>
              <w:rPr>
                <w:b/>
              </w:rPr>
              <w:t>Fee ($)</w:t>
            </w:r>
          </w:p>
        </w:tc>
      </w:tr>
      <w:tr w:rsidR="00793901">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115 000</w:t>
            </w:r>
          </w:p>
        </w:tc>
      </w:tr>
      <w:tr w:rsidR="00793901">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92 000</w:t>
            </w:r>
          </w:p>
        </w:tc>
      </w:tr>
      <w:tr w:rsidR="00793901">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92 000</w:t>
            </w:r>
          </w:p>
        </w:tc>
      </w:tr>
      <w:tr w:rsidR="00793901">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Class D</w:t>
            </w:r>
          </w:p>
        </w:tc>
        <w:tc>
          <w:tcPr>
            <w:tcW w:w="3402" w:type="dxa"/>
            <w:tcBorders>
              <w:top w:val="single" w:sz="4" w:space="0" w:color="auto"/>
              <w:left w:val="single" w:sz="4" w:space="0" w:color="auto"/>
              <w:bottom w:val="single" w:sz="4" w:space="0" w:color="auto"/>
              <w:right w:val="single" w:sz="4" w:space="0" w:color="auto"/>
            </w:tcBorders>
            <w:noWrap/>
          </w:tcPr>
          <w:p w:rsidR="00793901" w:rsidRDefault="00D72AE8">
            <w:pPr>
              <w:pStyle w:val="yTableNAm"/>
            </w:pPr>
            <w:r>
              <w:t>20 000</w:t>
            </w:r>
          </w:p>
        </w:tc>
      </w:tr>
    </w:tbl>
    <w:p w:rsidR="00793901" w:rsidRDefault="00D72AE8">
      <w:pPr>
        <w:pStyle w:val="yFootnotesection"/>
      </w:pPr>
      <w:r>
        <w:tab/>
        <w:t>[Clause 1 inserted: SL 2020/93 r. 4.]</w:t>
      </w:r>
    </w:p>
    <w:p w:rsidR="00793901" w:rsidRDefault="00D72AE8">
      <w:pPr>
        <w:pStyle w:val="yHeading5"/>
      </w:pPr>
      <w:bookmarkStart w:id="70" w:name="_Toc74910982"/>
      <w:r>
        <w:rPr>
          <w:rStyle w:val="CharSClsNo"/>
        </w:rPr>
        <w:t>2</w:t>
      </w:r>
      <w:r>
        <w:t>.</w:t>
      </w:r>
      <w:r>
        <w:tab/>
        <w:t>Annual fees for major hazard facilities (r. 34)</w:t>
      </w:r>
      <w:bookmarkEnd w:id="70"/>
    </w:p>
    <w:p w:rsidR="00793901" w:rsidRDefault="00D72AE8">
      <w:pPr>
        <w:pStyle w:val="ySubsection"/>
      </w:pPr>
      <w:r>
        <w:tab/>
      </w:r>
      <w:r>
        <w:tab/>
        <w:t>The relevant annual fee to be paid under regulation 34 in respect of a major hazard facility is the fee in the Table relevant to the class of the facility.</w:t>
      </w:r>
    </w:p>
    <w:p w:rsidR="00793901" w:rsidRDefault="00D72AE8">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793901">
        <w:trPr>
          <w:tblHeader/>
        </w:trPr>
        <w:tc>
          <w:tcPr>
            <w:tcW w:w="3402" w:type="dxa"/>
            <w:noWrap/>
          </w:tcPr>
          <w:p w:rsidR="00793901" w:rsidRDefault="00D72AE8">
            <w:pPr>
              <w:pStyle w:val="yTableNAm"/>
              <w:rPr>
                <w:b/>
              </w:rPr>
            </w:pPr>
            <w:r>
              <w:rPr>
                <w:b/>
              </w:rPr>
              <w:t>Class of facility under r. 33</w:t>
            </w:r>
          </w:p>
        </w:tc>
        <w:tc>
          <w:tcPr>
            <w:tcW w:w="3402" w:type="dxa"/>
            <w:noWrap/>
          </w:tcPr>
          <w:p w:rsidR="00793901" w:rsidRDefault="00D72AE8">
            <w:pPr>
              <w:pStyle w:val="yTableNAm"/>
              <w:rPr>
                <w:b/>
              </w:rPr>
            </w:pPr>
            <w:r>
              <w:rPr>
                <w:b/>
              </w:rPr>
              <w:t>Fee ($)</w:t>
            </w:r>
          </w:p>
        </w:tc>
      </w:tr>
      <w:tr w:rsidR="00793901">
        <w:tc>
          <w:tcPr>
            <w:tcW w:w="3402" w:type="dxa"/>
            <w:noWrap/>
          </w:tcPr>
          <w:p w:rsidR="00793901" w:rsidRDefault="00D72AE8">
            <w:pPr>
              <w:pStyle w:val="yTableNAm"/>
            </w:pPr>
            <w:r>
              <w:t>Class A</w:t>
            </w:r>
          </w:p>
        </w:tc>
        <w:tc>
          <w:tcPr>
            <w:tcW w:w="3402" w:type="dxa"/>
            <w:noWrap/>
          </w:tcPr>
          <w:p w:rsidR="00793901" w:rsidRDefault="00D72AE8">
            <w:pPr>
              <w:pStyle w:val="yTableNAm"/>
            </w:pPr>
            <w:r>
              <w:t>115 000</w:t>
            </w:r>
          </w:p>
        </w:tc>
      </w:tr>
      <w:tr w:rsidR="00793901">
        <w:tc>
          <w:tcPr>
            <w:tcW w:w="3402" w:type="dxa"/>
            <w:noWrap/>
          </w:tcPr>
          <w:p w:rsidR="00793901" w:rsidRDefault="00D72AE8">
            <w:pPr>
              <w:pStyle w:val="yTableNAm"/>
            </w:pPr>
            <w:r>
              <w:t>Class B</w:t>
            </w:r>
          </w:p>
        </w:tc>
        <w:tc>
          <w:tcPr>
            <w:tcW w:w="3402" w:type="dxa"/>
            <w:noWrap/>
          </w:tcPr>
          <w:p w:rsidR="00793901" w:rsidRDefault="00D72AE8">
            <w:pPr>
              <w:pStyle w:val="yTableNAm"/>
            </w:pPr>
            <w:r>
              <w:t>92 000</w:t>
            </w:r>
          </w:p>
        </w:tc>
      </w:tr>
      <w:tr w:rsidR="00793901">
        <w:tc>
          <w:tcPr>
            <w:tcW w:w="3402" w:type="dxa"/>
            <w:noWrap/>
          </w:tcPr>
          <w:p w:rsidR="00793901" w:rsidRDefault="00D72AE8">
            <w:pPr>
              <w:pStyle w:val="yTableNAm"/>
            </w:pPr>
            <w:r>
              <w:t>Class C</w:t>
            </w:r>
          </w:p>
        </w:tc>
        <w:tc>
          <w:tcPr>
            <w:tcW w:w="3402" w:type="dxa"/>
            <w:noWrap/>
          </w:tcPr>
          <w:p w:rsidR="00793901" w:rsidRDefault="00D72AE8">
            <w:pPr>
              <w:pStyle w:val="yTableNAm"/>
            </w:pPr>
            <w:r>
              <w:t>92 000</w:t>
            </w:r>
          </w:p>
        </w:tc>
      </w:tr>
      <w:tr w:rsidR="00793901">
        <w:tc>
          <w:tcPr>
            <w:tcW w:w="3402" w:type="dxa"/>
            <w:noWrap/>
          </w:tcPr>
          <w:p w:rsidR="00793901" w:rsidRDefault="00D72AE8">
            <w:pPr>
              <w:pStyle w:val="yTableNAm"/>
            </w:pPr>
            <w:r>
              <w:t>Class D</w:t>
            </w:r>
          </w:p>
        </w:tc>
        <w:tc>
          <w:tcPr>
            <w:tcW w:w="3402" w:type="dxa"/>
            <w:noWrap/>
          </w:tcPr>
          <w:p w:rsidR="00793901" w:rsidRDefault="00D72AE8">
            <w:pPr>
              <w:pStyle w:val="yTableNAm"/>
            </w:pPr>
            <w:r>
              <w:t>20 000</w:t>
            </w:r>
          </w:p>
        </w:tc>
      </w:tr>
    </w:tbl>
    <w:p w:rsidR="00793901" w:rsidRDefault="00D72AE8">
      <w:pPr>
        <w:pStyle w:val="yFootnotesection"/>
      </w:pPr>
      <w:r>
        <w:lastRenderedPageBreak/>
        <w:tab/>
        <w:t>[Clause 2 inserted: SL 2020/93 r. 4.]</w:t>
      </w:r>
    </w:p>
    <w:p w:rsidR="00793901" w:rsidRDefault="00D72AE8">
      <w:pPr>
        <w:pStyle w:val="yScheduleHeading"/>
      </w:pPr>
      <w:bookmarkStart w:id="71" w:name="_Toc74910303"/>
      <w:bookmarkStart w:id="72" w:name="_Toc74910362"/>
      <w:bookmarkStart w:id="73" w:name="_Toc74910983"/>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1"/>
      <w:bookmarkEnd w:id="72"/>
      <w:bookmarkEnd w:id="73"/>
      <w:r>
        <w:rPr>
          <w:rStyle w:val="CharSchText"/>
        </w:rPr>
        <w:t xml:space="preserve"> </w:t>
      </w:r>
    </w:p>
    <w:p w:rsidR="00793901" w:rsidRDefault="00D72AE8">
      <w:pPr>
        <w:pStyle w:val="yShoulderClause"/>
      </w:pPr>
      <w:r>
        <w:t>[r. 24]</w:t>
      </w:r>
    </w:p>
    <w:p w:rsidR="00793901" w:rsidRDefault="00D72AE8">
      <w:pPr>
        <w:pStyle w:val="yHeading5"/>
      </w:pPr>
      <w:bookmarkStart w:id="74" w:name="_Toc74910984"/>
      <w:r>
        <w:rPr>
          <w:rStyle w:val="CharSClsNo"/>
        </w:rPr>
        <w:t>1</w:t>
      </w:r>
      <w:r>
        <w:t>.</w:t>
      </w:r>
      <w:r>
        <w:tab/>
        <w:t>Skills etc. of employees, procedures to ensure</w:t>
      </w:r>
      <w:bookmarkEnd w:id="74"/>
    </w:p>
    <w:p w:rsidR="00793901" w:rsidRDefault="00D72AE8">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rsidR="00793901" w:rsidRDefault="00D72AE8">
      <w:pPr>
        <w:pStyle w:val="yHeading5"/>
      </w:pPr>
      <w:bookmarkStart w:id="75" w:name="_Toc74910985"/>
      <w:r>
        <w:rPr>
          <w:rStyle w:val="CharSClsNo"/>
        </w:rPr>
        <w:t>2</w:t>
      </w:r>
      <w:r>
        <w:t>.</w:t>
      </w:r>
      <w:r>
        <w:tab/>
        <w:t>Operation etc. of plant etc., procedures for</w:t>
      </w:r>
      <w:bookmarkEnd w:id="75"/>
    </w:p>
    <w:p w:rsidR="00793901" w:rsidRDefault="00D72AE8">
      <w:pPr>
        <w:pStyle w:val="ySubsection"/>
      </w:pPr>
      <w:r>
        <w:tab/>
        <w:t>(1)</w:t>
      </w:r>
      <w:r>
        <w:tab/>
        <w:t xml:space="preserve">The procedures for — </w:t>
      </w:r>
    </w:p>
    <w:p w:rsidR="00793901" w:rsidRDefault="00D72AE8">
      <w:pPr>
        <w:pStyle w:val="yIndenta"/>
      </w:pPr>
      <w:r>
        <w:tab/>
        <w:t>(a)</w:t>
      </w:r>
      <w:r>
        <w:tab/>
        <w:t>ensuring the safe operation of plant; and</w:t>
      </w:r>
    </w:p>
    <w:p w:rsidR="00793901" w:rsidRDefault="00D72AE8">
      <w:pPr>
        <w:pStyle w:val="yIndenta"/>
      </w:pPr>
      <w:r>
        <w:tab/>
        <w:t>(b)</w:t>
      </w:r>
      <w:r>
        <w:tab/>
        <w:t>ensuring that plant is properly maintained; and</w:t>
      </w:r>
    </w:p>
    <w:p w:rsidR="00793901" w:rsidRDefault="00D72AE8">
      <w:pPr>
        <w:pStyle w:val="yIndenta"/>
      </w:pPr>
      <w:r>
        <w:tab/>
        <w:t>(c)</w:t>
      </w:r>
      <w:r>
        <w:tab/>
        <w:t>shutting down or decommissioning plant.</w:t>
      </w:r>
    </w:p>
    <w:p w:rsidR="00793901" w:rsidRDefault="00D72AE8">
      <w:pPr>
        <w:pStyle w:val="ySubsection"/>
      </w:pPr>
      <w:r>
        <w:tab/>
        <w:t>(2)</w:t>
      </w:r>
      <w:r>
        <w:tab/>
        <w:t>The procedures for isolating the whole or part of the facility if an emergency occurs.</w:t>
      </w:r>
    </w:p>
    <w:p w:rsidR="00793901" w:rsidRDefault="00D72AE8">
      <w:pPr>
        <w:pStyle w:val="ySubsection"/>
      </w:pPr>
      <w:r>
        <w:tab/>
        <w:t>(3)</w:t>
      </w:r>
      <w:r>
        <w:tab/>
        <w:t>The procedures for managing alarm systems.</w:t>
      </w:r>
    </w:p>
    <w:p w:rsidR="00793901" w:rsidRDefault="00D72AE8">
      <w:pPr>
        <w:pStyle w:val="yHeading5"/>
      </w:pPr>
      <w:bookmarkStart w:id="76" w:name="_Toc74910986"/>
      <w:r>
        <w:rPr>
          <w:rStyle w:val="CharSClsNo"/>
        </w:rPr>
        <w:t>3</w:t>
      </w:r>
      <w:r>
        <w:t>.</w:t>
      </w:r>
      <w:r>
        <w:tab/>
        <w:t>Security, procedures to ensure</w:t>
      </w:r>
      <w:bookmarkEnd w:id="76"/>
    </w:p>
    <w:p w:rsidR="00793901" w:rsidRDefault="00D72AE8">
      <w:pPr>
        <w:pStyle w:val="ySubsection"/>
      </w:pPr>
      <w:r>
        <w:tab/>
      </w:r>
      <w:r>
        <w:tab/>
        <w:t>The procedures for preventing unauthorised acts that could cause a major incident and for preventing acts intended to cause a major incident.</w:t>
      </w:r>
    </w:p>
    <w:p w:rsidR="00793901" w:rsidRDefault="00D72AE8">
      <w:pPr>
        <w:pStyle w:val="yHeading5"/>
      </w:pPr>
      <w:bookmarkStart w:id="77" w:name="_Toc74910987"/>
      <w:r>
        <w:rPr>
          <w:rStyle w:val="CharSClsNo"/>
        </w:rPr>
        <w:t>4</w:t>
      </w:r>
      <w:r>
        <w:t>.</w:t>
      </w:r>
      <w:r>
        <w:tab/>
        <w:t>Safety information, procedures to ensure employees are given</w:t>
      </w:r>
      <w:bookmarkEnd w:id="77"/>
    </w:p>
    <w:p w:rsidR="00793901" w:rsidRDefault="00D72AE8">
      <w:pPr>
        <w:pStyle w:val="ySubsection"/>
      </w:pPr>
      <w:r>
        <w:tab/>
        <w:t>(1)</w:t>
      </w:r>
      <w:r>
        <w:tab/>
        <w:t xml:space="preserve">The procedures for informing employees about — </w:t>
      </w:r>
    </w:p>
    <w:p w:rsidR="00793901" w:rsidRDefault="00D72AE8">
      <w:pPr>
        <w:pStyle w:val="yIndenta"/>
      </w:pPr>
      <w:r>
        <w:tab/>
        <w:t>(a)</w:t>
      </w:r>
      <w:r>
        <w:tab/>
      </w:r>
      <w:r>
        <w:rPr>
          <w:color w:val="000000"/>
        </w:rPr>
        <w:t>the risk assessment</w:t>
      </w:r>
      <w:r>
        <w:t>; and</w:t>
      </w:r>
    </w:p>
    <w:p w:rsidR="00793901" w:rsidRDefault="00D72AE8">
      <w:pPr>
        <w:pStyle w:val="yIndenta"/>
      </w:pPr>
      <w:r>
        <w:tab/>
        <w:t>(b)</w:t>
      </w:r>
      <w:r>
        <w:tab/>
        <w:t xml:space="preserve">the </w:t>
      </w:r>
      <w:r>
        <w:rPr>
          <w:color w:val="000000"/>
        </w:rPr>
        <w:t>safety management system</w:t>
      </w:r>
      <w:r>
        <w:t>.</w:t>
      </w:r>
    </w:p>
    <w:p w:rsidR="00793901" w:rsidRDefault="00D72AE8">
      <w:pPr>
        <w:pStyle w:val="ySubsection"/>
      </w:pPr>
      <w:r>
        <w:tab/>
        <w:t>(2)</w:t>
      </w:r>
      <w:r>
        <w:tab/>
        <w:t>The procedures for informing persons who are not employees, but who are present at the facility, of the safety measures they are required to take while at the facility.</w:t>
      </w:r>
    </w:p>
    <w:p w:rsidR="00793901" w:rsidRDefault="00D72AE8">
      <w:pPr>
        <w:pStyle w:val="ySubsection"/>
      </w:pPr>
      <w:r>
        <w:lastRenderedPageBreak/>
        <w:tab/>
        <w:t>(3)</w:t>
      </w:r>
      <w:r>
        <w:tab/>
        <w:t xml:space="preserve">The procedures for ensuring the community, local governments for the districts in which the community resides and emergency services are informed about — </w:t>
      </w:r>
    </w:p>
    <w:p w:rsidR="00793901" w:rsidRDefault="00D72AE8">
      <w:pPr>
        <w:pStyle w:val="yIndenta"/>
      </w:pPr>
      <w:r>
        <w:tab/>
        <w:t>(a)</w:t>
      </w:r>
      <w:r>
        <w:tab/>
        <w:t>the use of dangerous goods at the facility; and</w:t>
      </w:r>
    </w:p>
    <w:p w:rsidR="00793901" w:rsidRDefault="00D72AE8">
      <w:pPr>
        <w:pStyle w:val="yIndenta"/>
      </w:pPr>
      <w:r>
        <w:tab/>
        <w:t>(b)</w:t>
      </w:r>
      <w:r>
        <w:tab/>
        <w:t xml:space="preserve">the </w:t>
      </w:r>
      <w:r>
        <w:rPr>
          <w:color w:val="000000"/>
        </w:rPr>
        <w:t>risk assessment; and</w:t>
      </w:r>
    </w:p>
    <w:p w:rsidR="00793901" w:rsidRDefault="00D72AE8">
      <w:pPr>
        <w:pStyle w:val="yIndenta"/>
      </w:pPr>
      <w:r>
        <w:tab/>
        <w:t>(c)</w:t>
      </w:r>
      <w:r>
        <w:tab/>
        <w:t>the actions members of the community should take if a dangerous situation or major incident occurs.</w:t>
      </w:r>
    </w:p>
    <w:p w:rsidR="00793901" w:rsidRDefault="00D72AE8">
      <w:pPr>
        <w:pStyle w:val="ySubsection"/>
      </w:pPr>
      <w:r>
        <w:tab/>
        <w:t>(4)</w:t>
      </w:r>
      <w:r>
        <w:tab/>
        <w:t xml:space="preserve">In subclause (3) — </w:t>
      </w:r>
    </w:p>
    <w:p w:rsidR="00793901" w:rsidRDefault="00D72AE8">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rsidR="00793901" w:rsidRDefault="00D72AE8">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rsidR="00793901" w:rsidRDefault="00D72AE8">
      <w:pPr>
        <w:pStyle w:val="yFootnotesection"/>
      </w:pPr>
      <w:r>
        <w:tab/>
        <w:t>[Clause 4 amended: Gazette 19 Feb 2013 p. 988.]</w:t>
      </w:r>
    </w:p>
    <w:p w:rsidR="00793901" w:rsidRDefault="00D72AE8">
      <w:pPr>
        <w:pStyle w:val="yHeading5"/>
      </w:pPr>
      <w:bookmarkStart w:id="78" w:name="_Toc74910988"/>
      <w:r>
        <w:rPr>
          <w:rStyle w:val="CharSClsNo"/>
        </w:rPr>
        <w:t>5</w:t>
      </w:r>
      <w:r>
        <w:t>.</w:t>
      </w:r>
      <w:r>
        <w:tab/>
        <w:t>Risk control measures, procedures to ensure monitoring of etc.</w:t>
      </w:r>
      <w:bookmarkEnd w:id="78"/>
    </w:p>
    <w:p w:rsidR="00793901" w:rsidRDefault="00D72AE8">
      <w:pPr>
        <w:pStyle w:val="ySubsection"/>
      </w:pPr>
      <w:r>
        <w:tab/>
        <w:t>(1)</w:t>
      </w:r>
      <w:r>
        <w:tab/>
        <w:t xml:space="preserve">In this clause — </w:t>
      </w:r>
    </w:p>
    <w:p w:rsidR="00793901" w:rsidRDefault="00D72AE8">
      <w:pPr>
        <w:pStyle w:val="yDefstart"/>
      </w:pPr>
      <w:r>
        <w:rPr>
          <w:b/>
        </w:rPr>
        <w:tab/>
      </w:r>
      <w:r>
        <w:rPr>
          <w:rStyle w:val="CharDefText"/>
        </w:rPr>
        <w:t>risk control measures</w:t>
      </w:r>
      <w:r>
        <w:t xml:space="preserve"> has the meaning given in regulation 23(2)(c).</w:t>
      </w:r>
    </w:p>
    <w:p w:rsidR="00793901" w:rsidRDefault="00D72AE8">
      <w:pPr>
        <w:pStyle w:val="ySubsection"/>
      </w:pPr>
      <w:r>
        <w:tab/>
        <w:t>(2)</w:t>
      </w:r>
      <w:r>
        <w:tab/>
        <w:t>Procedures for monitoring the effectiveness of risk control measures.</w:t>
      </w:r>
    </w:p>
    <w:p w:rsidR="00793901" w:rsidRDefault="00D72AE8">
      <w:pPr>
        <w:pStyle w:val="ySubsection"/>
      </w:pPr>
      <w:r>
        <w:tab/>
        <w:t>(3)</w:t>
      </w:r>
      <w:r>
        <w:tab/>
        <w:t xml:space="preserve">Procedures for monitoring the effectiveness of, and compliance with, the </w:t>
      </w:r>
      <w:r>
        <w:rPr>
          <w:color w:val="000000"/>
        </w:rPr>
        <w:t>safety management system</w:t>
      </w:r>
      <w:r>
        <w:t>.</w:t>
      </w:r>
    </w:p>
    <w:p w:rsidR="00793901" w:rsidRDefault="00D72AE8">
      <w:pPr>
        <w:pStyle w:val="ySubsection"/>
      </w:pPr>
      <w:r>
        <w:tab/>
        <w:t>(4)</w:t>
      </w:r>
      <w:r>
        <w:tab/>
        <w:t>Procedures for using the information obtained from monitoring to improve safety at the facility.</w:t>
      </w:r>
    </w:p>
    <w:p w:rsidR="00793901" w:rsidRDefault="00D72AE8">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93901" w:rsidRDefault="00793901">
      <w:pPr>
        <w:sectPr w:rsidR="00793901">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rsidR="00793901" w:rsidRDefault="00D72AE8">
      <w:pPr>
        <w:pStyle w:val="nHeading2"/>
      </w:pPr>
      <w:bookmarkStart w:id="79" w:name="_Toc74910309"/>
      <w:bookmarkStart w:id="80" w:name="_Toc74910368"/>
      <w:bookmarkStart w:id="81" w:name="_Toc74910989"/>
      <w:r>
        <w:lastRenderedPageBreak/>
        <w:t>Notes</w:t>
      </w:r>
      <w:bookmarkEnd w:id="79"/>
      <w:bookmarkEnd w:id="80"/>
      <w:bookmarkEnd w:id="81"/>
    </w:p>
    <w:p w:rsidR="00D5307B" w:rsidRDefault="00D5307B">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793901" w:rsidRDefault="00D72AE8">
      <w:pPr>
        <w:pStyle w:val="nHeading3"/>
      </w:pPr>
      <w:bookmarkStart w:id="82" w:name="_Toc74910990"/>
      <w:r>
        <w:t>Compilation table</w:t>
      </w:r>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93901">
        <w:trPr>
          <w:tblHeader/>
        </w:trPr>
        <w:tc>
          <w:tcPr>
            <w:tcW w:w="3119" w:type="dxa"/>
          </w:tcPr>
          <w:p w:rsidR="00793901" w:rsidRDefault="00D72AE8">
            <w:pPr>
              <w:pStyle w:val="nTable"/>
              <w:spacing w:after="40"/>
              <w:rPr>
                <w:b/>
              </w:rPr>
            </w:pPr>
            <w:r>
              <w:rPr>
                <w:b/>
              </w:rPr>
              <w:t>Citation</w:t>
            </w:r>
          </w:p>
        </w:tc>
        <w:tc>
          <w:tcPr>
            <w:tcW w:w="1276" w:type="dxa"/>
          </w:tcPr>
          <w:p w:rsidR="00793901" w:rsidRDefault="00D72AE8">
            <w:pPr>
              <w:pStyle w:val="nTable"/>
              <w:spacing w:after="40"/>
              <w:rPr>
                <w:b/>
              </w:rPr>
            </w:pPr>
            <w:r>
              <w:rPr>
                <w:b/>
              </w:rPr>
              <w:t>Published</w:t>
            </w:r>
          </w:p>
        </w:tc>
        <w:tc>
          <w:tcPr>
            <w:tcW w:w="2693" w:type="dxa"/>
          </w:tcPr>
          <w:p w:rsidR="00793901" w:rsidRDefault="00D72AE8">
            <w:pPr>
              <w:pStyle w:val="nTable"/>
              <w:spacing w:after="40"/>
              <w:rPr>
                <w:b/>
              </w:rPr>
            </w:pPr>
            <w:r>
              <w:rPr>
                <w:b/>
              </w:rPr>
              <w:t>Commencement</w:t>
            </w:r>
          </w:p>
        </w:tc>
      </w:tr>
      <w:tr w:rsidR="00793901">
        <w:tblPrEx>
          <w:tblBorders>
            <w:top w:val="single" w:sz="4" w:space="0" w:color="auto"/>
            <w:insideH w:val="single" w:sz="4" w:space="0" w:color="auto"/>
          </w:tblBorders>
        </w:tblPrEx>
        <w:tc>
          <w:tcPr>
            <w:tcW w:w="3119" w:type="dxa"/>
            <w:tcBorders>
              <w:top w:val="single" w:sz="8" w:space="0" w:color="auto"/>
              <w:bottom w:val="nil"/>
            </w:tcBorders>
          </w:tcPr>
          <w:p w:rsidR="00793901" w:rsidRDefault="00D72AE8">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rsidR="00793901" w:rsidRDefault="00D72AE8">
            <w:pPr>
              <w:pStyle w:val="nTable"/>
              <w:spacing w:after="40"/>
            </w:pPr>
            <w:r>
              <w:t>31 Dec 2007 p. 7057-100</w:t>
            </w:r>
          </w:p>
        </w:tc>
        <w:tc>
          <w:tcPr>
            <w:tcW w:w="2693" w:type="dxa"/>
            <w:tcBorders>
              <w:top w:val="single" w:sz="8" w:space="0" w:color="auto"/>
              <w:bottom w:val="nil"/>
            </w:tcBorders>
          </w:tcPr>
          <w:p w:rsidR="00793901" w:rsidRDefault="00D72AE8">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rsidR="00793901" w:rsidRDefault="00D72AE8">
            <w:pPr>
              <w:pStyle w:val="nTable"/>
              <w:spacing w:after="40"/>
            </w:pPr>
            <w:r>
              <w:t>16 Jun 2009 p. 2194</w:t>
            </w:r>
            <w:r>
              <w:noBreakHyphen/>
              <w:t>5</w:t>
            </w:r>
          </w:p>
        </w:tc>
        <w:tc>
          <w:tcPr>
            <w:tcW w:w="2693" w:type="dxa"/>
            <w:tcBorders>
              <w:top w:val="nil"/>
              <w:bottom w:val="nil"/>
            </w:tcBorders>
          </w:tcPr>
          <w:p w:rsidR="00793901" w:rsidRDefault="00D72AE8">
            <w:pPr>
              <w:pStyle w:val="nTable"/>
              <w:spacing w:after="40"/>
              <w:rPr>
                <w:snapToGrid w:val="0"/>
              </w:rPr>
            </w:pPr>
            <w:r>
              <w:rPr>
                <w:snapToGrid w:val="0"/>
              </w:rPr>
              <w:t>r. 1 and 2: 16 Jun 2009 (see r. 2(a));</w:t>
            </w:r>
            <w:r>
              <w:rPr>
                <w:snapToGrid w:val="0"/>
              </w:rPr>
              <w:br/>
              <w:t>Regulations other than r. 1 and 2: 1 Jul 2009 (see r. 2(b))</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Dangerous Goods Safety (Major Hazard Facilities) Amendment Regulations 2010</w:t>
            </w:r>
          </w:p>
        </w:tc>
        <w:tc>
          <w:tcPr>
            <w:tcW w:w="1276" w:type="dxa"/>
            <w:tcBorders>
              <w:top w:val="nil"/>
              <w:bottom w:val="nil"/>
            </w:tcBorders>
          </w:tcPr>
          <w:p w:rsidR="00793901" w:rsidRDefault="00D72AE8">
            <w:pPr>
              <w:pStyle w:val="nTable"/>
              <w:spacing w:after="40"/>
            </w:pPr>
            <w:r>
              <w:t>22 Jun 2010 p. 2782-3</w:t>
            </w:r>
          </w:p>
        </w:tc>
        <w:tc>
          <w:tcPr>
            <w:tcW w:w="2693" w:type="dxa"/>
            <w:tcBorders>
              <w:top w:val="nil"/>
              <w:bottom w:val="nil"/>
            </w:tcBorders>
          </w:tcPr>
          <w:p w:rsidR="00793901" w:rsidRDefault="00D72AE8">
            <w:pPr>
              <w:pStyle w:val="nTable"/>
              <w:spacing w:after="40"/>
              <w:rPr>
                <w:snapToGrid w:val="0"/>
              </w:rPr>
            </w:pPr>
            <w:r>
              <w:rPr>
                <w:snapToGrid w:val="0"/>
              </w:rPr>
              <w:t>r. 1 and 2: 22 Jun 2010 (see r. 2(a));</w:t>
            </w:r>
            <w:r>
              <w:rPr>
                <w:snapToGrid w:val="0"/>
              </w:rPr>
              <w:br/>
              <w:t>Regulations other than r. 1 and 2: 23 Jun 2010 (see r. 2(b))</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Dangerous Goods Safety (Major Hazard Facilities) Amendment Regulations (No. 2) 2010</w:t>
            </w:r>
          </w:p>
        </w:tc>
        <w:tc>
          <w:tcPr>
            <w:tcW w:w="1276" w:type="dxa"/>
            <w:tcBorders>
              <w:top w:val="nil"/>
              <w:bottom w:val="nil"/>
            </w:tcBorders>
          </w:tcPr>
          <w:p w:rsidR="00793901" w:rsidRDefault="00D72AE8">
            <w:pPr>
              <w:pStyle w:val="nTable"/>
              <w:spacing w:after="40"/>
            </w:pPr>
            <w:r>
              <w:t>25 Jun 2010 p. 2874</w:t>
            </w:r>
            <w:r>
              <w:noBreakHyphen/>
              <w:t>5</w:t>
            </w:r>
          </w:p>
        </w:tc>
        <w:tc>
          <w:tcPr>
            <w:tcW w:w="2693" w:type="dxa"/>
            <w:tcBorders>
              <w:top w:val="nil"/>
              <w:bottom w:val="nil"/>
            </w:tcBorders>
          </w:tcPr>
          <w:p w:rsidR="00793901" w:rsidRDefault="00D72AE8">
            <w:pPr>
              <w:pStyle w:val="nTable"/>
              <w:spacing w:after="40"/>
              <w:rPr>
                <w:snapToGrid w:val="0"/>
              </w:rPr>
            </w:pPr>
            <w:r>
              <w:rPr>
                <w:snapToGrid w:val="0"/>
              </w:rPr>
              <w:t>r. 1 and 2: 25 Jun 2010 (see r. 2(a));</w:t>
            </w:r>
            <w:r>
              <w:rPr>
                <w:snapToGrid w:val="0"/>
              </w:rPr>
              <w:br/>
              <w:t>Regulations other than r. 1 and 2: 1 Jul 2010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rsidR="00793901" w:rsidRDefault="00D72AE8">
            <w:pPr>
              <w:pStyle w:val="nTable"/>
              <w:spacing w:after="40"/>
            </w:pPr>
            <w:r>
              <w:t>16 Mar 2012 p. 1270</w:t>
            </w:r>
            <w:r>
              <w:noBreakHyphen/>
              <w:t>3</w:t>
            </w:r>
          </w:p>
        </w:tc>
        <w:tc>
          <w:tcPr>
            <w:tcW w:w="2693" w:type="dxa"/>
            <w:tcBorders>
              <w:top w:val="nil"/>
              <w:bottom w:val="nil"/>
            </w:tcBorders>
            <w:shd w:val="clear" w:color="auto" w:fill="auto"/>
          </w:tcPr>
          <w:p w:rsidR="00793901" w:rsidRDefault="00D72AE8">
            <w:pPr>
              <w:pStyle w:val="nTable"/>
              <w:spacing w:after="40"/>
              <w:rPr>
                <w:snapToGrid w:val="0"/>
              </w:rPr>
            </w:pPr>
            <w:r>
              <w:rPr>
                <w:snapToGrid w:val="0"/>
              </w:rPr>
              <w:t>r. 1 and 2: 16 Mar 2012 (see r. 2(a));</w:t>
            </w:r>
            <w:r>
              <w:rPr>
                <w:snapToGrid w:val="0"/>
              </w:rPr>
              <w:br/>
              <w:t>Regulations other than r. 1 and 2: 1 Apr 2012 (see r. 2(b))</w:t>
            </w:r>
          </w:p>
        </w:tc>
      </w:tr>
      <w:tr w:rsidR="00793901">
        <w:tblPrEx>
          <w:tblBorders>
            <w:top w:val="single" w:sz="4" w:space="0" w:color="auto"/>
            <w:insideH w:val="single" w:sz="4" w:space="0" w:color="auto"/>
          </w:tblBorders>
        </w:tblPrEx>
        <w:tc>
          <w:tcPr>
            <w:tcW w:w="7088" w:type="dxa"/>
            <w:gridSpan w:val="3"/>
            <w:tcBorders>
              <w:top w:val="nil"/>
              <w:bottom w:val="nil"/>
            </w:tcBorders>
            <w:shd w:val="clear" w:color="auto" w:fill="auto"/>
          </w:tcPr>
          <w:p w:rsidR="00793901" w:rsidRDefault="00D72AE8">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rsidR="00793901" w:rsidRDefault="00D72AE8">
            <w:pPr>
              <w:pStyle w:val="nTable"/>
              <w:spacing w:after="40"/>
            </w:pPr>
            <w:r>
              <w:t>11 Jan 2013 p. 55</w:t>
            </w:r>
            <w:r>
              <w:noBreakHyphen/>
              <w:t>6</w:t>
            </w:r>
          </w:p>
        </w:tc>
        <w:tc>
          <w:tcPr>
            <w:tcW w:w="2693" w:type="dxa"/>
            <w:tcBorders>
              <w:top w:val="nil"/>
              <w:bottom w:val="nil"/>
            </w:tcBorders>
            <w:shd w:val="clear" w:color="auto" w:fill="auto"/>
          </w:tcPr>
          <w:p w:rsidR="00793901" w:rsidRDefault="00D72AE8">
            <w:pPr>
              <w:pStyle w:val="nTable"/>
              <w:spacing w:after="40"/>
              <w:rPr>
                <w:snapToGrid w:val="0"/>
              </w:rPr>
            </w:pPr>
            <w:r>
              <w:rPr>
                <w:snapToGrid w:val="0"/>
              </w:rPr>
              <w:t>r. 1 and 2: 11 Jan 2013 (see r. 2(a));</w:t>
            </w:r>
            <w:r>
              <w:rPr>
                <w:snapToGrid w:val="0"/>
              </w:rPr>
              <w:br/>
              <w:t>Regulations other than r. 1 and 2: 1 Apr 2013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rsidR="00793901" w:rsidRDefault="00D72AE8">
            <w:pPr>
              <w:pStyle w:val="nTable"/>
              <w:spacing w:after="40"/>
            </w:pPr>
            <w:r>
              <w:t>19 Feb 2013 p. 987-8</w:t>
            </w:r>
          </w:p>
        </w:tc>
        <w:tc>
          <w:tcPr>
            <w:tcW w:w="2693" w:type="dxa"/>
            <w:tcBorders>
              <w:top w:val="nil"/>
              <w:bottom w:val="nil"/>
            </w:tcBorders>
            <w:shd w:val="clear" w:color="auto" w:fill="auto"/>
          </w:tcPr>
          <w:p w:rsidR="00793901" w:rsidRDefault="00D72AE8">
            <w:pPr>
              <w:pStyle w:val="nTable"/>
              <w:spacing w:after="40"/>
              <w:rPr>
                <w:snapToGrid w:val="0"/>
              </w:rPr>
            </w:pPr>
            <w:r>
              <w:rPr>
                <w:snapToGrid w:val="0"/>
              </w:rPr>
              <w:t>r. 1 and 2: 19 Feb 2013 (see r. 2(a));</w:t>
            </w:r>
            <w:r>
              <w:rPr>
                <w:snapToGrid w:val="0"/>
              </w:rPr>
              <w:br/>
              <w:t>Regulations other than r. 1 and 2: 20 Feb 2013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rsidR="00793901" w:rsidRDefault="00D72AE8">
            <w:pPr>
              <w:pStyle w:val="nTable"/>
              <w:keepNext/>
              <w:spacing w:after="40"/>
            </w:pPr>
            <w:r>
              <w:t>28 Jun 2013 p. 2825-6</w:t>
            </w:r>
          </w:p>
        </w:tc>
        <w:tc>
          <w:tcPr>
            <w:tcW w:w="2693" w:type="dxa"/>
            <w:tcBorders>
              <w:top w:val="nil"/>
              <w:bottom w:val="nil"/>
            </w:tcBorders>
            <w:shd w:val="clear" w:color="auto" w:fill="auto"/>
          </w:tcPr>
          <w:p w:rsidR="00793901" w:rsidRDefault="00D72AE8">
            <w:pPr>
              <w:pStyle w:val="nTable"/>
              <w:keepNext/>
              <w:spacing w:after="40"/>
              <w:rPr>
                <w:snapToGrid w:val="0"/>
              </w:rPr>
            </w:pPr>
            <w:r>
              <w:rPr>
                <w:snapToGrid w:val="0"/>
              </w:rPr>
              <w:t>r. 1 and 2: 28 Jun 2013 (see r. 2(a));</w:t>
            </w:r>
            <w:r>
              <w:rPr>
                <w:snapToGrid w:val="0"/>
              </w:rPr>
              <w:br/>
              <w:t>Regulations other than r. 1 and 2: 1 Jul 2013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rsidR="00793901" w:rsidRDefault="00D72AE8">
            <w:pPr>
              <w:pStyle w:val="nTable"/>
              <w:spacing w:after="40"/>
            </w:pPr>
            <w:r>
              <w:t>17 Jun 2014 p. 1989</w:t>
            </w:r>
            <w:r>
              <w:noBreakHyphen/>
              <w:t>90</w:t>
            </w:r>
          </w:p>
        </w:tc>
        <w:tc>
          <w:tcPr>
            <w:tcW w:w="2693" w:type="dxa"/>
            <w:tcBorders>
              <w:top w:val="nil"/>
              <w:bottom w:val="nil"/>
            </w:tcBorders>
            <w:shd w:val="clear" w:color="auto" w:fill="auto"/>
          </w:tcPr>
          <w:p w:rsidR="00793901" w:rsidRDefault="00D72AE8">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rsidR="00793901" w:rsidRDefault="00D72AE8">
            <w:pPr>
              <w:pStyle w:val="nTable"/>
              <w:spacing w:after="40"/>
            </w:pPr>
            <w:r>
              <w:t>26 Jun 2015 p. 2265</w:t>
            </w:r>
            <w:r>
              <w:noBreakHyphen/>
              <w:t>6</w:t>
            </w:r>
          </w:p>
        </w:tc>
        <w:tc>
          <w:tcPr>
            <w:tcW w:w="2693" w:type="dxa"/>
            <w:tcBorders>
              <w:top w:val="nil"/>
              <w:bottom w:val="nil"/>
            </w:tcBorders>
            <w:shd w:val="clear" w:color="auto" w:fill="auto"/>
          </w:tcPr>
          <w:p w:rsidR="00793901" w:rsidRDefault="00D72AE8">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rsidR="00793901" w:rsidRDefault="00D72AE8">
            <w:pPr>
              <w:pStyle w:val="nTable"/>
              <w:spacing w:after="40"/>
            </w:pPr>
            <w:r>
              <w:t>5 Feb 2016 p. 343</w:t>
            </w:r>
            <w:r>
              <w:noBreakHyphen/>
              <w:t>68</w:t>
            </w:r>
          </w:p>
        </w:tc>
        <w:tc>
          <w:tcPr>
            <w:tcW w:w="2693" w:type="dxa"/>
            <w:tcBorders>
              <w:top w:val="nil"/>
              <w:bottom w:val="nil"/>
            </w:tcBorders>
            <w:shd w:val="clear" w:color="auto" w:fill="auto"/>
          </w:tcPr>
          <w:p w:rsidR="00793901" w:rsidRDefault="00D72AE8">
            <w:pPr>
              <w:pStyle w:val="nTable"/>
              <w:spacing w:after="40"/>
              <w:rPr>
                <w:bCs/>
                <w:snapToGrid w:val="0"/>
                <w:spacing w:val="-2"/>
              </w:rPr>
            </w:pPr>
            <w:r>
              <w:rPr>
                <w:bCs/>
                <w:snapToGrid w:val="0"/>
                <w:spacing w:val="-2"/>
              </w:rPr>
              <w:t>6 Feb 2016 (see r. 2(b))</w:t>
            </w:r>
          </w:p>
        </w:tc>
      </w:tr>
      <w:tr w:rsidR="00793901">
        <w:tblPrEx>
          <w:tblBorders>
            <w:top w:val="single" w:sz="4" w:space="0" w:color="auto"/>
            <w:insideH w:val="single" w:sz="4" w:space="0" w:color="auto"/>
          </w:tblBorders>
        </w:tblPrEx>
        <w:tc>
          <w:tcPr>
            <w:tcW w:w="3119" w:type="dxa"/>
            <w:tcBorders>
              <w:top w:val="nil"/>
              <w:bottom w:val="nil"/>
            </w:tcBorders>
            <w:shd w:val="clear" w:color="auto" w:fill="auto"/>
          </w:tcPr>
          <w:p w:rsidR="00793901" w:rsidRDefault="00D72AE8">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rsidR="00793901" w:rsidRDefault="00D72AE8">
            <w:pPr>
              <w:pStyle w:val="nTable"/>
              <w:spacing w:after="40"/>
            </w:pPr>
            <w:r>
              <w:t>24 Jun 2016 p. 2325-34</w:t>
            </w:r>
          </w:p>
        </w:tc>
        <w:tc>
          <w:tcPr>
            <w:tcW w:w="2693" w:type="dxa"/>
            <w:tcBorders>
              <w:top w:val="nil"/>
              <w:bottom w:val="nil"/>
            </w:tcBorders>
            <w:shd w:val="clear" w:color="auto" w:fill="auto"/>
          </w:tcPr>
          <w:p w:rsidR="00793901" w:rsidRDefault="00D72AE8">
            <w:pPr>
              <w:pStyle w:val="nTable"/>
              <w:spacing w:after="40"/>
              <w:rPr>
                <w:bCs/>
                <w:snapToGrid w:val="0"/>
                <w:spacing w:val="-2"/>
              </w:rPr>
            </w:pPr>
            <w:r>
              <w:rPr>
                <w:bCs/>
                <w:snapToGrid w:val="0"/>
                <w:spacing w:val="-2"/>
              </w:rPr>
              <w:t>1 Jul 2016 (see r. 2(b))</w:t>
            </w:r>
          </w:p>
        </w:tc>
      </w:tr>
      <w:tr w:rsidR="00793901">
        <w:tblPrEx>
          <w:tblBorders>
            <w:top w:val="single" w:sz="4" w:space="0" w:color="auto"/>
            <w:insideH w:val="single" w:sz="4" w:space="0" w:color="auto"/>
          </w:tblBorders>
        </w:tblPrEx>
        <w:tc>
          <w:tcPr>
            <w:tcW w:w="7088" w:type="dxa"/>
            <w:gridSpan w:val="3"/>
            <w:tcBorders>
              <w:top w:val="nil"/>
              <w:bottom w:val="nil"/>
            </w:tcBorders>
            <w:shd w:val="clear" w:color="auto" w:fill="auto"/>
          </w:tcPr>
          <w:p w:rsidR="00793901" w:rsidRDefault="00D72AE8">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pPr>
            <w:r>
              <w:rPr>
                <w:i/>
              </w:rPr>
              <w:t>Mines and Petroleum Regulations Amendment (Fees and Charges) Regulations 2017</w:t>
            </w:r>
            <w:r>
              <w:t xml:space="preserve"> Pt. 3</w:t>
            </w:r>
          </w:p>
        </w:tc>
        <w:tc>
          <w:tcPr>
            <w:tcW w:w="1276" w:type="dxa"/>
            <w:tcBorders>
              <w:top w:val="nil"/>
              <w:bottom w:val="nil"/>
            </w:tcBorders>
          </w:tcPr>
          <w:p w:rsidR="00793901" w:rsidRDefault="00D72AE8">
            <w:pPr>
              <w:pStyle w:val="nTable"/>
              <w:spacing w:after="40"/>
            </w:pPr>
            <w:r>
              <w:t>23 Jun 2017 p. 3279</w:t>
            </w:r>
            <w:r>
              <w:noBreakHyphen/>
              <w:t>309</w:t>
            </w:r>
          </w:p>
        </w:tc>
        <w:tc>
          <w:tcPr>
            <w:tcW w:w="2693" w:type="dxa"/>
            <w:tcBorders>
              <w:top w:val="nil"/>
              <w:bottom w:val="nil"/>
            </w:tcBorders>
          </w:tcPr>
          <w:p w:rsidR="00793901" w:rsidRDefault="00D72AE8">
            <w:pPr>
              <w:pStyle w:val="nTable"/>
              <w:spacing w:after="40"/>
              <w:rPr>
                <w:bCs/>
                <w:snapToGrid w:val="0"/>
                <w:spacing w:val="-2"/>
              </w:rPr>
            </w:pPr>
            <w:r>
              <w:rPr>
                <w:bCs/>
                <w:snapToGrid w:val="0"/>
                <w:spacing w:val="-2"/>
              </w:rPr>
              <w:t>1 Jul 2017 (see r. 2(b))</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rsidR="00793901" w:rsidRDefault="00D72AE8">
            <w:pPr>
              <w:pStyle w:val="nTable"/>
              <w:spacing w:after="40"/>
            </w:pPr>
            <w:r>
              <w:t>25 Jun 2018 p. 2297</w:t>
            </w:r>
            <w:r>
              <w:noBreakHyphen/>
              <w:t>324</w:t>
            </w:r>
          </w:p>
        </w:tc>
        <w:tc>
          <w:tcPr>
            <w:tcW w:w="2693" w:type="dxa"/>
            <w:tcBorders>
              <w:top w:val="nil"/>
              <w:bottom w:val="nil"/>
            </w:tcBorders>
          </w:tcPr>
          <w:p w:rsidR="00793901" w:rsidRDefault="00D72AE8">
            <w:pPr>
              <w:pStyle w:val="nTable"/>
              <w:spacing w:after="40"/>
              <w:rPr>
                <w:bCs/>
                <w:snapToGrid w:val="0"/>
                <w:spacing w:val="-2"/>
              </w:rPr>
            </w:pPr>
            <w:r>
              <w:rPr>
                <w:bCs/>
                <w:snapToGrid w:val="0"/>
                <w:spacing w:val="-2"/>
              </w:rPr>
              <w:t>1 Jul 2018 (see r. 2(b))</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rsidR="00793901" w:rsidRDefault="00D72AE8">
            <w:pPr>
              <w:pStyle w:val="nTable"/>
              <w:spacing w:after="40"/>
            </w:pPr>
            <w:r>
              <w:t>18 Jun 2019 p. 2040</w:t>
            </w:r>
            <w:r>
              <w:noBreakHyphen/>
              <w:t>56</w:t>
            </w:r>
          </w:p>
        </w:tc>
        <w:tc>
          <w:tcPr>
            <w:tcW w:w="2693" w:type="dxa"/>
            <w:tcBorders>
              <w:top w:val="nil"/>
              <w:bottom w:val="nil"/>
            </w:tcBorders>
          </w:tcPr>
          <w:p w:rsidR="00793901" w:rsidRDefault="00D72AE8">
            <w:pPr>
              <w:pStyle w:val="nTable"/>
              <w:spacing w:after="40"/>
              <w:rPr>
                <w:bCs/>
                <w:snapToGrid w:val="0"/>
                <w:spacing w:val="-2"/>
              </w:rPr>
            </w:pPr>
            <w:r>
              <w:t>1 Jul 2019 (see r. 2(b))</w:t>
            </w:r>
          </w:p>
        </w:tc>
      </w:tr>
      <w:tr w:rsidR="00793901">
        <w:tblPrEx>
          <w:tblBorders>
            <w:top w:val="single" w:sz="4" w:space="0" w:color="auto"/>
            <w:insideH w:val="single" w:sz="4" w:space="0" w:color="auto"/>
          </w:tblBorders>
        </w:tblPrEx>
        <w:tc>
          <w:tcPr>
            <w:tcW w:w="3119" w:type="dxa"/>
            <w:tcBorders>
              <w:top w:val="nil"/>
              <w:bottom w:val="nil"/>
            </w:tcBorders>
          </w:tcPr>
          <w:p w:rsidR="00793901" w:rsidRDefault="00D72AE8">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rsidR="00793901" w:rsidRDefault="00D72AE8">
            <w:pPr>
              <w:pStyle w:val="nTable"/>
              <w:spacing w:after="40"/>
            </w:pPr>
            <w:r>
              <w:t>SL 2020/93 26 Jun 2020</w:t>
            </w:r>
          </w:p>
        </w:tc>
        <w:tc>
          <w:tcPr>
            <w:tcW w:w="2693" w:type="dxa"/>
            <w:tcBorders>
              <w:top w:val="nil"/>
              <w:bottom w:val="nil"/>
            </w:tcBorders>
          </w:tcPr>
          <w:p w:rsidR="00793901" w:rsidRDefault="00D72AE8">
            <w:pPr>
              <w:pStyle w:val="nTable"/>
              <w:spacing w:after="40"/>
            </w:pPr>
            <w:r>
              <w:t>1 Jul 2020 (see r. 2(b))</w:t>
            </w:r>
          </w:p>
        </w:tc>
      </w:tr>
      <w:tr w:rsidR="00793901">
        <w:tblPrEx>
          <w:tblBorders>
            <w:top w:val="single" w:sz="4" w:space="0" w:color="auto"/>
            <w:insideH w:val="single" w:sz="4" w:space="0" w:color="auto"/>
          </w:tblBorders>
        </w:tblPrEx>
        <w:tc>
          <w:tcPr>
            <w:tcW w:w="3119" w:type="dxa"/>
            <w:tcBorders>
              <w:top w:val="nil"/>
              <w:bottom w:val="single" w:sz="4" w:space="0" w:color="auto"/>
            </w:tcBorders>
          </w:tcPr>
          <w:p w:rsidR="00793901" w:rsidRDefault="00D72AE8">
            <w:pPr>
              <w:pStyle w:val="nTable"/>
              <w:spacing w:after="40"/>
            </w:pPr>
            <w:r>
              <w:rPr>
                <w:i/>
              </w:rPr>
              <w:t>Dangerous Goods Safety Regulations Amendment Regulations 2020</w:t>
            </w:r>
            <w:r>
              <w:t xml:space="preserve"> Pt. 3</w:t>
            </w:r>
          </w:p>
        </w:tc>
        <w:tc>
          <w:tcPr>
            <w:tcW w:w="1276" w:type="dxa"/>
            <w:tcBorders>
              <w:top w:val="nil"/>
              <w:bottom w:val="single" w:sz="4" w:space="0" w:color="auto"/>
            </w:tcBorders>
          </w:tcPr>
          <w:p w:rsidR="00793901" w:rsidRDefault="00D72AE8">
            <w:pPr>
              <w:pStyle w:val="nTable"/>
              <w:spacing w:after="40"/>
            </w:pPr>
            <w:r>
              <w:t>SL 2020/193 9 Oct 2020</w:t>
            </w:r>
          </w:p>
        </w:tc>
        <w:tc>
          <w:tcPr>
            <w:tcW w:w="2693" w:type="dxa"/>
            <w:tcBorders>
              <w:top w:val="nil"/>
              <w:bottom w:val="single" w:sz="4" w:space="0" w:color="auto"/>
            </w:tcBorders>
          </w:tcPr>
          <w:p w:rsidR="00793901" w:rsidRDefault="00D72AE8">
            <w:pPr>
              <w:pStyle w:val="nTable"/>
              <w:spacing w:after="40"/>
            </w:pPr>
            <w:r>
              <w:t>10 Oct 2020 (see r. 2(c))</w:t>
            </w:r>
          </w:p>
        </w:tc>
      </w:tr>
    </w:tbl>
    <w:p w:rsidR="00D5307B" w:rsidRDefault="00D5307B">
      <w:pPr>
        <w:pStyle w:val="nHeading3"/>
      </w:pPr>
      <w:bookmarkStart w:id="83" w:name="_Toc74910991"/>
      <w:r>
        <w:lastRenderedPageBreak/>
        <w:t>Uncommenced provisions table</w:t>
      </w:r>
      <w:bookmarkEnd w:id="83"/>
    </w:p>
    <w:p w:rsidR="00D5307B" w:rsidRDefault="00D5307B">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5307B" w:rsidTr="00D5307B">
        <w:trPr>
          <w:tblHeader/>
        </w:trPr>
        <w:tc>
          <w:tcPr>
            <w:tcW w:w="3118" w:type="dxa"/>
          </w:tcPr>
          <w:p w:rsidR="00D5307B" w:rsidRDefault="00D5307B">
            <w:pPr>
              <w:pStyle w:val="nTable"/>
              <w:spacing w:after="40"/>
              <w:rPr>
                <w:b/>
              </w:rPr>
            </w:pPr>
            <w:r>
              <w:rPr>
                <w:b/>
              </w:rPr>
              <w:t>Citation</w:t>
            </w:r>
          </w:p>
        </w:tc>
        <w:tc>
          <w:tcPr>
            <w:tcW w:w="1276" w:type="dxa"/>
          </w:tcPr>
          <w:p w:rsidR="00D5307B" w:rsidRDefault="00D5307B">
            <w:pPr>
              <w:pStyle w:val="nTable"/>
              <w:spacing w:after="40"/>
              <w:rPr>
                <w:b/>
              </w:rPr>
            </w:pPr>
            <w:r>
              <w:rPr>
                <w:b/>
              </w:rPr>
              <w:t>Published</w:t>
            </w:r>
          </w:p>
        </w:tc>
        <w:tc>
          <w:tcPr>
            <w:tcW w:w="2693" w:type="dxa"/>
          </w:tcPr>
          <w:p w:rsidR="00D5307B" w:rsidRDefault="00D5307B">
            <w:pPr>
              <w:pStyle w:val="nTable"/>
              <w:spacing w:after="40"/>
              <w:rPr>
                <w:b/>
              </w:rPr>
            </w:pPr>
            <w:r>
              <w:rPr>
                <w:b/>
              </w:rPr>
              <w:t>Commencement</w:t>
            </w:r>
          </w:p>
        </w:tc>
      </w:tr>
      <w:tr w:rsidR="00D5307B" w:rsidTr="00D5307B">
        <w:tc>
          <w:tcPr>
            <w:tcW w:w="3118" w:type="dxa"/>
          </w:tcPr>
          <w:p w:rsidR="00D5307B" w:rsidRDefault="00D5307B" w:rsidP="00D5307B">
            <w:pPr>
              <w:pStyle w:val="nTable"/>
              <w:spacing w:after="40"/>
            </w:pPr>
            <w:r>
              <w:rPr>
                <w:i/>
              </w:rPr>
              <w:t>Mines and Petroleum Regulations Amendment (Fees and Charges) Regulations 2021</w:t>
            </w:r>
            <w:r>
              <w:t xml:space="preserve"> Pt. 3</w:t>
            </w:r>
          </w:p>
        </w:tc>
        <w:tc>
          <w:tcPr>
            <w:tcW w:w="1276" w:type="dxa"/>
          </w:tcPr>
          <w:p w:rsidR="00D5307B" w:rsidRDefault="00D5307B" w:rsidP="00D5307B">
            <w:pPr>
              <w:pStyle w:val="nTable"/>
              <w:spacing w:after="40"/>
            </w:pPr>
            <w:r>
              <w:t>SL 2021/85 21 Jun 2021</w:t>
            </w:r>
          </w:p>
        </w:tc>
        <w:tc>
          <w:tcPr>
            <w:tcW w:w="2693" w:type="dxa"/>
          </w:tcPr>
          <w:p w:rsidR="00D5307B" w:rsidRDefault="00D5307B" w:rsidP="00D5307B">
            <w:pPr>
              <w:pStyle w:val="nTable"/>
              <w:spacing w:after="40"/>
            </w:pPr>
            <w:r>
              <w:t>1 Jul 2021 (see r. 2(b))</w:t>
            </w:r>
          </w:p>
        </w:tc>
      </w:tr>
    </w:tbl>
    <w:p w:rsidR="00793901" w:rsidRDefault="00D72AE8">
      <w:pPr>
        <w:pStyle w:val="nHeading3"/>
      </w:pPr>
      <w:bookmarkStart w:id="84" w:name="_Toc74910992"/>
      <w:r>
        <w:t>Other notes</w:t>
      </w:r>
      <w:bookmarkEnd w:id="84"/>
    </w:p>
    <w:p w:rsidR="00793901" w:rsidRDefault="00D72AE8">
      <w:pPr>
        <w:pStyle w:val="nNote"/>
        <w:spacing w:before="160"/>
      </w:pPr>
      <w:r>
        <w:rPr>
          <w:vertAlign w:val="superscript"/>
        </w:rPr>
        <w:t>1</w:t>
      </w:r>
      <w:r>
        <w:tab/>
        <w:t xml:space="preserve">Repealed by the </w:t>
      </w:r>
      <w:r>
        <w:rPr>
          <w:i/>
        </w:rPr>
        <w:t>Dangerous Goods Safety Act 2004</w:t>
      </w:r>
      <w:r>
        <w:t xml:space="preserve"> s. 70.</w:t>
      </w:r>
    </w:p>
    <w:p w:rsidR="00793901" w:rsidRDefault="00793901"/>
    <w:p w:rsidR="00793901" w:rsidRDefault="00793901">
      <w:pPr>
        <w:sectPr w:rsidR="00793901">
          <w:headerReference w:type="even" r:id="rId33"/>
          <w:headerReference w:type="default" r:id="rId34"/>
          <w:pgSz w:w="11907" w:h="16840" w:code="9"/>
          <w:pgMar w:top="2376" w:right="2404" w:bottom="3544" w:left="2404" w:header="720" w:footer="3380" w:gutter="0"/>
          <w:cols w:space="720"/>
          <w:noEndnote/>
          <w:docGrid w:linePitch="326"/>
        </w:sectPr>
      </w:pPr>
    </w:p>
    <w:p w:rsidR="00793901" w:rsidRDefault="00D72AE8">
      <w:pPr>
        <w:pStyle w:val="nHeading2"/>
        <w:rPr>
          <w:sz w:val="28"/>
        </w:rPr>
      </w:pPr>
      <w:bookmarkStart w:id="86" w:name="_Toc74910312"/>
      <w:bookmarkStart w:id="87" w:name="_Toc74910372"/>
      <w:bookmarkStart w:id="88" w:name="_Toc74910993"/>
      <w:r>
        <w:rPr>
          <w:sz w:val="28"/>
        </w:rPr>
        <w:lastRenderedPageBreak/>
        <w:t>Defined terms</w:t>
      </w:r>
      <w:bookmarkEnd w:id="86"/>
      <w:bookmarkEnd w:id="87"/>
      <w:bookmarkEnd w:id="88"/>
    </w:p>
    <w:p w:rsidR="00793901" w:rsidRDefault="00793901">
      <w:pPr>
        <w:ind w:left="850" w:right="850"/>
        <w:jc w:val="center"/>
        <w:rPr>
          <w:i/>
          <w:sz w:val="18"/>
        </w:rPr>
      </w:pPr>
    </w:p>
    <w:p w:rsidR="00793901" w:rsidRDefault="00D72AE8">
      <w:pPr>
        <w:ind w:left="850" w:right="850"/>
        <w:jc w:val="center"/>
        <w:rPr>
          <w:i/>
          <w:sz w:val="18"/>
        </w:rPr>
      </w:pPr>
      <w:r>
        <w:rPr>
          <w:i/>
          <w:sz w:val="18"/>
        </w:rPr>
        <w:t>[This is a list of terms defined and the provisions where they are defined.  The list is not part of the law.]</w:t>
      </w:r>
    </w:p>
    <w:p w:rsidR="00793901" w:rsidRDefault="00D72AE8">
      <w:pPr>
        <w:pBdr>
          <w:bottom w:val="single" w:sz="4" w:space="1" w:color="auto"/>
        </w:pBdr>
        <w:tabs>
          <w:tab w:val="right" w:pos="7070"/>
        </w:tabs>
        <w:ind w:left="578"/>
        <w:rPr>
          <w:b/>
          <w:sz w:val="20"/>
        </w:rPr>
      </w:pPr>
      <w:r>
        <w:rPr>
          <w:b/>
          <w:sz w:val="20"/>
        </w:rPr>
        <w:t>Defined term</w:t>
      </w:r>
      <w:r>
        <w:rPr>
          <w:b/>
          <w:sz w:val="20"/>
        </w:rPr>
        <w:tab/>
        <w:t>Provision(s)</w:t>
      </w:r>
    </w:p>
    <w:p w:rsidR="00793901" w:rsidRDefault="00D72AE8">
      <w:pPr>
        <w:pStyle w:val="DefinedTerms"/>
      </w:pPr>
      <w:r>
        <w:t>ADG Code</w:t>
      </w:r>
      <w:r>
        <w:tab/>
        <w:t>4</w:t>
      </w:r>
    </w:p>
    <w:p w:rsidR="00793901" w:rsidRDefault="00D72AE8">
      <w:pPr>
        <w:pStyle w:val="DefinedTerms"/>
      </w:pPr>
      <w:r>
        <w:t>AE Code</w:t>
      </w:r>
      <w:r>
        <w:tab/>
        <w:t>4</w:t>
      </w:r>
    </w:p>
    <w:p w:rsidR="00793901" w:rsidRDefault="00D72AE8">
      <w:pPr>
        <w:pStyle w:val="DefinedTerms"/>
      </w:pPr>
      <w:r>
        <w:t>approved safety report</w:t>
      </w:r>
      <w:r>
        <w:tab/>
        <w:t>4</w:t>
      </w:r>
    </w:p>
    <w:p w:rsidR="00793901" w:rsidRDefault="00D72AE8">
      <w:pPr>
        <w:pStyle w:val="DefinedTerms"/>
      </w:pPr>
      <w:r>
        <w:t>class</w:t>
      </w:r>
      <w:r>
        <w:tab/>
        <w:t>Sch. 1 cl. 2</w:t>
      </w:r>
    </w:p>
    <w:p w:rsidR="00793901" w:rsidRDefault="00D72AE8">
      <w:pPr>
        <w:pStyle w:val="DefinedTerms"/>
      </w:pPr>
      <w:r>
        <w:t>classification code</w:t>
      </w:r>
      <w:r>
        <w:tab/>
        <w:t>Sch. 1 cl. 2</w:t>
      </w:r>
    </w:p>
    <w:p w:rsidR="00793901" w:rsidRDefault="00D72AE8">
      <w:pPr>
        <w:pStyle w:val="DefinedTerms"/>
      </w:pPr>
      <w:r>
        <w:t>commencement day</w:t>
      </w:r>
      <w:r>
        <w:tab/>
        <w:t>4</w:t>
      </w:r>
    </w:p>
    <w:p w:rsidR="00793901" w:rsidRDefault="00D72AE8">
      <w:pPr>
        <w:pStyle w:val="DefinedTerms"/>
      </w:pPr>
      <w:r>
        <w:t>community</w:t>
      </w:r>
      <w:r>
        <w:tab/>
        <w:t>Sch. 4 cl. 4(4)</w:t>
      </w:r>
    </w:p>
    <w:p w:rsidR="00793901" w:rsidRDefault="00D72AE8">
      <w:pPr>
        <w:pStyle w:val="DefinedTerms"/>
      </w:pPr>
      <w:r>
        <w:t>compliance day</w:t>
      </w:r>
      <w:r>
        <w:tab/>
        <w:t>4</w:t>
      </w:r>
    </w:p>
    <w:p w:rsidR="00793901" w:rsidRDefault="00D72AE8">
      <w:pPr>
        <w:pStyle w:val="DefinedTerms"/>
      </w:pPr>
      <w:r>
        <w:t>critical quantity</w:t>
      </w:r>
      <w:r>
        <w:tab/>
        <w:t>4</w:t>
      </w:r>
    </w:p>
    <w:p w:rsidR="00793901" w:rsidRDefault="00D72AE8">
      <w:pPr>
        <w:pStyle w:val="DefinedTerms"/>
      </w:pPr>
      <w:r>
        <w:t>Dangerous Goods List</w:t>
      </w:r>
      <w:r>
        <w:tab/>
        <w:t>4</w:t>
      </w:r>
    </w:p>
    <w:p w:rsidR="00793901" w:rsidRDefault="00D72AE8">
      <w:pPr>
        <w:pStyle w:val="DefinedTerms"/>
      </w:pPr>
      <w:r>
        <w:t>date A</w:t>
      </w:r>
      <w:r>
        <w:tab/>
        <w:t>34(5)</w:t>
      </w:r>
    </w:p>
    <w:p w:rsidR="00793901" w:rsidRDefault="00D72AE8">
      <w:pPr>
        <w:pStyle w:val="DefinedTerms"/>
      </w:pPr>
      <w:r>
        <w:t>date B</w:t>
      </w:r>
      <w:r>
        <w:tab/>
        <w:t>34(5)</w:t>
      </w:r>
    </w:p>
    <w:p w:rsidR="00793901" w:rsidRDefault="00D72AE8">
      <w:pPr>
        <w:pStyle w:val="DefinedTerms"/>
      </w:pPr>
      <w:r>
        <w:t>division</w:t>
      </w:r>
      <w:r>
        <w:tab/>
        <w:t>Sch. 1 cl. 2</w:t>
      </w:r>
    </w:p>
    <w:p w:rsidR="00793901" w:rsidRDefault="00D72AE8">
      <w:pPr>
        <w:pStyle w:val="DefinedTerms"/>
      </w:pPr>
      <w:r>
        <w:t>emergency services</w:t>
      </w:r>
      <w:r>
        <w:tab/>
        <w:t>Sch. 4 cl. 4(4)</w:t>
      </w:r>
    </w:p>
    <w:p w:rsidR="00793901" w:rsidRDefault="00D72AE8">
      <w:pPr>
        <w:pStyle w:val="DefinedTerms"/>
      </w:pPr>
      <w:r>
        <w:t>employee</w:t>
      </w:r>
      <w:r>
        <w:tab/>
        <w:t>4</w:t>
      </w:r>
    </w:p>
    <w:p w:rsidR="00793901" w:rsidRDefault="00D72AE8">
      <w:pPr>
        <w:pStyle w:val="DefinedTerms"/>
      </w:pPr>
      <w:r>
        <w:t>existing facility</w:t>
      </w:r>
      <w:r>
        <w:tab/>
        <w:t>4</w:t>
      </w:r>
    </w:p>
    <w:p w:rsidR="00793901" w:rsidRDefault="00D72AE8">
      <w:pPr>
        <w:pStyle w:val="DefinedTerms"/>
      </w:pPr>
      <w:r>
        <w:t>goods too dangerous to transport</w:t>
      </w:r>
      <w:r>
        <w:tab/>
        <w:t>Sch. 1 cl. 2</w:t>
      </w:r>
    </w:p>
    <w:p w:rsidR="00793901" w:rsidRDefault="00D72AE8">
      <w:pPr>
        <w:pStyle w:val="DefinedTerms"/>
      </w:pPr>
      <w:r>
        <w:t>grace period</w:t>
      </w:r>
      <w:r>
        <w:tab/>
        <w:t>34(1)</w:t>
      </w:r>
    </w:p>
    <w:p w:rsidR="00793901" w:rsidRDefault="00D72AE8">
      <w:pPr>
        <w:pStyle w:val="DefinedTerms"/>
      </w:pPr>
      <w:r>
        <w:t>harm</w:t>
      </w:r>
      <w:r>
        <w:tab/>
        <w:t>4</w:t>
      </w:r>
    </w:p>
    <w:p w:rsidR="00793901" w:rsidRDefault="00D72AE8">
      <w:pPr>
        <w:pStyle w:val="DefinedTerms"/>
      </w:pPr>
      <w:r>
        <w:t>hazard</w:t>
      </w:r>
      <w:r>
        <w:tab/>
        <w:t>4</w:t>
      </w:r>
    </w:p>
    <w:p w:rsidR="00793901" w:rsidRDefault="00D72AE8">
      <w:pPr>
        <w:pStyle w:val="DefinedTerms"/>
      </w:pPr>
      <w:r>
        <w:t>hazchem code</w:t>
      </w:r>
      <w:r>
        <w:tab/>
        <w:t>Sch. 1 cl. 2</w:t>
      </w:r>
    </w:p>
    <w:p w:rsidR="00793901" w:rsidRDefault="00D72AE8">
      <w:pPr>
        <w:pStyle w:val="DefinedTerms"/>
      </w:pPr>
      <w:r>
        <w:t>major hazard facility</w:t>
      </w:r>
      <w:r>
        <w:tab/>
        <w:t>4</w:t>
      </w:r>
    </w:p>
    <w:p w:rsidR="00793901" w:rsidRDefault="00D72AE8">
      <w:pPr>
        <w:pStyle w:val="DefinedTerms"/>
      </w:pPr>
      <w:r>
        <w:t>major incident</w:t>
      </w:r>
      <w:r>
        <w:tab/>
        <w:t>4</w:t>
      </w:r>
    </w:p>
    <w:p w:rsidR="00793901" w:rsidRDefault="00D72AE8">
      <w:pPr>
        <w:pStyle w:val="DefinedTerms"/>
      </w:pPr>
      <w:r>
        <w:t>material safety data sheet</w:t>
      </w:r>
      <w:r>
        <w:tab/>
        <w:t>Sch. 2 cl. 1</w:t>
      </w:r>
    </w:p>
    <w:p w:rsidR="00793901" w:rsidRDefault="00D72AE8">
      <w:pPr>
        <w:pStyle w:val="DefinedTerms"/>
      </w:pPr>
      <w:r>
        <w:t>modified place</w:t>
      </w:r>
      <w:r>
        <w:tab/>
        <w:t>4</w:t>
      </w:r>
    </w:p>
    <w:p w:rsidR="00793901" w:rsidRDefault="00D72AE8">
      <w:pPr>
        <w:pStyle w:val="DefinedTerms"/>
      </w:pPr>
      <w:r>
        <w:t>notifiable change</w:t>
      </w:r>
      <w:r>
        <w:tab/>
        <w:t>4, 15(1)</w:t>
      </w:r>
    </w:p>
    <w:p w:rsidR="00793901" w:rsidRDefault="00D72AE8">
      <w:pPr>
        <w:pStyle w:val="DefinedTerms"/>
      </w:pPr>
      <w:r>
        <w:t>notifiable information</w:t>
      </w:r>
      <w:r>
        <w:tab/>
        <w:t>4</w:t>
      </w:r>
    </w:p>
    <w:p w:rsidR="00793901" w:rsidRDefault="00D72AE8">
      <w:pPr>
        <w:pStyle w:val="DefinedTerms"/>
      </w:pPr>
      <w:r>
        <w:t>operator</w:t>
      </w:r>
      <w:r>
        <w:tab/>
        <w:t>4</w:t>
      </w:r>
    </w:p>
    <w:p w:rsidR="00793901" w:rsidRDefault="00D72AE8">
      <w:pPr>
        <w:pStyle w:val="DefinedTerms"/>
      </w:pPr>
      <w:r>
        <w:t>packing group</w:t>
      </w:r>
      <w:r>
        <w:tab/>
        <w:t>Sch. 1 cl. 2</w:t>
      </w:r>
    </w:p>
    <w:p w:rsidR="00793901" w:rsidRDefault="00D72AE8">
      <w:pPr>
        <w:pStyle w:val="DefinedTerms"/>
      </w:pPr>
      <w:r>
        <w:t>place</w:t>
      </w:r>
      <w:r>
        <w:tab/>
        <w:t>4</w:t>
      </w:r>
    </w:p>
    <w:p w:rsidR="00793901" w:rsidRDefault="00D72AE8">
      <w:pPr>
        <w:pStyle w:val="DefinedTerms"/>
      </w:pPr>
      <w:r>
        <w:t>relevant date</w:t>
      </w:r>
      <w:r>
        <w:tab/>
        <w:t>17(1)</w:t>
      </w:r>
    </w:p>
    <w:p w:rsidR="00793901" w:rsidRDefault="00D72AE8">
      <w:pPr>
        <w:pStyle w:val="DefinedTerms"/>
      </w:pPr>
      <w:r>
        <w:t>relevant time</w:t>
      </w:r>
      <w:r>
        <w:tab/>
        <w:t>4</w:t>
      </w:r>
    </w:p>
    <w:p w:rsidR="00793901" w:rsidRDefault="00D72AE8">
      <w:pPr>
        <w:pStyle w:val="DefinedTerms"/>
      </w:pPr>
      <w:r>
        <w:t>risk assessment</w:t>
      </w:r>
      <w:r>
        <w:tab/>
        <w:t>4</w:t>
      </w:r>
    </w:p>
    <w:p w:rsidR="00793901" w:rsidRDefault="00D72AE8">
      <w:pPr>
        <w:pStyle w:val="DefinedTerms"/>
      </w:pPr>
      <w:r>
        <w:t>risk control measures</w:t>
      </w:r>
      <w:r>
        <w:tab/>
        <w:t>23(2), Sch. 4 cl. 5(1)</w:t>
      </w:r>
    </w:p>
    <w:p w:rsidR="00793901" w:rsidRDefault="00D72AE8">
      <w:pPr>
        <w:pStyle w:val="DefinedTerms"/>
      </w:pPr>
      <w:r>
        <w:t>safety management system</w:t>
      </w:r>
      <w:r>
        <w:tab/>
        <w:t>4</w:t>
      </w:r>
    </w:p>
    <w:p w:rsidR="00793901" w:rsidRDefault="00D72AE8">
      <w:pPr>
        <w:pStyle w:val="DefinedTerms"/>
      </w:pPr>
      <w:r>
        <w:t>safety report</w:t>
      </w:r>
      <w:r>
        <w:tab/>
        <w:t>4</w:t>
      </w:r>
    </w:p>
    <w:p w:rsidR="00793901" w:rsidRDefault="00D72AE8">
      <w:pPr>
        <w:pStyle w:val="DefinedTerms"/>
      </w:pPr>
      <w:r>
        <w:t>Schedule 1 substance</w:t>
      </w:r>
      <w:r>
        <w:tab/>
        <w:t>4</w:t>
      </w:r>
    </w:p>
    <w:p w:rsidR="00793901" w:rsidRDefault="00D72AE8">
      <w:pPr>
        <w:pStyle w:val="DefinedTerms"/>
      </w:pPr>
      <w:r>
        <w:t>site licence</w:t>
      </w:r>
      <w:r>
        <w:tab/>
        <w:t>34(1)</w:t>
      </w:r>
    </w:p>
    <w:p w:rsidR="00793901" w:rsidRDefault="00D72AE8">
      <w:pPr>
        <w:pStyle w:val="DefinedTerms"/>
      </w:pPr>
      <w:r>
        <w:t>subsidiary hazard</w:t>
      </w:r>
      <w:r>
        <w:tab/>
        <w:t>Sch. 1 cl. 2</w:t>
      </w:r>
    </w:p>
    <w:p w:rsidR="00793901" w:rsidRDefault="00D72AE8">
      <w:pPr>
        <w:pStyle w:val="DefinedTerms"/>
      </w:pPr>
      <w:r>
        <w:t>Table 1</w:t>
      </w:r>
      <w:r>
        <w:tab/>
        <w:t>10(1)</w:t>
      </w:r>
    </w:p>
    <w:p w:rsidR="00793901" w:rsidRDefault="00D72AE8">
      <w:pPr>
        <w:pStyle w:val="DefinedTerms"/>
      </w:pPr>
      <w:r>
        <w:lastRenderedPageBreak/>
        <w:t>Table 2</w:t>
      </w:r>
      <w:r>
        <w:tab/>
        <w:t>10(1)</w:t>
      </w:r>
    </w:p>
    <w:p w:rsidR="00793901" w:rsidRDefault="00D72AE8">
      <w:pPr>
        <w:pStyle w:val="DefinedTerms"/>
      </w:pPr>
      <w:r>
        <w:t>threshold quantity</w:t>
      </w:r>
      <w:r>
        <w:tab/>
        <w:t>9(1)</w:t>
      </w:r>
    </w:p>
    <w:p w:rsidR="00793901" w:rsidRDefault="00D72AE8">
      <w:pPr>
        <w:pStyle w:val="DefinedTerms"/>
      </w:pPr>
      <w:r>
        <w:t>UN number</w:t>
      </w:r>
      <w:r>
        <w:tab/>
        <w:t>Sch. 1 cl. 1</w:t>
      </w:r>
    </w:p>
    <w:p w:rsidR="00793901" w:rsidRDefault="00D72AE8">
      <w:pPr>
        <w:pStyle w:val="DefinedTerms"/>
      </w:pPr>
      <w:r>
        <w:t>zoning</w:t>
      </w:r>
      <w:r>
        <w:tab/>
        <w:t>4</w:t>
      </w:r>
    </w:p>
    <w:p w:rsidR="00793901" w:rsidRDefault="00793901"/>
    <w:p w:rsidR="00793901" w:rsidRDefault="00793901">
      <w:pPr>
        <w:sectPr w:rsidR="00793901">
          <w:headerReference w:type="even" r:id="rId35"/>
          <w:headerReference w:type="default" r:id="rId36"/>
          <w:pgSz w:w="11907" w:h="16840" w:code="9"/>
          <w:pgMar w:top="2381" w:right="2409" w:bottom="3543" w:left="2409" w:header="720" w:footer="3380" w:gutter="0"/>
          <w:cols w:space="720"/>
          <w:noEndnote/>
          <w:docGrid w:linePitch="326"/>
        </w:sectPr>
      </w:pPr>
    </w:p>
    <w:p w:rsidR="00793901" w:rsidRDefault="00793901"/>
    <w:sectPr w:rsidR="00793901">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01" w:rsidRDefault="00D72AE8">
      <w:pPr>
        <w:rPr>
          <w:b/>
          <w:sz w:val="28"/>
        </w:rPr>
      </w:pPr>
      <w:r>
        <w:rPr>
          <w:b/>
          <w:sz w:val="28"/>
        </w:rPr>
        <w:t>Endnotes</w:t>
      </w:r>
    </w:p>
    <w:p w:rsidR="00793901" w:rsidRDefault="00D72AE8">
      <w:pPr>
        <w:spacing w:after="240"/>
        <w:rPr>
          <w:rFonts w:ascii="Times" w:hAnsi="Times"/>
          <w:sz w:val="18"/>
        </w:rPr>
      </w:pPr>
      <w:r>
        <w:rPr>
          <w:sz w:val="20"/>
        </w:rPr>
        <w:t>[For ease of reference detach these notes and read them alongside the draft.]</w:t>
      </w:r>
    </w:p>
    <w:p w:rsidR="00793901" w:rsidRDefault="00793901"/>
  </w:endnote>
  <w:endnote w:type="continuationSeparator" w:id="0">
    <w:p w:rsidR="00793901" w:rsidRDefault="00793901">
      <w:pPr>
        <w:pStyle w:val="Footer"/>
      </w:pPr>
    </w:p>
    <w:p w:rsidR="00793901" w:rsidRDefault="00793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Bdr>
        <w:bottom w:val="single" w:sz="4" w:space="1" w:color="auto"/>
      </w:pBdr>
      <w:rPr>
        <w:sz w:val="20"/>
      </w:rPr>
    </w:pPr>
  </w:p>
  <w:p w:rsidR="00793901" w:rsidRDefault="00D72A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3470">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3470">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93901" w:rsidRDefault="00D72AE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01" w:rsidRDefault="00D72AE8">
      <w:r>
        <w:separator/>
      </w:r>
    </w:p>
  </w:footnote>
  <w:footnote w:type="continuationSeparator" w:id="0">
    <w:p w:rsidR="00793901" w:rsidRDefault="00D7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70" w:rsidRDefault="00DC34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3901">
      <w:trPr>
        <w:cantSplit/>
        <w:jc w:val="center"/>
      </w:trPr>
      <w:tc>
        <w:tcPr>
          <w:tcW w:w="7258" w:type="dxa"/>
          <w:gridSpan w:val="2"/>
        </w:tcPr>
        <w:p w:rsidR="00793901" w:rsidRDefault="00D72AE8">
          <w:pPr>
            <w:pStyle w:val="Header"/>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STYLEREF CharSchno</w:instrText>
          </w:r>
          <w:r>
            <w:rPr>
              <w:b/>
            </w:rPr>
            <w:fldChar w:fldCharType="end"/>
          </w:r>
        </w:p>
      </w:tc>
      <w:tc>
        <w:tcPr>
          <w:tcW w:w="5715" w:type="dxa"/>
        </w:tcPr>
        <w:p w:rsidR="00793901" w:rsidRDefault="00D72AE8">
          <w:pPr>
            <w:pStyle w:val="Header"/>
            <w:spacing w:before="40"/>
          </w:pPr>
          <w:r>
            <w:fldChar w:fldCharType="begin"/>
          </w:r>
          <w:r>
            <w:instrText>styleref CharSchText</w:instrText>
          </w:r>
          <w: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STYLEREF CharSDivNo</w:instrText>
          </w:r>
          <w:r>
            <w:rPr>
              <w:b/>
            </w:rPr>
            <w:fldChar w:fldCharType="end"/>
          </w:r>
        </w:p>
      </w:tc>
      <w:tc>
        <w:tcPr>
          <w:tcW w:w="5715" w:type="dxa"/>
        </w:tcPr>
        <w:p w:rsidR="00793901" w:rsidRDefault="00D72AE8">
          <w:pPr>
            <w:pStyle w:val="Header"/>
            <w:spacing w:before="40"/>
          </w:pPr>
          <w:r>
            <w:fldChar w:fldCharType="begin"/>
          </w:r>
          <w:r>
            <w:instrText xml:space="preserve"> styleref CharSDivText </w:instrText>
          </w:r>
          <w:r>
            <w:fldChar w:fldCharType="end"/>
          </w:r>
        </w:p>
      </w:tc>
    </w:tr>
    <w:tr w:rsidR="00793901">
      <w:trPr>
        <w:jc w:val="center"/>
      </w:trPr>
      <w:tc>
        <w:tcPr>
          <w:tcW w:w="1548" w:type="dxa"/>
        </w:tcPr>
        <w:p w:rsidR="00793901" w:rsidRDefault="00D72AE8">
          <w:pPr>
            <w:pStyle w:val="Header"/>
            <w:spacing w:before="40"/>
          </w:pPr>
          <w:r>
            <w:rPr>
              <w:b/>
            </w:rPr>
            <w:t xml:space="preserve">cl. </w:t>
          </w:r>
          <w:r>
            <w:rPr>
              <w:b/>
            </w:rPr>
            <w:fldChar w:fldCharType="begin"/>
          </w:r>
          <w:r>
            <w:rPr>
              <w:b/>
            </w:rPr>
            <w:instrText>STYLEREF CharSClsNo</w:instrText>
          </w:r>
          <w:r>
            <w:rPr>
              <w:b/>
            </w:rPr>
            <w:fldChar w:fldCharType="separate"/>
          </w:r>
          <w:r w:rsidR="00DC3470">
            <w:rPr>
              <w:b/>
            </w:rPr>
            <w:t>1</w:t>
          </w:r>
          <w:r>
            <w:rPr>
              <w:b/>
            </w:rPr>
            <w:fldChar w:fldCharType="end"/>
          </w:r>
        </w:p>
      </w:tc>
      <w:tc>
        <w:tcPr>
          <w:tcW w:w="5715" w:type="dxa"/>
        </w:tcPr>
        <w:p w:rsidR="00793901" w:rsidRDefault="00793901">
          <w:pPr>
            <w:pStyle w:val="Header"/>
            <w:spacing w:before="40"/>
          </w:pPr>
        </w:p>
      </w:tc>
    </w:tr>
  </w:tbl>
  <w:p w:rsidR="00793901" w:rsidRDefault="0079390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93901">
      <w:trPr>
        <w:jc w:val="center"/>
      </w:trPr>
      <w:tc>
        <w:tcPr>
          <w:tcW w:w="7160" w:type="dxa"/>
          <w:gridSpan w:val="2"/>
        </w:tcPr>
        <w:p w:rsidR="00793901" w:rsidRDefault="00D72AE8">
          <w:pPr>
            <w:pStyle w:val="Header"/>
            <w:ind w:right="17"/>
            <w:jc w:val="right"/>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715" w:type="dxa"/>
        </w:tcPr>
        <w:p w:rsidR="00793901" w:rsidRDefault="00D72AE8">
          <w:pPr>
            <w:pStyle w:val="Header"/>
            <w:spacing w:before="40"/>
            <w:jc w:val="right"/>
          </w:pPr>
          <w:r>
            <w:fldChar w:fldCharType="begin"/>
          </w:r>
          <w:r>
            <w:instrText>styleref CharSchText</w:instrText>
          </w:r>
          <w:r>
            <w:fldChar w:fldCharType="end"/>
          </w:r>
        </w:p>
      </w:tc>
      <w:tc>
        <w:tcPr>
          <w:tcW w:w="1445" w:type="dxa"/>
        </w:tcPr>
        <w:p w:rsidR="00793901" w:rsidRDefault="00D72AE8">
          <w:pPr>
            <w:pStyle w:val="Header"/>
            <w:spacing w:before="40"/>
            <w:ind w:right="17"/>
            <w:jc w:val="right"/>
          </w:pPr>
          <w:r>
            <w:rPr>
              <w:b/>
            </w:rPr>
            <w:fldChar w:fldCharType="begin"/>
          </w:r>
          <w:r>
            <w:rPr>
              <w:b/>
            </w:rPr>
            <w:instrText>STYLEREF CharSchno</w:instrText>
          </w:r>
          <w:r>
            <w:rPr>
              <w:b/>
            </w:rPr>
            <w:fldChar w:fldCharType="end"/>
          </w:r>
        </w:p>
      </w:tc>
    </w:tr>
    <w:tr w:rsidR="00793901">
      <w:trPr>
        <w:jc w:val="center"/>
      </w:trPr>
      <w:tc>
        <w:tcPr>
          <w:tcW w:w="5715" w:type="dxa"/>
        </w:tcPr>
        <w:p w:rsidR="00793901" w:rsidRDefault="00D72AE8">
          <w:pPr>
            <w:pStyle w:val="Header"/>
            <w:spacing w:before="40"/>
            <w:jc w:val="right"/>
          </w:pPr>
          <w:r>
            <w:fldChar w:fldCharType="begin"/>
          </w:r>
          <w:r>
            <w:instrText xml:space="preserve"> styleref CharSDivText </w:instrText>
          </w:r>
          <w:r>
            <w:fldChar w:fldCharType="end"/>
          </w:r>
        </w:p>
      </w:tc>
      <w:tc>
        <w:tcPr>
          <w:tcW w:w="1445" w:type="dxa"/>
        </w:tcPr>
        <w:p w:rsidR="00793901" w:rsidRDefault="00D72AE8">
          <w:pPr>
            <w:pStyle w:val="Header"/>
            <w:spacing w:before="40"/>
            <w:ind w:right="17"/>
            <w:jc w:val="right"/>
          </w:pPr>
          <w:r>
            <w:rPr>
              <w:b/>
            </w:rPr>
            <w:fldChar w:fldCharType="begin"/>
          </w:r>
          <w:r>
            <w:rPr>
              <w:b/>
            </w:rPr>
            <w:instrText>STYLEREF CharSDivNo</w:instrText>
          </w:r>
          <w:r>
            <w:rPr>
              <w:b/>
            </w:rPr>
            <w:fldChar w:fldCharType="end"/>
          </w:r>
        </w:p>
      </w:tc>
    </w:tr>
    <w:tr w:rsidR="00793901">
      <w:trPr>
        <w:jc w:val="center"/>
      </w:trPr>
      <w:tc>
        <w:tcPr>
          <w:tcW w:w="5715" w:type="dxa"/>
        </w:tcPr>
        <w:p w:rsidR="00793901" w:rsidRDefault="00793901">
          <w:pPr>
            <w:pStyle w:val="Header"/>
            <w:spacing w:before="40"/>
            <w:jc w:val="right"/>
          </w:pPr>
        </w:p>
      </w:tc>
      <w:tc>
        <w:tcPr>
          <w:tcW w:w="1445" w:type="dxa"/>
        </w:tcPr>
        <w:p w:rsidR="00793901" w:rsidRDefault="00D72AE8">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DC3470">
            <w:rPr>
              <w:b/>
            </w:rPr>
            <w:t>1</w:t>
          </w:r>
          <w:r>
            <w:rPr>
              <w:b/>
            </w:rPr>
            <w:fldChar w:fldCharType="end"/>
          </w:r>
        </w:p>
      </w:tc>
    </w:tr>
  </w:tbl>
  <w:p w:rsidR="00793901" w:rsidRDefault="00793901">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3901">
      <w:trPr>
        <w:cantSplit/>
        <w:jc w:val="center"/>
      </w:trPr>
      <w:tc>
        <w:tcPr>
          <w:tcW w:w="7258" w:type="dxa"/>
          <w:gridSpan w:val="2"/>
        </w:tcPr>
        <w:p w:rsidR="00793901" w:rsidRDefault="00D72AE8">
          <w:pPr>
            <w:pStyle w:val="Header"/>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styleref CharSchno</w:instrText>
          </w:r>
          <w:r>
            <w:rPr>
              <w:b/>
            </w:rPr>
            <w:fldChar w:fldCharType="separate"/>
          </w:r>
          <w:r w:rsidR="00DC3470">
            <w:rPr>
              <w:b/>
            </w:rPr>
            <w:t>Schedule 1</w:t>
          </w:r>
          <w:r>
            <w:rPr>
              <w:b/>
            </w:rPr>
            <w:fldChar w:fldCharType="end"/>
          </w:r>
        </w:p>
      </w:tc>
      <w:tc>
        <w:tcPr>
          <w:tcW w:w="5715" w:type="dxa"/>
        </w:tcPr>
        <w:p w:rsidR="00793901" w:rsidRDefault="00D72AE8">
          <w:pPr>
            <w:pStyle w:val="Header"/>
            <w:spacing w:before="40"/>
          </w:pPr>
          <w:r>
            <w:fldChar w:fldCharType="begin"/>
          </w:r>
          <w:r>
            <w:instrText>styleref CharSchText</w:instrText>
          </w:r>
          <w:r>
            <w:fldChar w:fldCharType="separate"/>
          </w:r>
          <w:r w:rsidR="00DC3470">
            <w:t>Threshold quantity for Schedule 1 substances</w:t>
          </w:r>
          <w: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93901" w:rsidRDefault="00D72AE8">
          <w:pPr>
            <w:pStyle w:val="Header"/>
            <w:spacing w:before="40"/>
          </w:pPr>
          <w:r>
            <w:fldChar w:fldCharType="begin"/>
          </w:r>
          <w:r>
            <w:instrText xml:space="preserve"> styleref CharSDivText </w:instrText>
          </w:r>
          <w:r>
            <w:fldChar w:fldCharType="end"/>
          </w:r>
        </w:p>
      </w:tc>
    </w:tr>
    <w:tr w:rsidR="00793901">
      <w:trPr>
        <w:jc w:val="center"/>
      </w:trPr>
      <w:tc>
        <w:tcPr>
          <w:tcW w:w="1548" w:type="dxa"/>
        </w:tcPr>
        <w:p w:rsidR="00793901" w:rsidRDefault="00D72AE8">
          <w:pPr>
            <w:pStyle w:val="Header"/>
            <w:spacing w:before="40"/>
          </w:pPr>
          <w:r>
            <w:rPr>
              <w:b/>
            </w:rPr>
            <w:t xml:space="preserve">cl. </w:t>
          </w:r>
          <w:r>
            <w:rPr>
              <w:b/>
            </w:rPr>
            <w:fldChar w:fldCharType="begin"/>
          </w:r>
          <w:r>
            <w:rPr>
              <w:b/>
            </w:rPr>
            <w:instrText>StyleRef CharSClsNo</w:instrText>
          </w:r>
          <w:r>
            <w:rPr>
              <w:b/>
            </w:rPr>
            <w:fldChar w:fldCharType="separate"/>
          </w:r>
          <w:r w:rsidR="00DC3470">
            <w:rPr>
              <w:b/>
            </w:rPr>
            <w:t>2</w:t>
          </w:r>
          <w:r>
            <w:rPr>
              <w:b/>
            </w:rPr>
            <w:fldChar w:fldCharType="end"/>
          </w:r>
        </w:p>
      </w:tc>
      <w:tc>
        <w:tcPr>
          <w:tcW w:w="5715" w:type="dxa"/>
        </w:tcPr>
        <w:p w:rsidR="00793901" w:rsidRDefault="00793901">
          <w:pPr>
            <w:pStyle w:val="Header"/>
            <w:spacing w:before="40"/>
          </w:pPr>
        </w:p>
      </w:tc>
    </w:tr>
  </w:tbl>
  <w:p w:rsidR="00793901" w:rsidRDefault="0079390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93901">
      <w:trPr>
        <w:cantSplit/>
        <w:jc w:val="center"/>
      </w:trPr>
      <w:tc>
        <w:tcPr>
          <w:tcW w:w="7263" w:type="dxa"/>
          <w:gridSpan w:val="2"/>
        </w:tcPr>
        <w:p w:rsidR="00793901" w:rsidRDefault="00D72AE8">
          <w:pPr>
            <w:pStyle w:val="Header"/>
            <w:ind w:right="17"/>
            <w:jc w:val="right"/>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715" w:type="dxa"/>
          <w:vAlign w:val="bottom"/>
        </w:tcPr>
        <w:p w:rsidR="00793901" w:rsidRDefault="00D72AE8">
          <w:pPr>
            <w:pStyle w:val="Header"/>
            <w:spacing w:before="40"/>
            <w:jc w:val="right"/>
          </w:pPr>
          <w:r>
            <w:fldChar w:fldCharType="begin"/>
          </w:r>
          <w:r>
            <w:instrText>styleref CharSchText</w:instrText>
          </w:r>
          <w:r>
            <w:fldChar w:fldCharType="separate"/>
          </w:r>
          <w:r w:rsidR="00DC3470">
            <w:t>Threshold quantity for Schedule 1 substances</w:t>
          </w:r>
          <w:r>
            <w:fldChar w:fldCharType="end"/>
          </w:r>
        </w:p>
      </w:tc>
      <w:tc>
        <w:tcPr>
          <w:tcW w:w="1548" w:type="dxa"/>
        </w:tcPr>
        <w:p w:rsidR="00793901" w:rsidRDefault="00D72AE8">
          <w:pPr>
            <w:pStyle w:val="Header"/>
            <w:spacing w:before="40"/>
            <w:ind w:right="17"/>
            <w:jc w:val="right"/>
          </w:pPr>
          <w:r>
            <w:rPr>
              <w:b/>
            </w:rPr>
            <w:fldChar w:fldCharType="begin"/>
          </w:r>
          <w:r>
            <w:rPr>
              <w:b/>
            </w:rPr>
            <w:instrText>styleref CharSchno</w:instrText>
          </w:r>
          <w:r>
            <w:rPr>
              <w:b/>
            </w:rPr>
            <w:fldChar w:fldCharType="separate"/>
          </w:r>
          <w:r w:rsidR="00DC3470">
            <w:rPr>
              <w:b/>
            </w:rPr>
            <w:t>Schedule 1</w:t>
          </w:r>
          <w:r>
            <w:rPr>
              <w:b/>
            </w:rPr>
            <w:fldChar w:fldCharType="end"/>
          </w:r>
        </w:p>
      </w:tc>
    </w:tr>
    <w:tr w:rsidR="00793901">
      <w:trPr>
        <w:jc w:val="center"/>
      </w:trPr>
      <w:tc>
        <w:tcPr>
          <w:tcW w:w="5715" w:type="dxa"/>
        </w:tcPr>
        <w:p w:rsidR="00793901" w:rsidRDefault="00D72AE8">
          <w:pPr>
            <w:pStyle w:val="Header"/>
            <w:spacing w:before="40"/>
            <w:jc w:val="right"/>
          </w:pPr>
          <w:r>
            <w:fldChar w:fldCharType="begin"/>
          </w:r>
          <w:r>
            <w:instrText xml:space="preserve"> styleref CharSDivText </w:instrText>
          </w:r>
          <w:r>
            <w:fldChar w:fldCharType="end"/>
          </w:r>
        </w:p>
      </w:tc>
      <w:tc>
        <w:tcPr>
          <w:tcW w:w="1548" w:type="dxa"/>
        </w:tcPr>
        <w:p w:rsidR="00793901" w:rsidRDefault="00D72AE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93901">
      <w:trPr>
        <w:jc w:val="center"/>
      </w:trPr>
      <w:tc>
        <w:tcPr>
          <w:tcW w:w="5715" w:type="dxa"/>
        </w:tcPr>
        <w:p w:rsidR="00793901" w:rsidRDefault="00793901">
          <w:pPr>
            <w:pStyle w:val="Header"/>
            <w:spacing w:before="40"/>
            <w:jc w:val="right"/>
          </w:pPr>
        </w:p>
      </w:tc>
      <w:tc>
        <w:tcPr>
          <w:tcW w:w="1548" w:type="dxa"/>
        </w:tcPr>
        <w:p w:rsidR="00793901" w:rsidRDefault="00D72AE8">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DC3470">
            <w:rPr>
              <w:b/>
            </w:rPr>
            <w:t>2</w:t>
          </w:r>
          <w:r>
            <w:rPr>
              <w:b/>
            </w:rPr>
            <w:fldChar w:fldCharType="end"/>
          </w:r>
        </w:p>
      </w:tc>
    </w:tr>
  </w:tbl>
  <w:p w:rsidR="00793901" w:rsidRDefault="0079390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3901">
      <w:trPr>
        <w:cantSplit/>
        <w:jc w:val="center"/>
      </w:trPr>
      <w:tc>
        <w:tcPr>
          <w:tcW w:w="7258" w:type="dxa"/>
          <w:gridSpan w:val="2"/>
        </w:tcPr>
        <w:p w:rsidR="00793901" w:rsidRDefault="00D72AE8">
          <w:pPr>
            <w:pStyle w:val="Header"/>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 xml:space="preserve"> STYLEREF "nHeading 2" </w:instrText>
          </w:r>
          <w:r>
            <w:rPr>
              <w:b/>
            </w:rPr>
            <w:fldChar w:fldCharType="separate"/>
          </w:r>
          <w:r w:rsidR="00DC3470">
            <w:rPr>
              <w:b/>
            </w:rPr>
            <w:t>Notes</w:t>
          </w:r>
          <w:r>
            <w:rPr>
              <w:b/>
            </w:rPr>
            <w:fldChar w:fldCharType="end"/>
          </w:r>
        </w:p>
      </w:tc>
      <w:tc>
        <w:tcPr>
          <w:tcW w:w="5715" w:type="dxa"/>
        </w:tcPr>
        <w:p w:rsidR="00793901" w:rsidRDefault="00D72AE8">
          <w:pPr>
            <w:pStyle w:val="Header"/>
            <w:spacing w:before="40"/>
          </w:pPr>
          <w:r>
            <w:fldChar w:fldCharType="begin"/>
          </w:r>
          <w:r>
            <w:instrText xml:space="preserve"> STYLEREF "nHeading 3" </w:instrText>
          </w:r>
          <w:r>
            <w:fldChar w:fldCharType="separate"/>
          </w:r>
          <w:r w:rsidR="00DC3470">
            <w:t>Compilation table</w:t>
          </w:r>
          <w:r>
            <w:fldChar w:fldCharType="end"/>
          </w:r>
        </w:p>
      </w:tc>
    </w:tr>
    <w:tr w:rsidR="00793901">
      <w:trPr>
        <w:jc w:val="center"/>
      </w:trPr>
      <w:tc>
        <w:tcPr>
          <w:tcW w:w="1548" w:type="dxa"/>
        </w:tcPr>
        <w:p w:rsidR="00793901" w:rsidRDefault="00793901">
          <w:pPr>
            <w:pStyle w:val="Header"/>
            <w:spacing w:before="40"/>
          </w:pPr>
        </w:p>
      </w:tc>
      <w:tc>
        <w:tcPr>
          <w:tcW w:w="5715" w:type="dxa"/>
        </w:tcPr>
        <w:p w:rsidR="00793901" w:rsidRDefault="00793901">
          <w:pPr>
            <w:pStyle w:val="Header"/>
            <w:spacing w:before="40"/>
          </w:pPr>
        </w:p>
      </w:tc>
    </w:tr>
    <w:tr w:rsidR="00793901">
      <w:trPr>
        <w:cantSplit/>
        <w:jc w:val="center"/>
      </w:trPr>
      <w:tc>
        <w:tcPr>
          <w:tcW w:w="7258" w:type="dxa"/>
          <w:gridSpan w:val="2"/>
        </w:tcPr>
        <w:p w:rsidR="00793901" w:rsidRDefault="00793901">
          <w:pPr>
            <w:pStyle w:val="Header"/>
            <w:spacing w:before="40"/>
          </w:pPr>
        </w:p>
      </w:tc>
    </w:tr>
  </w:tbl>
  <w:p w:rsidR="00793901" w:rsidRDefault="0079390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3901">
      <w:trPr>
        <w:cantSplit/>
        <w:jc w:val="center"/>
      </w:trPr>
      <w:tc>
        <w:tcPr>
          <w:tcW w:w="7258" w:type="dxa"/>
          <w:gridSpan w:val="2"/>
        </w:tcPr>
        <w:p w:rsidR="00793901" w:rsidRDefault="00D72AE8">
          <w:pPr>
            <w:pStyle w:val="Header"/>
            <w:ind w:right="17"/>
            <w:jc w:val="right"/>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715" w:type="dxa"/>
        </w:tcPr>
        <w:p w:rsidR="00793901" w:rsidRDefault="00D72AE8">
          <w:pPr>
            <w:pStyle w:val="Header"/>
            <w:spacing w:before="40"/>
            <w:jc w:val="right"/>
          </w:pPr>
          <w:r>
            <w:fldChar w:fldCharType="begin"/>
          </w:r>
          <w:r>
            <w:instrText xml:space="preserve"> STYLEREF "nHeading 3" </w:instrText>
          </w:r>
          <w:r>
            <w:fldChar w:fldCharType="separate"/>
          </w:r>
          <w:r w:rsidR="00DC3470">
            <w:t>Compilation table</w:t>
          </w:r>
          <w:r>
            <w:fldChar w:fldCharType="end"/>
          </w:r>
        </w:p>
      </w:tc>
      <w:tc>
        <w:tcPr>
          <w:tcW w:w="1548" w:type="dxa"/>
        </w:tcPr>
        <w:p w:rsidR="00793901" w:rsidRDefault="00D72AE8">
          <w:pPr>
            <w:pStyle w:val="Header"/>
            <w:spacing w:before="40"/>
            <w:ind w:right="17"/>
            <w:jc w:val="right"/>
          </w:pPr>
          <w:r>
            <w:rPr>
              <w:b/>
            </w:rPr>
            <w:fldChar w:fldCharType="begin"/>
          </w:r>
          <w:r>
            <w:rPr>
              <w:b/>
            </w:rPr>
            <w:instrText xml:space="preserve"> STYLEREF "nHeading 2" </w:instrText>
          </w:r>
          <w:r>
            <w:rPr>
              <w:b/>
            </w:rPr>
            <w:fldChar w:fldCharType="separate"/>
          </w:r>
          <w:r w:rsidR="00DC3470">
            <w:rPr>
              <w:b/>
            </w:rPr>
            <w:t>Notes</w:t>
          </w:r>
          <w:r>
            <w:rPr>
              <w:b/>
            </w:rPr>
            <w:fldChar w:fldCharType="end"/>
          </w:r>
        </w:p>
      </w:tc>
    </w:tr>
    <w:tr w:rsidR="00793901">
      <w:trPr>
        <w:jc w:val="center"/>
      </w:trPr>
      <w:tc>
        <w:tcPr>
          <w:tcW w:w="5715" w:type="dxa"/>
        </w:tcPr>
        <w:p w:rsidR="00793901" w:rsidRDefault="00793901">
          <w:pPr>
            <w:pStyle w:val="Header"/>
            <w:spacing w:before="40"/>
            <w:jc w:val="right"/>
          </w:pPr>
        </w:p>
      </w:tc>
      <w:tc>
        <w:tcPr>
          <w:tcW w:w="1548" w:type="dxa"/>
        </w:tcPr>
        <w:p w:rsidR="00793901" w:rsidRDefault="00793901">
          <w:pPr>
            <w:pStyle w:val="Header"/>
            <w:spacing w:before="40"/>
            <w:ind w:right="17"/>
            <w:jc w:val="right"/>
          </w:pPr>
        </w:p>
      </w:tc>
    </w:tr>
    <w:tr w:rsidR="00793901">
      <w:trPr>
        <w:cantSplit/>
        <w:jc w:val="center"/>
      </w:trPr>
      <w:tc>
        <w:tcPr>
          <w:tcW w:w="7258" w:type="dxa"/>
          <w:gridSpan w:val="2"/>
        </w:tcPr>
        <w:p w:rsidR="00793901" w:rsidRDefault="00793901">
          <w:pPr>
            <w:pStyle w:val="Header"/>
            <w:spacing w:before="40"/>
            <w:ind w:right="17"/>
            <w:jc w:val="right"/>
          </w:pPr>
        </w:p>
      </w:tc>
    </w:tr>
  </w:tbl>
  <w:p w:rsidR="00793901" w:rsidRDefault="00793901">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93901">
      <w:trPr>
        <w:cantSplit/>
        <w:jc w:val="center"/>
      </w:trPr>
      <w:tc>
        <w:tcPr>
          <w:tcW w:w="7263" w:type="dxa"/>
          <w:gridSpan w:val="2"/>
        </w:tcPr>
        <w:p w:rsidR="00793901" w:rsidRDefault="00D72AE8">
          <w:pPr>
            <w:pStyle w:val="Header"/>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348" w:type="dxa"/>
        </w:tcPr>
        <w:p w:rsidR="00793901" w:rsidRDefault="00793901">
          <w:pPr>
            <w:pStyle w:val="Header"/>
            <w:spacing w:before="40"/>
          </w:pPr>
        </w:p>
      </w:tc>
      <w:tc>
        <w:tcPr>
          <w:tcW w:w="5915" w:type="dxa"/>
        </w:tcPr>
        <w:p w:rsidR="00793901" w:rsidRDefault="00793901">
          <w:pPr>
            <w:pStyle w:val="Header"/>
            <w:spacing w:before="40"/>
          </w:pPr>
        </w:p>
      </w:tc>
    </w:tr>
    <w:tr w:rsidR="00793901">
      <w:trPr>
        <w:jc w:val="center"/>
      </w:trPr>
      <w:tc>
        <w:tcPr>
          <w:tcW w:w="1348" w:type="dxa"/>
        </w:tcPr>
        <w:p w:rsidR="00793901" w:rsidRDefault="00793901">
          <w:pPr>
            <w:pStyle w:val="Header"/>
            <w:spacing w:before="40"/>
          </w:pPr>
        </w:p>
      </w:tc>
      <w:tc>
        <w:tcPr>
          <w:tcW w:w="5915" w:type="dxa"/>
        </w:tcPr>
        <w:p w:rsidR="00793901" w:rsidRDefault="00793901">
          <w:pPr>
            <w:pStyle w:val="Header"/>
            <w:spacing w:before="40"/>
          </w:pPr>
        </w:p>
      </w:tc>
    </w:tr>
    <w:tr w:rsidR="00793901">
      <w:trPr>
        <w:cantSplit/>
        <w:jc w:val="center"/>
      </w:trPr>
      <w:tc>
        <w:tcPr>
          <w:tcW w:w="7263" w:type="dxa"/>
          <w:gridSpan w:val="2"/>
        </w:tcPr>
        <w:p w:rsidR="00793901" w:rsidRDefault="00D72AE8">
          <w:pPr>
            <w:pStyle w:val="Header"/>
            <w:spacing w:before="40"/>
          </w:pPr>
          <w:r>
            <w:t>Defined terms</w:t>
          </w:r>
        </w:p>
      </w:tc>
    </w:tr>
  </w:tbl>
  <w:p w:rsidR="00793901" w:rsidRDefault="00793901">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93901">
      <w:trPr>
        <w:cantSplit/>
        <w:jc w:val="center"/>
      </w:trPr>
      <w:tc>
        <w:tcPr>
          <w:tcW w:w="7263" w:type="dxa"/>
          <w:gridSpan w:val="2"/>
        </w:tcPr>
        <w:p w:rsidR="00793901" w:rsidRDefault="00D72AE8">
          <w:pPr>
            <w:pStyle w:val="Header"/>
            <w:spacing w:before="40"/>
            <w:ind w:right="17"/>
            <w:jc w:val="right"/>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884" w:type="dxa"/>
        </w:tcPr>
        <w:p w:rsidR="00793901" w:rsidRDefault="00793901">
          <w:pPr>
            <w:pStyle w:val="Header"/>
            <w:spacing w:before="40"/>
            <w:jc w:val="right"/>
          </w:pPr>
        </w:p>
      </w:tc>
      <w:tc>
        <w:tcPr>
          <w:tcW w:w="1379" w:type="dxa"/>
        </w:tcPr>
        <w:p w:rsidR="00793901" w:rsidRDefault="00793901">
          <w:pPr>
            <w:pStyle w:val="Header"/>
            <w:spacing w:before="40"/>
            <w:ind w:right="17"/>
            <w:jc w:val="right"/>
          </w:pPr>
        </w:p>
      </w:tc>
    </w:tr>
    <w:tr w:rsidR="00793901">
      <w:trPr>
        <w:jc w:val="center"/>
      </w:trPr>
      <w:tc>
        <w:tcPr>
          <w:tcW w:w="5884" w:type="dxa"/>
        </w:tcPr>
        <w:p w:rsidR="00793901" w:rsidRDefault="00793901">
          <w:pPr>
            <w:pStyle w:val="Header"/>
            <w:spacing w:before="40"/>
            <w:jc w:val="right"/>
          </w:pPr>
        </w:p>
      </w:tc>
      <w:tc>
        <w:tcPr>
          <w:tcW w:w="1379" w:type="dxa"/>
        </w:tcPr>
        <w:p w:rsidR="00793901" w:rsidRDefault="00793901">
          <w:pPr>
            <w:pStyle w:val="Header"/>
            <w:spacing w:before="40"/>
            <w:ind w:right="17"/>
            <w:jc w:val="right"/>
          </w:pPr>
        </w:p>
      </w:tc>
    </w:tr>
    <w:tr w:rsidR="00793901">
      <w:trPr>
        <w:cantSplit/>
        <w:jc w:val="center"/>
      </w:trPr>
      <w:tc>
        <w:tcPr>
          <w:tcW w:w="7263" w:type="dxa"/>
          <w:gridSpan w:val="2"/>
        </w:tcPr>
        <w:p w:rsidR="00793901" w:rsidRDefault="00D72AE8">
          <w:pPr>
            <w:pStyle w:val="Header"/>
            <w:spacing w:before="40"/>
            <w:ind w:right="17"/>
            <w:jc w:val="right"/>
          </w:pPr>
          <w:r>
            <w:t>Defined terms</w:t>
          </w:r>
        </w:p>
      </w:tc>
    </w:tr>
  </w:tbl>
  <w:p w:rsidR="00793901" w:rsidRDefault="00793901">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70" w:rsidRDefault="00DC347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3901">
      <w:trPr>
        <w:cantSplit/>
        <w:jc w:val="center"/>
      </w:trPr>
      <w:tc>
        <w:tcPr>
          <w:tcW w:w="7258" w:type="dxa"/>
          <w:gridSpan w:val="2"/>
        </w:tcPr>
        <w:p w:rsidR="00793901" w:rsidRDefault="00D72AE8">
          <w:pPr>
            <w:pStyle w:val="Header"/>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548" w:type="dxa"/>
        </w:tcPr>
        <w:p w:rsidR="00793901" w:rsidRDefault="00793901">
          <w:pPr>
            <w:pStyle w:val="Header"/>
            <w:spacing w:before="40"/>
          </w:pPr>
        </w:p>
      </w:tc>
      <w:tc>
        <w:tcPr>
          <w:tcW w:w="5715" w:type="dxa"/>
        </w:tcPr>
        <w:p w:rsidR="00793901" w:rsidRDefault="00793901">
          <w:pPr>
            <w:pStyle w:val="Header"/>
            <w:spacing w:before="40"/>
          </w:pPr>
        </w:p>
      </w:tc>
    </w:tr>
    <w:tr w:rsidR="00793901">
      <w:trPr>
        <w:jc w:val="center"/>
      </w:trPr>
      <w:tc>
        <w:tcPr>
          <w:tcW w:w="1548" w:type="dxa"/>
        </w:tcPr>
        <w:p w:rsidR="00793901" w:rsidRDefault="00793901">
          <w:pPr>
            <w:pStyle w:val="Header"/>
            <w:spacing w:before="40"/>
          </w:pPr>
        </w:p>
      </w:tc>
      <w:tc>
        <w:tcPr>
          <w:tcW w:w="5715" w:type="dxa"/>
        </w:tcPr>
        <w:p w:rsidR="00793901" w:rsidRDefault="00793901">
          <w:pPr>
            <w:pStyle w:val="Header"/>
            <w:spacing w:before="40"/>
          </w:pPr>
        </w:p>
      </w:tc>
    </w:tr>
    <w:tr w:rsidR="00793901">
      <w:trPr>
        <w:cantSplit/>
        <w:jc w:val="center"/>
      </w:trPr>
      <w:tc>
        <w:tcPr>
          <w:tcW w:w="7258" w:type="dxa"/>
          <w:gridSpan w:val="2"/>
        </w:tcPr>
        <w:p w:rsidR="00793901" w:rsidRDefault="00D72AE8">
          <w:pPr>
            <w:pStyle w:val="Header"/>
            <w:spacing w:before="40"/>
          </w:pPr>
          <w:r>
            <w:t>Contents</w:t>
          </w:r>
        </w:p>
      </w:tc>
    </w:tr>
  </w:tbl>
  <w:p w:rsidR="00793901" w:rsidRDefault="0079390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3901">
      <w:trPr>
        <w:cantSplit/>
        <w:jc w:val="center"/>
      </w:trPr>
      <w:tc>
        <w:tcPr>
          <w:tcW w:w="7258" w:type="dxa"/>
          <w:gridSpan w:val="2"/>
        </w:tcPr>
        <w:p w:rsidR="00793901" w:rsidRDefault="00D72AE8">
          <w:pPr>
            <w:pStyle w:val="Header"/>
            <w:ind w:right="17"/>
            <w:jc w:val="right"/>
          </w:pPr>
          <w:r>
            <w:rPr>
              <w:b/>
              <w:i/>
            </w:rPr>
            <w:fldChar w:fldCharType="begin"/>
          </w:r>
          <w:r>
            <w:rPr>
              <w:b/>
              <w:i/>
            </w:rPr>
            <w:instrText xml:space="preserve"> STYLEREF "Name of Act/Reg" </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715" w:type="dxa"/>
        </w:tcPr>
        <w:p w:rsidR="00793901" w:rsidRDefault="00793901">
          <w:pPr>
            <w:pStyle w:val="Header"/>
            <w:spacing w:before="40"/>
            <w:jc w:val="right"/>
          </w:pPr>
        </w:p>
      </w:tc>
      <w:tc>
        <w:tcPr>
          <w:tcW w:w="1548" w:type="dxa"/>
        </w:tcPr>
        <w:p w:rsidR="00793901" w:rsidRDefault="00793901">
          <w:pPr>
            <w:pStyle w:val="Header"/>
            <w:spacing w:before="40"/>
            <w:ind w:right="17"/>
            <w:jc w:val="right"/>
          </w:pPr>
        </w:p>
      </w:tc>
    </w:tr>
    <w:tr w:rsidR="00793901">
      <w:trPr>
        <w:jc w:val="center"/>
      </w:trPr>
      <w:tc>
        <w:tcPr>
          <w:tcW w:w="5715" w:type="dxa"/>
        </w:tcPr>
        <w:p w:rsidR="00793901" w:rsidRDefault="00793901">
          <w:pPr>
            <w:pStyle w:val="Header"/>
            <w:spacing w:before="40"/>
            <w:jc w:val="right"/>
          </w:pPr>
        </w:p>
      </w:tc>
      <w:tc>
        <w:tcPr>
          <w:tcW w:w="1548" w:type="dxa"/>
        </w:tcPr>
        <w:p w:rsidR="00793901" w:rsidRDefault="00793901">
          <w:pPr>
            <w:pStyle w:val="Header"/>
            <w:spacing w:before="40"/>
            <w:ind w:right="17"/>
            <w:jc w:val="right"/>
          </w:pPr>
        </w:p>
      </w:tc>
    </w:tr>
    <w:tr w:rsidR="00793901">
      <w:trPr>
        <w:cantSplit/>
        <w:jc w:val="center"/>
      </w:trPr>
      <w:tc>
        <w:tcPr>
          <w:tcW w:w="7258" w:type="dxa"/>
          <w:gridSpan w:val="2"/>
        </w:tcPr>
        <w:p w:rsidR="00793901" w:rsidRDefault="00D72AE8">
          <w:pPr>
            <w:pStyle w:val="Header"/>
            <w:spacing w:before="40"/>
            <w:ind w:right="17"/>
            <w:jc w:val="right"/>
          </w:pPr>
          <w:r>
            <w:t>Contents</w:t>
          </w:r>
        </w:p>
      </w:tc>
    </w:tr>
  </w:tbl>
  <w:p w:rsidR="00793901" w:rsidRDefault="0079390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3901">
      <w:trPr>
        <w:cantSplit/>
        <w:jc w:val="center"/>
      </w:trPr>
      <w:tc>
        <w:tcPr>
          <w:tcW w:w="7258" w:type="dxa"/>
          <w:gridSpan w:val="2"/>
        </w:tcPr>
        <w:p w:rsidR="00793901" w:rsidRDefault="00D72AE8">
          <w:pPr>
            <w:pStyle w:val="Header"/>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styleref CharPartNo</w:instrText>
          </w:r>
          <w:r>
            <w:rPr>
              <w:b/>
            </w:rPr>
            <w:fldChar w:fldCharType="end"/>
          </w:r>
        </w:p>
      </w:tc>
      <w:tc>
        <w:tcPr>
          <w:tcW w:w="5715" w:type="dxa"/>
          <w:vAlign w:val="bottom"/>
        </w:tcPr>
        <w:p w:rsidR="00793901" w:rsidRDefault="00D72AE8">
          <w:pPr>
            <w:pStyle w:val="Header"/>
            <w:spacing w:before="40"/>
          </w:pPr>
          <w:r>
            <w:fldChar w:fldCharType="begin"/>
          </w:r>
          <w:r>
            <w:instrText>styleref CharPartText</w:instrText>
          </w:r>
          <w:r>
            <w:fldChar w:fldCharType="end"/>
          </w:r>
        </w:p>
      </w:tc>
    </w:tr>
    <w:tr w:rsidR="00793901">
      <w:trPr>
        <w:jc w:val="center"/>
      </w:trPr>
      <w:tc>
        <w:tcPr>
          <w:tcW w:w="1548" w:type="dxa"/>
        </w:tcPr>
        <w:p w:rsidR="00793901" w:rsidRDefault="00D72AE8">
          <w:pPr>
            <w:pStyle w:val="Header"/>
            <w:spacing w:before="40"/>
          </w:pPr>
          <w:r>
            <w:rPr>
              <w:b/>
            </w:rPr>
            <w:fldChar w:fldCharType="begin"/>
          </w:r>
          <w:r>
            <w:rPr>
              <w:b/>
            </w:rPr>
            <w:instrText xml:space="preserve"> styleref CharDivNo </w:instrText>
          </w:r>
          <w:r>
            <w:rPr>
              <w:b/>
            </w:rPr>
            <w:fldChar w:fldCharType="end"/>
          </w:r>
        </w:p>
      </w:tc>
      <w:tc>
        <w:tcPr>
          <w:tcW w:w="5715" w:type="dxa"/>
        </w:tcPr>
        <w:p w:rsidR="00793901" w:rsidRDefault="00D72AE8">
          <w:pPr>
            <w:pStyle w:val="Header"/>
            <w:spacing w:before="40"/>
          </w:pPr>
          <w:r>
            <w:fldChar w:fldCharType="begin"/>
          </w:r>
          <w:r>
            <w:instrText xml:space="preserve"> styleref CharDivText </w:instrText>
          </w:r>
          <w:r>
            <w:fldChar w:fldCharType="end"/>
          </w:r>
        </w:p>
      </w:tc>
    </w:tr>
    <w:tr w:rsidR="00793901">
      <w:trPr>
        <w:cantSplit/>
        <w:jc w:val="center"/>
      </w:trPr>
      <w:tc>
        <w:tcPr>
          <w:tcW w:w="7258" w:type="dxa"/>
          <w:gridSpan w:val="2"/>
        </w:tcPr>
        <w:p w:rsidR="00793901" w:rsidRDefault="00D72AE8">
          <w:pPr>
            <w:pStyle w:val="Header"/>
            <w:spacing w:before="40"/>
          </w:pPr>
          <w:r>
            <w:rPr>
              <w:b/>
            </w:rPr>
            <w:t xml:space="preserve">r. </w:t>
          </w:r>
          <w:r>
            <w:rPr>
              <w:b/>
            </w:rPr>
            <w:fldChar w:fldCharType="begin"/>
          </w:r>
          <w:r>
            <w:rPr>
              <w:b/>
            </w:rPr>
            <w:instrText>styleref CharSectno</w:instrText>
          </w:r>
          <w:r>
            <w:rPr>
              <w:b/>
            </w:rPr>
            <w:fldChar w:fldCharType="separate"/>
          </w:r>
          <w:r w:rsidR="00DC3470">
            <w:rPr>
              <w:b/>
            </w:rPr>
            <w:t>1</w:t>
          </w:r>
          <w:r>
            <w:rPr>
              <w:b/>
            </w:rPr>
            <w:fldChar w:fldCharType="end"/>
          </w:r>
        </w:p>
      </w:tc>
    </w:tr>
  </w:tbl>
  <w:p w:rsidR="00793901" w:rsidRDefault="0079390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3901">
      <w:trPr>
        <w:cantSplit/>
        <w:jc w:val="center"/>
      </w:trPr>
      <w:tc>
        <w:tcPr>
          <w:tcW w:w="7258" w:type="dxa"/>
          <w:gridSpan w:val="2"/>
        </w:tcPr>
        <w:p w:rsidR="00793901" w:rsidRDefault="00D72AE8">
          <w:pPr>
            <w:pStyle w:val="Header"/>
            <w:ind w:right="17"/>
            <w:jc w:val="right"/>
          </w:pPr>
          <w:r>
            <w:rPr>
              <w:b/>
              <w:i/>
            </w:rPr>
            <w:fldChar w:fldCharType="begin"/>
          </w:r>
          <w:r>
            <w:rPr>
              <w:b/>
              <w:i/>
            </w:rPr>
            <w:instrText>Styleref "Name of Act/Reg"</w:instrText>
          </w:r>
          <w:r>
            <w:rPr>
              <w:b/>
              <w:i/>
            </w:rPr>
            <w:fldChar w:fldCharType="separate"/>
          </w:r>
          <w:r w:rsidR="00DC3470">
            <w:rPr>
              <w:b/>
              <w:i/>
            </w:rPr>
            <w:t>Dangerous Goods Safety (Major Hazard Facilities) Regulations 2007</w:t>
          </w:r>
          <w:r>
            <w:rPr>
              <w:b/>
              <w:i/>
            </w:rPr>
            <w:fldChar w:fldCharType="end"/>
          </w:r>
        </w:p>
      </w:tc>
    </w:tr>
    <w:tr w:rsidR="00793901">
      <w:trPr>
        <w:jc w:val="center"/>
      </w:trPr>
      <w:tc>
        <w:tcPr>
          <w:tcW w:w="5715" w:type="dxa"/>
          <w:vAlign w:val="bottom"/>
        </w:tcPr>
        <w:p w:rsidR="00793901" w:rsidRDefault="00D72AE8">
          <w:pPr>
            <w:pStyle w:val="Header"/>
            <w:spacing w:before="40"/>
            <w:jc w:val="right"/>
          </w:pPr>
          <w:r>
            <w:fldChar w:fldCharType="begin"/>
          </w:r>
          <w:r>
            <w:instrText>styleref CharPartText</w:instrText>
          </w:r>
          <w:r>
            <w:fldChar w:fldCharType="end"/>
          </w:r>
        </w:p>
      </w:tc>
      <w:tc>
        <w:tcPr>
          <w:tcW w:w="1548" w:type="dxa"/>
        </w:tcPr>
        <w:p w:rsidR="00793901" w:rsidRDefault="00D72AE8">
          <w:pPr>
            <w:pStyle w:val="Header"/>
            <w:spacing w:before="40"/>
            <w:ind w:right="17"/>
            <w:jc w:val="right"/>
          </w:pPr>
          <w:r>
            <w:rPr>
              <w:b/>
            </w:rPr>
            <w:fldChar w:fldCharType="begin"/>
          </w:r>
          <w:r>
            <w:rPr>
              <w:b/>
            </w:rPr>
            <w:instrText>styleref CharPartNo</w:instrText>
          </w:r>
          <w:r>
            <w:rPr>
              <w:b/>
            </w:rPr>
            <w:fldChar w:fldCharType="end"/>
          </w:r>
        </w:p>
      </w:tc>
    </w:tr>
    <w:tr w:rsidR="00793901">
      <w:trPr>
        <w:jc w:val="center"/>
      </w:trPr>
      <w:tc>
        <w:tcPr>
          <w:tcW w:w="5715" w:type="dxa"/>
        </w:tcPr>
        <w:p w:rsidR="00793901" w:rsidRDefault="00D72AE8">
          <w:pPr>
            <w:pStyle w:val="Header"/>
            <w:spacing w:before="40"/>
            <w:jc w:val="right"/>
          </w:pPr>
          <w:r>
            <w:fldChar w:fldCharType="begin"/>
          </w:r>
          <w:r>
            <w:instrText xml:space="preserve"> styleref CharDivText </w:instrText>
          </w:r>
          <w:r>
            <w:fldChar w:fldCharType="end"/>
          </w:r>
        </w:p>
      </w:tc>
      <w:tc>
        <w:tcPr>
          <w:tcW w:w="1548" w:type="dxa"/>
        </w:tcPr>
        <w:p w:rsidR="00793901" w:rsidRDefault="00D72AE8">
          <w:pPr>
            <w:pStyle w:val="Header"/>
            <w:spacing w:before="40"/>
            <w:ind w:right="17"/>
            <w:jc w:val="right"/>
          </w:pPr>
          <w:r>
            <w:rPr>
              <w:b/>
            </w:rPr>
            <w:fldChar w:fldCharType="begin"/>
          </w:r>
          <w:r>
            <w:rPr>
              <w:b/>
            </w:rPr>
            <w:instrText xml:space="preserve"> styleref CharDivNo </w:instrText>
          </w:r>
          <w:r>
            <w:rPr>
              <w:b/>
            </w:rPr>
            <w:fldChar w:fldCharType="end"/>
          </w:r>
        </w:p>
      </w:tc>
    </w:tr>
    <w:tr w:rsidR="00793901">
      <w:trPr>
        <w:cantSplit/>
        <w:jc w:val="center"/>
      </w:trPr>
      <w:tc>
        <w:tcPr>
          <w:tcW w:w="7258" w:type="dxa"/>
          <w:gridSpan w:val="2"/>
        </w:tcPr>
        <w:p w:rsidR="00793901" w:rsidRDefault="00D72AE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C3470">
            <w:rPr>
              <w:b/>
            </w:rPr>
            <w:t>1</w:t>
          </w:r>
          <w:r>
            <w:rPr>
              <w:b/>
            </w:rPr>
            <w:fldChar w:fldCharType="end"/>
          </w:r>
        </w:p>
      </w:tc>
    </w:tr>
  </w:tbl>
  <w:p w:rsidR="00793901" w:rsidRDefault="0079390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1" w:rsidRDefault="00793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0006"/>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s>
  <w:rsids>
    <w:rsidRoot w:val="00D5307B"/>
    <w:rsid w:val="00043D46"/>
    <w:rsid w:val="002E67A4"/>
    <w:rsid w:val="00793901"/>
    <w:rsid w:val="007D0E8D"/>
    <w:rsid w:val="00C53A04"/>
    <w:rsid w:val="00D5307B"/>
    <w:rsid w:val="00D72AE8"/>
    <w:rsid w:val="00DC3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2F63-727A-45AD-A02F-66BC23B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10308</Words>
  <Characters>49278</Characters>
  <Application>Microsoft Office Word</Application>
  <DocSecurity>0</DocSecurity>
  <Lines>1699</Lines>
  <Paragraphs>1064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2007 - 02-h0-00</dc:title>
  <dc:subject/>
  <dc:creator/>
  <cp:keywords/>
  <dc:description/>
  <cp:lastModifiedBy>Master Repository Process</cp:lastModifiedBy>
  <cp:revision>4</cp:revision>
  <cp:lastPrinted>2017-03-27T01:14:00Z</cp:lastPrinted>
  <dcterms:created xsi:type="dcterms:W3CDTF">2021-06-21T04:13:00Z</dcterms:created>
  <dcterms:modified xsi:type="dcterms:W3CDTF">2021-06-21T04:13:00Z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02-h0-00</vt:lpwstr>
  </property>
  <property fmtid="{D5CDD505-2E9C-101B-9397-08002B2CF9AE}" pid="9" name="CommencementDate">
    <vt:lpwstr>20210621</vt:lpwstr>
  </property>
</Properties>
</file>