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5D3" w:rsidRDefault="00637860">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15D3" w:rsidRDefault="00637860">
      <w:pPr>
        <w:pStyle w:val="PrincipalActRegPage1"/>
      </w:pPr>
      <w:r>
        <w:fldChar w:fldCharType="begin"/>
      </w:r>
      <w:r>
        <w:instrText xml:space="preserve"> STYLEREF "PrincipalAct_Reg"</w:instrText>
      </w:r>
      <w:r>
        <w:fldChar w:fldCharType="separate"/>
      </w:r>
      <w:r w:rsidR="0019795B">
        <w:rPr>
          <w:noProof/>
        </w:rPr>
        <w:t>Energy Operators (Powers) Act 1979</w:t>
      </w:r>
      <w:r>
        <w:fldChar w:fldCharType="end"/>
      </w:r>
    </w:p>
    <w:p w:rsidR="003215D3" w:rsidRDefault="00637860">
      <w:pPr>
        <w:pStyle w:val="NameofActRegPage1"/>
        <w:spacing w:before="1800" w:after="4200"/>
        <w:outlineLvl w:val="0"/>
      </w:pPr>
      <w:r>
        <w:fldChar w:fldCharType="begin"/>
      </w:r>
      <w:r>
        <w:instrText xml:space="preserve"> STYLEREF "Name Of Act/Reg"</w:instrText>
      </w:r>
      <w:r>
        <w:fldChar w:fldCharType="separate"/>
      </w:r>
      <w:r w:rsidR="0019795B">
        <w:rPr>
          <w:noProof/>
        </w:rPr>
        <w:t>Energy Operators (Electricity Generation and Retail Corporation) (Charges) By-laws 2006</w:t>
      </w:r>
      <w:r>
        <w:fldChar w:fldCharType="end"/>
      </w:r>
    </w:p>
    <w:p w:rsidR="003215D3" w:rsidRDefault="003215D3">
      <w:pPr>
        <w:jc w:val="center"/>
        <w:sectPr w:rsidR="003215D3">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B2F8D" w:rsidRDefault="006B2F8D">
      <w:pPr>
        <w:pStyle w:val="WA"/>
      </w:pPr>
      <w:r>
        <w:lastRenderedPageBreak/>
        <w:t>Western Australia</w:t>
      </w:r>
    </w:p>
    <w:p w:rsidR="003215D3" w:rsidRDefault="00637860">
      <w:pPr>
        <w:pStyle w:val="NameofActRegPage1"/>
      </w:pPr>
      <w:r>
        <w:fldChar w:fldCharType="begin"/>
      </w:r>
      <w:r>
        <w:instrText xml:space="preserve"> STYLEREF "Name Of Act/Reg"</w:instrText>
      </w:r>
      <w:r>
        <w:fldChar w:fldCharType="separate"/>
      </w:r>
      <w:r w:rsidR="0019795B">
        <w:rPr>
          <w:noProof/>
        </w:rPr>
        <w:t>Energy Operators (Electricity Generation and Retail Corporation) (Charges) By-laws 2006</w:t>
      </w:r>
      <w:r>
        <w:fldChar w:fldCharType="end"/>
      </w:r>
    </w:p>
    <w:p w:rsidR="003215D3" w:rsidRDefault="00637860">
      <w:pPr>
        <w:pStyle w:val="Arrangement"/>
      </w:pPr>
      <w:r>
        <w:t>Contents</w:t>
      </w:r>
    </w:p>
    <w:p w:rsidR="00FD5A2B" w:rsidRDefault="0063786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D5A2B">
        <w:t>1.</w:t>
      </w:r>
      <w:r w:rsidR="00FD5A2B">
        <w:tab/>
        <w:t>Citation</w:t>
      </w:r>
      <w:r w:rsidR="00FD5A2B">
        <w:tab/>
      </w:r>
      <w:r w:rsidR="00FD5A2B">
        <w:fldChar w:fldCharType="begin"/>
      </w:r>
      <w:r w:rsidR="00FD5A2B">
        <w:instrText xml:space="preserve"> PAGEREF _Toc75169020 \h </w:instrText>
      </w:r>
      <w:r w:rsidR="00FD5A2B">
        <w:fldChar w:fldCharType="separate"/>
      </w:r>
      <w:r w:rsidR="0019795B">
        <w:t>1</w:t>
      </w:r>
      <w:r w:rsidR="00FD5A2B">
        <w:fldChar w:fldCharType="end"/>
      </w:r>
    </w:p>
    <w:p w:rsidR="00FD5A2B" w:rsidRDefault="00FD5A2B">
      <w:pPr>
        <w:pStyle w:val="TOC8"/>
        <w:rPr>
          <w:rFonts w:asciiTheme="minorHAnsi" w:eastAsiaTheme="minorEastAsia" w:hAnsiTheme="minorHAnsi" w:cstheme="minorBidi"/>
          <w:szCs w:val="22"/>
        </w:rPr>
      </w:pPr>
      <w:r>
        <w:t>2.</w:t>
      </w:r>
      <w:r>
        <w:tab/>
        <w:t>Commencement</w:t>
      </w:r>
      <w:r>
        <w:tab/>
      </w:r>
      <w:r>
        <w:fldChar w:fldCharType="begin"/>
      </w:r>
      <w:r>
        <w:instrText xml:space="preserve"> PAGEREF _Toc75169021 \h </w:instrText>
      </w:r>
      <w:r>
        <w:fldChar w:fldCharType="separate"/>
      </w:r>
      <w:r w:rsidR="0019795B">
        <w:t>1</w:t>
      </w:r>
      <w:r>
        <w:fldChar w:fldCharType="end"/>
      </w:r>
    </w:p>
    <w:p w:rsidR="00FD5A2B" w:rsidRDefault="00FD5A2B">
      <w:pPr>
        <w:pStyle w:val="TOC8"/>
        <w:rPr>
          <w:rFonts w:asciiTheme="minorHAnsi" w:eastAsiaTheme="minorEastAsia" w:hAnsiTheme="minorHAnsi" w:cstheme="minorBidi"/>
          <w:szCs w:val="22"/>
        </w:rPr>
      </w:pPr>
      <w:r>
        <w:t>3.</w:t>
      </w:r>
      <w:r>
        <w:tab/>
      </w:r>
      <w:r w:rsidRPr="001338FB">
        <w:rPr>
          <w:snapToGrid w:val="0"/>
        </w:rPr>
        <w:t>Terms used</w:t>
      </w:r>
      <w:r>
        <w:tab/>
      </w:r>
      <w:r>
        <w:fldChar w:fldCharType="begin"/>
      </w:r>
      <w:r>
        <w:instrText xml:space="preserve"> PAGEREF _Toc75169022 \h </w:instrText>
      </w:r>
      <w:r>
        <w:fldChar w:fldCharType="separate"/>
      </w:r>
      <w:r w:rsidR="0019795B">
        <w:t>1</w:t>
      </w:r>
      <w:r>
        <w:fldChar w:fldCharType="end"/>
      </w:r>
    </w:p>
    <w:p w:rsidR="00FD5A2B" w:rsidRDefault="00FD5A2B">
      <w:pPr>
        <w:pStyle w:val="TOC8"/>
        <w:rPr>
          <w:rFonts w:asciiTheme="minorHAnsi" w:eastAsiaTheme="minorEastAsia" w:hAnsiTheme="minorHAnsi" w:cstheme="minorBidi"/>
          <w:szCs w:val="22"/>
        </w:rPr>
      </w:pPr>
      <w:r>
        <w:t>4.</w:t>
      </w:r>
      <w:r>
        <w:tab/>
      </w:r>
      <w:r w:rsidRPr="001338FB">
        <w:rPr>
          <w:snapToGrid w:val="0"/>
        </w:rPr>
        <w:t>Electricity charges payable by consumers (Sch. 1, Sch. 2)</w:t>
      </w:r>
      <w:r>
        <w:tab/>
      </w:r>
      <w:r>
        <w:fldChar w:fldCharType="begin"/>
      </w:r>
      <w:r>
        <w:instrText xml:space="preserve"> PAGEREF _Toc75169023 \h </w:instrText>
      </w:r>
      <w:r>
        <w:fldChar w:fldCharType="separate"/>
      </w:r>
      <w:r w:rsidR="0019795B">
        <w:t>2</w:t>
      </w:r>
      <w:r>
        <w:fldChar w:fldCharType="end"/>
      </w:r>
    </w:p>
    <w:p w:rsidR="00FD5A2B" w:rsidRDefault="00FD5A2B">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_Toc75169024 \h </w:instrText>
      </w:r>
      <w:r>
        <w:fldChar w:fldCharType="separate"/>
      </w:r>
      <w:r w:rsidR="0019795B">
        <w:t>3</w:t>
      </w:r>
      <w:r>
        <w:fldChar w:fldCharType="end"/>
      </w:r>
    </w:p>
    <w:p w:rsidR="00FD5A2B" w:rsidRDefault="00FD5A2B">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_Toc75169025 \h </w:instrText>
      </w:r>
      <w:r>
        <w:fldChar w:fldCharType="separate"/>
      </w:r>
      <w:r w:rsidR="0019795B">
        <w:t>3</w:t>
      </w:r>
      <w:r>
        <w:fldChar w:fldCharType="end"/>
      </w:r>
    </w:p>
    <w:p w:rsidR="00FD5A2B" w:rsidRDefault="00FD5A2B">
      <w:pPr>
        <w:pStyle w:val="TOC8"/>
        <w:rPr>
          <w:rFonts w:asciiTheme="minorHAnsi" w:eastAsiaTheme="minorEastAsia" w:hAnsiTheme="minorHAnsi" w:cstheme="minorBidi"/>
          <w:szCs w:val="22"/>
        </w:rPr>
      </w:pPr>
      <w:r>
        <w:t>7.</w:t>
      </w:r>
      <w:r>
        <w:tab/>
        <w:t>Fees (Sch. 4)</w:t>
      </w:r>
      <w:r>
        <w:tab/>
      </w:r>
      <w:r>
        <w:fldChar w:fldCharType="begin"/>
      </w:r>
      <w:r>
        <w:instrText xml:space="preserve"> PAGEREF _Toc75169026 \h </w:instrText>
      </w:r>
      <w:r>
        <w:fldChar w:fldCharType="separate"/>
      </w:r>
      <w:r w:rsidR="0019795B">
        <w:t>3</w:t>
      </w:r>
      <w:r>
        <w:fldChar w:fldCharType="end"/>
      </w:r>
    </w:p>
    <w:p w:rsidR="00FD5A2B" w:rsidRDefault="00FD5A2B">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_Toc75169027 \h </w:instrText>
      </w:r>
      <w:r>
        <w:fldChar w:fldCharType="separate"/>
      </w:r>
      <w:r w:rsidR="0019795B">
        <w:t>4</w:t>
      </w:r>
      <w:r>
        <w:fldChar w:fldCharType="end"/>
      </w:r>
    </w:p>
    <w:p w:rsidR="00FD5A2B" w:rsidRDefault="00FD5A2B">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_Toc75169028 \h </w:instrText>
      </w:r>
      <w:r>
        <w:fldChar w:fldCharType="separate"/>
      </w:r>
      <w:r w:rsidR="0019795B">
        <w:t>4</w:t>
      </w:r>
      <w:r>
        <w:fldChar w:fldCharType="end"/>
      </w:r>
    </w:p>
    <w:p w:rsidR="00FD5A2B" w:rsidRDefault="00FD5A2B">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_Toc75169029 \h </w:instrText>
      </w:r>
      <w:r>
        <w:fldChar w:fldCharType="separate"/>
      </w:r>
      <w:r w:rsidR="0019795B">
        <w:t>5</w:t>
      </w:r>
      <w:r>
        <w:fldChar w:fldCharType="end"/>
      </w:r>
    </w:p>
    <w:p w:rsidR="00FD5A2B" w:rsidRDefault="00FD5A2B">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_Toc75169030 \h </w:instrText>
      </w:r>
      <w:r>
        <w:fldChar w:fldCharType="separate"/>
      </w:r>
      <w:r w:rsidR="0019795B">
        <w:t>5</w:t>
      </w:r>
      <w:r>
        <w:fldChar w:fldCharType="end"/>
      </w:r>
    </w:p>
    <w:p w:rsidR="00FD5A2B" w:rsidRDefault="00FD5A2B">
      <w:pPr>
        <w:pStyle w:val="TOC2"/>
        <w:tabs>
          <w:tab w:val="right" w:leader="dot" w:pos="7077"/>
        </w:tabs>
        <w:rPr>
          <w:rFonts w:asciiTheme="minorHAnsi" w:eastAsiaTheme="minorEastAsia" w:hAnsiTheme="minorHAnsi" w:cstheme="minorBidi"/>
          <w:b w:val="0"/>
          <w:sz w:val="22"/>
          <w:szCs w:val="22"/>
        </w:rPr>
      </w:pPr>
      <w:r>
        <w:t>Schedule 1 — Supply charges</w:t>
      </w:r>
    </w:p>
    <w:p w:rsidR="00FD5A2B" w:rsidRDefault="00FD5A2B">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_Toc75169032 \h </w:instrText>
      </w:r>
      <w:r>
        <w:fldChar w:fldCharType="separate"/>
      </w:r>
      <w:r w:rsidR="0019795B">
        <w:t>6</w:t>
      </w:r>
      <w:r>
        <w:fldChar w:fldCharType="end"/>
      </w:r>
    </w:p>
    <w:p w:rsidR="00FD5A2B" w:rsidRDefault="00FD5A2B">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_Toc75169033 \h </w:instrText>
      </w:r>
      <w:r>
        <w:fldChar w:fldCharType="separate"/>
      </w:r>
      <w:r w:rsidR="0019795B">
        <w:t>6</w:t>
      </w:r>
      <w:r>
        <w:fldChar w:fldCharType="end"/>
      </w:r>
    </w:p>
    <w:p w:rsidR="00FD5A2B" w:rsidRDefault="00FD5A2B">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_Toc75169034 \h </w:instrText>
      </w:r>
      <w:r>
        <w:fldChar w:fldCharType="separate"/>
      </w:r>
      <w:r w:rsidR="0019795B">
        <w:t>7</w:t>
      </w:r>
      <w:r>
        <w:fldChar w:fldCharType="end"/>
      </w:r>
    </w:p>
    <w:p w:rsidR="00FD5A2B" w:rsidRDefault="00FD5A2B">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_Toc75169035 \h </w:instrText>
      </w:r>
      <w:r>
        <w:fldChar w:fldCharType="separate"/>
      </w:r>
      <w:r w:rsidR="0019795B">
        <w:t>7</w:t>
      </w:r>
      <w:r>
        <w:fldChar w:fldCharType="end"/>
      </w:r>
    </w:p>
    <w:p w:rsidR="00FD5A2B" w:rsidRDefault="00FD5A2B">
      <w:pPr>
        <w:pStyle w:val="TOC8"/>
        <w:rPr>
          <w:rFonts w:asciiTheme="minorHAnsi" w:eastAsiaTheme="minorEastAsia" w:hAnsiTheme="minorHAnsi" w:cstheme="minorBidi"/>
          <w:szCs w:val="22"/>
        </w:rPr>
      </w:pPr>
      <w:r>
        <w:t>5.</w:t>
      </w:r>
      <w:r>
        <w:tab/>
        <w:t>Standby charges</w:t>
      </w:r>
      <w:r>
        <w:tab/>
      </w:r>
      <w:r>
        <w:fldChar w:fldCharType="begin"/>
      </w:r>
      <w:r>
        <w:instrText xml:space="preserve"> PAGEREF _Toc75169036 \h </w:instrText>
      </w:r>
      <w:r>
        <w:fldChar w:fldCharType="separate"/>
      </w:r>
      <w:r w:rsidR="0019795B">
        <w:t>8</w:t>
      </w:r>
      <w:r>
        <w:fldChar w:fldCharType="end"/>
      </w:r>
    </w:p>
    <w:p w:rsidR="00FD5A2B" w:rsidRDefault="00FD5A2B">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_Toc75169037 \h </w:instrText>
      </w:r>
      <w:r>
        <w:fldChar w:fldCharType="separate"/>
      </w:r>
      <w:r w:rsidR="0019795B">
        <w:t>9</w:t>
      </w:r>
      <w:r>
        <w:fldChar w:fldCharType="end"/>
      </w:r>
    </w:p>
    <w:p w:rsidR="00FD5A2B" w:rsidRDefault="00FD5A2B">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_Toc75169038 \h </w:instrText>
      </w:r>
      <w:r>
        <w:fldChar w:fldCharType="separate"/>
      </w:r>
      <w:r w:rsidR="0019795B">
        <w:t>9</w:t>
      </w:r>
      <w:r>
        <w:fldChar w:fldCharType="end"/>
      </w:r>
    </w:p>
    <w:p w:rsidR="00FD5A2B" w:rsidRDefault="00FD5A2B">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_Toc75169039 \h </w:instrText>
      </w:r>
      <w:r>
        <w:fldChar w:fldCharType="separate"/>
      </w:r>
      <w:r w:rsidR="0019795B">
        <w:t>10</w:t>
      </w:r>
      <w:r>
        <w:fldChar w:fldCharType="end"/>
      </w:r>
    </w:p>
    <w:p w:rsidR="00FD5A2B" w:rsidRDefault="00FD5A2B">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_Toc75169040 \h </w:instrText>
      </w:r>
      <w:r>
        <w:fldChar w:fldCharType="separate"/>
      </w:r>
      <w:r w:rsidR="0019795B">
        <w:t>11</w:t>
      </w:r>
      <w:r>
        <w:fldChar w:fldCharType="end"/>
      </w:r>
    </w:p>
    <w:p w:rsidR="00FD5A2B" w:rsidRDefault="00FD5A2B">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_Toc75169041 \h </w:instrText>
      </w:r>
      <w:r>
        <w:fldChar w:fldCharType="separate"/>
      </w:r>
      <w:r w:rsidR="0019795B">
        <w:t>11</w:t>
      </w:r>
      <w:r>
        <w:fldChar w:fldCharType="end"/>
      </w:r>
    </w:p>
    <w:p w:rsidR="00FD5A2B" w:rsidRDefault="00FD5A2B">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rsidR="00FD5A2B" w:rsidRDefault="00FD5A2B">
      <w:pPr>
        <w:pStyle w:val="TOC4"/>
        <w:tabs>
          <w:tab w:val="right" w:leader="dot" w:pos="7077"/>
        </w:tabs>
        <w:rPr>
          <w:rFonts w:asciiTheme="minorHAnsi" w:eastAsiaTheme="minorEastAsia" w:hAnsiTheme="minorHAnsi" w:cstheme="minorBidi"/>
          <w:b w:val="0"/>
          <w:szCs w:val="22"/>
        </w:rPr>
      </w:pPr>
      <w:r>
        <w:t>Division 1</w:t>
      </w:r>
      <w:r w:rsidRPr="001338FB">
        <w:rPr>
          <w:b w:val="0"/>
        </w:rPr>
        <w:t> — </w:t>
      </w:r>
      <w:r>
        <w:t>Street lighting</w:t>
      </w:r>
    </w:p>
    <w:p w:rsidR="00FD5A2B" w:rsidRDefault="00FD5A2B">
      <w:pPr>
        <w:pStyle w:val="TOC4"/>
        <w:tabs>
          <w:tab w:val="right" w:leader="dot" w:pos="7077"/>
        </w:tabs>
        <w:rPr>
          <w:rFonts w:asciiTheme="minorHAnsi" w:eastAsiaTheme="minorEastAsia" w:hAnsiTheme="minorHAnsi" w:cstheme="minorBidi"/>
          <w:b w:val="0"/>
          <w:szCs w:val="22"/>
        </w:rPr>
      </w:pPr>
      <w:r>
        <w:t>Division 2</w:t>
      </w:r>
      <w:r w:rsidRPr="001338FB">
        <w:rPr>
          <w:b w:val="0"/>
        </w:rPr>
        <w:t> — </w:t>
      </w:r>
      <w:r>
        <w:t>Miscellaneous</w:t>
      </w:r>
    </w:p>
    <w:p w:rsidR="00FD5A2B" w:rsidRDefault="00FD5A2B">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_Toc75169045 \h </w:instrText>
      </w:r>
      <w:r>
        <w:fldChar w:fldCharType="separate"/>
      </w:r>
      <w:r w:rsidR="0019795B">
        <w:t>14</w:t>
      </w:r>
      <w:r>
        <w:fldChar w:fldCharType="end"/>
      </w:r>
    </w:p>
    <w:p w:rsidR="00FD5A2B" w:rsidRDefault="00FD5A2B">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_Toc75169046 \h </w:instrText>
      </w:r>
      <w:r>
        <w:fldChar w:fldCharType="separate"/>
      </w:r>
      <w:r w:rsidR="0019795B">
        <w:t>14</w:t>
      </w:r>
      <w:r>
        <w:fldChar w:fldCharType="end"/>
      </w:r>
    </w:p>
    <w:p w:rsidR="00FD5A2B" w:rsidRDefault="00FD5A2B">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_Toc75169047 \h </w:instrText>
      </w:r>
      <w:r>
        <w:fldChar w:fldCharType="separate"/>
      </w:r>
      <w:r w:rsidR="0019795B">
        <w:t>14</w:t>
      </w:r>
      <w:r>
        <w:fldChar w:fldCharType="end"/>
      </w:r>
    </w:p>
    <w:p w:rsidR="00FD5A2B" w:rsidRDefault="00FD5A2B">
      <w:pPr>
        <w:pStyle w:val="TOC2"/>
        <w:tabs>
          <w:tab w:val="right" w:leader="dot" w:pos="7077"/>
        </w:tabs>
        <w:rPr>
          <w:rFonts w:asciiTheme="minorHAnsi" w:eastAsiaTheme="minorEastAsia" w:hAnsiTheme="minorHAnsi" w:cstheme="minorBidi"/>
          <w:b w:val="0"/>
          <w:sz w:val="22"/>
          <w:szCs w:val="22"/>
        </w:rPr>
      </w:pPr>
      <w:r>
        <w:t>Schedule 3 — Meter rental</w:t>
      </w:r>
    </w:p>
    <w:p w:rsidR="00FD5A2B" w:rsidRDefault="00FD5A2B">
      <w:pPr>
        <w:pStyle w:val="TOC2"/>
        <w:tabs>
          <w:tab w:val="right" w:leader="dot" w:pos="7077"/>
        </w:tabs>
        <w:rPr>
          <w:rFonts w:asciiTheme="minorHAnsi" w:eastAsiaTheme="minorEastAsia" w:hAnsiTheme="minorHAnsi" w:cstheme="minorBidi"/>
          <w:b w:val="0"/>
          <w:sz w:val="22"/>
          <w:szCs w:val="22"/>
        </w:rPr>
      </w:pPr>
      <w:r>
        <w:t>Schedule 4 — Fees</w:t>
      </w:r>
    </w:p>
    <w:p w:rsidR="00FD5A2B" w:rsidRDefault="00FD5A2B">
      <w:pPr>
        <w:pStyle w:val="TOC2"/>
        <w:tabs>
          <w:tab w:val="right" w:leader="dot" w:pos="7077"/>
        </w:tabs>
        <w:rPr>
          <w:rFonts w:asciiTheme="minorHAnsi" w:eastAsiaTheme="minorEastAsia" w:hAnsiTheme="minorHAnsi" w:cstheme="minorBidi"/>
          <w:b w:val="0"/>
          <w:sz w:val="22"/>
          <w:szCs w:val="22"/>
        </w:rPr>
      </w:pPr>
      <w:r>
        <w:t>Notes</w:t>
      </w:r>
    </w:p>
    <w:p w:rsidR="00FD5A2B" w:rsidRDefault="00FD5A2B" w:rsidP="00FD5A2B">
      <w:pPr>
        <w:pStyle w:val="TOC8"/>
        <w:rPr>
          <w:rFonts w:asciiTheme="minorHAnsi" w:eastAsiaTheme="minorEastAsia" w:hAnsiTheme="minorHAnsi" w:cstheme="minorBidi"/>
          <w:szCs w:val="22"/>
        </w:rPr>
      </w:pPr>
      <w:r>
        <w:tab/>
        <w:t>Compilation table</w:t>
      </w:r>
      <w:r>
        <w:tab/>
      </w:r>
      <w:r>
        <w:fldChar w:fldCharType="begin"/>
      </w:r>
      <w:r>
        <w:instrText xml:space="preserve"> PAGEREF _Toc75169051 \h </w:instrText>
      </w:r>
      <w:r>
        <w:fldChar w:fldCharType="separate"/>
      </w:r>
      <w:r w:rsidR="0019795B">
        <w:t>18</w:t>
      </w:r>
      <w:r>
        <w:fldChar w:fldCharType="end"/>
      </w:r>
    </w:p>
    <w:p w:rsidR="00FD5A2B" w:rsidRDefault="00FD5A2B" w:rsidP="00FD5A2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_Toc75169052 \h </w:instrText>
      </w:r>
      <w:r>
        <w:fldChar w:fldCharType="separate"/>
      </w:r>
      <w:r w:rsidR="0019795B">
        <w:t>20</w:t>
      </w:r>
      <w:r>
        <w:fldChar w:fldCharType="end"/>
      </w:r>
    </w:p>
    <w:p w:rsidR="00FD5A2B" w:rsidRDefault="00FD5A2B" w:rsidP="00FD5A2B">
      <w:pPr>
        <w:pStyle w:val="TOC8"/>
        <w:rPr>
          <w:rFonts w:asciiTheme="minorHAnsi" w:eastAsiaTheme="minorEastAsia" w:hAnsiTheme="minorHAnsi" w:cstheme="minorBidi"/>
          <w:szCs w:val="22"/>
        </w:rPr>
      </w:pPr>
      <w:r>
        <w:tab/>
        <w:t>Other notes</w:t>
      </w:r>
      <w:r>
        <w:tab/>
      </w:r>
      <w:r>
        <w:fldChar w:fldCharType="begin"/>
      </w:r>
      <w:r>
        <w:instrText xml:space="preserve"> PAGEREF _Toc75169053 \h </w:instrText>
      </w:r>
      <w:r>
        <w:fldChar w:fldCharType="separate"/>
      </w:r>
      <w:r w:rsidR="0019795B">
        <w:t>20</w:t>
      </w:r>
      <w:r>
        <w:fldChar w:fldCharType="end"/>
      </w:r>
    </w:p>
    <w:p w:rsidR="00FD5A2B" w:rsidRDefault="00FD5A2B">
      <w:pPr>
        <w:pStyle w:val="TOC2"/>
        <w:tabs>
          <w:tab w:val="right" w:leader="dot" w:pos="7077"/>
        </w:tabs>
        <w:rPr>
          <w:rFonts w:asciiTheme="minorHAnsi" w:eastAsiaTheme="minorEastAsia" w:hAnsiTheme="minorHAnsi" w:cstheme="minorBidi"/>
          <w:b w:val="0"/>
          <w:sz w:val="22"/>
          <w:szCs w:val="22"/>
        </w:rPr>
      </w:pPr>
      <w:r>
        <w:t>Defined terms</w:t>
      </w:r>
    </w:p>
    <w:p w:rsidR="003215D3" w:rsidRDefault="0063786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215D3" w:rsidRDefault="003215D3">
      <w:pPr>
        <w:pStyle w:val="NoteHeading"/>
        <w:sectPr w:rsidR="003215D3">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215D3" w:rsidRDefault="00637860">
      <w:pPr>
        <w:pStyle w:val="PrincipalActReg"/>
      </w:pPr>
      <w:r>
        <w:lastRenderedPageBreak/>
        <w:t>Energy Operators (Powers) Act 1979</w:t>
      </w:r>
    </w:p>
    <w:p w:rsidR="003215D3" w:rsidRDefault="00637860">
      <w:pPr>
        <w:pStyle w:val="NameofActReg"/>
      </w:pPr>
      <w:r>
        <w:t>Energy Operators (Electricity Generation and Retail Corporation) (Charges) By</w:t>
      </w:r>
      <w:r>
        <w:noBreakHyphen/>
        <w:t>laws 2006</w:t>
      </w:r>
    </w:p>
    <w:p w:rsidR="003215D3" w:rsidRDefault="00637860">
      <w:pPr>
        <w:pStyle w:val="Heading5"/>
      </w:pPr>
      <w:bookmarkStart w:id="3" w:name="_Toc75169020"/>
      <w:r>
        <w:rPr>
          <w:rStyle w:val="CharSectno"/>
        </w:rPr>
        <w:t>1</w:t>
      </w:r>
      <w:r>
        <w:t>.</w:t>
      </w:r>
      <w:r>
        <w:tab/>
        <w:t>Citation</w:t>
      </w:r>
      <w:bookmarkEnd w:id="3"/>
    </w:p>
    <w:p w:rsidR="003215D3" w:rsidRDefault="00637860">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rsidR="003215D3" w:rsidRDefault="00637860">
      <w:pPr>
        <w:pStyle w:val="Footnotesection"/>
      </w:pPr>
      <w:r>
        <w:tab/>
        <w:t>[By-law 1 amended: Gazette 27 Dec 2013 p. 6477.]</w:t>
      </w:r>
    </w:p>
    <w:p w:rsidR="003215D3" w:rsidRDefault="00637860">
      <w:pPr>
        <w:pStyle w:val="Heading5"/>
      </w:pPr>
      <w:bookmarkStart w:id="4" w:name="_Toc75169021"/>
      <w:r>
        <w:rPr>
          <w:rStyle w:val="CharSectno"/>
        </w:rPr>
        <w:t>2</w:t>
      </w:r>
      <w:r>
        <w:t>.</w:t>
      </w:r>
      <w:r>
        <w:tab/>
        <w:t>Commencement</w:t>
      </w:r>
      <w:bookmarkEnd w:id="4"/>
    </w:p>
    <w:p w:rsidR="003215D3" w:rsidRDefault="00637860">
      <w:pPr>
        <w:pStyle w:val="Subsection"/>
      </w:pPr>
      <w:r>
        <w:tab/>
      </w:r>
      <w:r>
        <w:tab/>
        <w:t>These by</w:t>
      </w:r>
      <w:r>
        <w:noBreakHyphen/>
        <w:t>laws come into operation on 1 April 2006.</w:t>
      </w:r>
    </w:p>
    <w:p w:rsidR="003215D3" w:rsidRDefault="00637860">
      <w:pPr>
        <w:pStyle w:val="Heading5"/>
        <w:rPr>
          <w:snapToGrid w:val="0"/>
        </w:rPr>
      </w:pPr>
      <w:bookmarkStart w:id="5" w:name="_Toc75169022"/>
      <w:r>
        <w:rPr>
          <w:rStyle w:val="CharSectno"/>
        </w:rPr>
        <w:t>3</w:t>
      </w:r>
      <w:r>
        <w:t>.</w:t>
      </w:r>
      <w:r>
        <w:tab/>
      </w:r>
      <w:r>
        <w:rPr>
          <w:snapToGrid w:val="0"/>
        </w:rPr>
        <w:t>Terms used</w:t>
      </w:r>
      <w:bookmarkEnd w:id="5"/>
    </w:p>
    <w:p w:rsidR="003215D3" w:rsidRDefault="00637860">
      <w:pPr>
        <w:pStyle w:val="Subsection"/>
        <w:rPr>
          <w:snapToGrid w:val="0"/>
        </w:rPr>
      </w:pPr>
      <w:r>
        <w:rPr>
          <w:snapToGrid w:val="0"/>
        </w:rPr>
        <w:tab/>
      </w:r>
      <w:r>
        <w:rPr>
          <w:snapToGrid w:val="0"/>
        </w:rPr>
        <w:tab/>
        <w:t>In these by</w:t>
      </w:r>
      <w:r>
        <w:rPr>
          <w:snapToGrid w:val="0"/>
        </w:rPr>
        <w:noBreakHyphen/>
        <w:t xml:space="preserve">laws, unless the contrary intention appears — </w:t>
      </w:r>
    </w:p>
    <w:p w:rsidR="003215D3" w:rsidRDefault="00637860">
      <w:pPr>
        <w:pStyle w:val="Defstart"/>
      </w:pPr>
      <w:r>
        <w:rPr>
          <w:b/>
        </w:rPr>
        <w:tab/>
      </w:r>
      <w:r>
        <w:rPr>
          <w:rStyle w:val="CharDefText"/>
        </w:rPr>
        <w:t>corporation</w:t>
      </w:r>
      <w:r>
        <w:t xml:space="preserve"> means the body established by the </w:t>
      </w:r>
      <w:r>
        <w:rPr>
          <w:i/>
        </w:rPr>
        <w:t>Electricity Corporations Act 2005</w:t>
      </w:r>
      <w:r>
        <w:t xml:space="preserve"> section 4(1)(a);</w:t>
      </w:r>
    </w:p>
    <w:p w:rsidR="003215D3" w:rsidRDefault="00637860">
      <w:pPr>
        <w:pStyle w:val="Defstart"/>
      </w:pPr>
      <w:r>
        <w:rPr>
          <w:b/>
        </w:rPr>
        <w:tab/>
      </w:r>
      <w:r>
        <w:rPr>
          <w:rStyle w:val="CharDefText"/>
        </w:rPr>
        <w:t>dwelling</w:t>
      </w:r>
      <w:r>
        <w:t xml:space="preserve"> means a house, flat, home unit or other place of residence used solely for residential purposes;</w:t>
      </w:r>
    </w:p>
    <w:p w:rsidR="003215D3" w:rsidRDefault="00637860">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rsidR="003215D3" w:rsidRDefault="00637860">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rsidR="003215D3" w:rsidRDefault="00637860">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rsidR="003215D3" w:rsidRDefault="00637860">
      <w:pPr>
        <w:pStyle w:val="Defstart"/>
      </w:pPr>
      <w:r>
        <w:rPr>
          <w:b/>
        </w:rPr>
        <w:tab/>
      </w:r>
      <w:r>
        <w:rPr>
          <w:rStyle w:val="CharDefText"/>
        </w:rPr>
        <w:t>off peak</w:t>
      </w:r>
      <w:r>
        <w:t xml:space="preserve"> means any period other than on peak;</w:t>
      </w:r>
    </w:p>
    <w:p w:rsidR="003215D3" w:rsidRDefault="00637860">
      <w:pPr>
        <w:pStyle w:val="Defstart"/>
      </w:pPr>
      <w:r>
        <w:rPr>
          <w:b/>
        </w:rPr>
        <w:lastRenderedPageBreak/>
        <w:tab/>
      </w:r>
      <w:r>
        <w:rPr>
          <w:rStyle w:val="CharDefText"/>
        </w:rPr>
        <w:t>on peak</w:t>
      </w:r>
      <w:r>
        <w:t xml:space="preserve"> means the periods between 8.00 a.m. and 10.00 p.m. Monday to Friday;</w:t>
      </w:r>
    </w:p>
    <w:p w:rsidR="003215D3" w:rsidRDefault="00637860">
      <w:pPr>
        <w:pStyle w:val="Defstart"/>
      </w:pPr>
      <w:r>
        <w:tab/>
      </w:r>
      <w:r>
        <w:rPr>
          <w:rStyle w:val="CharDefText"/>
        </w:rPr>
        <w:t>permitted surcharge</w:t>
      </w:r>
      <w:r>
        <w:t>, in relation to a payment, has the meaning given in RBA Standard No. 3 of 2016;</w:t>
      </w:r>
    </w:p>
    <w:p w:rsidR="003215D3" w:rsidRDefault="00637860">
      <w:pPr>
        <w:pStyle w:val="Defstart"/>
      </w:pPr>
      <w:r>
        <w:tab/>
      </w:r>
      <w:r>
        <w:rPr>
          <w:rStyle w:val="CharDefText"/>
        </w:rPr>
        <w:t>RBA cash rate</w:t>
      </w:r>
      <w:r>
        <w:t xml:space="preserve"> means the percentage (or maximum percentage) specified by the Reserve Bank of Australia as the Cash Rate Target;</w:t>
      </w:r>
    </w:p>
    <w:p w:rsidR="003215D3" w:rsidRDefault="00637860">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rsidR="003215D3" w:rsidRDefault="00637860">
      <w:pPr>
        <w:pStyle w:val="Defstart"/>
      </w:pPr>
      <w:r>
        <w:rPr>
          <w:b/>
        </w:rPr>
        <w:tab/>
      </w:r>
      <w:r>
        <w:rPr>
          <w:rStyle w:val="CharDefText"/>
        </w:rPr>
        <w:t>residential tarif</w:t>
      </w:r>
      <w:r>
        <w:rPr>
          <w:rStyle w:val="CharDefText"/>
          <w:rFonts w:ascii="Times" w:hAnsi="Times"/>
          <w:spacing w:val="40"/>
        </w:rPr>
        <w:t>f</w:t>
      </w:r>
      <w:r>
        <w:t xml:space="preserve"> means Tariff A1 or B1;</w:t>
      </w:r>
    </w:p>
    <w:p w:rsidR="003215D3" w:rsidRDefault="00637860">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rsidR="003215D3" w:rsidRDefault="00637860">
      <w:pPr>
        <w:pStyle w:val="Defstart"/>
      </w:pPr>
      <w:r>
        <w:rPr>
          <w:b/>
        </w:rPr>
        <w:tab/>
      </w:r>
      <w:r>
        <w:rPr>
          <w:rStyle w:val="CharDefText"/>
        </w:rPr>
        <w:t>unit</w:t>
      </w:r>
      <w:r>
        <w:t>, in relation to a charge for electricity, means one kilowatt hour.</w:t>
      </w:r>
    </w:p>
    <w:p w:rsidR="003215D3" w:rsidRDefault="00637860">
      <w:pPr>
        <w:pStyle w:val="Footnotesection"/>
      </w:pPr>
      <w:r>
        <w:tab/>
        <w:t>[By</w:t>
      </w:r>
      <w:r>
        <w:noBreakHyphen/>
        <w:t>law 3 amended: Gazette 30 Mar 2009 p. 970; 29 Jun 2012 p. 2914; 27 Dec 2013 p. 6477; 22 Aug 2014 p. 3024; 16 Feb 2018 p. 470; 21 Jun 2019 p. 2119.]</w:t>
      </w:r>
    </w:p>
    <w:p w:rsidR="003215D3" w:rsidRDefault="00637860">
      <w:pPr>
        <w:pStyle w:val="Ednotesection"/>
      </w:pPr>
      <w:r>
        <w:t>[</w:t>
      </w:r>
      <w:r>
        <w:rPr>
          <w:b/>
          <w:bCs/>
        </w:rPr>
        <w:t>3A.</w:t>
      </w:r>
      <w:r>
        <w:tab/>
        <w:t>Deleted: Gazette 26 Mar 2010 p. 1136.]</w:t>
      </w:r>
    </w:p>
    <w:p w:rsidR="003215D3" w:rsidRDefault="00637860">
      <w:pPr>
        <w:pStyle w:val="Ednotesection"/>
      </w:pPr>
      <w:r>
        <w:t>[</w:t>
      </w:r>
      <w:r>
        <w:rPr>
          <w:b/>
          <w:bCs/>
        </w:rPr>
        <w:t>4A.</w:t>
      </w:r>
      <w:r>
        <w:tab/>
        <w:t>Deleted: Gazette 22 Aug 2014 p. 3024.]</w:t>
      </w:r>
    </w:p>
    <w:p w:rsidR="003215D3" w:rsidRDefault="00637860">
      <w:pPr>
        <w:pStyle w:val="Heading5"/>
        <w:rPr>
          <w:snapToGrid w:val="0"/>
        </w:rPr>
      </w:pPr>
      <w:bookmarkStart w:id="6" w:name="_Toc75169023"/>
      <w:r>
        <w:rPr>
          <w:rStyle w:val="CharSectno"/>
        </w:rPr>
        <w:t>4</w:t>
      </w:r>
      <w:r>
        <w:t>.</w:t>
      </w:r>
      <w:r>
        <w:tab/>
      </w:r>
      <w:r>
        <w:rPr>
          <w:snapToGrid w:val="0"/>
        </w:rPr>
        <w:t>Electricity charges payable by consumers (Sch. 1, Sch. 2)</w:t>
      </w:r>
      <w:bookmarkEnd w:id="6"/>
    </w:p>
    <w:p w:rsidR="003215D3" w:rsidRDefault="00637860">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rsidR="003215D3" w:rsidRDefault="00637860">
      <w:pPr>
        <w:pStyle w:val="Subsection"/>
      </w:pPr>
      <w:r>
        <w:tab/>
        <w:t>(2)</w:t>
      </w:r>
      <w:r>
        <w:tab/>
        <w:t>The charges to be paid by consumers for the unmetered supply of street lighting by the corporation are those specified in Schedule 2 Division 1.</w:t>
      </w:r>
    </w:p>
    <w:p w:rsidR="003215D3" w:rsidRDefault="00637860">
      <w:pPr>
        <w:pStyle w:val="Subsection"/>
      </w:pPr>
      <w:r>
        <w:lastRenderedPageBreak/>
        <w:tab/>
        <w:t>(3)</w:t>
      </w:r>
      <w:r>
        <w:tab/>
        <w:t>The charges to be paid by consumers for the unmetered supply of electricity except street lighting by the corporation are those specified in, or calculated in accordance with, Schedule 2 Division 2.</w:t>
      </w:r>
    </w:p>
    <w:p w:rsidR="003215D3" w:rsidRDefault="00637860">
      <w:pPr>
        <w:pStyle w:val="Footnotesection"/>
      </w:pPr>
      <w:r>
        <w:tab/>
        <w:t>[By</w:t>
      </w:r>
      <w:r>
        <w:noBreakHyphen/>
        <w:t>law 4 amended: Gazette 30 Aug 2013 p. 4097-8.]</w:t>
      </w:r>
    </w:p>
    <w:p w:rsidR="003215D3" w:rsidRDefault="00637860">
      <w:pPr>
        <w:pStyle w:val="Heading5"/>
      </w:pPr>
      <w:bookmarkStart w:id="7" w:name="_Toc75169024"/>
      <w:r>
        <w:rPr>
          <w:rStyle w:val="CharSectno"/>
        </w:rPr>
        <w:t>5</w:t>
      </w:r>
      <w:r>
        <w:t>.</w:t>
      </w:r>
      <w:r>
        <w:tab/>
        <w:t>Residential tariffs, when applicable</w:t>
      </w:r>
      <w:bookmarkEnd w:id="7"/>
    </w:p>
    <w:p w:rsidR="003215D3" w:rsidRDefault="00637860">
      <w:pPr>
        <w:pStyle w:val="Subsection"/>
        <w:rPr>
          <w:snapToGrid w:val="0"/>
        </w:rPr>
      </w:pPr>
      <w:r>
        <w:rPr>
          <w:snapToGrid w:val="0"/>
        </w:rPr>
        <w:tab/>
        <w:t>(1)</w:t>
      </w:r>
      <w:r>
        <w:rPr>
          <w:snapToGrid w:val="0"/>
        </w:rPr>
        <w:tab/>
        <w:t>A consumer is entitled to be supplied on the basis of a residential tariff only if — </w:t>
      </w:r>
    </w:p>
    <w:p w:rsidR="003215D3" w:rsidRDefault="00637860">
      <w:pPr>
        <w:pStyle w:val="Indenta"/>
        <w:rPr>
          <w:snapToGrid w:val="0"/>
        </w:rPr>
      </w:pPr>
      <w:r>
        <w:rPr>
          <w:snapToGrid w:val="0"/>
        </w:rPr>
        <w:tab/>
        <w:t>(a)</w:t>
      </w:r>
      <w:r>
        <w:rPr>
          <w:snapToGrid w:val="0"/>
        </w:rPr>
        <w:tab/>
        <w:t>the premises supplied consist of a dwelling; and</w:t>
      </w:r>
    </w:p>
    <w:p w:rsidR="003215D3" w:rsidRDefault="00637860">
      <w:pPr>
        <w:pStyle w:val="Indenta"/>
        <w:rPr>
          <w:snapToGrid w:val="0"/>
        </w:rPr>
      </w:pPr>
      <w:r>
        <w:rPr>
          <w:snapToGrid w:val="0"/>
        </w:rPr>
        <w:tab/>
        <w:t>(b)</w:t>
      </w:r>
      <w:r>
        <w:rPr>
          <w:snapToGrid w:val="0"/>
        </w:rPr>
        <w:tab/>
        <w:t>the supply is not used for any industrial, commercial, business, or general purpose.</w:t>
      </w:r>
    </w:p>
    <w:p w:rsidR="003215D3" w:rsidRDefault="00637860">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rsidR="003215D3" w:rsidRDefault="00637860">
      <w:pPr>
        <w:pStyle w:val="Heading5"/>
        <w:spacing w:before="180"/>
      </w:pPr>
      <w:bookmarkStart w:id="8" w:name="_Toc75169025"/>
      <w:r>
        <w:rPr>
          <w:rStyle w:val="CharSectno"/>
        </w:rPr>
        <w:t>6</w:t>
      </w:r>
      <w:r>
        <w:t>.</w:t>
      </w:r>
      <w:r>
        <w:tab/>
        <w:t>Subsidiary meters, rental for (Sch. 3)</w:t>
      </w:r>
      <w:bookmarkEnd w:id="8"/>
    </w:p>
    <w:p w:rsidR="003215D3" w:rsidRDefault="00637860">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rsidR="003215D3" w:rsidRDefault="00637860">
      <w:pPr>
        <w:pStyle w:val="Subsection"/>
        <w:rPr>
          <w:snapToGrid w:val="0"/>
        </w:rPr>
      </w:pPr>
      <w:r>
        <w:rPr>
          <w:snapToGrid w:val="0"/>
        </w:rPr>
        <w:tab/>
        <w:t>(2)</w:t>
      </w:r>
      <w:r>
        <w:rPr>
          <w:snapToGrid w:val="0"/>
        </w:rPr>
        <w:tab/>
        <w:t>Sub</w:t>
      </w:r>
      <w:r>
        <w:rPr>
          <w:snapToGrid w:val="0"/>
        </w:rPr>
        <w:noBreakHyphen/>
        <w:t xml:space="preserve">bylaw (1) does not apply to a consumer if — </w:t>
      </w:r>
    </w:p>
    <w:p w:rsidR="003215D3" w:rsidRDefault="00637860">
      <w:pPr>
        <w:pStyle w:val="Indenta"/>
        <w:rPr>
          <w:snapToGrid w:val="0"/>
        </w:rPr>
      </w:pPr>
      <w:r>
        <w:rPr>
          <w:snapToGrid w:val="0"/>
        </w:rPr>
        <w:tab/>
        <w:t>(a)</w:t>
      </w:r>
      <w:r>
        <w:rPr>
          <w:snapToGrid w:val="0"/>
        </w:rPr>
        <w:tab/>
        <w:t>the premises supplied consist of a dwelling; and</w:t>
      </w:r>
    </w:p>
    <w:p w:rsidR="003215D3" w:rsidRDefault="00637860">
      <w:pPr>
        <w:pStyle w:val="Indenta"/>
        <w:rPr>
          <w:snapToGrid w:val="0"/>
        </w:rPr>
      </w:pPr>
      <w:r>
        <w:rPr>
          <w:snapToGrid w:val="0"/>
        </w:rPr>
        <w:tab/>
        <w:t>(b)</w:t>
      </w:r>
      <w:r>
        <w:rPr>
          <w:snapToGrid w:val="0"/>
        </w:rPr>
        <w:tab/>
        <w:t>the supply is not used for any industrial, commercial, business, or general purpose; and</w:t>
      </w:r>
    </w:p>
    <w:p w:rsidR="003215D3" w:rsidRDefault="00637860">
      <w:pPr>
        <w:pStyle w:val="Indenta"/>
        <w:rPr>
          <w:snapToGrid w:val="0"/>
        </w:rPr>
      </w:pPr>
      <w:r>
        <w:rPr>
          <w:snapToGrid w:val="0"/>
        </w:rPr>
        <w:tab/>
        <w:t>(c)</w:t>
      </w:r>
      <w:r>
        <w:rPr>
          <w:snapToGrid w:val="0"/>
        </w:rPr>
        <w:tab/>
        <w:t>the master account is supplied under a residential tariff.</w:t>
      </w:r>
    </w:p>
    <w:p w:rsidR="003215D3" w:rsidRDefault="00637860">
      <w:pPr>
        <w:pStyle w:val="Heading5"/>
      </w:pPr>
      <w:bookmarkStart w:id="9" w:name="_Toc75169026"/>
      <w:r>
        <w:rPr>
          <w:rStyle w:val="CharSectno"/>
        </w:rPr>
        <w:t>7</w:t>
      </w:r>
      <w:r>
        <w:t>.</w:t>
      </w:r>
      <w:r>
        <w:tab/>
        <w:t>Fees (Sch. 4)</w:t>
      </w:r>
      <w:bookmarkEnd w:id="9"/>
    </w:p>
    <w:p w:rsidR="003215D3" w:rsidRDefault="00637860">
      <w:pPr>
        <w:pStyle w:val="Subsection"/>
        <w:rPr>
          <w:snapToGrid w:val="0"/>
        </w:rPr>
      </w:pPr>
      <w:r>
        <w:rPr>
          <w:snapToGrid w:val="0"/>
        </w:rPr>
        <w:tab/>
      </w:r>
      <w:r>
        <w:rPr>
          <w:snapToGrid w:val="0"/>
        </w:rPr>
        <w:tab/>
        <w:t>The fees specified in Schedule 4 are payable in respect of the matters specified in that Schedule.</w:t>
      </w:r>
    </w:p>
    <w:p w:rsidR="003215D3" w:rsidRDefault="00637860">
      <w:pPr>
        <w:pStyle w:val="Heading5"/>
      </w:pPr>
      <w:bookmarkStart w:id="10" w:name="_Toc75169027"/>
      <w:r>
        <w:rPr>
          <w:rStyle w:val="CharSectno"/>
        </w:rPr>
        <w:lastRenderedPageBreak/>
        <w:t>8</w:t>
      </w:r>
      <w:r>
        <w:t>.</w:t>
      </w:r>
      <w:r>
        <w:tab/>
        <w:t>When charges payable; interest on unpaid charges</w:t>
      </w:r>
      <w:bookmarkEnd w:id="10"/>
    </w:p>
    <w:p w:rsidR="003215D3" w:rsidRDefault="00637860">
      <w:pPr>
        <w:pStyle w:val="Subsection"/>
        <w:keepNext/>
      </w:pPr>
      <w:r>
        <w:tab/>
        <w:t>(1)</w:t>
      </w:r>
      <w:r>
        <w:tab/>
        <w:t>In this by</w:t>
      </w:r>
      <w:r>
        <w:noBreakHyphen/>
        <w:t xml:space="preserve">law — </w:t>
      </w:r>
    </w:p>
    <w:p w:rsidR="003215D3" w:rsidRDefault="00637860">
      <w:pPr>
        <w:pStyle w:val="Defstart"/>
      </w:pPr>
      <w:r>
        <w:rPr>
          <w:b/>
        </w:rPr>
        <w:tab/>
      </w:r>
      <w:r>
        <w:rPr>
          <w:rStyle w:val="CharDefText"/>
        </w:rPr>
        <w:t>relevant period</w:t>
      </w:r>
      <w:r>
        <w:t xml:space="preserve"> means — </w:t>
      </w:r>
    </w:p>
    <w:p w:rsidR="003215D3" w:rsidRDefault="00637860">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rsidR="003215D3" w:rsidRDefault="00637860">
      <w:pPr>
        <w:pStyle w:val="Defpara"/>
      </w:pPr>
      <w:r>
        <w:tab/>
        <w:t>(b)</w:t>
      </w:r>
      <w:r>
        <w:tab/>
        <w:t>in any other case, the period of 14 days after payment is requested by the corporation.</w:t>
      </w:r>
    </w:p>
    <w:p w:rsidR="003215D3" w:rsidRDefault="00637860">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rsidR="003215D3" w:rsidRDefault="00637860">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rsidR="003215D3" w:rsidRDefault="00637860">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rsidR="003215D3" w:rsidRDefault="00637860">
      <w:pPr>
        <w:pStyle w:val="Footnotesection"/>
      </w:pPr>
      <w:r>
        <w:tab/>
        <w:t>[By</w:t>
      </w:r>
      <w:r>
        <w:noBreakHyphen/>
        <w:t>law 8 amended: Gazette 30 Mar 2009 p. 970.]</w:t>
      </w:r>
    </w:p>
    <w:p w:rsidR="003215D3" w:rsidRDefault="00637860">
      <w:pPr>
        <w:pStyle w:val="Ednotesection"/>
      </w:pPr>
      <w:r>
        <w:t>[</w:t>
      </w:r>
      <w:r>
        <w:rPr>
          <w:b/>
          <w:bCs/>
        </w:rPr>
        <w:t>9.</w:t>
      </w:r>
      <w:r>
        <w:tab/>
        <w:t>Deleted: Gazette 21 Sep 2012 p. 4424.]</w:t>
      </w:r>
    </w:p>
    <w:p w:rsidR="003215D3" w:rsidRDefault="00637860">
      <w:pPr>
        <w:pStyle w:val="Heading5"/>
      </w:pPr>
      <w:bookmarkStart w:id="11" w:name="_Toc75169028"/>
      <w:r>
        <w:rPr>
          <w:rStyle w:val="CharSectno"/>
        </w:rPr>
        <w:t>10</w:t>
      </w:r>
      <w:r>
        <w:t>.</w:t>
      </w:r>
      <w:r>
        <w:tab/>
        <w:t>Calculation of charges</w:t>
      </w:r>
      <w:bookmarkEnd w:id="11"/>
    </w:p>
    <w:p w:rsidR="003215D3" w:rsidRDefault="00637860">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rsidR="003215D3" w:rsidRDefault="00637860">
      <w:pPr>
        <w:pStyle w:val="Ednotesubsection"/>
      </w:pPr>
      <w:r>
        <w:tab/>
        <w:t>[(2)</w:t>
      </w:r>
      <w:r>
        <w:tab/>
        <w:t>deleted]</w:t>
      </w:r>
    </w:p>
    <w:p w:rsidR="003215D3" w:rsidRDefault="00637860">
      <w:pPr>
        <w:pStyle w:val="Footnotesection"/>
      </w:pPr>
      <w:r>
        <w:tab/>
        <w:t>[By</w:t>
      </w:r>
      <w:r>
        <w:noBreakHyphen/>
        <w:t>law 10 amended: Gazette 21 Jun 2019 p. 2120.]</w:t>
      </w:r>
    </w:p>
    <w:p w:rsidR="003215D3" w:rsidRDefault="00637860">
      <w:pPr>
        <w:pStyle w:val="Heading5"/>
      </w:pPr>
      <w:bookmarkStart w:id="12" w:name="_Toc75169029"/>
      <w:r>
        <w:rPr>
          <w:rStyle w:val="CharSectno"/>
        </w:rPr>
        <w:lastRenderedPageBreak/>
        <w:t>11</w:t>
      </w:r>
      <w:r>
        <w:t>.</w:t>
      </w:r>
      <w:r>
        <w:tab/>
        <w:t>Changes to rate of charges, adjustment for</w:t>
      </w:r>
      <w:bookmarkEnd w:id="12"/>
    </w:p>
    <w:p w:rsidR="003215D3" w:rsidRDefault="00637860">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rsidR="003215D3" w:rsidRDefault="00637860">
      <w:pPr>
        <w:pStyle w:val="Heading5"/>
      </w:pPr>
      <w:bookmarkStart w:id="13" w:name="_Toc75169030"/>
      <w:r>
        <w:rPr>
          <w:rStyle w:val="CharSectno"/>
        </w:rPr>
        <w:t>12</w:t>
      </w:r>
      <w:r>
        <w:t>.</w:t>
      </w:r>
      <w:r>
        <w:tab/>
        <w:t>Interest rate prescribed (Act s. 62(16))</w:t>
      </w:r>
      <w:bookmarkEnd w:id="13"/>
    </w:p>
    <w:p w:rsidR="003215D3" w:rsidRDefault="00637860">
      <w:pPr>
        <w:pStyle w:val="Subsection"/>
      </w:pPr>
      <w:r>
        <w:tab/>
        <w:t>(1)</w:t>
      </w:r>
      <w:r>
        <w:tab/>
        <w:t>In this by</w:t>
      </w:r>
      <w:r>
        <w:noBreakHyphen/>
        <w:t xml:space="preserve">law — </w:t>
      </w:r>
    </w:p>
    <w:p w:rsidR="003215D3" w:rsidRDefault="00637860">
      <w:pPr>
        <w:pStyle w:val="Defstart"/>
      </w:pPr>
      <w:r>
        <w:tab/>
      </w:r>
      <w:r>
        <w:rPr>
          <w:rStyle w:val="CharDefText"/>
        </w:rPr>
        <w:t>interest period</w:t>
      </w:r>
      <w:r>
        <w:t xml:space="preserve"> means the period in respect of which payment is made or credit is given.</w:t>
      </w:r>
    </w:p>
    <w:p w:rsidR="003215D3" w:rsidRDefault="00637860">
      <w:pPr>
        <w:pStyle w:val="Subsection"/>
      </w:pPr>
      <w:r>
        <w:tab/>
        <w:t>(2)</w:t>
      </w:r>
      <w:r>
        <w:tab/>
        <w:t xml:space="preserve">For the purposes of section 62(16) of the Act, the rate at which interest is to be paid, or given credit for, by the corporation is — </w:t>
      </w:r>
    </w:p>
    <w:p w:rsidR="003215D3" w:rsidRDefault="00637860">
      <w:pPr>
        <w:pStyle w:val="Indenta"/>
      </w:pPr>
      <w:r>
        <w:tab/>
        <w:t>(a)</w:t>
      </w:r>
      <w:r>
        <w:tab/>
        <w:t>the rate that is equal to the RBA cash rate for the interest period; or</w:t>
      </w:r>
    </w:p>
    <w:p w:rsidR="003215D3" w:rsidRDefault="00637860">
      <w:pPr>
        <w:pStyle w:val="Indenta"/>
      </w:pPr>
      <w:r>
        <w:tab/>
        <w:t>(b)</w:t>
      </w:r>
      <w:r>
        <w:tab/>
        <w:t>if there is more than one RBA cash rate for the interest period — the rate that is equal to the average of the RBA cash rates for that period.</w:t>
      </w:r>
    </w:p>
    <w:p w:rsidR="003215D3" w:rsidRDefault="00637860">
      <w:pPr>
        <w:pStyle w:val="Footnotesection"/>
      </w:pPr>
      <w:r>
        <w:tab/>
        <w:t>[By</w:t>
      </w:r>
      <w:r>
        <w:noBreakHyphen/>
        <w:t>law 12 inserted: Gazette 30 Mar 2009 p. 970</w:t>
      </w:r>
      <w:r>
        <w:noBreakHyphen/>
        <w:t>1.]</w:t>
      </w:r>
    </w:p>
    <w:p w:rsidR="003215D3" w:rsidRDefault="003215D3">
      <w:pPr>
        <w:sectPr w:rsidR="003215D3">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rsidR="003215D3" w:rsidRDefault="00637860">
      <w:pPr>
        <w:pStyle w:val="yScheduleHeading"/>
      </w:pPr>
      <w:bookmarkStart w:id="14" w:name="_Toc75162959"/>
      <w:bookmarkStart w:id="15" w:name="_Toc75163310"/>
      <w:bookmarkStart w:id="16" w:name="_Toc75163373"/>
      <w:bookmarkStart w:id="17" w:name="_Toc75169031"/>
      <w:r>
        <w:rPr>
          <w:rStyle w:val="CharSchNo"/>
        </w:rPr>
        <w:lastRenderedPageBreak/>
        <w:t>Schedule 1</w:t>
      </w:r>
      <w:r>
        <w:t> — </w:t>
      </w:r>
      <w:r>
        <w:rPr>
          <w:rStyle w:val="CharSchText"/>
        </w:rPr>
        <w:t>Supply charges</w:t>
      </w:r>
      <w:bookmarkEnd w:id="14"/>
      <w:bookmarkEnd w:id="15"/>
      <w:bookmarkEnd w:id="16"/>
      <w:bookmarkEnd w:id="17"/>
    </w:p>
    <w:p w:rsidR="003215D3" w:rsidRDefault="00637860">
      <w:pPr>
        <w:pStyle w:val="yShoulderClause"/>
      </w:pPr>
      <w:r>
        <w:t>[bl. 3, 4(1) and 10(1)]</w:t>
      </w:r>
    </w:p>
    <w:p w:rsidR="003215D3" w:rsidRDefault="00637860">
      <w:pPr>
        <w:pStyle w:val="yFootnoteheading"/>
      </w:pPr>
      <w:r>
        <w:tab/>
        <w:t>[Heading inserted: SL 2020/79 bl. 4.]</w:t>
      </w:r>
    </w:p>
    <w:p w:rsidR="003215D3" w:rsidRDefault="00637860">
      <w:pPr>
        <w:pStyle w:val="yHeading5"/>
      </w:pPr>
      <w:bookmarkStart w:id="18" w:name="_Toc75169032"/>
      <w:r>
        <w:rPr>
          <w:rStyle w:val="CharSClsNo"/>
        </w:rPr>
        <w:t>1</w:t>
      </w:r>
      <w:r>
        <w:t>.</w:t>
      </w:r>
      <w:r>
        <w:tab/>
        <w:t>Tariff L1 (general supply — low/medium voltage tariff)</w:t>
      </w:r>
      <w:bookmarkEnd w:id="18"/>
    </w:p>
    <w:p w:rsidR="003215D3" w:rsidRDefault="00637860">
      <w:pPr>
        <w:pStyle w:val="ySubsection"/>
      </w:pPr>
      <w:r>
        <w:tab/>
        <w:t>(1)</w:t>
      </w:r>
      <w:r>
        <w:tab/>
        <w:t>Tariff L1 is available for low/medium voltage supply.</w:t>
      </w:r>
    </w:p>
    <w:p w:rsidR="003215D3" w:rsidRDefault="00637860">
      <w:pPr>
        <w:pStyle w:val="ySubsection"/>
      </w:pPr>
      <w:r>
        <w:tab/>
        <w:t>(2)</w:t>
      </w:r>
      <w:r>
        <w:tab/>
        <w:t xml:space="preserve">Tariff L1 comprises — </w:t>
      </w:r>
    </w:p>
    <w:p w:rsidR="003215D3" w:rsidRDefault="00637860">
      <w:pPr>
        <w:pStyle w:val="yIndenta"/>
      </w:pPr>
      <w:r>
        <w:tab/>
        <w:t>(a)</w:t>
      </w:r>
      <w:r>
        <w:tab/>
        <w:t>a fixed charge at the rate of $1.8447 per day; and</w:t>
      </w:r>
    </w:p>
    <w:p w:rsidR="003215D3" w:rsidRDefault="00637860">
      <w:pPr>
        <w:pStyle w:val="yIndenta"/>
      </w:pPr>
      <w:r>
        <w:tab/>
        <w:t>(b)</w:t>
      </w:r>
      <w:r>
        <w:tab/>
        <w:t xml:space="preserve">a charge for metered consumption at the rate of — </w:t>
      </w:r>
    </w:p>
    <w:p w:rsidR="003215D3" w:rsidRDefault="00637860">
      <w:pPr>
        <w:pStyle w:val="yIndenti0"/>
      </w:pPr>
      <w:r>
        <w:tab/>
        <w:t>(i)</w:t>
      </w:r>
      <w:r>
        <w:tab/>
        <w:t>28.7065 cents per unit for the first 1 650 units per day; and</w:t>
      </w:r>
    </w:p>
    <w:p w:rsidR="003215D3" w:rsidRDefault="00637860">
      <w:pPr>
        <w:pStyle w:val="yIndenti0"/>
      </w:pPr>
      <w:r>
        <w:tab/>
        <w:t>(ii)</w:t>
      </w:r>
      <w:r>
        <w:tab/>
        <w:t>32.3656 cents per unit for all units exceeding 1 650 units per day.</w:t>
      </w:r>
    </w:p>
    <w:p w:rsidR="003215D3" w:rsidRDefault="00637860">
      <w:pPr>
        <w:pStyle w:val="ySubsection"/>
      </w:pPr>
      <w:r>
        <w:tab/>
        <w:t>(3)</w:t>
      </w:r>
      <w:r>
        <w:tab/>
        <w:t>Tariff L1 is available subject to the condition that the consumer satisfies the corporation that the amount of electricity supplied to the consumer’s premises will be less than 50 MW hours per annum.</w:t>
      </w:r>
    </w:p>
    <w:p w:rsidR="003215D3" w:rsidRDefault="00637860">
      <w:pPr>
        <w:pStyle w:val="yFootnotesection"/>
      </w:pPr>
      <w:r>
        <w:tab/>
        <w:t>[Clause 1 inserted: SL 2020/79 bl. 4.]</w:t>
      </w:r>
    </w:p>
    <w:p w:rsidR="003215D3" w:rsidRDefault="00637860">
      <w:pPr>
        <w:pStyle w:val="yHeading5"/>
      </w:pPr>
      <w:bookmarkStart w:id="19" w:name="_Toc75169033"/>
      <w:r>
        <w:rPr>
          <w:rStyle w:val="CharSClsNo"/>
        </w:rPr>
        <w:t>2</w:t>
      </w:r>
      <w:r>
        <w:t>.</w:t>
      </w:r>
      <w:r>
        <w:tab/>
        <w:t>Tariff L3 (general supply — low/medium voltage tariff)</w:t>
      </w:r>
      <w:bookmarkEnd w:id="19"/>
      <w:r>
        <w:t xml:space="preserve"> </w:t>
      </w:r>
    </w:p>
    <w:p w:rsidR="003215D3" w:rsidRDefault="00637860">
      <w:pPr>
        <w:pStyle w:val="ySubsection"/>
      </w:pPr>
      <w:r>
        <w:tab/>
        <w:t>(1)</w:t>
      </w:r>
      <w:r>
        <w:tab/>
        <w:t>Tariff L3 is available for low/medium voltage supply.</w:t>
      </w:r>
    </w:p>
    <w:p w:rsidR="003215D3" w:rsidRDefault="00637860">
      <w:pPr>
        <w:pStyle w:val="ySubsection"/>
      </w:pPr>
      <w:r>
        <w:tab/>
        <w:t>(2)</w:t>
      </w:r>
      <w:r>
        <w:tab/>
        <w:t xml:space="preserve">Tariff L3 comprises — </w:t>
      </w:r>
    </w:p>
    <w:p w:rsidR="003215D3" w:rsidRDefault="00637860">
      <w:pPr>
        <w:pStyle w:val="yIndenta"/>
      </w:pPr>
      <w:r>
        <w:tab/>
        <w:t>(a)</w:t>
      </w:r>
      <w:r>
        <w:tab/>
        <w:t>a fixed charge at the rate of $1.9747 per day; and</w:t>
      </w:r>
    </w:p>
    <w:p w:rsidR="003215D3" w:rsidRDefault="00637860">
      <w:pPr>
        <w:pStyle w:val="yIndenta"/>
      </w:pPr>
      <w:r>
        <w:tab/>
        <w:t>(b)</w:t>
      </w:r>
      <w:r>
        <w:tab/>
        <w:t xml:space="preserve">a charge for metered consumption at the rate of — </w:t>
      </w:r>
    </w:p>
    <w:p w:rsidR="003215D3" w:rsidRDefault="00637860">
      <w:pPr>
        <w:pStyle w:val="yIndenti0"/>
      </w:pPr>
      <w:r>
        <w:tab/>
        <w:t>(i)</w:t>
      </w:r>
      <w:r>
        <w:tab/>
        <w:t>40.1101</w:t>
      </w:r>
      <w:r>
        <w:rPr>
          <w:szCs w:val="22"/>
        </w:rPr>
        <w:t xml:space="preserve"> </w:t>
      </w:r>
      <w:r>
        <w:t>cents per unit for the first 1 650 units per day; and</w:t>
      </w:r>
    </w:p>
    <w:p w:rsidR="003215D3" w:rsidRDefault="00637860">
      <w:pPr>
        <w:pStyle w:val="yIndenti0"/>
      </w:pPr>
      <w:r>
        <w:tab/>
        <w:t>(ii)</w:t>
      </w:r>
      <w:r>
        <w:tab/>
        <w:t>34.0347</w:t>
      </w:r>
      <w:r>
        <w:rPr>
          <w:szCs w:val="22"/>
        </w:rPr>
        <w:t xml:space="preserve"> </w:t>
      </w:r>
      <w:r>
        <w:t>cents per unit for all units exceeding 1 650 units per day.</w:t>
      </w:r>
    </w:p>
    <w:p w:rsidR="003215D3" w:rsidRDefault="00637860">
      <w:pPr>
        <w:pStyle w:val="ySubsection"/>
      </w:pPr>
      <w:r>
        <w:tab/>
        <w:t>(3)</w:t>
      </w:r>
      <w:r>
        <w:tab/>
        <w:t>Tariff L3 is available subject to the condition that the consumer satisfies the corporation that the amount of electricity supplied to the consumer’s premises will be 50 MW hours or more per annum.</w:t>
      </w:r>
    </w:p>
    <w:p w:rsidR="003215D3" w:rsidRDefault="00637860">
      <w:pPr>
        <w:pStyle w:val="yFootnotesection"/>
      </w:pPr>
      <w:r>
        <w:tab/>
        <w:t>[Clause 2 inserted: SL 2020/79 bl. 4.]</w:t>
      </w:r>
    </w:p>
    <w:p w:rsidR="003215D3" w:rsidRDefault="00637860">
      <w:pPr>
        <w:pStyle w:val="yHeading5"/>
      </w:pPr>
      <w:bookmarkStart w:id="20" w:name="_Toc75169034"/>
      <w:r>
        <w:rPr>
          <w:rStyle w:val="CharSClsNo"/>
        </w:rPr>
        <w:lastRenderedPageBreak/>
        <w:t>3</w:t>
      </w:r>
      <w:r>
        <w:t>.</w:t>
      </w:r>
      <w:r>
        <w:tab/>
        <w:t>Tariff R1 (time</w:t>
      </w:r>
      <w:r>
        <w:noBreakHyphen/>
        <w:t>of</w:t>
      </w:r>
      <w:r>
        <w:noBreakHyphen/>
        <w:t>use tariff)</w:t>
      </w:r>
      <w:bookmarkEnd w:id="20"/>
    </w:p>
    <w:p w:rsidR="003215D3" w:rsidRDefault="00637860">
      <w:pPr>
        <w:pStyle w:val="ySubsection"/>
      </w:pPr>
      <w:r>
        <w:tab/>
        <w:t>(1)</w:t>
      </w:r>
      <w:r>
        <w:tab/>
        <w:t>Tariff R1 comprises —</w:t>
      </w:r>
    </w:p>
    <w:p w:rsidR="003215D3" w:rsidRDefault="00637860">
      <w:pPr>
        <w:pStyle w:val="yIndenta"/>
      </w:pPr>
      <w:r>
        <w:tab/>
        <w:t>(a)</w:t>
      </w:r>
      <w:r>
        <w:tab/>
        <w:t>a fixed charge at the rate of $3.4494 per day; and</w:t>
      </w:r>
    </w:p>
    <w:p w:rsidR="003215D3" w:rsidRDefault="00637860">
      <w:pPr>
        <w:pStyle w:val="yIndenta"/>
      </w:pPr>
      <w:r>
        <w:tab/>
        <w:t>(b)</w:t>
      </w:r>
      <w:r>
        <w:tab/>
        <w:t>an energy charge consisting of — </w:t>
      </w:r>
    </w:p>
    <w:p w:rsidR="003215D3" w:rsidRDefault="00637860">
      <w:pPr>
        <w:pStyle w:val="yIndenti0"/>
      </w:pPr>
      <w:r>
        <w:tab/>
        <w:t>(i)</w:t>
      </w:r>
      <w:r>
        <w:tab/>
        <w:t>an on peak energy charge at the rate of 37.4114 cents per unit; and</w:t>
      </w:r>
    </w:p>
    <w:p w:rsidR="003215D3" w:rsidRDefault="00637860">
      <w:pPr>
        <w:pStyle w:val="yIndenti0"/>
      </w:pPr>
      <w:r>
        <w:tab/>
        <w:t>(ii)</w:t>
      </w:r>
      <w:r>
        <w:tab/>
        <w:t>an off peak energy charge at the rate of 11.2234 cents per unit.</w:t>
      </w:r>
    </w:p>
    <w:p w:rsidR="003215D3" w:rsidRDefault="00637860">
      <w:pPr>
        <w:pStyle w:val="ySubsection"/>
      </w:pPr>
      <w:r>
        <w:tab/>
        <w:t>(2)</w:t>
      </w:r>
      <w:r>
        <w:tab/>
        <w:t>Tariff R1 is available subject to the following conditions —</w:t>
      </w:r>
    </w:p>
    <w:p w:rsidR="003215D3" w:rsidRDefault="00637860">
      <w:pPr>
        <w:pStyle w:val="yIndenta"/>
      </w:pPr>
      <w:r>
        <w:tab/>
        <w:t>(a)</w:t>
      </w:r>
      <w:r>
        <w:tab/>
        <w:t>the consumer agrees to take the tariff for a minimum period of 12 months;</w:t>
      </w:r>
    </w:p>
    <w:p w:rsidR="003215D3" w:rsidRDefault="00637860">
      <w:pPr>
        <w:pStyle w:val="yIndenta"/>
      </w:pPr>
      <w:r>
        <w:tab/>
        <w:t>(b)</w:t>
      </w:r>
      <w:r>
        <w:tab/>
        <w:t>the consumer pays the fee set out in Schedule 4 item 10;</w:t>
      </w:r>
    </w:p>
    <w:p w:rsidR="003215D3" w:rsidRDefault="00637860">
      <w:pPr>
        <w:pStyle w:val="yIndenta"/>
      </w:pPr>
      <w:r>
        <w:tab/>
        <w:t>(c)</w:t>
      </w:r>
      <w:r>
        <w:tab/>
        <w:t>the consumer satisfies the corporation that the amount of electricity supplied to the consumer’s premises will be less than 50 MW hours per annum.</w:t>
      </w:r>
    </w:p>
    <w:p w:rsidR="003215D3" w:rsidRDefault="00637860">
      <w:pPr>
        <w:pStyle w:val="yFootnotesection"/>
      </w:pPr>
      <w:r>
        <w:tab/>
        <w:t>[Clause 3 inserted: SL 2020/79 bl. 4.]</w:t>
      </w:r>
    </w:p>
    <w:p w:rsidR="003215D3" w:rsidRDefault="00637860">
      <w:pPr>
        <w:pStyle w:val="yHeading5"/>
      </w:pPr>
      <w:bookmarkStart w:id="21" w:name="_Toc75169035"/>
      <w:r>
        <w:rPr>
          <w:rStyle w:val="CharSClsNo"/>
        </w:rPr>
        <w:t>4</w:t>
      </w:r>
      <w:r>
        <w:t>.</w:t>
      </w:r>
      <w:r>
        <w:tab/>
        <w:t>Tariff R3 (time</w:t>
      </w:r>
      <w:r>
        <w:noBreakHyphen/>
        <w:t>of</w:t>
      </w:r>
      <w:r>
        <w:noBreakHyphen/>
        <w:t>use tariff)</w:t>
      </w:r>
      <w:bookmarkEnd w:id="21"/>
    </w:p>
    <w:p w:rsidR="003215D3" w:rsidRDefault="00637860">
      <w:pPr>
        <w:pStyle w:val="ySubsection"/>
      </w:pPr>
      <w:r>
        <w:tab/>
        <w:t>(1)</w:t>
      </w:r>
      <w:r>
        <w:tab/>
        <w:t>Tariff R3 comprises —</w:t>
      </w:r>
    </w:p>
    <w:p w:rsidR="003215D3" w:rsidRDefault="00637860">
      <w:pPr>
        <w:pStyle w:val="yIndenta"/>
      </w:pPr>
      <w:r>
        <w:tab/>
        <w:t>(a)</w:t>
      </w:r>
      <w:r>
        <w:tab/>
        <w:t xml:space="preserve">a fixed charge at the rate of </w:t>
      </w:r>
      <w:r>
        <w:rPr>
          <w:szCs w:val="22"/>
        </w:rPr>
        <w:t>$3.7424</w:t>
      </w:r>
      <w:r>
        <w:t xml:space="preserve"> per day; and</w:t>
      </w:r>
    </w:p>
    <w:p w:rsidR="003215D3" w:rsidRDefault="00637860">
      <w:pPr>
        <w:pStyle w:val="yIndenta"/>
      </w:pPr>
      <w:r>
        <w:tab/>
        <w:t>(b)</w:t>
      </w:r>
      <w:r>
        <w:tab/>
        <w:t>an energy charge consisting of — </w:t>
      </w:r>
    </w:p>
    <w:p w:rsidR="003215D3" w:rsidRDefault="00637860">
      <w:pPr>
        <w:pStyle w:val="yIndenti0"/>
      </w:pPr>
      <w:r>
        <w:tab/>
        <w:t>(i)</w:t>
      </w:r>
      <w:r>
        <w:tab/>
        <w:t>an on peak energy charge at the rate of 54.5881</w:t>
      </w:r>
      <w:r>
        <w:rPr>
          <w:szCs w:val="22"/>
        </w:rPr>
        <w:t xml:space="preserve"> </w:t>
      </w:r>
      <w:r>
        <w:t>cents per unit; and</w:t>
      </w:r>
    </w:p>
    <w:p w:rsidR="003215D3" w:rsidRDefault="00637860">
      <w:pPr>
        <w:pStyle w:val="yIndenti0"/>
      </w:pPr>
      <w:r>
        <w:tab/>
        <w:t>(ii)</w:t>
      </w:r>
      <w:r>
        <w:tab/>
        <w:t>an off peak energy charge at the rate of 16.3983</w:t>
      </w:r>
      <w:r>
        <w:rPr>
          <w:szCs w:val="22"/>
        </w:rPr>
        <w:t xml:space="preserve"> </w:t>
      </w:r>
      <w:r>
        <w:t>cents per unit.</w:t>
      </w:r>
    </w:p>
    <w:p w:rsidR="003215D3" w:rsidRDefault="00637860">
      <w:pPr>
        <w:pStyle w:val="ySubsection"/>
      </w:pPr>
      <w:r>
        <w:tab/>
        <w:t>(2)</w:t>
      </w:r>
      <w:r>
        <w:tab/>
        <w:t>Tariff R3 is available subject to the following conditions —</w:t>
      </w:r>
    </w:p>
    <w:p w:rsidR="003215D3" w:rsidRDefault="00637860">
      <w:pPr>
        <w:pStyle w:val="yIndenta"/>
      </w:pPr>
      <w:r>
        <w:tab/>
        <w:t>(a)</w:t>
      </w:r>
      <w:r>
        <w:tab/>
        <w:t>the consumer agrees to take the tariff for a minimum period of 12 months;</w:t>
      </w:r>
    </w:p>
    <w:p w:rsidR="003215D3" w:rsidRDefault="00637860">
      <w:pPr>
        <w:pStyle w:val="yIndenta"/>
      </w:pPr>
      <w:r>
        <w:tab/>
        <w:t>(b)</w:t>
      </w:r>
      <w:r>
        <w:tab/>
        <w:t>the consumer pays the fee set out in Schedule 4 item 10;</w:t>
      </w:r>
    </w:p>
    <w:p w:rsidR="003215D3" w:rsidRDefault="00637860">
      <w:pPr>
        <w:pStyle w:val="yIndenta"/>
        <w:keepNext/>
      </w:pPr>
      <w:r>
        <w:lastRenderedPageBreak/>
        <w:tab/>
        <w:t>(c)</w:t>
      </w:r>
      <w:r>
        <w:tab/>
        <w:t>the consumer satisfies the corporation that the amount of electricity supplied to the consumer’s premises will be 50 MW hours or more per annum.</w:t>
      </w:r>
    </w:p>
    <w:p w:rsidR="003215D3" w:rsidRDefault="00637860">
      <w:pPr>
        <w:pStyle w:val="yFootnotesection"/>
      </w:pPr>
      <w:r>
        <w:tab/>
        <w:t>[Clause 4 inserted: SL 2020/79 bl. 4.]</w:t>
      </w:r>
    </w:p>
    <w:p w:rsidR="003215D3" w:rsidRDefault="00637860">
      <w:pPr>
        <w:pStyle w:val="yHeading5"/>
      </w:pPr>
      <w:bookmarkStart w:id="22" w:name="_Toc75169036"/>
      <w:r>
        <w:rPr>
          <w:rStyle w:val="CharSClsNo"/>
        </w:rPr>
        <w:t>5</w:t>
      </w:r>
      <w:r>
        <w:t>.</w:t>
      </w:r>
      <w:r>
        <w:tab/>
        <w:t>Standby charges</w:t>
      </w:r>
      <w:bookmarkEnd w:id="22"/>
    </w:p>
    <w:p w:rsidR="003215D3" w:rsidRDefault="00637860">
      <w:pPr>
        <w:pStyle w:val="ySubsection"/>
      </w:pPr>
      <w:r>
        <w:tab/>
        <w:t>(1)</w:t>
      </w:r>
      <w:r>
        <w:tab/>
        <w:t>Standby charges are applicable to consumers with their own generation and supplied on Tariff L1, L3, R1 or R3 and are payable in addition to those tariffs.</w:t>
      </w:r>
    </w:p>
    <w:p w:rsidR="003215D3" w:rsidRDefault="00637860">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rsidR="003215D3" w:rsidRDefault="00637860">
      <w:pPr>
        <w:pStyle w:val="ySubsection"/>
      </w:pPr>
      <w:r>
        <w:tab/>
        <w:t>(3)</w:t>
      </w:r>
      <w:r>
        <w:tab/>
        <w:t>The normal half</w:t>
      </w:r>
      <w:r>
        <w:noBreakHyphen/>
        <w:t>hourly maximum demand is to be assessed by the corporation and is to be based on loading normally supplied from the corporation’s supply.</w:t>
      </w:r>
    </w:p>
    <w:p w:rsidR="003215D3" w:rsidRDefault="00637860">
      <w:pPr>
        <w:pStyle w:val="ySubsection"/>
      </w:pPr>
      <w:r>
        <w:tab/>
        <w:t>(4)</w:t>
      </w:r>
      <w:r>
        <w:tab/>
        <w:t>Notwithstanding the corporation’s assessment, in any accounting period the normal half</w:t>
      </w:r>
      <w:r>
        <w:noBreakHyphen/>
        <w:t>hourly maximum demand is taken to be not less than — </w:t>
      </w:r>
    </w:p>
    <w:p w:rsidR="003215D3" w:rsidRDefault="0019795B">
      <w:pPr>
        <w:pStyle w:val="Equation"/>
        <w:spacing w:before="120"/>
        <w:ind w:left="1418"/>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rsidR="003215D3" w:rsidRDefault="00637860">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rsidR="003215D3" w:rsidRDefault="00637860">
      <w:pPr>
        <w:pStyle w:val="ySubsection"/>
      </w:pPr>
      <w:r>
        <w:tab/>
        <w:t>(6)</w:t>
      </w:r>
      <w:r>
        <w:tab/>
        <w:t>The difference between total half</w:t>
      </w:r>
      <w:r>
        <w:noBreakHyphen/>
        <w:t>hourly maximum demand and normal half</w:t>
      </w:r>
      <w:r>
        <w:noBreakHyphen/>
        <w:t>hourly maximum demand is not to exceed —</w:t>
      </w:r>
    </w:p>
    <w:p w:rsidR="003215D3" w:rsidRDefault="00637860">
      <w:pPr>
        <w:pStyle w:val="yIndenta"/>
      </w:pPr>
      <w:r>
        <w:tab/>
        <w:t>(a)</w:t>
      </w:r>
      <w:r>
        <w:tab/>
        <w:t>the capacity of the consumer’s generation equipment; or</w:t>
      </w:r>
    </w:p>
    <w:p w:rsidR="003215D3" w:rsidRDefault="00637860">
      <w:pPr>
        <w:pStyle w:val="yIndenta"/>
      </w:pPr>
      <w:r>
        <w:tab/>
        <w:t>(b)</w:t>
      </w:r>
      <w:r>
        <w:tab/>
        <w:t>the expected maximum loading of such generation equipment, as assessed by the corporation.</w:t>
      </w:r>
    </w:p>
    <w:p w:rsidR="003215D3" w:rsidRDefault="00637860">
      <w:pPr>
        <w:pStyle w:val="ySubsection"/>
        <w:keepNext/>
      </w:pPr>
      <w:r>
        <w:lastRenderedPageBreak/>
        <w:tab/>
        <w:t>(7)</w:t>
      </w:r>
      <w:r>
        <w:tab/>
        <w:t xml:space="preserve">The provision of a standby service is subject to the following conditions — </w:t>
      </w:r>
    </w:p>
    <w:p w:rsidR="003215D3" w:rsidRDefault="00637860">
      <w:pPr>
        <w:pStyle w:val="yIndenta"/>
      </w:pPr>
      <w:r>
        <w:tab/>
        <w:t>(a)</w:t>
      </w:r>
      <w:r>
        <w:tab/>
        <w:t>the consumer must pay for the cost of all additional mains and equipment necessary to provide the standby service;</w:t>
      </w:r>
    </w:p>
    <w:p w:rsidR="003215D3" w:rsidRDefault="00637860">
      <w:pPr>
        <w:pStyle w:val="yIndenta"/>
      </w:pPr>
      <w:r>
        <w:tab/>
        <w:t>(b)</w:t>
      </w:r>
      <w:r>
        <w:tab/>
        <w:t>the standby service agreement must be for a minimum period of 12 months;</w:t>
      </w:r>
    </w:p>
    <w:p w:rsidR="003215D3" w:rsidRDefault="00637860">
      <w:pPr>
        <w:pStyle w:val="yIndenta"/>
      </w:pPr>
      <w:r>
        <w:tab/>
        <w:t>(c)</w:t>
      </w:r>
      <w:r>
        <w:tab/>
        <w:t>the consumer must give 6 months’ notice in writing to the corporation of intention to terminate the standby service agreement.</w:t>
      </w:r>
    </w:p>
    <w:p w:rsidR="003215D3" w:rsidRDefault="00637860">
      <w:pPr>
        <w:pStyle w:val="yFootnotesection"/>
      </w:pPr>
      <w:r>
        <w:tab/>
        <w:t>[Clause 5 inserted: SL 2020/79 bl. 4.]</w:t>
      </w:r>
    </w:p>
    <w:p w:rsidR="003215D3" w:rsidRDefault="00637860">
      <w:pPr>
        <w:pStyle w:val="yHeading5"/>
      </w:pPr>
      <w:bookmarkStart w:id="23" w:name="_Toc75169037"/>
      <w:r>
        <w:rPr>
          <w:rStyle w:val="CharSClsNo"/>
        </w:rPr>
        <w:t>6</w:t>
      </w:r>
      <w:r>
        <w:t>.</w:t>
      </w:r>
      <w:r>
        <w:tab/>
        <w:t>Tariff A1 (residential tariff)</w:t>
      </w:r>
      <w:bookmarkEnd w:id="23"/>
    </w:p>
    <w:p w:rsidR="003215D3" w:rsidRDefault="00637860">
      <w:pPr>
        <w:pStyle w:val="ySubsection"/>
      </w:pPr>
      <w:r>
        <w:tab/>
        <w:t>(1)</w:t>
      </w:r>
      <w:r>
        <w:tab/>
        <w:t>Tariff A1 is available for residential use only.</w:t>
      </w:r>
    </w:p>
    <w:p w:rsidR="003215D3" w:rsidRDefault="00637860">
      <w:pPr>
        <w:pStyle w:val="ySubsection"/>
      </w:pPr>
      <w:r>
        <w:tab/>
        <w:t>(2)</w:t>
      </w:r>
      <w:r>
        <w:tab/>
        <w:t xml:space="preserve">Tariff A1 comprises — </w:t>
      </w:r>
    </w:p>
    <w:p w:rsidR="003215D3" w:rsidRDefault="00637860">
      <w:pPr>
        <w:pStyle w:val="yIndenta"/>
      </w:pPr>
      <w:r>
        <w:tab/>
        <w:t>(a)</w:t>
      </w:r>
      <w:r>
        <w:tab/>
        <w:t>a fixed charge at the rate of $1.0333 per day or, for multiple dwellings supplied through 1 metered supply point, a fixed charge at the rate of —</w:t>
      </w:r>
    </w:p>
    <w:p w:rsidR="003215D3" w:rsidRDefault="00637860">
      <w:pPr>
        <w:pStyle w:val="yIndenti0"/>
      </w:pPr>
      <w:r>
        <w:tab/>
        <w:t>(i)</w:t>
      </w:r>
      <w:r>
        <w:tab/>
        <w:t>$1.0333 per day for the first dwelling; and</w:t>
      </w:r>
    </w:p>
    <w:p w:rsidR="003215D3" w:rsidRDefault="00637860">
      <w:pPr>
        <w:pStyle w:val="yIndenti0"/>
      </w:pPr>
      <w:r>
        <w:tab/>
        <w:t>(ii)</w:t>
      </w:r>
      <w:r>
        <w:tab/>
        <w:t>41.0828 cents per day for each additional dwelling;</w:t>
      </w:r>
    </w:p>
    <w:p w:rsidR="003215D3" w:rsidRDefault="00637860">
      <w:pPr>
        <w:pStyle w:val="yIndenta"/>
      </w:pPr>
      <w:r>
        <w:tab/>
      </w:r>
      <w:r>
        <w:tab/>
        <w:t>and</w:t>
      </w:r>
    </w:p>
    <w:p w:rsidR="003215D3" w:rsidRDefault="00637860">
      <w:pPr>
        <w:pStyle w:val="yIndenta"/>
      </w:pPr>
      <w:r>
        <w:tab/>
        <w:t>(b)</w:t>
      </w:r>
      <w:r>
        <w:tab/>
        <w:t>a charge for metered consumption at the rate of 28.8229 cents per unit.</w:t>
      </w:r>
    </w:p>
    <w:p w:rsidR="003215D3" w:rsidRDefault="00637860">
      <w:pPr>
        <w:pStyle w:val="yFootnotesection"/>
      </w:pPr>
      <w:r>
        <w:tab/>
        <w:t>[Clause 6 inserted: SL 2020/79 bl. 4.]</w:t>
      </w:r>
    </w:p>
    <w:p w:rsidR="003215D3" w:rsidRDefault="00637860">
      <w:pPr>
        <w:pStyle w:val="yHeading5"/>
      </w:pPr>
      <w:bookmarkStart w:id="24" w:name="_Toc75169038"/>
      <w:r>
        <w:rPr>
          <w:rStyle w:val="CharSClsNo"/>
        </w:rPr>
        <w:t>7</w:t>
      </w:r>
      <w:r>
        <w:t>.</w:t>
      </w:r>
      <w:r>
        <w:tab/>
        <w:t>Tariff B1 (residential water heating tariff)</w:t>
      </w:r>
      <w:bookmarkEnd w:id="24"/>
    </w:p>
    <w:p w:rsidR="003215D3" w:rsidRDefault="00637860">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rsidR="003215D3" w:rsidRDefault="00637860">
      <w:pPr>
        <w:pStyle w:val="ySubsection"/>
      </w:pPr>
      <w:r>
        <w:tab/>
        <w:t>(2)</w:t>
      </w:r>
      <w:r>
        <w:tab/>
        <w:t xml:space="preserve">Tariff B1 comprises — </w:t>
      </w:r>
    </w:p>
    <w:p w:rsidR="003215D3" w:rsidRDefault="00637860">
      <w:pPr>
        <w:pStyle w:val="yIndenta"/>
      </w:pPr>
      <w:r>
        <w:tab/>
        <w:t>(a)</w:t>
      </w:r>
      <w:r>
        <w:tab/>
        <w:t>a fixed charge at the rate of 21.7705 cents per day or, for multiple dwellings supplied through 1 metered supply point, a fixed charge at the rate of 21.7705 cents per day for each dwelling; and</w:t>
      </w:r>
    </w:p>
    <w:p w:rsidR="003215D3" w:rsidRDefault="00637860">
      <w:pPr>
        <w:pStyle w:val="yIndenta"/>
      </w:pPr>
      <w:r>
        <w:lastRenderedPageBreak/>
        <w:tab/>
        <w:t>(b)</w:t>
      </w:r>
      <w:r>
        <w:tab/>
        <w:t>a charge for metered consumption at the rate of 12.0269 cents per unit.</w:t>
      </w:r>
    </w:p>
    <w:p w:rsidR="003215D3" w:rsidRDefault="00637860">
      <w:pPr>
        <w:pStyle w:val="yFootnotesection"/>
      </w:pPr>
      <w:r>
        <w:tab/>
        <w:t>[Clause 7 inserted: SL 2020/79 bl. 4.]</w:t>
      </w:r>
    </w:p>
    <w:p w:rsidR="003215D3" w:rsidRDefault="00637860">
      <w:pPr>
        <w:pStyle w:val="yHeading5"/>
      </w:pPr>
      <w:bookmarkStart w:id="25" w:name="_Toc75169039"/>
      <w:r>
        <w:rPr>
          <w:rStyle w:val="CharSClsNo"/>
        </w:rPr>
        <w:t>8</w:t>
      </w:r>
      <w:r>
        <w:t>.</w:t>
      </w:r>
      <w:r>
        <w:tab/>
        <w:t>Tariff C1 (special community service tariff)</w:t>
      </w:r>
      <w:bookmarkEnd w:id="25"/>
    </w:p>
    <w:p w:rsidR="003215D3" w:rsidRDefault="00637860">
      <w:pPr>
        <w:pStyle w:val="ySubsection"/>
      </w:pPr>
      <w:r>
        <w:tab/>
        <w:t>(1)</w:t>
      </w:r>
      <w:r>
        <w:tab/>
        <w:t>Tariff C1 is available for small voluntary and charitable organisations, subject to the conditions listed in subclause (3).</w:t>
      </w:r>
    </w:p>
    <w:p w:rsidR="003215D3" w:rsidRDefault="00637860">
      <w:pPr>
        <w:pStyle w:val="ySubsection"/>
      </w:pPr>
      <w:r>
        <w:tab/>
        <w:t>(2)</w:t>
      </w:r>
      <w:r>
        <w:tab/>
        <w:t xml:space="preserve">Tariff C1 comprises — </w:t>
      </w:r>
    </w:p>
    <w:p w:rsidR="003215D3" w:rsidRDefault="00637860">
      <w:pPr>
        <w:pStyle w:val="yIndenta"/>
      </w:pPr>
      <w:r>
        <w:tab/>
        <w:t>(a)</w:t>
      </w:r>
      <w:r>
        <w:tab/>
        <w:t>a fixed charge at the rate of 99.7104 cents per day; and</w:t>
      </w:r>
    </w:p>
    <w:p w:rsidR="003215D3" w:rsidRDefault="00637860">
      <w:pPr>
        <w:pStyle w:val="yIndenta"/>
      </w:pPr>
      <w:r>
        <w:tab/>
        <w:t>(b)</w:t>
      </w:r>
      <w:r>
        <w:tab/>
        <w:t xml:space="preserve">a charge for metered consumption at the rate of — </w:t>
      </w:r>
    </w:p>
    <w:p w:rsidR="003215D3" w:rsidRDefault="00637860">
      <w:pPr>
        <w:pStyle w:val="yIndenti0"/>
      </w:pPr>
      <w:r>
        <w:tab/>
        <w:t>(i)</w:t>
      </w:r>
      <w:r>
        <w:tab/>
        <w:t>23.2958 cents per unit for the first 20 units per day; and</w:t>
      </w:r>
    </w:p>
    <w:p w:rsidR="003215D3" w:rsidRDefault="00637860">
      <w:pPr>
        <w:pStyle w:val="yIndenti0"/>
      </w:pPr>
      <w:r>
        <w:tab/>
        <w:t>(ii)</w:t>
      </w:r>
      <w:r>
        <w:tab/>
        <w:t>24.8550 cents per unit for the next 1 630 units per day; and</w:t>
      </w:r>
    </w:p>
    <w:p w:rsidR="003215D3" w:rsidRDefault="00637860">
      <w:pPr>
        <w:pStyle w:val="yIndenti0"/>
      </w:pPr>
      <w:r>
        <w:tab/>
        <w:t>(iii)</w:t>
      </w:r>
      <w:r>
        <w:tab/>
        <w:t>23.7081 cents per unit for all units exceeding 1 650 units per day.</w:t>
      </w:r>
    </w:p>
    <w:p w:rsidR="003215D3" w:rsidRDefault="00637860">
      <w:pPr>
        <w:pStyle w:val="ySubsection"/>
      </w:pPr>
      <w:r>
        <w:tab/>
        <w:t>(3)</w:t>
      </w:r>
      <w:r>
        <w:tab/>
        <w:t xml:space="preserve">Tariff C1 is available subject to the following conditions — </w:t>
      </w:r>
    </w:p>
    <w:p w:rsidR="003215D3" w:rsidRDefault="00637860">
      <w:pPr>
        <w:pStyle w:val="yIndenta"/>
      </w:pPr>
      <w:r>
        <w:tab/>
        <w:t>(a)</w:t>
      </w:r>
      <w:r>
        <w:tab/>
        <w:t>the consumer must be a direct customer of the corporation;</w:t>
      </w:r>
    </w:p>
    <w:p w:rsidR="003215D3" w:rsidRDefault="00637860">
      <w:pPr>
        <w:pStyle w:val="yIndenta"/>
      </w:pPr>
      <w:r>
        <w:tab/>
        <w:t>(b)</w:t>
      </w:r>
      <w:r>
        <w:tab/>
        <w:t>the consumer must be a voluntary, non</w:t>
      </w:r>
      <w:r>
        <w:noBreakHyphen/>
        <w:t>profit making organisation;</w:t>
      </w:r>
    </w:p>
    <w:p w:rsidR="003215D3" w:rsidRDefault="00637860">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rsidR="003215D3" w:rsidRDefault="00637860">
      <w:pPr>
        <w:pStyle w:val="yIndenta"/>
      </w:pPr>
      <w:r>
        <w:tab/>
        <w:t>(d)</w:t>
      </w:r>
      <w:r>
        <w:tab/>
        <w:t>the consumer must provide a public service, which is available to any member of the public without discrimination;</w:t>
      </w:r>
    </w:p>
    <w:p w:rsidR="003215D3" w:rsidRDefault="00637860">
      <w:pPr>
        <w:pStyle w:val="yIndenta"/>
      </w:pPr>
      <w:r>
        <w:tab/>
        <w:t>(e)</w:t>
      </w:r>
      <w:r>
        <w:tab/>
        <w:t>the consumer must not be a Commonwealth, State or local government department, instrumentality or agency;</w:t>
      </w:r>
    </w:p>
    <w:p w:rsidR="003215D3" w:rsidRDefault="00637860">
      <w:pPr>
        <w:pStyle w:val="yIndenta"/>
      </w:pPr>
      <w:r>
        <w:tab/>
        <w:t>(f)</w:t>
      </w:r>
      <w:r>
        <w:tab/>
        <w:t>the consumer must not receive the major part of its funding from any organisation mentioned in paragraph (e).</w:t>
      </w:r>
    </w:p>
    <w:p w:rsidR="003215D3" w:rsidRDefault="00637860">
      <w:pPr>
        <w:pStyle w:val="ySubsection"/>
        <w:keepNext/>
      </w:pPr>
      <w:r>
        <w:tab/>
        <w:t>(4)</w:t>
      </w:r>
      <w:r>
        <w:tab/>
        <w:t xml:space="preserve">A consumer seeking supply under Tariff C1 must make an application to the corporation in writing accompanied by evidence which clearly </w:t>
      </w:r>
      <w:r>
        <w:lastRenderedPageBreak/>
        <w:t>demonstrates that the consumer meets all the conditions listed in subclause (3).</w:t>
      </w:r>
    </w:p>
    <w:p w:rsidR="003215D3" w:rsidRDefault="00637860">
      <w:pPr>
        <w:pStyle w:val="yFootnotesection"/>
      </w:pPr>
      <w:r>
        <w:tab/>
        <w:t>[Clause 8 inserted: SL 2020/79 bl. 4.]</w:t>
      </w:r>
    </w:p>
    <w:p w:rsidR="003215D3" w:rsidRDefault="00637860">
      <w:pPr>
        <w:pStyle w:val="yHeading5"/>
      </w:pPr>
      <w:bookmarkStart w:id="26" w:name="_Toc75169040"/>
      <w:r>
        <w:rPr>
          <w:rStyle w:val="CharSClsNo"/>
        </w:rPr>
        <w:t>9</w:t>
      </w:r>
      <w:r>
        <w:t>.</w:t>
      </w:r>
      <w:r>
        <w:tab/>
        <w:t>Tariff D1 (special tariff for certain premises)</w:t>
      </w:r>
      <w:bookmarkEnd w:id="26"/>
    </w:p>
    <w:p w:rsidR="003215D3" w:rsidRDefault="00637860">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rsidR="003215D3" w:rsidRDefault="00637860">
      <w:pPr>
        <w:pStyle w:val="ySubsection"/>
      </w:pPr>
      <w:r>
        <w:tab/>
        <w:t>(2)</w:t>
      </w:r>
      <w:r>
        <w:tab/>
        <w:t xml:space="preserve">Tariff D1 comprises — </w:t>
      </w:r>
    </w:p>
    <w:p w:rsidR="003215D3" w:rsidRDefault="00637860">
      <w:pPr>
        <w:pStyle w:val="yIndenta"/>
      </w:pPr>
      <w:r>
        <w:tab/>
        <w:t>(a)</w:t>
      </w:r>
      <w:r>
        <w:tab/>
        <w:t>a fixed charge at the rate of 98.3532 cents per day; and</w:t>
      </w:r>
    </w:p>
    <w:p w:rsidR="003215D3" w:rsidRDefault="00637860">
      <w:pPr>
        <w:pStyle w:val="yIndenta"/>
      </w:pPr>
      <w:r>
        <w:tab/>
        <w:t>(b)</w:t>
      </w:r>
      <w:r>
        <w:tab/>
        <w:t>if under subclause (3) there is deemed to be more than 1 equivalent domestic residence in the premises, a charge of 36.4628 cents per day for each equivalent domestic residence except the first that is deemed to be in the premises; and</w:t>
      </w:r>
    </w:p>
    <w:p w:rsidR="003215D3" w:rsidRDefault="00637860">
      <w:pPr>
        <w:pStyle w:val="yIndenta"/>
      </w:pPr>
      <w:r>
        <w:tab/>
        <w:t>(c)</w:t>
      </w:r>
      <w:r>
        <w:tab/>
        <w:t>a charge for metered consumption at the rate of 24.9876 cents per unit.</w:t>
      </w:r>
    </w:p>
    <w:p w:rsidR="003215D3" w:rsidRDefault="00637860">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rsidR="003215D3" w:rsidRDefault="00637860">
      <w:pPr>
        <w:pStyle w:val="yFootnotesection"/>
      </w:pPr>
      <w:r>
        <w:tab/>
        <w:t>[Clause 9 inserted: SL 2020/79 bl. 4.]</w:t>
      </w:r>
    </w:p>
    <w:p w:rsidR="003215D3" w:rsidRDefault="00637860">
      <w:pPr>
        <w:pStyle w:val="yHeading5"/>
      </w:pPr>
      <w:bookmarkStart w:id="27" w:name="_Toc75169041"/>
      <w:r>
        <w:rPr>
          <w:rStyle w:val="CharSClsNo"/>
        </w:rPr>
        <w:t>10</w:t>
      </w:r>
      <w:r>
        <w:t>.</w:t>
      </w:r>
      <w:r>
        <w:tab/>
        <w:t>Tariff K1 (general supply with residential tariff)</w:t>
      </w:r>
      <w:bookmarkEnd w:id="27"/>
    </w:p>
    <w:p w:rsidR="003215D3" w:rsidRDefault="00637860">
      <w:pPr>
        <w:pStyle w:val="ySubsection"/>
      </w:pPr>
      <w:r>
        <w:tab/>
        <w:t>(1)</w:t>
      </w:r>
      <w:r>
        <w:tab/>
        <w:t>Tariff K1 is available for premises where the circuit wiring is not separate and the electricity is used partly for general purposes and partly for residential purposes.</w:t>
      </w:r>
    </w:p>
    <w:p w:rsidR="003215D3" w:rsidRDefault="00637860">
      <w:pPr>
        <w:pStyle w:val="ySubsection"/>
      </w:pPr>
      <w:r>
        <w:tab/>
        <w:t>(2)</w:t>
      </w:r>
      <w:r>
        <w:tab/>
        <w:t xml:space="preserve">Tariff K1 comprises — </w:t>
      </w:r>
    </w:p>
    <w:p w:rsidR="003215D3" w:rsidRDefault="00637860">
      <w:pPr>
        <w:pStyle w:val="yIndenta"/>
      </w:pPr>
      <w:r>
        <w:tab/>
        <w:t>(a)</w:t>
      </w:r>
      <w:r>
        <w:tab/>
        <w:t>a fixed charge at the rate of $1.8234 per day; and</w:t>
      </w:r>
    </w:p>
    <w:p w:rsidR="003215D3" w:rsidRDefault="00637860">
      <w:pPr>
        <w:pStyle w:val="yIndenta"/>
      </w:pPr>
      <w:r>
        <w:tab/>
        <w:t>(b)</w:t>
      </w:r>
      <w:r>
        <w:tab/>
        <w:t>a charge for metered consumption at the rate of —</w:t>
      </w:r>
    </w:p>
    <w:p w:rsidR="003215D3" w:rsidRDefault="00637860">
      <w:pPr>
        <w:pStyle w:val="yIndenti0"/>
      </w:pPr>
      <w:r>
        <w:tab/>
        <w:t>(i)</w:t>
      </w:r>
      <w:r>
        <w:tab/>
        <w:t>30.1107 cents per unit for the first 20 units per day; and</w:t>
      </w:r>
    </w:p>
    <w:p w:rsidR="003215D3" w:rsidRDefault="00637860">
      <w:pPr>
        <w:pStyle w:val="yIndenti0"/>
      </w:pPr>
      <w:r>
        <w:tab/>
        <w:t>(ii)</w:t>
      </w:r>
      <w:r>
        <w:tab/>
        <w:t>28.3753 cents per unit for the next 1 630 units per day; and</w:t>
      </w:r>
    </w:p>
    <w:p w:rsidR="003215D3" w:rsidRDefault="00637860">
      <w:pPr>
        <w:pStyle w:val="yIndenti0"/>
      </w:pPr>
      <w:r>
        <w:lastRenderedPageBreak/>
        <w:tab/>
        <w:t>(iii)</w:t>
      </w:r>
      <w:r>
        <w:tab/>
        <w:t>31.9921 cents per unit for all units exceeding 1 650 units per day.</w:t>
      </w:r>
    </w:p>
    <w:p w:rsidR="003215D3" w:rsidRDefault="00637860">
      <w:pPr>
        <w:pStyle w:val="yFootnotesection"/>
      </w:pPr>
      <w:r>
        <w:tab/>
        <w:t>[Clause 10 inserted: SL 2020/79 bl. 4.]</w:t>
      </w:r>
    </w:p>
    <w:p w:rsidR="003215D3" w:rsidRDefault="003215D3">
      <w:pPr>
        <w:sectPr w:rsidR="003215D3">
          <w:headerReference w:type="even" r:id="rId23"/>
          <w:headerReference w:type="default" r:id="rId24"/>
          <w:pgSz w:w="11907" w:h="16840" w:code="9"/>
          <w:pgMar w:top="2381" w:right="2410" w:bottom="3544" w:left="2410" w:header="720" w:footer="3544" w:gutter="0"/>
          <w:cols w:space="720"/>
        </w:sectPr>
      </w:pPr>
    </w:p>
    <w:p w:rsidR="003215D3" w:rsidRDefault="00637860">
      <w:pPr>
        <w:pStyle w:val="yScheduleHeading"/>
      </w:pPr>
      <w:bookmarkStart w:id="28" w:name="_Toc75162970"/>
      <w:bookmarkStart w:id="29" w:name="_Toc75163321"/>
      <w:bookmarkStart w:id="30" w:name="_Toc75163384"/>
      <w:bookmarkStart w:id="31" w:name="_Toc75169042"/>
      <w:r>
        <w:rPr>
          <w:rStyle w:val="CharSchNo"/>
        </w:rPr>
        <w:lastRenderedPageBreak/>
        <w:t>Schedule 2</w:t>
      </w:r>
      <w:r>
        <w:t> — </w:t>
      </w:r>
      <w:r>
        <w:rPr>
          <w:rStyle w:val="CharSchText"/>
        </w:rPr>
        <w:t>Unmetered supply</w:t>
      </w:r>
      <w:bookmarkEnd w:id="28"/>
      <w:bookmarkEnd w:id="29"/>
      <w:bookmarkEnd w:id="30"/>
      <w:bookmarkEnd w:id="31"/>
    </w:p>
    <w:p w:rsidR="003215D3" w:rsidRDefault="00637860">
      <w:pPr>
        <w:pStyle w:val="yShoulderClause"/>
      </w:pPr>
      <w:r>
        <w:t>[bl. 4(2) and (3)]</w:t>
      </w:r>
    </w:p>
    <w:p w:rsidR="003215D3" w:rsidRDefault="00637860">
      <w:pPr>
        <w:pStyle w:val="yFootnoteheading"/>
      </w:pPr>
      <w:r>
        <w:tab/>
        <w:t>[Heading inserted: SL 2020/79 bl. 4.]</w:t>
      </w:r>
    </w:p>
    <w:p w:rsidR="003215D3" w:rsidRDefault="00637860">
      <w:pPr>
        <w:pStyle w:val="yHeading3"/>
      </w:pPr>
      <w:bookmarkStart w:id="32" w:name="_Toc75162971"/>
      <w:bookmarkStart w:id="33" w:name="_Toc75163322"/>
      <w:bookmarkStart w:id="34" w:name="_Toc75163385"/>
      <w:bookmarkStart w:id="35" w:name="_Toc75169043"/>
      <w:r>
        <w:rPr>
          <w:rStyle w:val="CharSDivNo"/>
        </w:rPr>
        <w:t>Division 1</w:t>
      </w:r>
      <w:r>
        <w:rPr>
          <w:b w:val="0"/>
        </w:rPr>
        <w:t> — </w:t>
      </w:r>
      <w:r>
        <w:rPr>
          <w:rStyle w:val="CharSDivText"/>
        </w:rPr>
        <w:t>Street lighting</w:t>
      </w:r>
      <w:bookmarkEnd w:id="32"/>
      <w:bookmarkEnd w:id="33"/>
      <w:bookmarkEnd w:id="34"/>
      <w:bookmarkEnd w:id="35"/>
    </w:p>
    <w:p w:rsidR="003215D3" w:rsidRDefault="00637860">
      <w:pPr>
        <w:pStyle w:val="yFootnoteheading"/>
        <w:spacing w:after="120"/>
      </w:pPr>
      <w:r>
        <w:tab/>
        <w:t>[Heading inserted: SL 2020/79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14"/>
        <w:gridCol w:w="28"/>
        <w:gridCol w:w="133"/>
        <w:gridCol w:w="1229"/>
        <w:gridCol w:w="1512"/>
        <w:gridCol w:w="1370"/>
      </w:tblGrid>
      <w:tr w:rsidR="003215D3">
        <w:trPr>
          <w:cantSplit/>
          <w:tblHeader/>
        </w:trPr>
        <w:tc>
          <w:tcPr>
            <w:tcW w:w="567" w:type="dxa"/>
            <w:tcBorders>
              <w:top w:val="single" w:sz="4" w:space="0" w:color="auto"/>
              <w:bottom w:val="single" w:sz="4" w:space="0" w:color="auto"/>
            </w:tcBorders>
          </w:tcPr>
          <w:p w:rsidR="003215D3" w:rsidRDefault="00637860">
            <w:pPr>
              <w:pStyle w:val="yTableNAm"/>
            </w:pPr>
            <w:r>
              <w:rPr>
                <w:b/>
                <w:bCs/>
                <w:sz w:val="16"/>
                <w:szCs w:val="16"/>
              </w:rPr>
              <w:t>Item</w:t>
            </w:r>
          </w:p>
        </w:tc>
        <w:tc>
          <w:tcPr>
            <w:tcW w:w="851" w:type="dxa"/>
            <w:gridSpan w:val="2"/>
            <w:tcBorders>
              <w:top w:val="single" w:sz="4" w:space="0" w:color="auto"/>
              <w:bottom w:val="single" w:sz="4" w:space="0" w:color="auto"/>
            </w:tcBorders>
          </w:tcPr>
          <w:p w:rsidR="003215D3" w:rsidRDefault="00637860">
            <w:pPr>
              <w:pStyle w:val="yTableNAm"/>
            </w:pPr>
            <w:r>
              <w:rPr>
                <w:b/>
                <w:bCs/>
                <w:sz w:val="16"/>
                <w:szCs w:val="16"/>
              </w:rPr>
              <w:t>Wattage</w:t>
            </w:r>
          </w:p>
        </w:tc>
        <w:tc>
          <w:tcPr>
            <w:tcW w:w="1142" w:type="dxa"/>
            <w:gridSpan w:val="2"/>
            <w:tcBorders>
              <w:top w:val="single" w:sz="4" w:space="0" w:color="auto"/>
              <w:bottom w:val="single" w:sz="4" w:space="0" w:color="auto"/>
            </w:tcBorders>
          </w:tcPr>
          <w:p w:rsidR="003215D3" w:rsidRDefault="00637860">
            <w:pPr>
              <w:pStyle w:val="yTableNAm"/>
            </w:pPr>
            <w:r>
              <w:rPr>
                <w:b/>
                <w:bCs/>
                <w:sz w:val="16"/>
                <w:szCs w:val="16"/>
              </w:rPr>
              <w:t>Type</w:t>
            </w:r>
          </w:p>
        </w:tc>
        <w:tc>
          <w:tcPr>
            <w:tcW w:w="1362" w:type="dxa"/>
            <w:gridSpan w:val="2"/>
            <w:tcBorders>
              <w:top w:val="single" w:sz="4" w:space="0" w:color="auto"/>
              <w:bottom w:val="single" w:sz="4" w:space="0" w:color="auto"/>
            </w:tcBorders>
          </w:tcPr>
          <w:p w:rsidR="003215D3" w:rsidRDefault="00637860">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rsidR="003215D3" w:rsidRDefault="00637860">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rsidR="003215D3" w:rsidRDefault="00637860">
            <w:pPr>
              <w:pStyle w:val="yTableNAm"/>
            </w:pPr>
            <w:r>
              <w:rPr>
                <w:b/>
                <w:bCs/>
                <w:spacing w:val="-8"/>
                <w:sz w:val="16"/>
                <w:szCs w:val="16"/>
              </w:rPr>
              <w:t>Dawn Switch</w:t>
            </w:r>
            <w:r>
              <w:rPr>
                <w:b/>
                <w:bCs/>
                <w:spacing w:val="-8"/>
                <w:sz w:val="16"/>
                <w:szCs w:val="16"/>
              </w:rPr>
              <w:noBreakHyphen/>
              <w:t>off Cents per day</w:t>
            </w:r>
          </w:p>
        </w:tc>
      </w:tr>
      <w:tr w:rsidR="003215D3">
        <w:trPr>
          <w:cantSplit/>
        </w:trPr>
        <w:tc>
          <w:tcPr>
            <w:tcW w:w="6804" w:type="dxa"/>
            <w:gridSpan w:val="9"/>
          </w:tcPr>
          <w:p w:rsidR="003215D3" w:rsidRDefault="00637860">
            <w:pPr>
              <w:pStyle w:val="yTableNAm"/>
            </w:pPr>
            <w:r>
              <w:rPr>
                <w:b/>
                <w:i/>
                <w:iCs/>
                <w:sz w:val="16"/>
                <w:szCs w:val="16"/>
              </w:rPr>
              <w:t>Street lighting on current offer and for existing services</w:t>
            </w:r>
          </w:p>
        </w:tc>
      </w:tr>
      <w:tr w:rsidR="003215D3">
        <w:trPr>
          <w:cantSplit/>
        </w:trPr>
        <w:tc>
          <w:tcPr>
            <w:tcW w:w="567" w:type="dxa"/>
          </w:tcPr>
          <w:p w:rsidR="003215D3" w:rsidRDefault="00637860">
            <w:pPr>
              <w:pStyle w:val="yTableNAm"/>
              <w:rPr>
                <w:sz w:val="18"/>
                <w:szCs w:val="18"/>
              </w:rPr>
            </w:pPr>
            <w:r>
              <w:rPr>
                <w:sz w:val="18"/>
                <w:szCs w:val="18"/>
              </w:rPr>
              <w:t>Z.01</w:t>
            </w:r>
          </w:p>
        </w:tc>
        <w:tc>
          <w:tcPr>
            <w:tcW w:w="709" w:type="dxa"/>
          </w:tcPr>
          <w:p w:rsidR="003215D3" w:rsidRDefault="00637860">
            <w:pPr>
              <w:pStyle w:val="yTableNAm"/>
              <w:rPr>
                <w:sz w:val="18"/>
                <w:szCs w:val="18"/>
              </w:rPr>
            </w:pPr>
            <w:r>
              <w:rPr>
                <w:sz w:val="18"/>
                <w:szCs w:val="18"/>
              </w:rPr>
              <w:t>50</w:t>
            </w:r>
          </w:p>
        </w:tc>
        <w:tc>
          <w:tcPr>
            <w:tcW w:w="1417" w:type="dxa"/>
            <w:gridSpan w:val="4"/>
          </w:tcPr>
          <w:p w:rsidR="003215D3" w:rsidRDefault="00637860">
            <w:pPr>
              <w:pStyle w:val="yTableNAm"/>
              <w:rPr>
                <w:sz w:val="18"/>
                <w:szCs w:val="18"/>
              </w:rPr>
            </w:pPr>
            <w:r>
              <w:rPr>
                <w:sz w:val="18"/>
                <w:szCs w:val="18"/>
              </w:rPr>
              <w:t>Mercury vapour</w:t>
            </w:r>
          </w:p>
        </w:tc>
        <w:tc>
          <w:tcPr>
            <w:tcW w:w="1229" w:type="dxa"/>
          </w:tcPr>
          <w:p w:rsidR="003215D3" w:rsidRDefault="00637860">
            <w:pPr>
              <w:pStyle w:val="yTableNAm"/>
              <w:rPr>
                <w:sz w:val="18"/>
                <w:szCs w:val="18"/>
              </w:rPr>
            </w:pPr>
            <w:r>
              <w:rPr>
                <w:sz w:val="18"/>
                <w:szCs w:val="18"/>
              </w:rPr>
              <w:t>30.6207</w:t>
            </w:r>
          </w:p>
        </w:tc>
        <w:tc>
          <w:tcPr>
            <w:tcW w:w="1512" w:type="dxa"/>
          </w:tcPr>
          <w:p w:rsidR="003215D3" w:rsidRDefault="00637860">
            <w:pPr>
              <w:pStyle w:val="yTableNAm"/>
              <w:rPr>
                <w:sz w:val="18"/>
                <w:szCs w:val="18"/>
              </w:rPr>
            </w:pPr>
            <w:r>
              <w:rPr>
                <w:sz w:val="18"/>
                <w:szCs w:val="18"/>
              </w:rPr>
              <w:t>31.6462</w:t>
            </w:r>
          </w:p>
        </w:tc>
        <w:tc>
          <w:tcPr>
            <w:tcW w:w="1370" w:type="dxa"/>
          </w:tcPr>
          <w:p w:rsidR="003215D3" w:rsidRDefault="00637860">
            <w:pPr>
              <w:pStyle w:val="yTableNAm"/>
              <w:rPr>
                <w:sz w:val="18"/>
                <w:szCs w:val="18"/>
              </w:rPr>
            </w:pPr>
            <w:r>
              <w:rPr>
                <w:sz w:val="18"/>
                <w:szCs w:val="18"/>
              </w:rPr>
              <w:t>35.5432</w:t>
            </w:r>
          </w:p>
        </w:tc>
      </w:tr>
      <w:tr w:rsidR="003215D3">
        <w:trPr>
          <w:cantSplit/>
        </w:trPr>
        <w:tc>
          <w:tcPr>
            <w:tcW w:w="567" w:type="dxa"/>
          </w:tcPr>
          <w:p w:rsidR="003215D3" w:rsidRDefault="00637860">
            <w:pPr>
              <w:pStyle w:val="yTableNAm"/>
              <w:rPr>
                <w:sz w:val="18"/>
                <w:szCs w:val="18"/>
              </w:rPr>
            </w:pPr>
            <w:r>
              <w:rPr>
                <w:sz w:val="18"/>
                <w:szCs w:val="18"/>
              </w:rPr>
              <w:t>Z.02</w:t>
            </w:r>
          </w:p>
        </w:tc>
        <w:tc>
          <w:tcPr>
            <w:tcW w:w="709" w:type="dxa"/>
          </w:tcPr>
          <w:p w:rsidR="003215D3" w:rsidRDefault="00637860">
            <w:pPr>
              <w:pStyle w:val="yTableNAm"/>
              <w:rPr>
                <w:sz w:val="18"/>
                <w:szCs w:val="18"/>
              </w:rPr>
            </w:pPr>
            <w:r>
              <w:rPr>
                <w:sz w:val="18"/>
                <w:szCs w:val="18"/>
              </w:rPr>
              <w:t>80</w:t>
            </w:r>
          </w:p>
        </w:tc>
        <w:tc>
          <w:tcPr>
            <w:tcW w:w="1417" w:type="dxa"/>
            <w:gridSpan w:val="4"/>
          </w:tcPr>
          <w:p w:rsidR="003215D3" w:rsidRDefault="00637860">
            <w:pPr>
              <w:pStyle w:val="yTableNAm"/>
              <w:rPr>
                <w:sz w:val="18"/>
                <w:szCs w:val="18"/>
              </w:rPr>
            </w:pPr>
            <w:r>
              <w:rPr>
                <w:sz w:val="18"/>
                <w:szCs w:val="18"/>
              </w:rPr>
              <w:t>Mercury vapour</w:t>
            </w:r>
          </w:p>
        </w:tc>
        <w:tc>
          <w:tcPr>
            <w:tcW w:w="1229" w:type="dxa"/>
          </w:tcPr>
          <w:p w:rsidR="003215D3" w:rsidRDefault="00637860">
            <w:pPr>
              <w:pStyle w:val="yTableNAm"/>
              <w:rPr>
                <w:sz w:val="18"/>
                <w:szCs w:val="18"/>
              </w:rPr>
            </w:pPr>
            <w:r>
              <w:rPr>
                <w:sz w:val="18"/>
                <w:szCs w:val="18"/>
              </w:rPr>
              <w:t>39.5562</w:t>
            </w:r>
          </w:p>
        </w:tc>
        <w:tc>
          <w:tcPr>
            <w:tcW w:w="1512" w:type="dxa"/>
          </w:tcPr>
          <w:p w:rsidR="003215D3" w:rsidRDefault="00637860">
            <w:pPr>
              <w:pStyle w:val="yTableNAm"/>
              <w:rPr>
                <w:sz w:val="18"/>
                <w:szCs w:val="18"/>
              </w:rPr>
            </w:pPr>
            <w:r>
              <w:rPr>
                <w:sz w:val="18"/>
                <w:szCs w:val="18"/>
              </w:rPr>
              <w:t>41.1971</w:t>
            </w:r>
          </w:p>
        </w:tc>
        <w:tc>
          <w:tcPr>
            <w:tcW w:w="1370" w:type="dxa"/>
          </w:tcPr>
          <w:p w:rsidR="003215D3" w:rsidRDefault="00637860">
            <w:pPr>
              <w:pStyle w:val="yTableNAm"/>
              <w:rPr>
                <w:sz w:val="18"/>
                <w:szCs w:val="18"/>
              </w:rPr>
            </w:pPr>
            <w:r>
              <w:rPr>
                <w:sz w:val="18"/>
                <w:szCs w:val="18"/>
              </w:rPr>
              <w:t>47.4323</w:t>
            </w:r>
          </w:p>
        </w:tc>
      </w:tr>
      <w:tr w:rsidR="003215D3">
        <w:trPr>
          <w:cantSplit/>
        </w:trPr>
        <w:tc>
          <w:tcPr>
            <w:tcW w:w="567" w:type="dxa"/>
          </w:tcPr>
          <w:p w:rsidR="003215D3" w:rsidRDefault="00637860">
            <w:pPr>
              <w:pStyle w:val="yTableNAm"/>
              <w:rPr>
                <w:sz w:val="18"/>
                <w:szCs w:val="18"/>
              </w:rPr>
            </w:pPr>
            <w:r>
              <w:rPr>
                <w:sz w:val="18"/>
                <w:szCs w:val="18"/>
              </w:rPr>
              <w:t>Z.03</w:t>
            </w:r>
          </w:p>
        </w:tc>
        <w:tc>
          <w:tcPr>
            <w:tcW w:w="709" w:type="dxa"/>
          </w:tcPr>
          <w:p w:rsidR="003215D3" w:rsidRDefault="00637860">
            <w:pPr>
              <w:pStyle w:val="yTableNAm"/>
              <w:rPr>
                <w:sz w:val="18"/>
                <w:szCs w:val="18"/>
              </w:rPr>
            </w:pPr>
            <w:r>
              <w:rPr>
                <w:sz w:val="18"/>
                <w:szCs w:val="18"/>
              </w:rPr>
              <w:t>125</w:t>
            </w:r>
          </w:p>
        </w:tc>
        <w:tc>
          <w:tcPr>
            <w:tcW w:w="1417" w:type="dxa"/>
            <w:gridSpan w:val="4"/>
          </w:tcPr>
          <w:p w:rsidR="003215D3" w:rsidRDefault="00637860">
            <w:pPr>
              <w:pStyle w:val="yTableNAm"/>
              <w:rPr>
                <w:sz w:val="18"/>
                <w:szCs w:val="18"/>
              </w:rPr>
            </w:pPr>
            <w:r>
              <w:rPr>
                <w:sz w:val="18"/>
                <w:szCs w:val="18"/>
              </w:rPr>
              <w:t>Mercury vapour</w:t>
            </w:r>
          </w:p>
        </w:tc>
        <w:tc>
          <w:tcPr>
            <w:tcW w:w="1229" w:type="dxa"/>
          </w:tcPr>
          <w:p w:rsidR="003215D3" w:rsidRDefault="00637860">
            <w:pPr>
              <w:pStyle w:val="yTableNAm"/>
              <w:rPr>
                <w:sz w:val="18"/>
                <w:szCs w:val="18"/>
              </w:rPr>
            </w:pPr>
            <w:r>
              <w:rPr>
                <w:sz w:val="18"/>
                <w:szCs w:val="18"/>
              </w:rPr>
              <w:t>48.5943</w:t>
            </w:r>
          </w:p>
        </w:tc>
        <w:tc>
          <w:tcPr>
            <w:tcW w:w="1512" w:type="dxa"/>
          </w:tcPr>
          <w:p w:rsidR="003215D3" w:rsidRDefault="00637860">
            <w:pPr>
              <w:pStyle w:val="yTableNAm"/>
              <w:rPr>
                <w:sz w:val="18"/>
                <w:szCs w:val="18"/>
              </w:rPr>
            </w:pPr>
            <w:r>
              <w:rPr>
                <w:sz w:val="18"/>
                <w:szCs w:val="18"/>
              </w:rPr>
              <w:t>51.1580</w:t>
            </w:r>
          </w:p>
        </w:tc>
        <w:tc>
          <w:tcPr>
            <w:tcW w:w="1370" w:type="dxa"/>
          </w:tcPr>
          <w:p w:rsidR="003215D3" w:rsidRDefault="00637860">
            <w:pPr>
              <w:pStyle w:val="yTableNAm"/>
              <w:rPr>
                <w:sz w:val="18"/>
                <w:szCs w:val="18"/>
              </w:rPr>
            </w:pPr>
            <w:r>
              <w:rPr>
                <w:sz w:val="18"/>
                <w:szCs w:val="18"/>
              </w:rPr>
              <w:t>60.9005</w:t>
            </w:r>
          </w:p>
        </w:tc>
      </w:tr>
      <w:tr w:rsidR="003215D3">
        <w:trPr>
          <w:cantSplit/>
        </w:trPr>
        <w:tc>
          <w:tcPr>
            <w:tcW w:w="567" w:type="dxa"/>
          </w:tcPr>
          <w:p w:rsidR="003215D3" w:rsidRDefault="00637860">
            <w:pPr>
              <w:pStyle w:val="yTableNAm"/>
              <w:rPr>
                <w:sz w:val="18"/>
                <w:szCs w:val="18"/>
              </w:rPr>
            </w:pPr>
            <w:r>
              <w:rPr>
                <w:sz w:val="18"/>
                <w:szCs w:val="18"/>
              </w:rPr>
              <w:t>Z.07</w:t>
            </w:r>
          </w:p>
        </w:tc>
        <w:tc>
          <w:tcPr>
            <w:tcW w:w="709" w:type="dxa"/>
          </w:tcPr>
          <w:p w:rsidR="003215D3" w:rsidRDefault="00637860">
            <w:pPr>
              <w:pStyle w:val="yTableNAm"/>
              <w:rPr>
                <w:sz w:val="18"/>
                <w:szCs w:val="18"/>
              </w:rPr>
            </w:pPr>
            <w:r>
              <w:rPr>
                <w:sz w:val="18"/>
                <w:szCs w:val="18"/>
              </w:rPr>
              <w:t>250</w:t>
            </w:r>
          </w:p>
        </w:tc>
        <w:tc>
          <w:tcPr>
            <w:tcW w:w="1417" w:type="dxa"/>
            <w:gridSpan w:val="4"/>
          </w:tcPr>
          <w:p w:rsidR="003215D3" w:rsidRDefault="00637860">
            <w:pPr>
              <w:pStyle w:val="yTableNAm"/>
              <w:rPr>
                <w:sz w:val="18"/>
                <w:szCs w:val="18"/>
              </w:rPr>
            </w:pPr>
            <w:r>
              <w:rPr>
                <w:sz w:val="18"/>
                <w:szCs w:val="18"/>
              </w:rPr>
              <w:t>Mercury vapour</w:t>
            </w:r>
          </w:p>
        </w:tc>
        <w:tc>
          <w:tcPr>
            <w:tcW w:w="1229" w:type="dxa"/>
          </w:tcPr>
          <w:p w:rsidR="003215D3" w:rsidRDefault="00637860">
            <w:pPr>
              <w:pStyle w:val="yTableNAm"/>
              <w:rPr>
                <w:sz w:val="18"/>
                <w:szCs w:val="18"/>
              </w:rPr>
            </w:pPr>
            <w:r>
              <w:rPr>
                <w:sz w:val="18"/>
                <w:szCs w:val="18"/>
              </w:rPr>
              <w:t>69.6622</w:t>
            </w:r>
          </w:p>
        </w:tc>
        <w:tc>
          <w:tcPr>
            <w:tcW w:w="1512" w:type="dxa"/>
          </w:tcPr>
          <w:p w:rsidR="003215D3" w:rsidRDefault="00637860">
            <w:pPr>
              <w:pStyle w:val="yTableNAm"/>
              <w:rPr>
                <w:sz w:val="18"/>
                <w:szCs w:val="18"/>
              </w:rPr>
            </w:pPr>
            <w:r>
              <w:rPr>
                <w:sz w:val="18"/>
                <w:szCs w:val="18"/>
              </w:rPr>
              <w:t>74.7899</w:t>
            </w:r>
          </w:p>
        </w:tc>
        <w:tc>
          <w:tcPr>
            <w:tcW w:w="1370" w:type="dxa"/>
          </w:tcPr>
          <w:p w:rsidR="003215D3" w:rsidRDefault="00637860">
            <w:pPr>
              <w:pStyle w:val="yTableNAm"/>
              <w:rPr>
                <w:sz w:val="18"/>
                <w:szCs w:val="18"/>
              </w:rPr>
            </w:pPr>
            <w:r>
              <w:rPr>
                <w:sz w:val="18"/>
                <w:szCs w:val="18"/>
              </w:rPr>
              <w:t>94.2748</w:t>
            </w:r>
          </w:p>
        </w:tc>
      </w:tr>
      <w:tr w:rsidR="003215D3">
        <w:trPr>
          <w:cantSplit/>
        </w:trPr>
        <w:tc>
          <w:tcPr>
            <w:tcW w:w="567" w:type="dxa"/>
          </w:tcPr>
          <w:p w:rsidR="003215D3" w:rsidRDefault="00637860">
            <w:pPr>
              <w:pStyle w:val="yTableNAm"/>
              <w:rPr>
                <w:sz w:val="18"/>
                <w:szCs w:val="18"/>
              </w:rPr>
            </w:pPr>
            <w:r>
              <w:rPr>
                <w:sz w:val="18"/>
                <w:szCs w:val="18"/>
              </w:rPr>
              <w:t>Z.10</w:t>
            </w:r>
          </w:p>
        </w:tc>
        <w:tc>
          <w:tcPr>
            <w:tcW w:w="709" w:type="dxa"/>
          </w:tcPr>
          <w:p w:rsidR="003215D3" w:rsidRDefault="00637860">
            <w:pPr>
              <w:pStyle w:val="yTableNAm"/>
              <w:rPr>
                <w:sz w:val="18"/>
                <w:szCs w:val="18"/>
              </w:rPr>
            </w:pPr>
            <w:r>
              <w:rPr>
                <w:sz w:val="18"/>
                <w:szCs w:val="18"/>
              </w:rPr>
              <w:t>400</w:t>
            </w:r>
          </w:p>
        </w:tc>
        <w:tc>
          <w:tcPr>
            <w:tcW w:w="1417" w:type="dxa"/>
            <w:gridSpan w:val="4"/>
          </w:tcPr>
          <w:p w:rsidR="003215D3" w:rsidRDefault="00637860">
            <w:pPr>
              <w:pStyle w:val="yTableNAm"/>
              <w:rPr>
                <w:sz w:val="18"/>
                <w:szCs w:val="18"/>
              </w:rPr>
            </w:pPr>
            <w:r>
              <w:rPr>
                <w:sz w:val="18"/>
                <w:szCs w:val="18"/>
              </w:rPr>
              <w:t>Mercury vapour</w:t>
            </w:r>
          </w:p>
        </w:tc>
        <w:tc>
          <w:tcPr>
            <w:tcW w:w="1229" w:type="dxa"/>
          </w:tcPr>
          <w:p w:rsidR="003215D3" w:rsidRDefault="00637860">
            <w:pPr>
              <w:pStyle w:val="yTableNAm"/>
              <w:rPr>
                <w:sz w:val="18"/>
                <w:szCs w:val="18"/>
              </w:rPr>
            </w:pPr>
            <w:r>
              <w:rPr>
                <w:sz w:val="18"/>
                <w:szCs w:val="18"/>
              </w:rPr>
              <w:t>80.7647</w:t>
            </w:r>
          </w:p>
        </w:tc>
        <w:tc>
          <w:tcPr>
            <w:tcW w:w="1512" w:type="dxa"/>
          </w:tcPr>
          <w:p w:rsidR="003215D3" w:rsidRDefault="00637860">
            <w:pPr>
              <w:pStyle w:val="yTableNAm"/>
              <w:rPr>
                <w:sz w:val="18"/>
                <w:szCs w:val="18"/>
              </w:rPr>
            </w:pPr>
            <w:r>
              <w:rPr>
                <w:sz w:val="18"/>
                <w:szCs w:val="18"/>
              </w:rPr>
              <w:t>84.0614</w:t>
            </w:r>
          </w:p>
        </w:tc>
        <w:tc>
          <w:tcPr>
            <w:tcW w:w="1370" w:type="dxa"/>
          </w:tcPr>
          <w:p w:rsidR="003215D3" w:rsidRDefault="00637860">
            <w:pPr>
              <w:pStyle w:val="yTableNAm"/>
              <w:rPr>
                <w:sz w:val="18"/>
                <w:szCs w:val="18"/>
              </w:rPr>
            </w:pPr>
            <w:r>
              <w:rPr>
                <w:sz w:val="18"/>
                <w:szCs w:val="18"/>
              </w:rPr>
              <w:t>124.1038</w:t>
            </w:r>
          </w:p>
        </w:tc>
      </w:tr>
      <w:tr w:rsidR="003215D3">
        <w:trPr>
          <w:cantSplit/>
        </w:trPr>
        <w:tc>
          <w:tcPr>
            <w:tcW w:w="567" w:type="dxa"/>
          </w:tcPr>
          <w:p w:rsidR="003215D3" w:rsidRDefault="00637860">
            <w:pPr>
              <w:pStyle w:val="yTableNAm"/>
              <w:rPr>
                <w:sz w:val="18"/>
                <w:szCs w:val="18"/>
              </w:rPr>
            </w:pPr>
            <w:r>
              <w:rPr>
                <w:sz w:val="18"/>
                <w:szCs w:val="18"/>
              </w:rPr>
              <w:t>Z.13</w:t>
            </w:r>
          </w:p>
        </w:tc>
        <w:tc>
          <w:tcPr>
            <w:tcW w:w="709" w:type="dxa"/>
          </w:tcPr>
          <w:p w:rsidR="003215D3" w:rsidRDefault="00637860">
            <w:pPr>
              <w:pStyle w:val="yTableNAm"/>
              <w:rPr>
                <w:sz w:val="18"/>
                <w:szCs w:val="18"/>
              </w:rPr>
            </w:pPr>
            <w:r>
              <w:rPr>
                <w:sz w:val="18"/>
                <w:szCs w:val="18"/>
              </w:rPr>
              <w:t>150</w:t>
            </w:r>
          </w:p>
        </w:tc>
        <w:tc>
          <w:tcPr>
            <w:tcW w:w="1417" w:type="dxa"/>
            <w:gridSpan w:val="4"/>
          </w:tcPr>
          <w:p w:rsidR="003215D3" w:rsidRDefault="00637860">
            <w:pPr>
              <w:pStyle w:val="yTableNAm"/>
              <w:rPr>
                <w:sz w:val="18"/>
                <w:szCs w:val="18"/>
              </w:rPr>
            </w:pPr>
            <w:r>
              <w:rPr>
                <w:sz w:val="18"/>
                <w:szCs w:val="18"/>
              </w:rPr>
              <w:t>High pressure sodium</w:t>
            </w:r>
          </w:p>
        </w:tc>
        <w:tc>
          <w:tcPr>
            <w:tcW w:w="1229" w:type="dxa"/>
          </w:tcPr>
          <w:p w:rsidR="003215D3" w:rsidRDefault="00637860">
            <w:pPr>
              <w:pStyle w:val="yTableNAm"/>
              <w:rPr>
                <w:sz w:val="18"/>
                <w:szCs w:val="18"/>
              </w:rPr>
            </w:pPr>
            <w:r>
              <w:rPr>
                <w:sz w:val="18"/>
                <w:szCs w:val="18"/>
              </w:rPr>
              <w:t>53.3514</w:t>
            </w:r>
          </w:p>
        </w:tc>
        <w:tc>
          <w:tcPr>
            <w:tcW w:w="1512" w:type="dxa"/>
          </w:tcPr>
          <w:p w:rsidR="003215D3" w:rsidRDefault="00637860">
            <w:pPr>
              <w:pStyle w:val="yTableNAm"/>
              <w:rPr>
                <w:sz w:val="18"/>
                <w:szCs w:val="18"/>
              </w:rPr>
            </w:pPr>
            <w:r>
              <w:rPr>
                <w:sz w:val="18"/>
                <w:szCs w:val="18"/>
              </w:rPr>
              <w:t>56.4280</w:t>
            </w:r>
          </w:p>
        </w:tc>
        <w:tc>
          <w:tcPr>
            <w:tcW w:w="1370" w:type="dxa"/>
          </w:tcPr>
          <w:p w:rsidR="003215D3" w:rsidRDefault="00637860">
            <w:pPr>
              <w:pStyle w:val="yTableNAm"/>
              <w:rPr>
                <w:sz w:val="18"/>
                <w:szCs w:val="18"/>
              </w:rPr>
            </w:pPr>
            <w:r>
              <w:rPr>
                <w:sz w:val="18"/>
                <w:szCs w:val="18"/>
              </w:rPr>
              <w:t>68.1189</w:t>
            </w:r>
          </w:p>
        </w:tc>
      </w:tr>
      <w:tr w:rsidR="003215D3">
        <w:trPr>
          <w:cantSplit/>
        </w:trPr>
        <w:tc>
          <w:tcPr>
            <w:tcW w:w="567" w:type="dxa"/>
          </w:tcPr>
          <w:p w:rsidR="003215D3" w:rsidRDefault="00637860">
            <w:pPr>
              <w:pStyle w:val="yTableNAm"/>
              <w:rPr>
                <w:sz w:val="18"/>
                <w:szCs w:val="18"/>
              </w:rPr>
            </w:pPr>
            <w:r>
              <w:rPr>
                <w:sz w:val="18"/>
                <w:szCs w:val="18"/>
              </w:rPr>
              <w:t>Z.15</w:t>
            </w:r>
          </w:p>
        </w:tc>
        <w:tc>
          <w:tcPr>
            <w:tcW w:w="709" w:type="dxa"/>
          </w:tcPr>
          <w:p w:rsidR="003215D3" w:rsidRDefault="00637860">
            <w:pPr>
              <w:pStyle w:val="yTableNAm"/>
              <w:rPr>
                <w:sz w:val="18"/>
                <w:szCs w:val="18"/>
              </w:rPr>
            </w:pPr>
            <w:r>
              <w:rPr>
                <w:sz w:val="18"/>
                <w:szCs w:val="18"/>
              </w:rPr>
              <w:t>250</w:t>
            </w:r>
          </w:p>
        </w:tc>
        <w:tc>
          <w:tcPr>
            <w:tcW w:w="1417" w:type="dxa"/>
            <w:gridSpan w:val="4"/>
          </w:tcPr>
          <w:p w:rsidR="003215D3" w:rsidRDefault="00637860">
            <w:pPr>
              <w:pStyle w:val="yTableNAm"/>
              <w:rPr>
                <w:sz w:val="18"/>
                <w:szCs w:val="18"/>
              </w:rPr>
            </w:pPr>
            <w:r>
              <w:rPr>
                <w:sz w:val="18"/>
                <w:szCs w:val="18"/>
              </w:rPr>
              <w:t>High pressure sodium</w:t>
            </w:r>
          </w:p>
        </w:tc>
        <w:tc>
          <w:tcPr>
            <w:tcW w:w="1229" w:type="dxa"/>
          </w:tcPr>
          <w:p w:rsidR="003215D3" w:rsidRDefault="00637860">
            <w:pPr>
              <w:pStyle w:val="yTableNAm"/>
              <w:rPr>
                <w:sz w:val="18"/>
                <w:szCs w:val="18"/>
              </w:rPr>
            </w:pPr>
            <w:r>
              <w:rPr>
                <w:sz w:val="18"/>
                <w:szCs w:val="18"/>
              </w:rPr>
              <w:t>62.0643</w:t>
            </w:r>
          </w:p>
        </w:tc>
        <w:tc>
          <w:tcPr>
            <w:tcW w:w="1512" w:type="dxa"/>
          </w:tcPr>
          <w:p w:rsidR="003215D3" w:rsidRDefault="00637860">
            <w:pPr>
              <w:pStyle w:val="yTableNAm"/>
              <w:rPr>
                <w:sz w:val="18"/>
                <w:szCs w:val="18"/>
              </w:rPr>
            </w:pPr>
            <w:r>
              <w:rPr>
                <w:sz w:val="18"/>
                <w:szCs w:val="18"/>
              </w:rPr>
              <w:t>67.1919</w:t>
            </w:r>
          </w:p>
        </w:tc>
        <w:tc>
          <w:tcPr>
            <w:tcW w:w="1370" w:type="dxa"/>
          </w:tcPr>
          <w:p w:rsidR="003215D3" w:rsidRDefault="00637860">
            <w:pPr>
              <w:pStyle w:val="yTableNAm"/>
              <w:rPr>
                <w:sz w:val="18"/>
                <w:szCs w:val="18"/>
              </w:rPr>
            </w:pPr>
            <w:r>
              <w:rPr>
                <w:sz w:val="18"/>
                <w:szCs w:val="18"/>
              </w:rPr>
              <w:t>86.6768</w:t>
            </w:r>
          </w:p>
        </w:tc>
      </w:tr>
      <w:tr w:rsidR="003215D3">
        <w:trPr>
          <w:cantSplit/>
        </w:trPr>
        <w:tc>
          <w:tcPr>
            <w:tcW w:w="567" w:type="dxa"/>
          </w:tcPr>
          <w:p w:rsidR="003215D3" w:rsidRDefault="00637860">
            <w:pPr>
              <w:pStyle w:val="yTableNAm"/>
              <w:rPr>
                <w:sz w:val="18"/>
                <w:szCs w:val="18"/>
              </w:rPr>
            </w:pPr>
            <w:r>
              <w:rPr>
                <w:sz w:val="18"/>
                <w:szCs w:val="18"/>
              </w:rPr>
              <w:t>Z.18</w:t>
            </w:r>
          </w:p>
        </w:tc>
        <w:tc>
          <w:tcPr>
            <w:tcW w:w="709" w:type="dxa"/>
          </w:tcPr>
          <w:p w:rsidR="003215D3" w:rsidRDefault="00637860">
            <w:pPr>
              <w:pStyle w:val="yTableNAm"/>
              <w:rPr>
                <w:sz w:val="18"/>
                <w:szCs w:val="18"/>
              </w:rPr>
            </w:pPr>
            <w:r>
              <w:rPr>
                <w:sz w:val="18"/>
                <w:szCs w:val="18"/>
              </w:rPr>
              <w:t>per kW</w:t>
            </w:r>
          </w:p>
        </w:tc>
        <w:tc>
          <w:tcPr>
            <w:tcW w:w="1417" w:type="dxa"/>
            <w:gridSpan w:val="4"/>
          </w:tcPr>
          <w:p w:rsidR="003215D3" w:rsidRDefault="00637860">
            <w:pPr>
              <w:pStyle w:val="yTableNAm"/>
              <w:rPr>
                <w:sz w:val="18"/>
                <w:szCs w:val="18"/>
              </w:rPr>
            </w:pPr>
            <w:r>
              <w:rPr>
                <w:sz w:val="18"/>
                <w:szCs w:val="18"/>
              </w:rPr>
              <w:t>Auxiliary lighting in public places</w:t>
            </w:r>
          </w:p>
        </w:tc>
        <w:tc>
          <w:tcPr>
            <w:tcW w:w="1229" w:type="dxa"/>
          </w:tcPr>
          <w:p w:rsidR="003215D3" w:rsidRDefault="00637860">
            <w:pPr>
              <w:pStyle w:val="yTableNAm"/>
              <w:rPr>
                <w:sz w:val="18"/>
                <w:szCs w:val="18"/>
              </w:rPr>
            </w:pPr>
            <w:r>
              <w:rPr>
                <w:sz w:val="18"/>
                <w:szCs w:val="18"/>
              </w:rPr>
              <w:t>Not applicable</w:t>
            </w:r>
          </w:p>
        </w:tc>
        <w:tc>
          <w:tcPr>
            <w:tcW w:w="1512" w:type="dxa"/>
          </w:tcPr>
          <w:p w:rsidR="003215D3" w:rsidRDefault="00637860">
            <w:pPr>
              <w:pStyle w:val="yTableNAm"/>
              <w:rPr>
                <w:sz w:val="18"/>
                <w:szCs w:val="18"/>
              </w:rPr>
            </w:pPr>
            <w:r>
              <w:rPr>
                <w:sz w:val="18"/>
                <w:szCs w:val="18"/>
              </w:rPr>
              <w:t>Not applicable</w:t>
            </w:r>
          </w:p>
        </w:tc>
        <w:tc>
          <w:tcPr>
            <w:tcW w:w="1370" w:type="dxa"/>
          </w:tcPr>
          <w:p w:rsidR="003215D3" w:rsidRDefault="00637860">
            <w:pPr>
              <w:pStyle w:val="yTableNAm"/>
              <w:rPr>
                <w:sz w:val="18"/>
                <w:szCs w:val="18"/>
              </w:rPr>
            </w:pPr>
            <w:r>
              <w:rPr>
                <w:sz w:val="18"/>
                <w:szCs w:val="18"/>
              </w:rPr>
              <w:t>271.5837</w:t>
            </w:r>
          </w:p>
        </w:tc>
      </w:tr>
      <w:tr w:rsidR="003215D3">
        <w:trPr>
          <w:cantSplit/>
        </w:trPr>
        <w:tc>
          <w:tcPr>
            <w:tcW w:w="6804" w:type="dxa"/>
            <w:gridSpan w:val="9"/>
          </w:tcPr>
          <w:p w:rsidR="003215D3" w:rsidRDefault="00637860">
            <w:pPr>
              <w:pStyle w:val="yTableNAm"/>
              <w:keepNext/>
              <w:keepLines/>
            </w:pPr>
            <w:r>
              <w:rPr>
                <w:b/>
                <w:i/>
                <w:iCs/>
                <w:sz w:val="16"/>
                <w:szCs w:val="16"/>
              </w:rPr>
              <w:t>Street lighting for existing services only</w:t>
            </w:r>
          </w:p>
        </w:tc>
      </w:tr>
      <w:tr w:rsidR="003215D3">
        <w:trPr>
          <w:cantSplit/>
        </w:trPr>
        <w:tc>
          <w:tcPr>
            <w:tcW w:w="567" w:type="dxa"/>
          </w:tcPr>
          <w:p w:rsidR="003215D3" w:rsidRDefault="00637860">
            <w:pPr>
              <w:pStyle w:val="yTableNAm"/>
              <w:rPr>
                <w:sz w:val="18"/>
                <w:szCs w:val="18"/>
              </w:rPr>
            </w:pPr>
            <w:r>
              <w:rPr>
                <w:sz w:val="18"/>
                <w:szCs w:val="18"/>
              </w:rPr>
              <w:t>Z.52</w:t>
            </w:r>
          </w:p>
        </w:tc>
        <w:tc>
          <w:tcPr>
            <w:tcW w:w="851" w:type="dxa"/>
            <w:gridSpan w:val="2"/>
          </w:tcPr>
          <w:p w:rsidR="003215D3" w:rsidRDefault="00637860">
            <w:pPr>
              <w:pStyle w:val="yTableNAm"/>
              <w:rPr>
                <w:sz w:val="18"/>
                <w:szCs w:val="18"/>
              </w:rPr>
            </w:pPr>
            <w:r>
              <w:rPr>
                <w:sz w:val="18"/>
                <w:szCs w:val="18"/>
              </w:rPr>
              <w:t>100</w:t>
            </w:r>
          </w:p>
        </w:tc>
        <w:tc>
          <w:tcPr>
            <w:tcW w:w="1114" w:type="dxa"/>
          </w:tcPr>
          <w:p w:rsidR="003215D3" w:rsidRDefault="00637860">
            <w:pPr>
              <w:pStyle w:val="yTableNAm"/>
              <w:rPr>
                <w:sz w:val="18"/>
                <w:szCs w:val="18"/>
              </w:rPr>
            </w:pPr>
            <w:r>
              <w:rPr>
                <w:sz w:val="18"/>
                <w:szCs w:val="18"/>
              </w:rPr>
              <w:t>Incandescent</w:t>
            </w:r>
          </w:p>
        </w:tc>
        <w:tc>
          <w:tcPr>
            <w:tcW w:w="1390" w:type="dxa"/>
            <w:gridSpan w:val="3"/>
          </w:tcPr>
          <w:p w:rsidR="003215D3" w:rsidRDefault="00637860">
            <w:pPr>
              <w:pStyle w:val="yTableNAm"/>
              <w:rPr>
                <w:sz w:val="18"/>
                <w:szCs w:val="18"/>
              </w:rPr>
            </w:pPr>
            <w:r>
              <w:rPr>
                <w:sz w:val="18"/>
                <w:szCs w:val="18"/>
              </w:rPr>
              <w:t>34.9771</w:t>
            </w:r>
          </w:p>
        </w:tc>
        <w:tc>
          <w:tcPr>
            <w:tcW w:w="1512" w:type="dxa"/>
          </w:tcPr>
          <w:p w:rsidR="003215D3" w:rsidRDefault="00637860">
            <w:pPr>
              <w:pStyle w:val="yTableNAm"/>
              <w:rPr>
                <w:sz w:val="18"/>
                <w:szCs w:val="18"/>
              </w:rPr>
            </w:pPr>
            <w:r>
              <w:rPr>
                <w:sz w:val="18"/>
                <w:szCs w:val="18"/>
              </w:rPr>
              <w:t>36.4334</w:t>
            </w:r>
          </w:p>
        </w:tc>
        <w:tc>
          <w:tcPr>
            <w:tcW w:w="1370" w:type="dxa"/>
          </w:tcPr>
          <w:p w:rsidR="003215D3" w:rsidRDefault="00637860">
            <w:pPr>
              <w:pStyle w:val="yTableNAm"/>
              <w:rPr>
                <w:sz w:val="18"/>
                <w:szCs w:val="18"/>
              </w:rPr>
            </w:pPr>
            <w:r>
              <w:rPr>
                <w:sz w:val="18"/>
                <w:szCs w:val="18"/>
              </w:rPr>
              <w:t>40.5008</w:t>
            </w:r>
          </w:p>
        </w:tc>
      </w:tr>
      <w:tr w:rsidR="003215D3">
        <w:trPr>
          <w:cantSplit/>
        </w:trPr>
        <w:tc>
          <w:tcPr>
            <w:tcW w:w="567" w:type="dxa"/>
            <w:tcBorders>
              <w:bottom w:val="single" w:sz="4" w:space="0" w:color="auto"/>
            </w:tcBorders>
          </w:tcPr>
          <w:p w:rsidR="003215D3" w:rsidRDefault="00637860">
            <w:pPr>
              <w:pStyle w:val="yTableNAm"/>
              <w:rPr>
                <w:sz w:val="18"/>
                <w:szCs w:val="18"/>
              </w:rPr>
            </w:pPr>
            <w:r>
              <w:rPr>
                <w:sz w:val="18"/>
                <w:szCs w:val="18"/>
              </w:rPr>
              <w:t>Z.56</w:t>
            </w:r>
          </w:p>
        </w:tc>
        <w:tc>
          <w:tcPr>
            <w:tcW w:w="851" w:type="dxa"/>
            <w:gridSpan w:val="2"/>
            <w:tcBorders>
              <w:bottom w:val="single" w:sz="4" w:space="0" w:color="auto"/>
            </w:tcBorders>
          </w:tcPr>
          <w:p w:rsidR="003215D3" w:rsidRDefault="00637860">
            <w:pPr>
              <w:pStyle w:val="yTableNAm"/>
              <w:rPr>
                <w:sz w:val="18"/>
                <w:szCs w:val="18"/>
              </w:rPr>
            </w:pPr>
            <w:r>
              <w:rPr>
                <w:sz w:val="18"/>
                <w:szCs w:val="18"/>
              </w:rPr>
              <w:t>40</w:t>
            </w:r>
          </w:p>
        </w:tc>
        <w:tc>
          <w:tcPr>
            <w:tcW w:w="1114" w:type="dxa"/>
            <w:tcBorders>
              <w:bottom w:val="single" w:sz="4" w:space="0" w:color="auto"/>
            </w:tcBorders>
          </w:tcPr>
          <w:p w:rsidR="003215D3" w:rsidRDefault="00637860">
            <w:pPr>
              <w:pStyle w:val="yTableNAm"/>
              <w:rPr>
                <w:sz w:val="18"/>
                <w:szCs w:val="18"/>
              </w:rPr>
            </w:pPr>
            <w:r>
              <w:rPr>
                <w:sz w:val="18"/>
                <w:szCs w:val="18"/>
              </w:rPr>
              <w:t>Fluorescent</w:t>
            </w:r>
          </w:p>
        </w:tc>
        <w:tc>
          <w:tcPr>
            <w:tcW w:w="1390" w:type="dxa"/>
            <w:gridSpan w:val="3"/>
            <w:tcBorders>
              <w:bottom w:val="single" w:sz="4" w:space="0" w:color="auto"/>
            </w:tcBorders>
          </w:tcPr>
          <w:p w:rsidR="003215D3" w:rsidRDefault="00637860">
            <w:pPr>
              <w:pStyle w:val="yTableNAm"/>
              <w:rPr>
                <w:sz w:val="18"/>
                <w:szCs w:val="18"/>
              </w:rPr>
            </w:pPr>
            <w:r>
              <w:rPr>
                <w:sz w:val="18"/>
                <w:szCs w:val="18"/>
              </w:rPr>
              <w:t>29.7494</w:t>
            </w:r>
          </w:p>
        </w:tc>
        <w:tc>
          <w:tcPr>
            <w:tcW w:w="1512" w:type="dxa"/>
            <w:tcBorders>
              <w:bottom w:val="single" w:sz="4" w:space="0" w:color="auto"/>
            </w:tcBorders>
          </w:tcPr>
          <w:p w:rsidR="003215D3" w:rsidRDefault="00637860">
            <w:pPr>
              <w:pStyle w:val="yTableNAm"/>
              <w:rPr>
                <w:sz w:val="18"/>
                <w:szCs w:val="18"/>
              </w:rPr>
            </w:pPr>
            <w:r>
              <w:rPr>
                <w:sz w:val="18"/>
                <w:szCs w:val="18"/>
              </w:rPr>
              <w:t>30.5698</w:t>
            </w:r>
          </w:p>
        </w:tc>
        <w:tc>
          <w:tcPr>
            <w:tcW w:w="1370" w:type="dxa"/>
            <w:tcBorders>
              <w:bottom w:val="single" w:sz="4" w:space="0" w:color="auto"/>
            </w:tcBorders>
          </w:tcPr>
          <w:p w:rsidR="003215D3" w:rsidRDefault="00637860">
            <w:pPr>
              <w:pStyle w:val="yTableNAm"/>
              <w:rPr>
                <w:sz w:val="18"/>
                <w:szCs w:val="18"/>
              </w:rPr>
            </w:pPr>
            <w:r>
              <w:rPr>
                <w:sz w:val="18"/>
                <w:szCs w:val="18"/>
              </w:rPr>
              <w:t>33.6874</w:t>
            </w:r>
          </w:p>
        </w:tc>
      </w:tr>
    </w:tbl>
    <w:p w:rsidR="003215D3" w:rsidRDefault="00637860">
      <w:pPr>
        <w:pStyle w:val="yFootnotesection"/>
      </w:pPr>
      <w:r>
        <w:tab/>
        <w:t>[Division 1 inserted: SL 2020/79 bl. 4.]</w:t>
      </w:r>
    </w:p>
    <w:p w:rsidR="003215D3" w:rsidRDefault="00637860">
      <w:pPr>
        <w:pStyle w:val="yHeading3"/>
      </w:pPr>
      <w:bookmarkStart w:id="36" w:name="_Toc75162972"/>
      <w:bookmarkStart w:id="37" w:name="_Toc75163323"/>
      <w:bookmarkStart w:id="38" w:name="_Toc75163386"/>
      <w:bookmarkStart w:id="39" w:name="_Toc75169044"/>
      <w:r>
        <w:rPr>
          <w:rStyle w:val="CharSDivNo"/>
        </w:rPr>
        <w:lastRenderedPageBreak/>
        <w:t>Division 2</w:t>
      </w:r>
      <w:r>
        <w:rPr>
          <w:b w:val="0"/>
        </w:rPr>
        <w:t> — </w:t>
      </w:r>
      <w:r>
        <w:rPr>
          <w:rStyle w:val="CharSDivText"/>
        </w:rPr>
        <w:t>Miscellaneous</w:t>
      </w:r>
      <w:bookmarkEnd w:id="36"/>
      <w:bookmarkEnd w:id="37"/>
      <w:bookmarkEnd w:id="38"/>
      <w:bookmarkEnd w:id="39"/>
    </w:p>
    <w:p w:rsidR="003215D3" w:rsidRDefault="00637860">
      <w:pPr>
        <w:pStyle w:val="yFootnoteheading"/>
        <w:keepNext/>
      </w:pPr>
      <w:r>
        <w:tab/>
        <w:t>[Heading inserted: SL 2020/79 bl. 4.]</w:t>
      </w:r>
    </w:p>
    <w:p w:rsidR="003215D3" w:rsidRDefault="00637860">
      <w:pPr>
        <w:pStyle w:val="yHeading5"/>
      </w:pPr>
      <w:bookmarkStart w:id="40" w:name="_Toc75169045"/>
      <w:r>
        <w:rPr>
          <w:rStyle w:val="CharSClsNo"/>
        </w:rPr>
        <w:t>1</w:t>
      </w:r>
      <w:r>
        <w:t>.</w:t>
      </w:r>
      <w:r>
        <w:tab/>
        <w:t>Traffic light installation</w:t>
      </w:r>
      <w:bookmarkEnd w:id="40"/>
    </w:p>
    <w:p w:rsidR="003215D3" w:rsidRDefault="00637860">
      <w:pPr>
        <w:pStyle w:val="ySubsection"/>
        <w:keepNext/>
      </w:pPr>
      <w:r>
        <w:tab/>
      </w:r>
      <w:r>
        <w:tab/>
        <w:t xml:space="preserve">Supply of electricity to traffic light installations comprises a charge of </w:t>
      </w:r>
      <w:r>
        <w:rPr>
          <w:szCs w:val="22"/>
        </w:rPr>
        <w:t xml:space="preserve">$7.6365 </w:t>
      </w:r>
      <w:r>
        <w:t>per day per kW of installed wattage.</w:t>
      </w:r>
    </w:p>
    <w:p w:rsidR="003215D3" w:rsidRDefault="00637860">
      <w:pPr>
        <w:pStyle w:val="yFootnotesection"/>
      </w:pPr>
      <w:r>
        <w:tab/>
        <w:t>[Clause 1 inserted: SL 2020/79 bl. 4.]</w:t>
      </w:r>
    </w:p>
    <w:p w:rsidR="003215D3" w:rsidRDefault="00637860">
      <w:pPr>
        <w:pStyle w:val="yHeading5"/>
      </w:pPr>
      <w:bookmarkStart w:id="41" w:name="_Toc75169046"/>
      <w:r>
        <w:rPr>
          <w:rStyle w:val="CharSClsNo"/>
        </w:rPr>
        <w:t>2</w:t>
      </w:r>
      <w:r>
        <w:t>.</w:t>
      </w:r>
      <w:r>
        <w:tab/>
        <w:t>Public telephone facility</w:t>
      </w:r>
      <w:bookmarkEnd w:id="41"/>
    </w:p>
    <w:p w:rsidR="003215D3" w:rsidRDefault="00637860">
      <w:pPr>
        <w:pStyle w:val="ySubsection"/>
      </w:pPr>
      <w:r>
        <w:tab/>
      </w:r>
      <w:r>
        <w:tab/>
        <w:t>Supply of electricity to a standard public telephone facility where supply is not independently metered comprises a charge of 66.2364 cents per day.</w:t>
      </w:r>
    </w:p>
    <w:p w:rsidR="003215D3" w:rsidRDefault="00637860">
      <w:pPr>
        <w:pStyle w:val="yFootnotesection"/>
      </w:pPr>
      <w:r>
        <w:tab/>
        <w:t>[Clause 2 inserted: SL 2020/79 bl. 4.]</w:t>
      </w:r>
    </w:p>
    <w:p w:rsidR="003215D3" w:rsidRDefault="00637860">
      <w:pPr>
        <w:pStyle w:val="yHeading5"/>
      </w:pPr>
      <w:bookmarkStart w:id="42" w:name="_Toc75169047"/>
      <w:r>
        <w:rPr>
          <w:rStyle w:val="CharSClsNo"/>
        </w:rPr>
        <w:t>3</w:t>
      </w:r>
      <w:r>
        <w:t>.</w:t>
      </w:r>
      <w:r>
        <w:tab/>
        <w:t>Railway crossing</w:t>
      </w:r>
      <w:bookmarkEnd w:id="42"/>
    </w:p>
    <w:p w:rsidR="003215D3" w:rsidRDefault="00637860">
      <w:pPr>
        <w:pStyle w:val="ySubsection"/>
      </w:pPr>
      <w:r>
        <w:tab/>
      </w:r>
      <w:r>
        <w:tab/>
        <w:t xml:space="preserve">Supply of electricity to standard railway crossing lights comprises a charge of </w:t>
      </w:r>
      <w:r>
        <w:rPr>
          <w:szCs w:val="22"/>
        </w:rPr>
        <w:t xml:space="preserve">84.6457 </w:t>
      </w:r>
      <w:r>
        <w:t>cents per day.</w:t>
      </w:r>
    </w:p>
    <w:p w:rsidR="003215D3" w:rsidRDefault="00637860">
      <w:pPr>
        <w:pStyle w:val="yFootnotesection"/>
      </w:pPr>
      <w:r>
        <w:tab/>
        <w:t>[Clause 3 inserted: SL 2020/79 bl. 4.]</w:t>
      </w:r>
    </w:p>
    <w:p w:rsidR="003215D3" w:rsidRDefault="00637860">
      <w:pPr>
        <w:pStyle w:val="yScheduleHeading"/>
      </w:pPr>
      <w:bookmarkStart w:id="43" w:name="_Toc75162976"/>
      <w:bookmarkStart w:id="44" w:name="_Toc75163327"/>
      <w:bookmarkStart w:id="45" w:name="_Toc75163390"/>
      <w:bookmarkStart w:id="46" w:name="_Toc75169048"/>
      <w:r>
        <w:rPr>
          <w:rStyle w:val="CharSchNo"/>
        </w:rPr>
        <w:lastRenderedPageBreak/>
        <w:t>Schedule 3</w:t>
      </w:r>
      <w:r>
        <w:rPr>
          <w:rStyle w:val="CharSDivNo"/>
        </w:rPr>
        <w:t> </w:t>
      </w:r>
      <w:r>
        <w:t>—</w:t>
      </w:r>
      <w:r>
        <w:rPr>
          <w:rStyle w:val="CharSDivText"/>
        </w:rPr>
        <w:t> </w:t>
      </w:r>
      <w:r>
        <w:rPr>
          <w:rStyle w:val="CharSchText"/>
        </w:rPr>
        <w:t>Meter rental</w:t>
      </w:r>
      <w:bookmarkEnd w:id="43"/>
      <w:bookmarkEnd w:id="44"/>
      <w:bookmarkEnd w:id="45"/>
      <w:bookmarkEnd w:id="46"/>
    </w:p>
    <w:p w:rsidR="003215D3" w:rsidRDefault="00637860">
      <w:pPr>
        <w:pStyle w:val="yShoulderClause"/>
      </w:pPr>
      <w:r>
        <w:t>[bl. 6(1)]</w:t>
      </w:r>
    </w:p>
    <w:p w:rsidR="003215D3" w:rsidRDefault="00637860">
      <w:pPr>
        <w:pStyle w:val="yMiscellaneousBody"/>
      </w:pPr>
      <w:r>
        <w:t>The rental payable in respect of a subsidiary meter is 15.97 cents per day.</w:t>
      </w:r>
    </w:p>
    <w:p w:rsidR="003215D3" w:rsidRDefault="00637860">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rsidR="003215D3" w:rsidRDefault="00637860">
      <w:pPr>
        <w:pStyle w:val="yScheduleHeading"/>
      </w:pPr>
      <w:bookmarkStart w:id="47" w:name="_Toc75162977"/>
      <w:bookmarkStart w:id="48" w:name="_Toc75163328"/>
      <w:bookmarkStart w:id="49" w:name="_Toc75163391"/>
      <w:bookmarkStart w:id="50" w:name="_Toc75169049"/>
      <w:r>
        <w:rPr>
          <w:rStyle w:val="CharSchNo"/>
        </w:rPr>
        <w:lastRenderedPageBreak/>
        <w:t>Schedule 4</w:t>
      </w:r>
      <w:r>
        <w:t> — </w:t>
      </w:r>
      <w:r>
        <w:rPr>
          <w:rStyle w:val="CharSchText"/>
        </w:rPr>
        <w:t>Fees</w:t>
      </w:r>
      <w:bookmarkEnd w:id="47"/>
      <w:bookmarkEnd w:id="48"/>
      <w:bookmarkEnd w:id="49"/>
      <w:bookmarkEnd w:id="50"/>
    </w:p>
    <w:p w:rsidR="003215D3" w:rsidRDefault="00637860">
      <w:pPr>
        <w:pStyle w:val="yShoulderClause"/>
      </w:pPr>
      <w:r>
        <w:t>[bl. 7]</w:t>
      </w:r>
    </w:p>
    <w:p w:rsidR="003215D3" w:rsidRDefault="00637860">
      <w:pPr>
        <w:pStyle w:val="yFootnoteheading"/>
        <w:spacing w:after="120"/>
      </w:pPr>
      <w:r>
        <w:tab/>
        <w:t>[Heading inserted: SL 2020/79 bl. 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rsidR="003215D3">
        <w:trPr>
          <w:cantSplit/>
          <w:tblHeader/>
        </w:trPr>
        <w:tc>
          <w:tcPr>
            <w:tcW w:w="5528" w:type="dxa"/>
            <w:tcBorders>
              <w:top w:val="single" w:sz="4" w:space="0" w:color="auto"/>
              <w:bottom w:val="single" w:sz="4" w:space="0" w:color="auto"/>
            </w:tcBorders>
          </w:tcPr>
          <w:p w:rsidR="003215D3" w:rsidRDefault="00637860">
            <w:pPr>
              <w:pStyle w:val="yTableNAm"/>
              <w:keepNext/>
              <w:ind w:left="556"/>
              <w:rPr>
                <w:b/>
                <w:iCs/>
              </w:rPr>
            </w:pPr>
            <w:r>
              <w:rPr>
                <w:b/>
                <w:iCs/>
              </w:rPr>
              <w:t>Description of fee</w:t>
            </w:r>
          </w:p>
        </w:tc>
        <w:tc>
          <w:tcPr>
            <w:tcW w:w="1276" w:type="dxa"/>
            <w:tcBorders>
              <w:top w:val="single" w:sz="4" w:space="0" w:color="auto"/>
              <w:bottom w:val="single" w:sz="4" w:space="0" w:color="auto"/>
            </w:tcBorders>
          </w:tcPr>
          <w:p w:rsidR="003215D3" w:rsidRDefault="00637860">
            <w:pPr>
              <w:pStyle w:val="yTableNAm"/>
              <w:keepNext/>
              <w:rPr>
                <w:b/>
                <w:iCs/>
              </w:rPr>
            </w:pPr>
            <w:r>
              <w:rPr>
                <w:b/>
                <w:iCs/>
              </w:rPr>
              <w:t>Amount</w:t>
            </w:r>
          </w:p>
        </w:tc>
      </w:tr>
      <w:tr w:rsidR="003215D3">
        <w:trPr>
          <w:cantSplit/>
        </w:trPr>
        <w:tc>
          <w:tcPr>
            <w:tcW w:w="5528" w:type="dxa"/>
            <w:tcBorders>
              <w:top w:val="single" w:sz="4" w:space="0" w:color="auto"/>
            </w:tcBorders>
          </w:tcPr>
          <w:p w:rsidR="003215D3" w:rsidRDefault="00637860">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rsidR="003215D3" w:rsidRDefault="00637860">
            <w:pPr>
              <w:pStyle w:val="yTableNAm"/>
              <w:keepNext/>
            </w:pPr>
            <w:r>
              <w:t>$42.75</w:t>
            </w:r>
          </w:p>
        </w:tc>
      </w:tr>
      <w:tr w:rsidR="003215D3">
        <w:trPr>
          <w:cantSplit/>
        </w:trPr>
        <w:tc>
          <w:tcPr>
            <w:tcW w:w="5528" w:type="dxa"/>
          </w:tcPr>
          <w:p w:rsidR="003215D3" w:rsidRDefault="00637860">
            <w:pPr>
              <w:pStyle w:val="yTableNAm"/>
              <w:tabs>
                <w:tab w:val="left" w:pos="1156"/>
                <w:tab w:val="right" w:leader="dot" w:pos="5386"/>
              </w:tabs>
              <w:ind w:left="1157" w:right="-85" w:hanging="1157"/>
            </w:pPr>
            <w:r>
              <w:t>2.</w:t>
            </w:r>
            <w:r>
              <w:tab/>
              <w:t xml:space="preserve">Three phase residential installation — </w:t>
            </w:r>
          </w:p>
        </w:tc>
        <w:tc>
          <w:tcPr>
            <w:tcW w:w="1276" w:type="dxa"/>
          </w:tcPr>
          <w:p w:rsidR="003215D3" w:rsidRDefault="003215D3">
            <w:pPr>
              <w:pStyle w:val="yTableNAm"/>
            </w:pPr>
          </w:p>
        </w:tc>
      </w:tr>
      <w:tr w:rsidR="003215D3">
        <w:trPr>
          <w:cantSplit/>
        </w:trPr>
        <w:tc>
          <w:tcPr>
            <w:tcW w:w="5528" w:type="dxa"/>
          </w:tcPr>
          <w:p w:rsidR="003215D3" w:rsidRDefault="00637860">
            <w:pPr>
              <w:pStyle w:val="yTableNAm"/>
              <w:tabs>
                <w:tab w:val="clear" w:pos="567"/>
                <w:tab w:val="left" w:pos="1134"/>
                <w:tab w:val="right" w:leader="dot" w:pos="5387"/>
              </w:tabs>
              <w:ind w:left="1134" w:right="-85" w:hanging="556"/>
            </w:pPr>
            <w:r>
              <w:t>(a)</w:t>
            </w:r>
            <w:r>
              <w:tab/>
              <w:t xml:space="preserve">new installation of three phase meter or replacement of single phase meter with three phase meter </w:t>
            </w:r>
            <w:r>
              <w:tab/>
            </w:r>
          </w:p>
        </w:tc>
        <w:tc>
          <w:tcPr>
            <w:tcW w:w="1276" w:type="dxa"/>
            <w:vAlign w:val="bottom"/>
          </w:tcPr>
          <w:p w:rsidR="003215D3" w:rsidRDefault="00637860">
            <w:pPr>
              <w:pStyle w:val="yTableNAm"/>
            </w:pPr>
            <w:r>
              <w:t>$235.04</w:t>
            </w:r>
          </w:p>
        </w:tc>
      </w:tr>
      <w:tr w:rsidR="003215D3">
        <w:trPr>
          <w:cantSplit/>
        </w:trPr>
        <w:tc>
          <w:tcPr>
            <w:tcW w:w="5528" w:type="dxa"/>
          </w:tcPr>
          <w:p w:rsidR="003215D3" w:rsidRDefault="00637860">
            <w:pPr>
              <w:pStyle w:val="yTableNAm"/>
              <w:tabs>
                <w:tab w:val="clear" w:pos="567"/>
                <w:tab w:val="left" w:pos="1134"/>
                <w:tab w:val="right" w:leader="dot" w:pos="5387"/>
              </w:tabs>
              <w:ind w:left="1134" w:right="-85" w:hanging="556"/>
            </w:pPr>
            <w:r>
              <w:t>(b)</w:t>
            </w:r>
            <w:r>
              <w:tab/>
              <w:t xml:space="preserve">installation of subsidiary three phase meter (each installation) </w:t>
            </w:r>
            <w:r>
              <w:tab/>
            </w:r>
          </w:p>
        </w:tc>
        <w:tc>
          <w:tcPr>
            <w:tcW w:w="1276" w:type="dxa"/>
            <w:vAlign w:val="bottom"/>
          </w:tcPr>
          <w:p w:rsidR="003215D3" w:rsidRDefault="00637860">
            <w:pPr>
              <w:pStyle w:val="yTableNAm"/>
            </w:pPr>
            <w:r>
              <w:t>$148.50</w:t>
            </w:r>
          </w:p>
        </w:tc>
      </w:tr>
      <w:tr w:rsidR="003215D3">
        <w:trPr>
          <w:cantSplit/>
        </w:trPr>
        <w:tc>
          <w:tcPr>
            <w:tcW w:w="5528" w:type="dxa"/>
            <w:vAlign w:val="bottom"/>
          </w:tcPr>
          <w:p w:rsidR="003215D3" w:rsidRDefault="00637860">
            <w:pPr>
              <w:pStyle w:val="yTableNAm"/>
              <w:keepNext/>
              <w:tabs>
                <w:tab w:val="right" w:leader="dot" w:pos="5386"/>
              </w:tabs>
              <w:ind w:left="556" w:right="-85" w:hanging="556"/>
            </w:pPr>
            <w:r>
              <w:t>3.</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rsidR="003215D3" w:rsidRDefault="003215D3">
            <w:pPr>
              <w:pStyle w:val="yTableNAm"/>
            </w:pPr>
          </w:p>
        </w:tc>
      </w:tr>
      <w:tr w:rsidR="003215D3">
        <w:trPr>
          <w:cantSplit/>
        </w:trPr>
        <w:tc>
          <w:tcPr>
            <w:tcW w:w="5528" w:type="dxa"/>
            <w:vAlign w:val="bottom"/>
          </w:tcPr>
          <w:p w:rsidR="003215D3" w:rsidRDefault="00637860">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rsidR="003215D3" w:rsidRDefault="00637860">
            <w:pPr>
              <w:pStyle w:val="yTableNAm"/>
            </w:pPr>
            <w:r>
              <w:t>$213.76</w:t>
            </w:r>
          </w:p>
        </w:tc>
      </w:tr>
      <w:tr w:rsidR="003215D3">
        <w:trPr>
          <w:cantSplit/>
        </w:trPr>
        <w:tc>
          <w:tcPr>
            <w:tcW w:w="5528" w:type="dxa"/>
          </w:tcPr>
          <w:p w:rsidR="003215D3" w:rsidRDefault="00637860">
            <w:pPr>
              <w:pStyle w:val="yTableNAm"/>
              <w:tabs>
                <w:tab w:val="left" w:pos="1156"/>
                <w:tab w:val="right" w:leader="dot" w:pos="5387"/>
              </w:tabs>
              <w:ind w:left="1157" w:right="-85" w:hanging="590"/>
            </w:pPr>
            <w:r>
              <w:t>(b)</w:t>
            </w:r>
            <w:r>
              <w:tab/>
              <w:t>otherwise</w:t>
            </w:r>
            <w:r>
              <w:tab/>
            </w:r>
          </w:p>
        </w:tc>
        <w:tc>
          <w:tcPr>
            <w:tcW w:w="1276" w:type="dxa"/>
          </w:tcPr>
          <w:p w:rsidR="003215D3" w:rsidRDefault="00637860">
            <w:pPr>
              <w:pStyle w:val="yTableNAm"/>
            </w:pPr>
            <w:r>
              <w:t>$31.10</w:t>
            </w:r>
          </w:p>
        </w:tc>
      </w:tr>
      <w:tr w:rsidR="003215D3">
        <w:trPr>
          <w:cantSplit/>
        </w:trPr>
        <w:tc>
          <w:tcPr>
            <w:tcW w:w="5528" w:type="dxa"/>
          </w:tcPr>
          <w:p w:rsidR="003215D3" w:rsidRDefault="00637860">
            <w:pPr>
              <w:pStyle w:val="yTableNAm"/>
              <w:tabs>
                <w:tab w:val="right" w:leader="dot" w:pos="5387"/>
              </w:tabs>
              <w:ind w:left="556" w:right="-85" w:hanging="556"/>
            </w:pPr>
            <w:r>
              <w:t>4.</w:t>
            </w:r>
            <w:r>
              <w:tab/>
              <w:t>Temporary supply connection — </w:t>
            </w:r>
          </w:p>
        </w:tc>
        <w:tc>
          <w:tcPr>
            <w:tcW w:w="1276" w:type="dxa"/>
          </w:tcPr>
          <w:p w:rsidR="003215D3" w:rsidRDefault="003215D3">
            <w:pPr>
              <w:pStyle w:val="yTableNAm"/>
            </w:pPr>
          </w:p>
        </w:tc>
      </w:tr>
      <w:tr w:rsidR="003215D3">
        <w:trPr>
          <w:cantSplit/>
        </w:trPr>
        <w:tc>
          <w:tcPr>
            <w:tcW w:w="5528" w:type="dxa"/>
          </w:tcPr>
          <w:p w:rsidR="003215D3" w:rsidRDefault="00637860">
            <w:pPr>
              <w:pStyle w:val="yTableNAm"/>
              <w:tabs>
                <w:tab w:val="left" w:pos="1134"/>
                <w:tab w:val="right" w:leader="dot" w:pos="5386"/>
              </w:tabs>
              <w:ind w:left="1157" w:right="-85" w:hanging="590"/>
            </w:pPr>
            <w:r>
              <w:t>(a)</w:t>
            </w:r>
            <w:r>
              <w:tab/>
              <w:t xml:space="preserve">single phase (overhead) </w:t>
            </w:r>
            <w:r>
              <w:tab/>
            </w:r>
          </w:p>
        </w:tc>
        <w:tc>
          <w:tcPr>
            <w:tcW w:w="1276" w:type="dxa"/>
          </w:tcPr>
          <w:p w:rsidR="003215D3" w:rsidRDefault="00637860">
            <w:pPr>
              <w:pStyle w:val="yTableNAm"/>
            </w:pPr>
            <w:r>
              <w:t>$300.00</w:t>
            </w:r>
          </w:p>
        </w:tc>
      </w:tr>
      <w:tr w:rsidR="003215D3">
        <w:trPr>
          <w:cantSplit/>
        </w:trPr>
        <w:tc>
          <w:tcPr>
            <w:tcW w:w="5528" w:type="dxa"/>
          </w:tcPr>
          <w:p w:rsidR="003215D3" w:rsidRDefault="00637860">
            <w:pPr>
              <w:pStyle w:val="yTableNAm"/>
              <w:tabs>
                <w:tab w:val="left" w:pos="1134"/>
                <w:tab w:val="right" w:leader="dot" w:pos="5386"/>
              </w:tabs>
              <w:ind w:left="1157" w:right="-85" w:hanging="590"/>
            </w:pPr>
            <w:r>
              <w:t>(b)</w:t>
            </w:r>
            <w:r>
              <w:tab/>
              <w:t xml:space="preserve">three phase (overhead) </w:t>
            </w:r>
            <w:r>
              <w:tab/>
            </w:r>
          </w:p>
        </w:tc>
        <w:tc>
          <w:tcPr>
            <w:tcW w:w="1276" w:type="dxa"/>
          </w:tcPr>
          <w:p w:rsidR="003215D3" w:rsidRDefault="00637860">
            <w:pPr>
              <w:pStyle w:val="yTableNAm"/>
            </w:pPr>
            <w:r>
              <w:t>$600.00</w:t>
            </w:r>
          </w:p>
        </w:tc>
      </w:tr>
      <w:tr w:rsidR="003215D3">
        <w:trPr>
          <w:cantSplit/>
        </w:trPr>
        <w:tc>
          <w:tcPr>
            <w:tcW w:w="5528" w:type="dxa"/>
          </w:tcPr>
          <w:p w:rsidR="003215D3" w:rsidRDefault="00637860">
            <w:pPr>
              <w:pStyle w:val="yTableNAm"/>
              <w:tabs>
                <w:tab w:val="right" w:leader="dot" w:pos="5387"/>
              </w:tabs>
              <w:ind w:left="556" w:right="-85" w:hanging="556"/>
            </w:pPr>
            <w:r>
              <w:t>5.</w:t>
            </w:r>
            <w:r>
              <w:tab/>
              <w:t>Meter testing — </w:t>
            </w:r>
          </w:p>
        </w:tc>
        <w:tc>
          <w:tcPr>
            <w:tcW w:w="1276" w:type="dxa"/>
          </w:tcPr>
          <w:p w:rsidR="003215D3" w:rsidRDefault="003215D3">
            <w:pPr>
              <w:pStyle w:val="yTableNAm"/>
            </w:pPr>
          </w:p>
        </w:tc>
      </w:tr>
      <w:tr w:rsidR="003215D3">
        <w:trPr>
          <w:cantSplit/>
        </w:trPr>
        <w:tc>
          <w:tcPr>
            <w:tcW w:w="5528" w:type="dxa"/>
          </w:tcPr>
          <w:p w:rsidR="003215D3" w:rsidRDefault="00637860">
            <w:pPr>
              <w:pStyle w:val="yTableNAm"/>
              <w:tabs>
                <w:tab w:val="left" w:pos="1134"/>
                <w:tab w:val="right" w:leader="dot" w:pos="5386"/>
              </w:tabs>
              <w:ind w:left="1157" w:right="-85" w:hanging="590"/>
            </w:pPr>
            <w:r>
              <w:t>(a)</w:t>
            </w:r>
            <w:r>
              <w:tab/>
              <w:t xml:space="preserve">standard meter testing fee </w:t>
            </w:r>
            <w:r>
              <w:tab/>
            </w:r>
          </w:p>
        </w:tc>
        <w:tc>
          <w:tcPr>
            <w:tcW w:w="1276" w:type="dxa"/>
          </w:tcPr>
          <w:p w:rsidR="003215D3" w:rsidRDefault="00637860">
            <w:pPr>
              <w:pStyle w:val="yTableNAm"/>
            </w:pPr>
            <w:r>
              <w:t>$336.15</w:t>
            </w:r>
          </w:p>
        </w:tc>
      </w:tr>
      <w:tr w:rsidR="003215D3">
        <w:trPr>
          <w:cantSplit/>
        </w:trPr>
        <w:tc>
          <w:tcPr>
            <w:tcW w:w="5528" w:type="dxa"/>
          </w:tcPr>
          <w:p w:rsidR="003215D3" w:rsidRDefault="00637860">
            <w:pPr>
              <w:pStyle w:val="yTableNAm"/>
              <w:tabs>
                <w:tab w:val="left" w:pos="1134"/>
                <w:tab w:val="right" w:leader="dot" w:pos="5386"/>
              </w:tabs>
              <w:ind w:left="1157" w:right="-85" w:hanging="590"/>
            </w:pPr>
            <w:r>
              <w:t>(b)</w:t>
            </w:r>
            <w:r>
              <w:tab/>
              <w:t xml:space="preserve">reduced meter testing fee </w:t>
            </w:r>
            <w:r>
              <w:tab/>
            </w:r>
          </w:p>
        </w:tc>
        <w:tc>
          <w:tcPr>
            <w:tcW w:w="1276" w:type="dxa"/>
          </w:tcPr>
          <w:p w:rsidR="003215D3" w:rsidRDefault="00637860">
            <w:pPr>
              <w:pStyle w:val="yTableNAm"/>
            </w:pPr>
            <w:r>
              <w:t>$144.00</w:t>
            </w:r>
          </w:p>
        </w:tc>
      </w:tr>
      <w:tr w:rsidR="003215D3">
        <w:trPr>
          <w:cantSplit/>
        </w:trPr>
        <w:tc>
          <w:tcPr>
            <w:tcW w:w="5528" w:type="dxa"/>
          </w:tcPr>
          <w:p w:rsidR="003215D3" w:rsidRDefault="00637860">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rsidR="003215D3" w:rsidRDefault="00637860">
            <w:pPr>
              <w:pStyle w:val="yTableNAm"/>
            </w:pPr>
            <w:r>
              <w:t>$194.00</w:t>
            </w:r>
          </w:p>
        </w:tc>
      </w:tr>
      <w:tr w:rsidR="003215D3">
        <w:trPr>
          <w:cantSplit/>
        </w:trPr>
        <w:tc>
          <w:tcPr>
            <w:tcW w:w="5528" w:type="dxa"/>
          </w:tcPr>
          <w:p w:rsidR="003215D3" w:rsidRDefault="00637860">
            <w:pPr>
              <w:pStyle w:val="yTableNAm"/>
              <w:tabs>
                <w:tab w:val="right" w:leader="dot" w:pos="5387"/>
              </w:tabs>
              <w:ind w:left="556" w:right="-85" w:hanging="556"/>
            </w:pPr>
            <w:r>
              <w:t>7.</w:t>
            </w:r>
            <w:r>
              <w:tab/>
              <w:t>Meter reading where reading requested by consumer</w:t>
            </w:r>
          </w:p>
        </w:tc>
        <w:tc>
          <w:tcPr>
            <w:tcW w:w="1276" w:type="dxa"/>
          </w:tcPr>
          <w:p w:rsidR="003215D3" w:rsidRDefault="00637860">
            <w:pPr>
              <w:pStyle w:val="yTableNAm"/>
            </w:pPr>
            <w:r>
              <w:t>$33.00</w:t>
            </w:r>
          </w:p>
        </w:tc>
      </w:tr>
      <w:tr w:rsidR="003215D3">
        <w:trPr>
          <w:cantSplit/>
        </w:trPr>
        <w:tc>
          <w:tcPr>
            <w:tcW w:w="5528" w:type="dxa"/>
          </w:tcPr>
          <w:p w:rsidR="003215D3" w:rsidRDefault="00637860">
            <w:pPr>
              <w:pStyle w:val="yTableNAm"/>
              <w:tabs>
                <w:tab w:val="right" w:leader="dot" w:pos="5387"/>
              </w:tabs>
              <w:ind w:left="556" w:right="-85" w:hanging="556"/>
            </w:pPr>
            <w:r>
              <w:lastRenderedPageBreak/>
              <w:t>8.</w:t>
            </w:r>
            <w:r>
              <w:tab/>
              <w:t xml:space="preserve">Remote meter reading </w:t>
            </w:r>
            <w:r>
              <w:tab/>
            </w:r>
          </w:p>
        </w:tc>
        <w:tc>
          <w:tcPr>
            <w:tcW w:w="1276" w:type="dxa"/>
          </w:tcPr>
          <w:p w:rsidR="003215D3" w:rsidRDefault="00637860">
            <w:pPr>
              <w:pStyle w:val="yTableNAm"/>
            </w:pPr>
            <w:r>
              <w:t>$17.60</w:t>
            </w:r>
          </w:p>
        </w:tc>
      </w:tr>
      <w:tr w:rsidR="003215D3">
        <w:trPr>
          <w:cantSplit/>
        </w:trPr>
        <w:tc>
          <w:tcPr>
            <w:tcW w:w="5528" w:type="dxa"/>
          </w:tcPr>
          <w:p w:rsidR="003215D3" w:rsidRDefault="00637860">
            <w:pPr>
              <w:pStyle w:val="yTableNAm"/>
              <w:tabs>
                <w:tab w:val="right" w:leader="dot" w:pos="5387"/>
              </w:tabs>
              <w:ind w:left="556" w:right="-85" w:hanging="556"/>
            </w:pPr>
            <w:r>
              <w:t>9.</w:t>
            </w:r>
            <w:r>
              <w:tab/>
              <w:t xml:space="preserve">Overdue account notices </w:t>
            </w:r>
            <w:r>
              <w:tab/>
            </w:r>
          </w:p>
        </w:tc>
        <w:tc>
          <w:tcPr>
            <w:tcW w:w="1276" w:type="dxa"/>
          </w:tcPr>
          <w:p w:rsidR="003215D3" w:rsidRDefault="00637860">
            <w:pPr>
              <w:pStyle w:val="yTableNAm"/>
            </w:pPr>
            <w:r>
              <w:t>$6.15</w:t>
            </w:r>
          </w:p>
        </w:tc>
      </w:tr>
      <w:tr w:rsidR="003215D3">
        <w:trPr>
          <w:cantSplit/>
        </w:trPr>
        <w:tc>
          <w:tcPr>
            <w:tcW w:w="5528" w:type="dxa"/>
          </w:tcPr>
          <w:p w:rsidR="003215D3" w:rsidRDefault="00637860">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rsidR="003215D3" w:rsidRDefault="00637860">
            <w:pPr>
              <w:pStyle w:val="yTableNAm"/>
            </w:pPr>
            <w:r>
              <w:t>$786.40</w:t>
            </w:r>
          </w:p>
        </w:tc>
      </w:tr>
      <w:tr w:rsidR="003215D3">
        <w:trPr>
          <w:cantSplit/>
        </w:trPr>
        <w:tc>
          <w:tcPr>
            <w:tcW w:w="5528" w:type="dxa"/>
          </w:tcPr>
          <w:p w:rsidR="003215D3" w:rsidRDefault="00637860">
            <w:pPr>
              <w:pStyle w:val="yTableNAm"/>
              <w:keepNext/>
              <w:tabs>
                <w:tab w:val="right" w:leader="dot" w:pos="5387"/>
              </w:tabs>
              <w:ind w:left="556" w:right="-85" w:hanging="556"/>
            </w:pPr>
            <w:r>
              <w:t>11.</w:t>
            </w:r>
            <w:r>
              <w:tab/>
              <w:t xml:space="preserve">A transaction fee where a consumer makes a payment to the corporation by means of a credit card or debit card </w:t>
            </w:r>
            <w:r>
              <w:tab/>
            </w:r>
          </w:p>
        </w:tc>
        <w:tc>
          <w:tcPr>
            <w:tcW w:w="1276" w:type="dxa"/>
          </w:tcPr>
          <w:p w:rsidR="003215D3" w:rsidRDefault="00637860">
            <w:pPr>
              <w:pStyle w:val="yTableNAm"/>
              <w:keepNext/>
            </w:pPr>
            <w:r>
              <w:t>The permitted surcharge for the payment</w:t>
            </w:r>
          </w:p>
        </w:tc>
      </w:tr>
      <w:tr w:rsidR="003215D3">
        <w:trPr>
          <w:cantSplit/>
        </w:trPr>
        <w:tc>
          <w:tcPr>
            <w:tcW w:w="5528" w:type="dxa"/>
          </w:tcPr>
          <w:p w:rsidR="003215D3" w:rsidRDefault="00637860">
            <w:pPr>
              <w:pStyle w:val="yTableNAm"/>
              <w:keepNext/>
              <w:tabs>
                <w:tab w:val="left" w:pos="1134"/>
                <w:tab w:val="right" w:leader="dot" w:pos="5386"/>
              </w:tabs>
              <w:ind w:left="1134" w:right="-85" w:hanging="1134"/>
            </w:pPr>
            <w:r>
              <w:t xml:space="preserve">12. </w:t>
            </w:r>
            <w:r>
              <w:tab/>
              <w:t xml:space="preserve">Paper bill fee </w:t>
            </w:r>
            <w:r>
              <w:tab/>
            </w:r>
          </w:p>
        </w:tc>
        <w:tc>
          <w:tcPr>
            <w:tcW w:w="1276" w:type="dxa"/>
          </w:tcPr>
          <w:p w:rsidR="003215D3" w:rsidRDefault="00637860">
            <w:pPr>
              <w:pStyle w:val="yTableNAm"/>
              <w:keepNext/>
            </w:pPr>
            <w:r>
              <w:t>$1.20</w:t>
            </w:r>
          </w:p>
        </w:tc>
      </w:tr>
      <w:tr w:rsidR="003215D3">
        <w:trPr>
          <w:cantSplit/>
        </w:trPr>
        <w:tc>
          <w:tcPr>
            <w:tcW w:w="5528" w:type="dxa"/>
            <w:tcBorders>
              <w:bottom w:val="single" w:sz="4" w:space="0" w:color="auto"/>
            </w:tcBorders>
          </w:tcPr>
          <w:p w:rsidR="003215D3" w:rsidRDefault="00637860">
            <w:pPr>
              <w:pStyle w:val="yTableNAm"/>
              <w:tabs>
                <w:tab w:val="left" w:pos="1134"/>
                <w:tab w:val="right" w:leader="dot" w:pos="5386"/>
              </w:tabs>
              <w:ind w:left="1134" w:right="-85" w:hanging="1134"/>
            </w:pPr>
            <w:r>
              <w:t xml:space="preserve">13. </w:t>
            </w:r>
            <w:r>
              <w:tab/>
              <w:t>Over</w:t>
            </w:r>
            <w:r>
              <w:noBreakHyphen/>
              <w:t>the</w:t>
            </w:r>
            <w:r>
              <w:noBreakHyphen/>
              <w:t xml:space="preserve">counter payment fee </w:t>
            </w:r>
            <w:r>
              <w:tab/>
            </w:r>
          </w:p>
        </w:tc>
        <w:tc>
          <w:tcPr>
            <w:tcW w:w="1276" w:type="dxa"/>
            <w:tcBorders>
              <w:bottom w:val="single" w:sz="4" w:space="0" w:color="auto"/>
            </w:tcBorders>
          </w:tcPr>
          <w:p w:rsidR="003215D3" w:rsidRDefault="00637860">
            <w:pPr>
              <w:pStyle w:val="yTableNAm"/>
              <w:keepNext/>
            </w:pPr>
            <w:r>
              <w:t>$2.10</w:t>
            </w:r>
          </w:p>
        </w:tc>
      </w:tr>
    </w:tbl>
    <w:p w:rsidR="003215D3" w:rsidRDefault="00637860">
      <w:pPr>
        <w:pStyle w:val="yFootnotesection"/>
      </w:pPr>
      <w:r>
        <w:tab/>
        <w:t>[Schedule 4 inserted: SL 2020/79 bl. 5.]</w:t>
      </w:r>
    </w:p>
    <w:p w:rsidR="003215D3" w:rsidRDefault="00637860">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215D3" w:rsidRDefault="003215D3">
      <w:pPr>
        <w:outlineLvl w:val="0"/>
        <w:sectPr w:rsidR="003215D3">
          <w:headerReference w:type="even" r:id="rId26"/>
          <w:headerReference w:type="default" r:id="rId27"/>
          <w:pgSz w:w="11907" w:h="16840" w:code="9"/>
          <w:pgMar w:top="2381" w:right="2410" w:bottom="3544" w:left="2410" w:header="720" w:footer="3544" w:gutter="0"/>
          <w:cols w:space="720"/>
        </w:sectPr>
      </w:pPr>
    </w:p>
    <w:p w:rsidR="003215D3" w:rsidRDefault="00637860">
      <w:pPr>
        <w:pStyle w:val="nHeading2"/>
      </w:pPr>
      <w:bookmarkStart w:id="51" w:name="_Toc75162978"/>
      <w:bookmarkStart w:id="52" w:name="_Toc75163329"/>
      <w:bookmarkStart w:id="53" w:name="_Toc75163392"/>
      <w:bookmarkStart w:id="54" w:name="_Toc75169050"/>
      <w:r>
        <w:lastRenderedPageBreak/>
        <w:t>Notes</w:t>
      </w:r>
      <w:bookmarkEnd w:id="51"/>
      <w:bookmarkEnd w:id="52"/>
      <w:bookmarkEnd w:id="53"/>
      <w:bookmarkEnd w:id="54"/>
    </w:p>
    <w:p w:rsidR="00637860" w:rsidRDefault="00637860">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215D3" w:rsidRDefault="00637860">
      <w:pPr>
        <w:pStyle w:val="nHeading3"/>
      </w:pPr>
      <w:bookmarkStart w:id="55" w:name="_Toc75169051"/>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rsidR="003215D3">
        <w:trPr>
          <w:gridAfter w:val="1"/>
          <w:wAfter w:w="29" w:type="dxa"/>
          <w:tblHeader/>
        </w:trPr>
        <w:tc>
          <w:tcPr>
            <w:tcW w:w="3118" w:type="dxa"/>
            <w:gridSpan w:val="2"/>
          </w:tcPr>
          <w:p w:rsidR="003215D3" w:rsidRDefault="00637860">
            <w:pPr>
              <w:pStyle w:val="nTable"/>
              <w:spacing w:after="40"/>
              <w:rPr>
                <w:b/>
              </w:rPr>
            </w:pPr>
            <w:r>
              <w:rPr>
                <w:b/>
              </w:rPr>
              <w:t>Citation</w:t>
            </w:r>
          </w:p>
        </w:tc>
        <w:tc>
          <w:tcPr>
            <w:tcW w:w="1276" w:type="dxa"/>
            <w:gridSpan w:val="2"/>
          </w:tcPr>
          <w:p w:rsidR="003215D3" w:rsidRDefault="00637860">
            <w:pPr>
              <w:pStyle w:val="nTable"/>
              <w:spacing w:after="40"/>
              <w:rPr>
                <w:b/>
              </w:rPr>
            </w:pPr>
            <w:r>
              <w:rPr>
                <w:b/>
              </w:rPr>
              <w:t>Published</w:t>
            </w:r>
          </w:p>
        </w:tc>
        <w:tc>
          <w:tcPr>
            <w:tcW w:w="2693" w:type="dxa"/>
            <w:gridSpan w:val="2"/>
          </w:tcPr>
          <w:p w:rsidR="003215D3" w:rsidRDefault="00637860">
            <w:pPr>
              <w:pStyle w:val="nTable"/>
              <w:spacing w:after="40"/>
              <w:rPr>
                <w:b/>
              </w:rPr>
            </w:pPr>
            <w:r>
              <w:rPr>
                <w:b/>
              </w:rPr>
              <w:t>Commencement</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rsidR="003215D3" w:rsidRDefault="00637860">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rsidR="003215D3" w:rsidRDefault="00637860">
            <w:pPr>
              <w:pStyle w:val="nTable"/>
              <w:spacing w:after="40"/>
            </w:pPr>
            <w:r>
              <w:t>31 Mar 2006 p. 1225</w:t>
            </w:r>
            <w:r>
              <w:noBreakHyphen/>
              <w:t>46</w:t>
            </w:r>
          </w:p>
        </w:tc>
        <w:tc>
          <w:tcPr>
            <w:tcW w:w="2694" w:type="dxa"/>
            <w:gridSpan w:val="2"/>
            <w:tcBorders>
              <w:top w:val="single" w:sz="8" w:space="0" w:color="auto"/>
            </w:tcBorders>
          </w:tcPr>
          <w:p w:rsidR="003215D3" w:rsidRDefault="00637860">
            <w:pPr>
              <w:pStyle w:val="nTable"/>
              <w:spacing w:after="40"/>
            </w:pPr>
            <w:r>
              <w:t>1 Apr 2006 (see bl. 2)</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w:t>
            </w:r>
            <w:r>
              <w:rPr>
                <w:i/>
              </w:rPr>
              <w:noBreakHyphen/>
              <w:t>laws 2006</w:t>
            </w:r>
          </w:p>
        </w:tc>
        <w:tc>
          <w:tcPr>
            <w:tcW w:w="1276" w:type="dxa"/>
            <w:gridSpan w:val="2"/>
          </w:tcPr>
          <w:p w:rsidR="003215D3" w:rsidRDefault="00637860">
            <w:pPr>
              <w:pStyle w:val="nTable"/>
              <w:spacing w:after="40"/>
            </w:pPr>
            <w:r>
              <w:t>1 Dec 2006 p. 5349</w:t>
            </w:r>
            <w:r>
              <w:noBreakHyphen/>
              <w:t>50</w:t>
            </w:r>
          </w:p>
        </w:tc>
        <w:tc>
          <w:tcPr>
            <w:tcW w:w="2694" w:type="dxa"/>
            <w:gridSpan w:val="2"/>
          </w:tcPr>
          <w:p w:rsidR="003215D3" w:rsidRDefault="00637860">
            <w:pPr>
              <w:pStyle w:val="nTable"/>
              <w:spacing w:after="40"/>
            </w:pPr>
            <w:r>
              <w:t>1 Dec 2006</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w:t>
            </w:r>
            <w:r>
              <w:rPr>
                <w:i/>
              </w:rPr>
              <w:noBreakHyphen/>
              <w:t>laws 2007</w:t>
            </w:r>
          </w:p>
        </w:tc>
        <w:tc>
          <w:tcPr>
            <w:tcW w:w="1276" w:type="dxa"/>
            <w:gridSpan w:val="2"/>
          </w:tcPr>
          <w:p w:rsidR="003215D3" w:rsidRDefault="00637860">
            <w:pPr>
              <w:pStyle w:val="nTable"/>
              <w:spacing w:after="40"/>
            </w:pPr>
            <w:r>
              <w:t>26 Jun 2007 p. 3013</w:t>
            </w:r>
            <w:r>
              <w:noBreakHyphen/>
              <w:t>17</w:t>
            </w:r>
          </w:p>
        </w:tc>
        <w:tc>
          <w:tcPr>
            <w:tcW w:w="2694" w:type="dxa"/>
            <w:gridSpan w:val="2"/>
          </w:tcPr>
          <w:p w:rsidR="003215D3" w:rsidRDefault="00637860">
            <w:pPr>
              <w:pStyle w:val="nTable"/>
              <w:spacing w:after="40"/>
            </w:pPr>
            <w:r>
              <w:t>bl. 1 and 2: 26 Jun 2007 (see bl. 2(a));</w:t>
            </w:r>
            <w:r>
              <w:br/>
              <w:t>By</w:t>
            </w:r>
            <w:r>
              <w:noBreakHyphen/>
              <w:t>laws other than bl. 1 and 2: 1 Jul 2007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w:t>
            </w:r>
            <w:r>
              <w:rPr>
                <w:i/>
              </w:rPr>
              <w:noBreakHyphen/>
              <w:t>laws 2009</w:t>
            </w:r>
          </w:p>
        </w:tc>
        <w:tc>
          <w:tcPr>
            <w:tcW w:w="1276" w:type="dxa"/>
            <w:gridSpan w:val="2"/>
          </w:tcPr>
          <w:p w:rsidR="003215D3" w:rsidRDefault="00637860">
            <w:pPr>
              <w:pStyle w:val="nTable"/>
              <w:spacing w:after="40"/>
            </w:pPr>
            <w:r>
              <w:t>30 Mar 2009 p. 967</w:t>
            </w:r>
            <w:r>
              <w:noBreakHyphen/>
              <w:t>95</w:t>
            </w:r>
          </w:p>
        </w:tc>
        <w:tc>
          <w:tcPr>
            <w:tcW w:w="2694" w:type="dxa"/>
            <w:gridSpan w:val="2"/>
          </w:tcPr>
          <w:p w:rsidR="003215D3" w:rsidRDefault="00637860">
            <w:pPr>
              <w:pStyle w:val="nTable"/>
              <w:spacing w:after="40"/>
            </w:pPr>
            <w:r>
              <w:t>bl. 1 and 2: 30 Mar 2009 (see bl. 2(a));</w:t>
            </w:r>
            <w:r>
              <w:br/>
              <w:t>bl. 3 and Pt. 2: 1 Apr 2009 (see bl. 2(b));</w:t>
            </w:r>
            <w:r>
              <w:br/>
              <w:t>Pt. 3: 1 Jul 2009 (see bl. 2(c))</w:t>
            </w:r>
          </w:p>
        </w:tc>
      </w:tr>
      <w:tr w:rsidR="003215D3">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rsidR="003215D3" w:rsidRDefault="00637860">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rsidR="003215D3" w:rsidRDefault="00637860">
            <w:pPr>
              <w:pStyle w:val="nTable"/>
              <w:spacing w:after="40"/>
            </w:pPr>
            <w:r>
              <w:t>26 Mar 2010 p. 1135-42</w:t>
            </w:r>
          </w:p>
        </w:tc>
        <w:tc>
          <w:tcPr>
            <w:tcW w:w="2694" w:type="dxa"/>
            <w:gridSpan w:val="2"/>
          </w:tcPr>
          <w:p w:rsidR="003215D3" w:rsidRDefault="00637860">
            <w:pPr>
              <w:pStyle w:val="nTable"/>
              <w:spacing w:after="40"/>
            </w:pPr>
            <w:r>
              <w:t>Pt. 1: 26 Mar 2010 (see bl. 2(a));</w:t>
            </w:r>
            <w:r>
              <w:br/>
              <w:t>Pt. 2: 1 Apr 2010 (see bl. 2(b));</w:t>
            </w:r>
            <w:r>
              <w:br/>
              <w:t>Pt. 3: 1 Jul 2010 (see bl. 2(c))</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w:t>
            </w:r>
            <w:r>
              <w:rPr>
                <w:i/>
              </w:rPr>
              <w:noBreakHyphen/>
              <w:t>laws 2011</w:t>
            </w:r>
          </w:p>
        </w:tc>
        <w:tc>
          <w:tcPr>
            <w:tcW w:w="1276" w:type="dxa"/>
            <w:gridSpan w:val="2"/>
          </w:tcPr>
          <w:p w:rsidR="003215D3" w:rsidRDefault="00637860">
            <w:pPr>
              <w:pStyle w:val="nTable"/>
              <w:spacing w:after="40"/>
            </w:pPr>
            <w:r>
              <w:t>24 Jun 2011 p. 2499</w:t>
            </w:r>
            <w:r>
              <w:noBreakHyphen/>
              <w:t>503</w:t>
            </w:r>
          </w:p>
        </w:tc>
        <w:tc>
          <w:tcPr>
            <w:tcW w:w="2694" w:type="dxa"/>
            <w:gridSpan w:val="2"/>
          </w:tcPr>
          <w:p w:rsidR="003215D3" w:rsidRDefault="00637860">
            <w:pPr>
              <w:pStyle w:val="nTable"/>
              <w:spacing w:after="40"/>
            </w:pPr>
            <w:r>
              <w:t>bl. 1 and 2: 24 Jun 2011 (see bl. 2(a));</w:t>
            </w:r>
            <w:r>
              <w:br/>
              <w:t>By-laws other than bl. 1 and 2: 1 Jul 2011 (see bl. 2(b))</w:t>
            </w:r>
          </w:p>
        </w:tc>
      </w:tr>
      <w:tr w:rsidR="003215D3">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3215D3" w:rsidRDefault="00637860">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w:t>
            </w:r>
            <w:r>
              <w:rPr>
                <w:i/>
              </w:rPr>
              <w:noBreakHyphen/>
              <w:t>laws 2012</w:t>
            </w:r>
          </w:p>
        </w:tc>
        <w:tc>
          <w:tcPr>
            <w:tcW w:w="1276" w:type="dxa"/>
            <w:gridSpan w:val="2"/>
          </w:tcPr>
          <w:p w:rsidR="003215D3" w:rsidRDefault="00637860">
            <w:pPr>
              <w:pStyle w:val="nTable"/>
              <w:spacing w:after="40"/>
            </w:pPr>
            <w:r>
              <w:t>29 Jun 2012 p. 2913-26</w:t>
            </w:r>
          </w:p>
        </w:tc>
        <w:tc>
          <w:tcPr>
            <w:tcW w:w="2694" w:type="dxa"/>
            <w:gridSpan w:val="2"/>
          </w:tcPr>
          <w:p w:rsidR="003215D3" w:rsidRDefault="00637860">
            <w:pPr>
              <w:pStyle w:val="nTable"/>
              <w:spacing w:after="40"/>
            </w:pPr>
            <w:r>
              <w:t>bl. 1 and 2: 29 Jun 2012 (see bl. 2(a));</w:t>
            </w:r>
            <w:r>
              <w:br/>
              <w:t>By-laws other than bl. 1 and 2: 1 Jul 2012 (see bl. 2(b))</w:t>
            </w:r>
          </w:p>
        </w:tc>
      </w:tr>
      <w:tr w:rsidR="003215D3">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rsidR="003215D3" w:rsidRDefault="00637860">
            <w:pPr>
              <w:pStyle w:val="nTable"/>
              <w:spacing w:after="40"/>
              <w:rPr>
                <w:i/>
              </w:rPr>
            </w:pPr>
            <w:r>
              <w:rPr>
                <w:i/>
              </w:rPr>
              <w:lastRenderedPageBreak/>
              <w:t>Energy Operators (Electricity Retail Corporation) (Charges) Amendment By-laws (No. 2) 2012</w:t>
            </w:r>
          </w:p>
        </w:tc>
        <w:tc>
          <w:tcPr>
            <w:tcW w:w="1276" w:type="dxa"/>
            <w:gridSpan w:val="2"/>
          </w:tcPr>
          <w:p w:rsidR="003215D3" w:rsidRDefault="00637860">
            <w:pPr>
              <w:pStyle w:val="nTable"/>
              <w:spacing w:after="40"/>
            </w:pPr>
            <w:r>
              <w:t>21 Sep 2012 p. 4424</w:t>
            </w:r>
          </w:p>
        </w:tc>
        <w:tc>
          <w:tcPr>
            <w:tcW w:w="2694" w:type="dxa"/>
            <w:gridSpan w:val="2"/>
          </w:tcPr>
          <w:p w:rsidR="003215D3" w:rsidRDefault="00637860">
            <w:pPr>
              <w:pStyle w:val="nTable"/>
              <w:spacing w:after="40"/>
            </w:pPr>
            <w:r>
              <w:t>bl. 1 and 2: 21 Sep 2012 (see bl. 2(a));</w:t>
            </w:r>
            <w:r>
              <w:br/>
              <w:t>By-laws other than bl. 1 and 2: 1 Oct 2012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By-laws 2013</w:t>
            </w:r>
          </w:p>
        </w:tc>
        <w:tc>
          <w:tcPr>
            <w:tcW w:w="1276" w:type="dxa"/>
            <w:gridSpan w:val="2"/>
          </w:tcPr>
          <w:p w:rsidR="003215D3" w:rsidRDefault="00637860">
            <w:pPr>
              <w:pStyle w:val="nTable"/>
              <w:spacing w:after="40"/>
            </w:pPr>
            <w:r>
              <w:t>14 Jun 2013 p. 2217-22</w:t>
            </w:r>
          </w:p>
        </w:tc>
        <w:tc>
          <w:tcPr>
            <w:tcW w:w="2694" w:type="dxa"/>
            <w:gridSpan w:val="2"/>
          </w:tcPr>
          <w:p w:rsidR="003215D3" w:rsidRDefault="00637860">
            <w:pPr>
              <w:pStyle w:val="nTable"/>
              <w:spacing w:after="40"/>
            </w:pPr>
            <w:r>
              <w:t>bl. 1 and 2: 14 Jun 2013 (see bl. 2(a));</w:t>
            </w:r>
            <w:r>
              <w:br/>
              <w:t>By-laws other than bl. 1 and 2: 1 Jul 2013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Pr>
          <w:p w:rsidR="003215D3" w:rsidRDefault="00637860">
            <w:pPr>
              <w:pStyle w:val="nTable"/>
              <w:spacing w:after="40"/>
              <w:rPr>
                <w:i/>
              </w:rPr>
            </w:pPr>
            <w:r>
              <w:rPr>
                <w:i/>
              </w:rPr>
              <w:t>Energy Operators (Electricity Retail Corporation) (Charges) Amendment By-laws (No. 2) 2013</w:t>
            </w:r>
          </w:p>
        </w:tc>
        <w:tc>
          <w:tcPr>
            <w:tcW w:w="1276" w:type="dxa"/>
            <w:gridSpan w:val="2"/>
          </w:tcPr>
          <w:p w:rsidR="003215D3" w:rsidRDefault="00637860">
            <w:pPr>
              <w:pStyle w:val="nTable"/>
              <w:spacing w:after="40"/>
            </w:pPr>
            <w:r>
              <w:t>30 Aug 2013 p. 4097-100</w:t>
            </w:r>
          </w:p>
        </w:tc>
        <w:tc>
          <w:tcPr>
            <w:tcW w:w="2694" w:type="dxa"/>
            <w:gridSpan w:val="2"/>
          </w:tcPr>
          <w:p w:rsidR="003215D3" w:rsidRDefault="00637860">
            <w:pPr>
              <w:pStyle w:val="nTable"/>
              <w:spacing w:after="40"/>
            </w:pPr>
            <w:r>
              <w:t>bl. 1 and 2: 30 Aug 2013 (see bl. 2(a));</w:t>
            </w:r>
            <w:r>
              <w:br/>
              <w:t>By-laws other than bl. 1 and 2: 1 Sep 2013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rsidR="003215D3" w:rsidRDefault="00637860">
            <w:pPr>
              <w:pStyle w:val="nTable"/>
              <w:spacing w:after="40"/>
            </w:pPr>
            <w:r>
              <w:t>27 Dec 2013 p. 6469-79</w:t>
            </w:r>
          </w:p>
        </w:tc>
        <w:tc>
          <w:tcPr>
            <w:tcW w:w="2694" w:type="dxa"/>
            <w:gridSpan w:val="2"/>
            <w:shd w:val="clear" w:color="auto" w:fill="auto"/>
          </w:tcPr>
          <w:p w:rsidR="003215D3" w:rsidRDefault="00637860">
            <w:pPr>
              <w:pStyle w:val="nTable"/>
              <w:spacing w:after="40"/>
            </w:pPr>
            <w:r>
              <w:t xml:space="preserve">1 Jan 2014 (see r. 2(c) and </w:t>
            </w:r>
            <w:r>
              <w:rPr>
                <w:i/>
              </w:rPr>
              <w:t>Gazette</w:t>
            </w:r>
            <w:r>
              <w:t xml:space="preserve"> 27 Dec 2013 p. 6465)</w:t>
            </w:r>
          </w:p>
        </w:tc>
      </w:tr>
      <w:tr w:rsidR="003215D3">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3215D3" w:rsidRDefault="00637860">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By-laws 2014</w:t>
            </w:r>
          </w:p>
        </w:tc>
        <w:tc>
          <w:tcPr>
            <w:tcW w:w="1276" w:type="dxa"/>
            <w:gridSpan w:val="2"/>
            <w:shd w:val="clear" w:color="auto" w:fill="auto"/>
          </w:tcPr>
          <w:p w:rsidR="003215D3" w:rsidRDefault="00637860">
            <w:pPr>
              <w:pStyle w:val="nTable"/>
              <w:spacing w:after="40"/>
            </w:pPr>
            <w:r>
              <w:t>27 Jun 2014 p. 2313-19</w:t>
            </w:r>
          </w:p>
        </w:tc>
        <w:tc>
          <w:tcPr>
            <w:tcW w:w="2694" w:type="dxa"/>
            <w:gridSpan w:val="2"/>
            <w:shd w:val="clear" w:color="auto" w:fill="auto"/>
          </w:tcPr>
          <w:p w:rsidR="003215D3" w:rsidRDefault="00637860">
            <w:pPr>
              <w:pStyle w:val="nTable"/>
              <w:spacing w:after="40"/>
            </w:pPr>
            <w:r>
              <w:t>bl. 1 and 2: 27 Jun 2014 (see bl. 2(a));</w:t>
            </w:r>
            <w:r>
              <w:br/>
              <w:t>By-laws other than bl. 1 and 2: 1 Jul 2014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rsidR="003215D3" w:rsidRDefault="00637860">
            <w:pPr>
              <w:pStyle w:val="nTable"/>
              <w:spacing w:after="40"/>
            </w:pPr>
            <w:r>
              <w:t>22 Aug 2014 p. 3024</w:t>
            </w:r>
            <w:r>
              <w:noBreakHyphen/>
              <w:t>32</w:t>
            </w:r>
          </w:p>
        </w:tc>
        <w:tc>
          <w:tcPr>
            <w:tcW w:w="2694" w:type="dxa"/>
            <w:gridSpan w:val="2"/>
            <w:shd w:val="clear" w:color="auto" w:fill="auto"/>
          </w:tcPr>
          <w:p w:rsidR="003215D3" w:rsidRDefault="00637860">
            <w:pPr>
              <w:pStyle w:val="nTable"/>
              <w:spacing w:after="40"/>
            </w:pPr>
            <w:r>
              <w:t>bl. 1 and 2: 22 Aug 2014 (see bl. 2(a));</w:t>
            </w:r>
            <w:r>
              <w:br/>
              <w:t>By-laws other than bl. 1 and 2: 1 Sep 2014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By-laws 2015</w:t>
            </w:r>
          </w:p>
        </w:tc>
        <w:tc>
          <w:tcPr>
            <w:tcW w:w="1276" w:type="dxa"/>
            <w:gridSpan w:val="2"/>
            <w:shd w:val="clear" w:color="auto" w:fill="auto"/>
          </w:tcPr>
          <w:p w:rsidR="003215D3" w:rsidRDefault="00637860">
            <w:pPr>
              <w:pStyle w:val="nTable"/>
              <w:spacing w:after="40"/>
            </w:pPr>
            <w:r>
              <w:t>26 Jun 2015 p. 2239</w:t>
            </w:r>
            <w:r>
              <w:noBreakHyphen/>
              <w:t>46</w:t>
            </w:r>
          </w:p>
        </w:tc>
        <w:tc>
          <w:tcPr>
            <w:tcW w:w="2694" w:type="dxa"/>
            <w:gridSpan w:val="2"/>
            <w:shd w:val="clear" w:color="auto" w:fill="auto"/>
          </w:tcPr>
          <w:p w:rsidR="003215D3" w:rsidRDefault="00637860">
            <w:pPr>
              <w:pStyle w:val="nTable"/>
              <w:spacing w:after="40"/>
            </w:pPr>
            <w:r>
              <w:t>bl. 1 and 2: 26 Jun 2015 (see bl. 2(a));</w:t>
            </w:r>
            <w:r>
              <w:br/>
              <w:t>By-laws other than bl. 1 and 2: 1 Jul 2015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rsidR="003215D3" w:rsidRDefault="00637860">
            <w:pPr>
              <w:pStyle w:val="nTable"/>
              <w:spacing w:after="40"/>
            </w:pPr>
            <w:r>
              <w:t>28 Jun 2016 p. 2623</w:t>
            </w:r>
            <w:r>
              <w:noBreakHyphen/>
              <w:t>5</w:t>
            </w:r>
          </w:p>
        </w:tc>
        <w:tc>
          <w:tcPr>
            <w:tcW w:w="2694" w:type="dxa"/>
            <w:gridSpan w:val="2"/>
            <w:shd w:val="clear" w:color="auto" w:fill="auto"/>
          </w:tcPr>
          <w:p w:rsidR="003215D3" w:rsidRDefault="00637860">
            <w:pPr>
              <w:pStyle w:val="nTable"/>
              <w:spacing w:after="40"/>
            </w:pPr>
            <w:r>
              <w:t>bl. 1 and 2: 28 Jun 2016 (see bl. 2(a));</w:t>
            </w:r>
            <w:r>
              <w:br/>
              <w:t>By-laws other than bl. 1 and 2: 1 Jul 2016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rsidR="003215D3" w:rsidRDefault="00637860">
            <w:pPr>
              <w:pStyle w:val="nTable"/>
              <w:spacing w:after="40"/>
            </w:pPr>
            <w:r>
              <w:t>31 Aug 2016 p. 3701</w:t>
            </w:r>
            <w:r>
              <w:noBreakHyphen/>
              <w:t>5</w:t>
            </w:r>
          </w:p>
        </w:tc>
        <w:tc>
          <w:tcPr>
            <w:tcW w:w="2694" w:type="dxa"/>
            <w:gridSpan w:val="2"/>
            <w:shd w:val="clear" w:color="auto" w:fill="auto"/>
          </w:tcPr>
          <w:p w:rsidR="003215D3" w:rsidRDefault="00637860">
            <w:pPr>
              <w:pStyle w:val="nTable"/>
              <w:spacing w:after="40"/>
            </w:pPr>
            <w:r>
              <w:rPr>
                <w:bCs/>
                <w:snapToGrid w:val="0"/>
                <w:spacing w:val="-2"/>
              </w:rPr>
              <w:t>bl. 1 and 2: 31 Aug 2016 (see bl. 2(a));</w:t>
            </w:r>
            <w:r>
              <w:rPr>
                <w:bCs/>
                <w:snapToGrid w:val="0"/>
                <w:spacing w:val="-2"/>
              </w:rPr>
              <w:br/>
              <w:t>By-laws other than bl. 1 and 2: 1 Sep 2016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rsidR="003215D3" w:rsidRDefault="00637860">
            <w:pPr>
              <w:pStyle w:val="nTable"/>
              <w:spacing w:after="40"/>
            </w:pPr>
            <w:r>
              <w:t>27 Jun 2017 p. 3424</w:t>
            </w:r>
            <w:r>
              <w:noBreakHyphen/>
              <w:t>31</w:t>
            </w:r>
          </w:p>
        </w:tc>
        <w:tc>
          <w:tcPr>
            <w:tcW w:w="2694" w:type="dxa"/>
            <w:gridSpan w:val="2"/>
            <w:shd w:val="clear" w:color="auto" w:fill="auto"/>
          </w:tcPr>
          <w:p w:rsidR="003215D3" w:rsidRDefault="00637860">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keepNext/>
              <w:spacing w:after="40"/>
              <w:rPr>
                <w:i/>
              </w:rPr>
            </w:pPr>
            <w:r>
              <w:rPr>
                <w:i/>
              </w:rPr>
              <w:lastRenderedPageBreak/>
              <w:t>Energy Operators (Electricity Generation and Retail Corporation) (Charges) Amendment By</w:t>
            </w:r>
            <w:r>
              <w:rPr>
                <w:i/>
              </w:rPr>
              <w:noBreakHyphen/>
              <w:t>laws (No. 2) 2017</w:t>
            </w:r>
          </w:p>
        </w:tc>
        <w:tc>
          <w:tcPr>
            <w:tcW w:w="1276" w:type="dxa"/>
            <w:gridSpan w:val="2"/>
            <w:shd w:val="clear" w:color="auto" w:fill="auto"/>
          </w:tcPr>
          <w:p w:rsidR="003215D3" w:rsidRDefault="00637860">
            <w:pPr>
              <w:pStyle w:val="nTable"/>
              <w:keepNext/>
              <w:spacing w:after="40"/>
            </w:pPr>
            <w:r>
              <w:t>30 Jun 2017 p. 3564</w:t>
            </w:r>
            <w:r>
              <w:noBreakHyphen/>
              <w:t>6</w:t>
            </w:r>
          </w:p>
        </w:tc>
        <w:tc>
          <w:tcPr>
            <w:tcW w:w="2694" w:type="dxa"/>
            <w:gridSpan w:val="2"/>
            <w:shd w:val="clear" w:color="auto" w:fill="auto"/>
          </w:tcPr>
          <w:p w:rsidR="003215D3" w:rsidRDefault="00637860">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rsidR="003215D3" w:rsidRDefault="00637860">
            <w:pPr>
              <w:pStyle w:val="nTable"/>
              <w:spacing w:after="40"/>
            </w:pPr>
            <w:r>
              <w:t>16 Feb 2018 p. 469</w:t>
            </w:r>
            <w:r>
              <w:noBreakHyphen/>
              <w:t>70</w:t>
            </w:r>
          </w:p>
        </w:tc>
        <w:tc>
          <w:tcPr>
            <w:tcW w:w="2694" w:type="dxa"/>
            <w:gridSpan w:val="2"/>
            <w:shd w:val="clear" w:color="auto" w:fill="auto"/>
          </w:tcPr>
          <w:p w:rsidR="003215D3" w:rsidRDefault="00637860">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rsidR="003215D3" w:rsidRDefault="00637860">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rsidR="003215D3" w:rsidRDefault="00637860">
            <w:pPr>
              <w:pStyle w:val="nTable"/>
              <w:spacing w:after="40"/>
              <w:rPr>
                <w:caps/>
              </w:rPr>
            </w:pPr>
            <w:r>
              <w:t>26 Jun 2018 p. 2371</w:t>
            </w:r>
            <w:r>
              <w:noBreakHyphen/>
              <w:t>9</w:t>
            </w:r>
          </w:p>
        </w:tc>
        <w:tc>
          <w:tcPr>
            <w:tcW w:w="2694" w:type="dxa"/>
            <w:gridSpan w:val="2"/>
            <w:shd w:val="clear" w:color="auto" w:fill="auto"/>
          </w:tcPr>
          <w:p w:rsidR="003215D3" w:rsidRDefault="00637860">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rsidR="003215D3">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rsidR="003215D3" w:rsidRDefault="00637860">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rsidR="003215D3">
        <w:trPr>
          <w:gridBefore w:val="1"/>
          <w:wBefore w:w="28" w:type="dxa"/>
        </w:trPr>
        <w:tc>
          <w:tcPr>
            <w:tcW w:w="3118" w:type="dxa"/>
            <w:gridSpan w:val="2"/>
            <w:tcBorders>
              <w:top w:val="nil"/>
              <w:bottom w:val="nil"/>
            </w:tcBorders>
            <w:shd w:val="clear" w:color="auto" w:fill="auto"/>
          </w:tcPr>
          <w:p w:rsidR="003215D3" w:rsidRDefault="00637860">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rsidR="003215D3" w:rsidRDefault="00637860">
            <w:pPr>
              <w:pStyle w:val="nTable"/>
              <w:spacing w:after="40"/>
              <w:rPr>
                <w:caps/>
              </w:rPr>
            </w:pPr>
            <w:r>
              <w:t>21 Jun 2019 p. 2119</w:t>
            </w:r>
            <w:r>
              <w:noBreakHyphen/>
              <w:t>27</w:t>
            </w:r>
          </w:p>
        </w:tc>
        <w:tc>
          <w:tcPr>
            <w:tcW w:w="2694" w:type="dxa"/>
            <w:gridSpan w:val="2"/>
            <w:tcBorders>
              <w:top w:val="nil"/>
              <w:bottom w:val="nil"/>
            </w:tcBorders>
            <w:shd w:val="clear" w:color="auto" w:fill="auto"/>
          </w:tcPr>
          <w:p w:rsidR="003215D3" w:rsidRDefault="00637860">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rsidR="003215D3" w:rsidRDefault="00637860">
            <w:pPr>
              <w:pStyle w:val="nTable"/>
              <w:spacing w:after="40"/>
              <w:rPr>
                <w:bCs/>
                <w:snapToGrid w:val="0"/>
                <w:spacing w:val="-2"/>
              </w:rPr>
            </w:pPr>
            <w:r>
              <w:rPr>
                <w:bCs/>
                <w:snapToGrid w:val="0"/>
                <w:spacing w:val="-2"/>
              </w:rPr>
              <w:t>bl. 5: 1 Sep 2019 (see bl. 2(b))</w:t>
            </w:r>
          </w:p>
        </w:tc>
      </w:tr>
      <w:tr w:rsidR="003215D3">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rsidR="003215D3" w:rsidRDefault="00637860">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bottom w:val="single" w:sz="4" w:space="0" w:color="auto"/>
            </w:tcBorders>
            <w:shd w:val="clear" w:color="auto" w:fill="auto"/>
          </w:tcPr>
          <w:p w:rsidR="003215D3" w:rsidRDefault="00637860">
            <w:pPr>
              <w:pStyle w:val="nTable"/>
              <w:spacing w:after="40"/>
            </w:pPr>
            <w:r>
              <w:t>SL 2020/79 9 Jun 2020</w:t>
            </w:r>
          </w:p>
        </w:tc>
        <w:tc>
          <w:tcPr>
            <w:tcW w:w="2694" w:type="dxa"/>
            <w:gridSpan w:val="2"/>
            <w:tcBorders>
              <w:bottom w:val="single" w:sz="4" w:space="0" w:color="auto"/>
            </w:tcBorders>
            <w:shd w:val="clear" w:color="auto" w:fill="auto"/>
          </w:tcPr>
          <w:p w:rsidR="003215D3" w:rsidRDefault="00637860">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bl>
    <w:p w:rsidR="00BB7C73" w:rsidRDefault="00BB7C73">
      <w:pPr>
        <w:pStyle w:val="nHeading3"/>
      </w:pPr>
      <w:bookmarkStart w:id="56" w:name="_Toc75169052"/>
      <w:r>
        <w:t>Uncommenced provisions table</w:t>
      </w:r>
      <w:bookmarkEnd w:id="56"/>
    </w:p>
    <w:p w:rsidR="00BB7C73" w:rsidRDefault="00BB7C73">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B7C73" w:rsidTr="00BB7C73">
        <w:trPr>
          <w:tblHeader/>
        </w:trPr>
        <w:tc>
          <w:tcPr>
            <w:tcW w:w="3118" w:type="dxa"/>
          </w:tcPr>
          <w:p w:rsidR="00BB7C73" w:rsidRDefault="00BB7C73">
            <w:pPr>
              <w:pStyle w:val="nTable"/>
              <w:spacing w:after="40"/>
              <w:rPr>
                <w:b/>
              </w:rPr>
            </w:pPr>
            <w:r>
              <w:rPr>
                <w:b/>
              </w:rPr>
              <w:t>Citation</w:t>
            </w:r>
          </w:p>
        </w:tc>
        <w:tc>
          <w:tcPr>
            <w:tcW w:w="1276" w:type="dxa"/>
          </w:tcPr>
          <w:p w:rsidR="00BB7C73" w:rsidRDefault="00BB7C73">
            <w:pPr>
              <w:pStyle w:val="nTable"/>
              <w:spacing w:after="40"/>
              <w:rPr>
                <w:b/>
              </w:rPr>
            </w:pPr>
            <w:r>
              <w:rPr>
                <w:b/>
              </w:rPr>
              <w:t>Published</w:t>
            </w:r>
          </w:p>
        </w:tc>
        <w:tc>
          <w:tcPr>
            <w:tcW w:w="2693" w:type="dxa"/>
          </w:tcPr>
          <w:p w:rsidR="00BB7C73" w:rsidRDefault="00BB7C73">
            <w:pPr>
              <w:pStyle w:val="nTable"/>
              <w:spacing w:after="40"/>
              <w:rPr>
                <w:b/>
              </w:rPr>
            </w:pPr>
            <w:r>
              <w:rPr>
                <w:b/>
              </w:rPr>
              <w:t>Commencement</w:t>
            </w:r>
          </w:p>
        </w:tc>
      </w:tr>
      <w:tr w:rsidR="00BB7C73" w:rsidTr="00BB7C73">
        <w:tc>
          <w:tcPr>
            <w:tcW w:w="3118" w:type="dxa"/>
          </w:tcPr>
          <w:p w:rsidR="00BB7C73" w:rsidRPr="00FD5A2B" w:rsidRDefault="00BB7C73" w:rsidP="00BB7C73">
            <w:pPr>
              <w:pStyle w:val="nTable"/>
              <w:spacing w:after="40"/>
            </w:pPr>
            <w:r>
              <w:rPr>
                <w:i/>
              </w:rPr>
              <w:t>Energy Operators (Electricity Generation and Retail Corporation) (Charges) Amendment By</w:t>
            </w:r>
            <w:r>
              <w:rPr>
                <w:i/>
              </w:rPr>
              <w:noBreakHyphen/>
              <w:t>laws 2021</w:t>
            </w:r>
            <w:r w:rsidR="00FD5A2B">
              <w:t xml:space="preserve"> bl. 3</w:t>
            </w:r>
            <w:r w:rsidR="00FD5A2B">
              <w:noBreakHyphen/>
              <w:t>5</w:t>
            </w:r>
          </w:p>
        </w:tc>
        <w:tc>
          <w:tcPr>
            <w:tcW w:w="1276" w:type="dxa"/>
          </w:tcPr>
          <w:p w:rsidR="00BB7C73" w:rsidRDefault="00BB7C73" w:rsidP="00BB7C73">
            <w:pPr>
              <w:pStyle w:val="nTable"/>
              <w:spacing w:after="40"/>
            </w:pPr>
            <w:r>
              <w:t>SL 2021/98 22 Jun 2021</w:t>
            </w:r>
          </w:p>
        </w:tc>
        <w:tc>
          <w:tcPr>
            <w:tcW w:w="2693" w:type="dxa"/>
          </w:tcPr>
          <w:p w:rsidR="00BB7C73" w:rsidRDefault="00653DFB" w:rsidP="00BB7C73">
            <w:pPr>
              <w:pStyle w:val="nTable"/>
              <w:spacing w:after="40"/>
            </w:pPr>
            <w:r>
              <w:rPr>
                <w:bCs/>
                <w:snapToGrid w:val="0"/>
                <w:spacing w:val="-2"/>
              </w:rPr>
              <w:t>1 Jul 2021</w:t>
            </w:r>
            <w:r w:rsidR="00BB7C73">
              <w:rPr>
                <w:bCs/>
                <w:snapToGrid w:val="0"/>
                <w:spacing w:val="-2"/>
              </w:rPr>
              <w:t xml:space="preserve"> (see  bl. 2(b))</w:t>
            </w:r>
          </w:p>
        </w:tc>
      </w:tr>
    </w:tbl>
    <w:p w:rsidR="003215D3" w:rsidRDefault="00637860">
      <w:pPr>
        <w:pStyle w:val="nHeading3"/>
      </w:pPr>
      <w:bookmarkStart w:id="57" w:name="_Toc75169053"/>
      <w:r>
        <w:t>Other notes</w:t>
      </w:r>
      <w:bookmarkEnd w:id="57"/>
    </w:p>
    <w:p w:rsidR="003215D3" w:rsidRDefault="00637860">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rsidR="003215D3" w:rsidRDefault="00637860">
      <w:pPr>
        <w:pStyle w:val="nNote"/>
        <w:keepNext/>
      </w:pPr>
      <w:r>
        <w:rPr>
          <w:noProof/>
          <w:snapToGrid w:val="0"/>
          <w:vertAlign w:val="superscript"/>
        </w:rPr>
        <w:lastRenderedPageBreak/>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rsidR="003215D3" w:rsidRDefault="003215D3"/>
    <w:p w:rsidR="003215D3" w:rsidRDefault="003215D3">
      <w:pPr>
        <w:sectPr w:rsidR="003215D3">
          <w:headerReference w:type="even" r:id="rId28"/>
          <w:headerReference w:type="default" r:id="rId29"/>
          <w:pgSz w:w="11907" w:h="16840" w:code="9"/>
          <w:pgMar w:top="2376" w:right="2404" w:bottom="3544" w:left="2404" w:header="720" w:footer="3380" w:gutter="0"/>
          <w:cols w:space="720"/>
          <w:noEndnote/>
          <w:docGrid w:linePitch="326"/>
        </w:sectPr>
      </w:pPr>
    </w:p>
    <w:p w:rsidR="003215D3" w:rsidRDefault="00637860">
      <w:pPr>
        <w:pStyle w:val="nHeading2"/>
        <w:rPr>
          <w:sz w:val="28"/>
        </w:rPr>
      </w:pPr>
      <w:bookmarkStart w:id="59" w:name="_Toc75162981"/>
      <w:bookmarkStart w:id="60" w:name="_Toc75163333"/>
      <w:bookmarkStart w:id="61" w:name="_Toc75163396"/>
      <w:bookmarkStart w:id="62" w:name="_Toc75169054"/>
      <w:r>
        <w:rPr>
          <w:sz w:val="28"/>
        </w:rPr>
        <w:lastRenderedPageBreak/>
        <w:t>Defined terms</w:t>
      </w:r>
      <w:bookmarkEnd w:id="59"/>
      <w:bookmarkEnd w:id="60"/>
      <w:bookmarkEnd w:id="61"/>
      <w:bookmarkEnd w:id="62"/>
    </w:p>
    <w:p w:rsidR="003215D3" w:rsidRDefault="003215D3">
      <w:pPr>
        <w:ind w:left="850" w:right="850"/>
        <w:jc w:val="center"/>
        <w:rPr>
          <w:i/>
          <w:sz w:val="18"/>
        </w:rPr>
      </w:pPr>
    </w:p>
    <w:p w:rsidR="003215D3" w:rsidRDefault="00637860">
      <w:pPr>
        <w:ind w:left="850" w:right="850"/>
        <w:jc w:val="center"/>
        <w:rPr>
          <w:i/>
          <w:sz w:val="18"/>
        </w:rPr>
      </w:pPr>
      <w:r>
        <w:rPr>
          <w:i/>
          <w:sz w:val="18"/>
        </w:rPr>
        <w:t>[This is a list of terms defined and the provisions where they are defined.  The list is not part of the law.]</w:t>
      </w:r>
    </w:p>
    <w:p w:rsidR="003215D3" w:rsidRDefault="00637860">
      <w:pPr>
        <w:pBdr>
          <w:bottom w:val="single" w:sz="4" w:space="1" w:color="auto"/>
        </w:pBdr>
        <w:tabs>
          <w:tab w:val="right" w:pos="7070"/>
        </w:tabs>
        <w:ind w:left="578"/>
        <w:rPr>
          <w:b/>
          <w:sz w:val="20"/>
        </w:rPr>
      </w:pPr>
      <w:r>
        <w:rPr>
          <w:b/>
          <w:sz w:val="20"/>
        </w:rPr>
        <w:t>Defined term</w:t>
      </w:r>
      <w:r>
        <w:rPr>
          <w:b/>
          <w:sz w:val="20"/>
        </w:rPr>
        <w:tab/>
        <w:t>Provision(s)</w:t>
      </w:r>
    </w:p>
    <w:p w:rsidR="003215D3" w:rsidRDefault="00637860">
      <w:pPr>
        <w:pStyle w:val="DefinedTerms"/>
      </w:pPr>
      <w:r>
        <w:t>corporation</w:t>
      </w:r>
      <w:r>
        <w:tab/>
        <w:t>3</w:t>
      </w:r>
    </w:p>
    <w:p w:rsidR="003215D3" w:rsidRDefault="00637860">
      <w:pPr>
        <w:pStyle w:val="DefinedTerms"/>
      </w:pPr>
      <w:r>
        <w:t>dwelling</w:t>
      </w:r>
      <w:r>
        <w:tab/>
        <w:t>3</w:t>
      </w:r>
    </w:p>
    <w:p w:rsidR="003215D3" w:rsidRDefault="00637860">
      <w:pPr>
        <w:pStyle w:val="DefinedTerms"/>
      </w:pPr>
      <w:r>
        <w:t>half</w:t>
      </w:r>
      <w:r>
        <w:noBreakHyphen/>
        <w:t>hourly maximum demand</w:t>
      </w:r>
      <w:r>
        <w:tab/>
        <w:t>3</w:t>
      </w:r>
    </w:p>
    <w:p w:rsidR="003215D3" w:rsidRDefault="00637860">
      <w:pPr>
        <w:pStyle w:val="DefinedTerms"/>
      </w:pPr>
      <w:r>
        <w:t>interest period</w:t>
      </w:r>
      <w:r>
        <w:tab/>
        <w:t>12(1)</w:t>
      </w:r>
    </w:p>
    <w:p w:rsidR="003215D3" w:rsidRDefault="00637860">
      <w:pPr>
        <w:pStyle w:val="DefinedTerms"/>
      </w:pPr>
      <w:r>
        <w:t>life support customer</w:t>
      </w:r>
      <w:r>
        <w:tab/>
        <w:t>3</w:t>
      </w:r>
    </w:p>
    <w:p w:rsidR="003215D3" w:rsidRDefault="00637860">
      <w:pPr>
        <w:pStyle w:val="DefinedTerms"/>
      </w:pPr>
      <w:r>
        <w:t>MSLA</w:t>
      </w:r>
      <w:r>
        <w:tab/>
        <w:t>3</w:t>
      </w:r>
    </w:p>
    <w:p w:rsidR="003215D3" w:rsidRDefault="00637860">
      <w:pPr>
        <w:pStyle w:val="DefinedTerms"/>
      </w:pPr>
      <w:r>
        <w:t>off peak</w:t>
      </w:r>
      <w:r>
        <w:tab/>
        <w:t>3</w:t>
      </w:r>
    </w:p>
    <w:p w:rsidR="003215D3" w:rsidRDefault="00637860">
      <w:pPr>
        <w:pStyle w:val="DefinedTerms"/>
      </w:pPr>
      <w:r>
        <w:t>on peak</w:t>
      </w:r>
      <w:r>
        <w:tab/>
        <w:t>3</w:t>
      </w:r>
    </w:p>
    <w:p w:rsidR="003215D3" w:rsidRDefault="00637860">
      <w:pPr>
        <w:pStyle w:val="DefinedTerms"/>
      </w:pPr>
      <w:r>
        <w:t>permitted surcharge</w:t>
      </w:r>
      <w:r>
        <w:tab/>
        <w:t>3</w:t>
      </w:r>
    </w:p>
    <w:p w:rsidR="003215D3" w:rsidRDefault="00637860">
      <w:pPr>
        <w:pStyle w:val="DefinedTerms"/>
      </w:pPr>
      <w:r>
        <w:t>RBA cash rate</w:t>
      </w:r>
      <w:r>
        <w:tab/>
        <w:t>3</w:t>
      </w:r>
    </w:p>
    <w:p w:rsidR="003215D3" w:rsidRDefault="00637860">
      <w:pPr>
        <w:pStyle w:val="DefinedTerms"/>
      </w:pPr>
      <w:r>
        <w:t>RBA Standard No. 3 of 2016</w:t>
      </w:r>
      <w:r>
        <w:tab/>
        <w:t>3</w:t>
      </w:r>
    </w:p>
    <w:p w:rsidR="003215D3" w:rsidRDefault="00637860">
      <w:pPr>
        <w:pStyle w:val="DefinedTerms"/>
      </w:pPr>
      <w:r>
        <w:t>relevant period</w:t>
      </w:r>
      <w:r>
        <w:tab/>
        <w:t>8(1)</w:t>
      </w:r>
    </w:p>
    <w:p w:rsidR="003215D3" w:rsidRDefault="00637860">
      <w:pPr>
        <w:pStyle w:val="DefinedTerms"/>
      </w:pPr>
      <w:r>
        <w:t>residential tariff</w:t>
      </w:r>
      <w:r>
        <w:tab/>
        <w:t>3</w:t>
      </w:r>
    </w:p>
    <w:p w:rsidR="003215D3" w:rsidRDefault="00637860">
      <w:pPr>
        <w:pStyle w:val="DefinedTerms"/>
      </w:pPr>
      <w:r>
        <w:t>Tariff</w:t>
      </w:r>
      <w:r>
        <w:tab/>
        <w:t>3</w:t>
      </w:r>
    </w:p>
    <w:p w:rsidR="003215D3" w:rsidRDefault="00637860">
      <w:pPr>
        <w:pStyle w:val="DefinedTerms"/>
      </w:pPr>
      <w:r>
        <w:t>unit</w:t>
      </w:r>
      <w:r>
        <w:tab/>
        <w:t>3</w:t>
      </w:r>
    </w:p>
    <w:p w:rsidR="003215D3" w:rsidRDefault="003215D3"/>
    <w:p w:rsidR="003215D3" w:rsidRDefault="003215D3">
      <w:pPr>
        <w:sectPr w:rsidR="003215D3">
          <w:headerReference w:type="even" r:id="rId30"/>
          <w:headerReference w:type="default" r:id="rId31"/>
          <w:pgSz w:w="11907" w:h="16840" w:code="9"/>
          <w:pgMar w:top="2381" w:right="2409" w:bottom="3543" w:left="2409" w:header="720" w:footer="3380" w:gutter="0"/>
          <w:cols w:space="720"/>
          <w:noEndnote/>
          <w:docGrid w:linePitch="326"/>
        </w:sectPr>
      </w:pPr>
    </w:p>
    <w:p w:rsidR="003215D3" w:rsidRDefault="003215D3"/>
    <w:sectPr w:rsidR="003215D3">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5D3" w:rsidRDefault="00637860">
      <w:pPr>
        <w:rPr>
          <w:b/>
          <w:sz w:val="28"/>
        </w:rPr>
      </w:pPr>
      <w:r>
        <w:rPr>
          <w:b/>
          <w:sz w:val="28"/>
        </w:rPr>
        <w:t>Endnotes</w:t>
      </w:r>
    </w:p>
    <w:p w:rsidR="003215D3" w:rsidRDefault="00637860">
      <w:pPr>
        <w:spacing w:after="240"/>
        <w:rPr>
          <w:rFonts w:ascii="Times" w:hAnsi="Times"/>
          <w:sz w:val="18"/>
        </w:rPr>
      </w:pPr>
      <w:r>
        <w:rPr>
          <w:sz w:val="20"/>
        </w:rPr>
        <w:t>[For ease of reference detach these notes and read them alongside the draft.]</w:t>
      </w:r>
    </w:p>
    <w:p w:rsidR="003215D3" w:rsidRDefault="003215D3"/>
  </w:endnote>
  <w:endnote w:type="continuationSeparator" w:id="0">
    <w:p w:rsidR="003215D3" w:rsidRDefault="003215D3">
      <w:pPr>
        <w:pStyle w:val="Footer"/>
      </w:pPr>
    </w:p>
    <w:p w:rsidR="003215D3" w:rsidRDefault="0032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Bdr>
        <w:bottom w:val="single" w:sz="4" w:space="1" w:color="auto"/>
      </w:pBdr>
      <w:rPr>
        <w:sz w:val="20"/>
      </w:rPr>
    </w:pPr>
  </w:p>
  <w:p w:rsidR="003215D3" w:rsidRDefault="0063786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9795B">
      <w:rPr>
        <w:sz w:val="20"/>
      </w:rPr>
      <w:t>22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9795B">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215D3" w:rsidRDefault="0063786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5D3" w:rsidRDefault="00637860">
      <w:r>
        <w:separator/>
      </w:r>
    </w:p>
  </w:footnote>
  <w:footnote w:type="continuationSeparator" w:id="0">
    <w:p w:rsidR="003215D3" w:rsidRDefault="0063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5B" w:rsidRDefault="001979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15D3">
      <w:trPr>
        <w:cantSplit/>
        <w:jc w:val="center"/>
      </w:trPr>
      <w:tc>
        <w:tcPr>
          <w:tcW w:w="7258" w:type="dxa"/>
          <w:gridSpan w:val="2"/>
        </w:tcPr>
        <w:p w:rsidR="003215D3" w:rsidRDefault="00637860">
          <w:pPr>
            <w:pStyle w:val="Header"/>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3215D3" w:rsidRDefault="00637860">
          <w:pPr>
            <w:pStyle w:val="Header"/>
            <w:spacing w:before="40"/>
          </w:pPr>
          <w:r>
            <w:fldChar w:fldCharType="begin"/>
          </w:r>
          <w:r>
            <w:instrText xml:space="preserve"> styleref CharSchText </w:instrText>
          </w:r>
          <w: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3215D3" w:rsidRDefault="00637860">
          <w:pPr>
            <w:pStyle w:val="Header"/>
            <w:spacing w:before="40"/>
          </w:pPr>
          <w:r>
            <w:fldChar w:fldCharType="begin"/>
          </w:r>
          <w:r>
            <w:instrText xml:space="preserve"> styleref CharSDivText </w:instrText>
          </w:r>
          <w:r>
            <w:fldChar w:fldCharType="end"/>
          </w:r>
        </w:p>
      </w:tc>
    </w:tr>
    <w:tr w:rsidR="003215D3">
      <w:trPr>
        <w:jc w:val="center"/>
      </w:trPr>
      <w:tc>
        <w:tcPr>
          <w:tcW w:w="7258" w:type="dxa"/>
          <w:gridSpan w:val="2"/>
        </w:tcPr>
        <w:p w:rsidR="003215D3" w:rsidRDefault="00637860">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9795B">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9795B">
            <w:rPr>
              <w:b/>
            </w:rPr>
            <w:t>1</w:t>
          </w:r>
          <w:r>
            <w:rPr>
              <w:b/>
            </w:rPr>
            <w:fldChar w:fldCharType="end"/>
          </w:r>
        </w:p>
      </w:tc>
    </w:tr>
  </w:tbl>
  <w:p w:rsidR="003215D3" w:rsidRDefault="003215D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215D3">
      <w:trPr>
        <w:jc w:val="center"/>
      </w:trPr>
      <w:tc>
        <w:tcPr>
          <w:tcW w:w="7160" w:type="dxa"/>
          <w:gridSpan w:val="2"/>
        </w:tcPr>
        <w:p w:rsidR="003215D3" w:rsidRDefault="00637860">
          <w:pPr>
            <w:pStyle w:val="Header"/>
            <w:jc w:val="right"/>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715" w:type="dxa"/>
        </w:tcPr>
        <w:p w:rsidR="003215D3" w:rsidRDefault="00637860">
          <w:pPr>
            <w:pStyle w:val="Header"/>
            <w:spacing w:before="40"/>
            <w:jc w:val="right"/>
          </w:pPr>
          <w:r>
            <w:fldChar w:fldCharType="begin"/>
          </w:r>
          <w:r>
            <w:instrText xml:space="preserve"> styleref CharSchText </w:instrText>
          </w:r>
          <w:r>
            <w:fldChar w:fldCharType="end"/>
          </w:r>
        </w:p>
      </w:tc>
      <w:tc>
        <w:tcPr>
          <w:tcW w:w="1445" w:type="dxa"/>
        </w:tcPr>
        <w:p w:rsidR="003215D3" w:rsidRDefault="0063786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3215D3">
      <w:trPr>
        <w:jc w:val="center"/>
      </w:trPr>
      <w:tc>
        <w:tcPr>
          <w:tcW w:w="5715" w:type="dxa"/>
        </w:tcPr>
        <w:p w:rsidR="003215D3" w:rsidRDefault="00637860">
          <w:pPr>
            <w:pStyle w:val="Header"/>
            <w:spacing w:before="40"/>
            <w:jc w:val="right"/>
          </w:pPr>
          <w:r>
            <w:fldChar w:fldCharType="begin"/>
          </w:r>
          <w:r>
            <w:instrText xml:space="preserve"> styleref CharSDivText </w:instrText>
          </w:r>
          <w:r>
            <w:fldChar w:fldCharType="end"/>
          </w:r>
        </w:p>
      </w:tc>
      <w:tc>
        <w:tcPr>
          <w:tcW w:w="1445" w:type="dxa"/>
        </w:tcPr>
        <w:p w:rsidR="003215D3" w:rsidRDefault="0063786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3215D3">
      <w:trPr>
        <w:jc w:val="center"/>
      </w:trPr>
      <w:tc>
        <w:tcPr>
          <w:tcW w:w="7160" w:type="dxa"/>
          <w:gridSpan w:val="2"/>
        </w:tcPr>
        <w:p w:rsidR="003215D3" w:rsidRDefault="00637860">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9795B">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sidR="0019795B">
            <w:rPr>
              <w:b/>
            </w:rPr>
            <w:t>1</w:t>
          </w:r>
          <w:r>
            <w:rPr>
              <w:b/>
            </w:rPr>
            <w:fldChar w:fldCharType="end"/>
          </w:r>
        </w:p>
      </w:tc>
    </w:tr>
  </w:tbl>
  <w:p w:rsidR="003215D3" w:rsidRDefault="003215D3">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15D3">
      <w:trPr>
        <w:cantSplit/>
        <w:jc w:val="center"/>
      </w:trPr>
      <w:tc>
        <w:tcPr>
          <w:tcW w:w="7258" w:type="dxa"/>
          <w:gridSpan w:val="2"/>
        </w:tcPr>
        <w:p w:rsidR="003215D3" w:rsidRDefault="00637860">
          <w:pPr>
            <w:pStyle w:val="Header"/>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9795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19795B">
            <w:rPr>
              <w:b/>
            </w:rPr>
            <w:t>Schedule 1</w:t>
          </w:r>
          <w:r>
            <w:rPr>
              <w:b/>
            </w:rPr>
            <w:fldChar w:fldCharType="end"/>
          </w:r>
        </w:p>
      </w:tc>
      <w:tc>
        <w:tcPr>
          <w:tcW w:w="5715" w:type="dxa"/>
        </w:tcPr>
        <w:p w:rsidR="003215D3" w:rsidRDefault="00637860">
          <w:pPr>
            <w:pStyle w:val="Header"/>
            <w:spacing w:before="40"/>
          </w:pPr>
          <w:r>
            <w:fldChar w:fldCharType="begin"/>
          </w:r>
          <w:r>
            <w:instrText xml:space="preserve"> styleref CharSchText </w:instrText>
          </w:r>
          <w:r>
            <w:fldChar w:fldCharType="separate"/>
          </w:r>
          <w:r w:rsidR="0019795B">
            <w:t>Supply charges</w:t>
          </w:r>
          <w: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3215D3" w:rsidRDefault="00637860">
          <w:pPr>
            <w:pStyle w:val="Header"/>
            <w:spacing w:before="40"/>
          </w:pPr>
          <w:r>
            <w:fldChar w:fldCharType="begin"/>
          </w:r>
          <w:r>
            <w:instrText xml:space="preserve"> styleref CharSDivText </w:instrText>
          </w:r>
          <w:r>
            <w:fldChar w:fldCharType="end"/>
          </w:r>
        </w:p>
      </w:tc>
    </w:tr>
    <w:tr w:rsidR="003215D3">
      <w:trPr>
        <w:jc w:val="center"/>
      </w:trPr>
      <w:tc>
        <w:tcPr>
          <w:tcW w:w="7258" w:type="dxa"/>
          <w:gridSpan w:val="2"/>
        </w:tcPr>
        <w:p w:rsidR="003215D3" w:rsidRDefault="003215D3">
          <w:pPr>
            <w:pStyle w:val="Header"/>
            <w:spacing w:before="40"/>
          </w:pPr>
        </w:p>
      </w:tc>
    </w:tr>
  </w:tbl>
  <w:p w:rsidR="003215D3" w:rsidRDefault="003215D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215D3">
      <w:trPr>
        <w:jc w:val="center"/>
      </w:trPr>
      <w:tc>
        <w:tcPr>
          <w:tcW w:w="7160" w:type="dxa"/>
          <w:gridSpan w:val="2"/>
        </w:tcPr>
        <w:p w:rsidR="003215D3" w:rsidRDefault="00637860">
          <w:pPr>
            <w:pStyle w:val="Header"/>
            <w:jc w:val="right"/>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715" w:type="dxa"/>
        </w:tcPr>
        <w:p w:rsidR="003215D3" w:rsidRDefault="00637860">
          <w:pPr>
            <w:pStyle w:val="Header"/>
            <w:spacing w:before="40"/>
            <w:jc w:val="right"/>
          </w:pPr>
          <w:r>
            <w:fldChar w:fldCharType="begin"/>
          </w:r>
          <w:r>
            <w:instrText xml:space="preserve"> styleref CharSchText </w:instrText>
          </w:r>
          <w:r>
            <w:fldChar w:fldCharType="separate"/>
          </w:r>
          <w:r w:rsidR="0019795B">
            <w:t>Supply charges</w:t>
          </w:r>
          <w:r>
            <w:fldChar w:fldCharType="end"/>
          </w:r>
        </w:p>
      </w:tc>
      <w:tc>
        <w:tcPr>
          <w:tcW w:w="1445" w:type="dxa"/>
        </w:tcPr>
        <w:p w:rsidR="003215D3" w:rsidRDefault="0063786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9795B">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19795B">
            <w:rPr>
              <w:b/>
            </w:rPr>
            <w:t>Schedule 1</w:t>
          </w:r>
          <w:r>
            <w:rPr>
              <w:b/>
            </w:rPr>
            <w:fldChar w:fldCharType="end"/>
          </w:r>
        </w:p>
      </w:tc>
    </w:tr>
    <w:tr w:rsidR="003215D3">
      <w:trPr>
        <w:jc w:val="center"/>
      </w:trPr>
      <w:tc>
        <w:tcPr>
          <w:tcW w:w="5715" w:type="dxa"/>
        </w:tcPr>
        <w:p w:rsidR="003215D3" w:rsidRDefault="00637860">
          <w:pPr>
            <w:pStyle w:val="Header"/>
            <w:spacing w:before="40"/>
            <w:jc w:val="right"/>
          </w:pPr>
          <w:r>
            <w:fldChar w:fldCharType="begin"/>
          </w:r>
          <w:r>
            <w:instrText xml:space="preserve"> styleref CharSDivText </w:instrText>
          </w:r>
          <w:r>
            <w:fldChar w:fldCharType="end"/>
          </w:r>
        </w:p>
      </w:tc>
      <w:tc>
        <w:tcPr>
          <w:tcW w:w="1445" w:type="dxa"/>
        </w:tcPr>
        <w:p w:rsidR="003215D3" w:rsidRDefault="00637860">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9795B">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3215D3">
      <w:trPr>
        <w:jc w:val="center"/>
      </w:trPr>
      <w:tc>
        <w:tcPr>
          <w:tcW w:w="7160" w:type="dxa"/>
          <w:gridSpan w:val="2"/>
        </w:tcPr>
        <w:p w:rsidR="003215D3" w:rsidRDefault="003215D3">
          <w:pPr>
            <w:pStyle w:val="Header"/>
            <w:spacing w:before="40"/>
            <w:ind w:right="17"/>
            <w:jc w:val="right"/>
          </w:pPr>
        </w:p>
      </w:tc>
    </w:tr>
  </w:tbl>
  <w:p w:rsidR="003215D3" w:rsidRDefault="003215D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15D3">
      <w:trPr>
        <w:cantSplit/>
        <w:jc w:val="center"/>
      </w:trPr>
      <w:tc>
        <w:tcPr>
          <w:tcW w:w="7258" w:type="dxa"/>
          <w:gridSpan w:val="2"/>
        </w:tcPr>
        <w:p w:rsidR="003215D3" w:rsidRDefault="00637860">
          <w:pPr>
            <w:pStyle w:val="Header"/>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 xml:space="preserve"> STYLEREF "nHeading 2" </w:instrText>
          </w:r>
          <w:r>
            <w:rPr>
              <w:b/>
            </w:rPr>
            <w:fldChar w:fldCharType="separate"/>
          </w:r>
          <w:r w:rsidR="0019795B">
            <w:rPr>
              <w:b/>
            </w:rPr>
            <w:t>Notes</w:t>
          </w:r>
          <w:r>
            <w:rPr>
              <w:b/>
            </w:rPr>
            <w:fldChar w:fldCharType="end"/>
          </w:r>
        </w:p>
      </w:tc>
      <w:tc>
        <w:tcPr>
          <w:tcW w:w="5715" w:type="dxa"/>
        </w:tcPr>
        <w:p w:rsidR="003215D3" w:rsidRDefault="00637860">
          <w:pPr>
            <w:pStyle w:val="Header"/>
            <w:spacing w:before="40"/>
          </w:pPr>
          <w:r>
            <w:fldChar w:fldCharType="begin"/>
          </w:r>
          <w:r>
            <w:instrText xml:space="preserve"> STYLEREF "nHeading 3" </w:instrText>
          </w:r>
          <w:r>
            <w:fldChar w:fldCharType="separate"/>
          </w:r>
          <w:r w:rsidR="0019795B">
            <w:t>Compilation table</w:t>
          </w:r>
          <w:r>
            <w:fldChar w:fldCharType="end"/>
          </w:r>
        </w:p>
      </w:tc>
    </w:tr>
    <w:tr w:rsidR="003215D3">
      <w:trPr>
        <w:jc w:val="center"/>
      </w:trPr>
      <w:tc>
        <w:tcPr>
          <w:tcW w:w="1548" w:type="dxa"/>
        </w:tcPr>
        <w:p w:rsidR="003215D3" w:rsidRDefault="003215D3">
          <w:pPr>
            <w:pStyle w:val="Header"/>
            <w:spacing w:before="40"/>
          </w:pPr>
        </w:p>
      </w:tc>
      <w:tc>
        <w:tcPr>
          <w:tcW w:w="5715" w:type="dxa"/>
        </w:tcPr>
        <w:p w:rsidR="003215D3" w:rsidRDefault="003215D3">
          <w:pPr>
            <w:pStyle w:val="Header"/>
            <w:spacing w:before="40"/>
          </w:pPr>
        </w:p>
      </w:tc>
    </w:tr>
    <w:tr w:rsidR="003215D3">
      <w:trPr>
        <w:cantSplit/>
        <w:jc w:val="center"/>
      </w:trPr>
      <w:tc>
        <w:tcPr>
          <w:tcW w:w="7258" w:type="dxa"/>
          <w:gridSpan w:val="2"/>
        </w:tcPr>
        <w:p w:rsidR="003215D3" w:rsidRDefault="003215D3">
          <w:pPr>
            <w:pStyle w:val="Header"/>
            <w:spacing w:before="40"/>
          </w:pPr>
        </w:p>
      </w:tc>
    </w:tr>
  </w:tbl>
  <w:p w:rsidR="003215D3" w:rsidRDefault="003215D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15D3">
      <w:trPr>
        <w:cantSplit/>
        <w:jc w:val="center"/>
      </w:trPr>
      <w:tc>
        <w:tcPr>
          <w:tcW w:w="7258" w:type="dxa"/>
          <w:gridSpan w:val="2"/>
        </w:tcPr>
        <w:p w:rsidR="003215D3" w:rsidRDefault="00637860">
          <w:pPr>
            <w:pStyle w:val="Header"/>
            <w:ind w:right="17"/>
            <w:jc w:val="right"/>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715" w:type="dxa"/>
        </w:tcPr>
        <w:p w:rsidR="003215D3" w:rsidRDefault="00637860">
          <w:pPr>
            <w:pStyle w:val="Header"/>
            <w:spacing w:before="40"/>
            <w:jc w:val="right"/>
          </w:pPr>
          <w:r>
            <w:fldChar w:fldCharType="begin"/>
          </w:r>
          <w:r>
            <w:instrText xml:space="preserve"> STYLEREF "nHeading 3" </w:instrText>
          </w:r>
          <w:r>
            <w:fldChar w:fldCharType="separate"/>
          </w:r>
          <w:r w:rsidR="0019795B">
            <w:t>Compilation table</w:t>
          </w:r>
          <w:r>
            <w:fldChar w:fldCharType="end"/>
          </w:r>
        </w:p>
      </w:tc>
      <w:tc>
        <w:tcPr>
          <w:tcW w:w="1548" w:type="dxa"/>
        </w:tcPr>
        <w:p w:rsidR="003215D3" w:rsidRDefault="00637860">
          <w:pPr>
            <w:pStyle w:val="Header"/>
            <w:spacing w:before="40"/>
            <w:ind w:right="17"/>
            <w:jc w:val="right"/>
          </w:pPr>
          <w:r>
            <w:rPr>
              <w:b/>
            </w:rPr>
            <w:fldChar w:fldCharType="begin"/>
          </w:r>
          <w:r>
            <w:rPr>
              <w:b/>
            </w:rPr>
            <w:instrText xml:space="preserve"> STYLEREF "nHeading 2" </w:instrText>
          </w:r>
          <w:r>
            <w:rPr>
              <w:b/>
            </w:rPr>
            <w:fldChar w:fldCharType="separate"/>
          </w:r>
          <w:r w:rsidR="0019795B">
            <w:rPr>
              <w:b/>
            </w:rPr>
            <w:t>Notes</w:t>
          </w:r>
          <w:r>
            <w:rPr>
              <w:b/>
            </w:rPr>
            <w:fldChar w:fldCharType="end"/>
          </w:r>
        </w:p>
      </w:tc>
    </w:tr>
    <w:tr w:rsidR="003215D3">
      <w:trPr>
        <w:jc w:val="center"/>
      </w:trPr>
      <w:tc>
        <w:tcPr>
          <w:tcW w:w="5715" w:type="dxa"/>
        </w:tcPr>
        <w:p w:rsidR="003215D3" w:rsidRDefault="003215D3">
          <w:pPr>
            <w:pStyle w:val="Header"/>
            <w:spacing w:before="40"/>
            <w:jc w:val="right"/>
          </w:pPr>
        </w:p>
      </w:tc>
      <w:tc>
        <w:tcPr>
          <w:tcW w:w="1548" w:type="dxa"/>
        </w:tcPr>
        <w:p w:rsidR="003215D3" w:rsidRDefault="003215D3">
          <w:pPr>
            <w:pStyle w:val="Header"/>
            <w:spacing w:before="40"/>
            <w:ind w:right="17"/>
            <w:jc w:val="right"/>
          </w:pPr>
        </w:p>
      </w:tc>
    </w:tr>
    <w:tr w:rsidR="003215D3">
      <w:trPr>
        <w:cantSplit/>
        <w:jc w:val="center"/>
      </w:trPr>
      <w:tc>
        <w:tcPr>
          <w:tcW w:w="7258" w:type="dxa"/>
          <w:gridSpan w:val="2"/>
        </w:tcPr>
        <w:p w:rsidR="003215D3" w:rsidRDefault="003215D3">
          <w:pPr>
            <w:pStyle w:val="Header"/>
            <w:spacing w:before="40"/>
            <w:ind w:right="17"/>
            <w:jc w:val="right"/>
          </w:pPr>
        </w:p>
      </w:tc>
    </w:tr>
  </w:tbl>
  <w:p w:rsidR="003215D3" w:rsidRDefault="003215D3">
    <w:pPr>
      <w:pStyle w:val="Header"/>
      <w:pBdr>
        <w:top w:val="single" w:sz="4" w:space="1" w:color="auto"/>
      </w:pBdr>
    </w:pPr>
    <w:bookmarkStart w:id="58" w:name="Compilation"/>
    <w:bookmarkEnd w:id="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215D3">
      <w:trPr>
        <w:cantSplit/>
        <w:jc w:val="center"/>
      </w:trPr>
      <w:tc>
        <w:tcPr>
          <w:tcW w:w="7263" w:type="dxa"/>
          <w:gridSpan w:val="2"/>
        </w:tcPr>
        <w:p w:rsidR="003215D3" w:rsidRDefault="00637860">
          <w:pPr>
            <w:pStyle w:val="Header"/>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348" w:type="dxa"/>
        </w:tcPr>
        <w:p w:rsidR="003215D3" w:rsidRDefault="003215D3">
          <w:pPr>
            <w:pStyle w:val="Header"/>
            <w:spacing w:before="40"/>
          </w:pPr>
        </w:p>
      </w:tc>
      <w:tc>
        <w:tcPr>
          <w:tcW w:w="5915" w:type="dxa"/>
        </w:tcPr>
        <w:p w:rsidR="003215D3" w:rsidRDefault="003215D3">
          <w:pPr>
            <w:pStyle w:val="Header"/>
            <w:spacing w:before="40"/>
          </w:pPr>
        </w:p>
      </w:tc>
    </w:tr>
    <w:tr w:rsidR="003215D3">
      <w:trPr>
        <w:jc w:val="center"/>
      </w:trPr>
      <w:tc>
        <w:tcPr>
          <w:tcW w:w="1348" w:type="dxa"/>
        </w:tcPr>
        <w:p w:rsidR="003215D3" w:rsidRDefault="003215D3">
          <w:pPr>
            <w:pStyle w:val="Header"/>
            <w:spacing w:before="40"/>
          </w:pPr>
        </w:p>
      </w:tc>
      <w:tc>
        <w:tcPr>
          <w:tcW w:w="5915" w:type="dxa"/>
        </w:tcPr>
        <w:p w:rsidR="003215D3" w:rsidRDefault="003215D3">
          <w:pPr>
            <w:pStyle w:val="Header"/>
            <w:spacing w:before="40"/>
          </w:pPr>
        </w:p>
      </w:tc>
    </w:tr>
    <w:tr w:rsidR="003215D3">
      <w:trPr>
        <w:cantSplit/>
        <w:jc w:val="center"/>
      </w:trPr>
      <w:tc>
        <w:tcPr>
          <w:tcW w:w="7263" w:type="dxa"/>
          <w:gridSpan w:val="2"/>
        </w:tcPr>
        <w:p w:rsidR="003215D3" w:rsidRDefault="00637860">
          <w:pPr>
            <w:pStyle w:val="Header"/>
            <w:spacing w:before="40"/>
          </w:pPr>
          <w:r>
            <w:t>Defined terms</w:t>
          </w:r>
        </w:p>
      </w:tc>
    </w:tr>
  </w:tbl>
  <w:p w:rsidR="003215D3" w:rsidRDefault="003215D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215D3">
      <w:trPr>
        <w:cantSplit/>
        <w:jc w:val="center"/>
      </w:trPr>
      <w:tc>
        <w:tcPr>
          <w:tcW w:w="7263" w:type="dxa"/>
          <w:gridSpan w:val="2"/>
        </w:tcPr>
        <w:p w:rsidR="003215D3" w:rsidRDefault="00637860">
          <w:pPr>
            <w:pStyle w:val="Header"/>
            <w:spacing w:before="40"/>
            <w:ind w:right="17"/>
            <w:jc w:val="right"/>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884" w:type="dxa"/>
        </w:tcPr>
        <w:p w:rsidR="003215D3" w:rsidRDefault="003215D3">
          <w:pPr>
            <w:pStyle w:val="Header"/>
            <w:spacing w:before="40"/>
            <w:jc w:val="right"/>
          </w:pPr>
        </w:p>
      </w:tc>
      <w:tc>
        <w:tcPr>
          <w:tcW w:w="1379" w:type="dxa"/>
        </w:tcPr>
        <w:p w:rsidR="003215D3" w:rsidRDefault="003215D3">
          <w:pPr>
            <w:pStyle w:val="Header"/>
            <w:spacing w:before="40"/>
            <w:ind w:right="17"/>
            <w:jc w:val="right"/>
          </w:pPr>
        </w:p>
      </w:tc>
    </w:tr>
    <w:tr w:rsidR="003215D3">
      <w:trPr>
        <w:jc w:val="center"/>
      </w:trPr>
      <w:tc>
        <w:tcPr>
          <w:tcW w:w="5884" w:type="dxa"/>
        </w:tcPr>
        <w:p w:rsidR="003215D3" w:rsidRDefault="003215D3">
          <w:pPr>
            <w:pStyle w:val="Header"/>
            <w:spacing w:before="40"/>
            <w:jc w:val="right"/>
          </w:pPr>
        </w:p>
      </w:tc>
      <w:tc>
        <w:tcPr>
          <w:tcW w:w="1379" w:type="dxa"/>
        </w:tcPr>
        <w:p w:rsidR="003215D3" w:rsidRDefault="003215D3">
          <w:pPr>
            <w:pStyle w:val="Header"/>
            <w:spacing w:before="40"/>
            <w:ind w:right="17"/>
            <w:jc w:val="right"/>
          </w:pPr>
        </w:p>
      </w:tc>
    </w:tr>
    <w:tr w:rsidR="003215D3">
      <w:trPr>
        <w:cantSplit/>
        <w:jc w:val="center"/>
      </w:trPr>
      <w:tc>
        <w:tcPr>
          <w:tcW w:w="7263" w:type="dxa"/>
          <w:gridSpan w:val="2"/>
        </w:tcPr>
        <w:p w:rsidR="003215D3" w:rsidRDefault="00637860">
          <w:pPr>
            <w:pStyle w:val="Header"/>
            <w:spacing w:before="40"/>
            <w:ind w:right="17"/>
            <w:jc w:val="right"/>
          </w:pPr>
          <w:r>
            <w:t>Defined terms</w:t>
          </w:r>
        </w:p>
      </w:tc>
    </w:tr>
  </w:tbl>
  <w:p w:rsidR="003215D3" w:rsidRDefault="003215D3">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5B" w:rsidRDefault="001979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bookmarkStart w:id="64" w:name="Coversheet"/>
    <w:bookmarkEnd w:id="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15D3">
      <w:trPr>
        <w:cantSplit/>
        <w:jc w:val="center"/>
      </w:trPr>
      <w:tc>
        <w:tcPr>
          <w:tcW w:w="7258" w:type="dxa"/>
          <w:gridSpan w:val="2"/>
        </w:tcPr>
        <w:p w:rsidR="003215D3" w:rsidRDefault="00637860">
          <w:pPr>
            <w:pStyle w:val="Header"/>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548" w:type="dxa"/>
        </w:tcPr>
        <w:p w:rsidR="003215D3" w:rsidRDefault="003215D3">
          <w:pPr>
            <w:pStyle w:val="Header"/>
            <w:spacing w:before="40"/>
          </w:pPr>
        </w:p>
      </w:tc>
      <w:tc>
        <w:tcPr>
          <w:tcW w:w="5715" w:type="dxa"/>
        </w:tcPr>
        <w:p w:rsidR="003215D3" w:rsidRDefault="003215D3">
          <w:pPr>
            <w:pStyle w:val="Header"/>
            <w:spacing w:before="40"/>
          </w:pPr>
        </w:p>
      </w:tc>
    </w:tr>
    <w:tr w:rsidR="003215D3">
      <w:trPr>
        <w:jc w:val="center"/>
      </w:trPr>
      <w:tc>
        <w:tcPr>
          <w:tcW w:w="1548" w:type="dxa"/>
        </w:tcPr>
        <w:p w:rsidR="003215D3" w:rsidRDefault="003215D3">
          <w:pPr>
            <w:pStyle w:val="Header"/>
            <w:spacing w:before="40"/>
          </w:pPr>
        </w:p>
      </w:tc>
      <w:tc>
        <w:tcPr>
          <w:tcW w:w="5715" w:type="dxa"/>
        </w:tcPr>
        <w:p w:rsidR="003215D3" w:rsidRDefault="003215D3">
          <w:pPr>
            <w:pStyle w:val="Header"/>
            <w:spacing w:before="40"/>
          </w:pPr>
        </w:p>
      </w:tc>
    </w:tr>
    <w:tr w:rsidR="003215D3">
      <w:trPr>
        <w:cantSplit/>
        <w:jc w:val="center"/>
      </w:trPr>
      <w:tc>
        <w:tcPr>
          <w:tcW w:w="7258" w:type="dxa"/>
          <w:gridSpan w:val="2"/>
        </w:tcPr>
        <w:p w:rsidR="003215D3" w:rsidRDefault="00637860">
          <w:pPr>
            <w:pStyle w:val="Header"/>
            <w:spacing w:before="40"/>
          </w:pPr>
          <w:r>
            <w:t>Contents</w:t>
          </w:r>
        </w:p>
      </w:tc>
    </w:tr>
  </w:tbl>
  <w:p w:rsidR="003215D3" w:rsidRDefault="003215D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15D3">
      <w:trPr>
        <w:cantSplit/>
        <w:jc w:val="center"/>
      </w:trPr>
      <w:tc>
        <w:tcPr>
          <w:tcW w:w="7258" w:type="dxa"/>
          <w:gridSpan w:val="2"/>
        </w:tcPr>
        <w:p w:rsidR="003215D3" w:rsidRDefault="00637860">
          <w:pPr>
            <w:pStyle w:val="Header"/>
            <w:ind w:right="17"/>
            <w:jc w:val="right"/>
          </w:pPr>
          <w:r>
            <w:rPr>
              <w:b/>
              <w:i/>
            </w:rPr>
            <w:fldChar w:fldCharType="begin"/>
          </w:r>
          <w:r>
            <w:rPr>
              <w:b/>
              <w:i/>
            </w:rPr>
            <w:instrText xml:space="preserve"> STYLEREF "Name of Act/Reg" </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715" w:type="dxa"/>
        </w:tcPr>
        <w:p w:rsidR="003215D3" w:rsidRDefault="003215D3">
          <w:pPr>
            <w:pStyle w:val="Header"/>
            <w:spacing w:before="40"/>
            <w:jc w:val="right"/>
          </w:pPr>
        </w:p>
      </w:tc>
      <w:tc>
        <w:tcPr>
          <w:tcW w:w="1548" w:type="dxa"/>
        </w:tcPr>
        <w:p w:rsidR="003215D3" w:rsidRDefault="003215D3">
          <w:pPr>
            <w:pStyle w:val="Header"/>
            <w:spacing w:before="40"/>
            <w:ind w:right="17"/>
            <w:jc w:val="right"/>
          </w:pPr>
        </w:p>
      </w:tc>
    </w:tr>
    <w:tr w:rsidR="003215D3">
      <w:trPr>
        <w:jc w:val="center"/>
      </w:trPr>
      <w:tc>
        <w:tcPr>
          <w:tcW w:w="5715" w:type="dxa"/>
        </w:tcPr>
        <w:p w:rsidR="003215D3" w:rsidRDefault="003215D3">
          <w:pPr>
            <w:pStyle w:val="Header"/>
            <w:spacing w:before="40"/>
            <w:jc w:val="right"/>
          </w:pPr>
        </w:p>
      </w:tc>
      <w:tc>
        <w:tcPr>
          <w:tcW w:w="1548" w:type="dxa"/>
        </w:tcPr>
        <w:p w:rsidR="003215D3" w:rsidRDefault="003215D3">
          <w:pPr>
            <w:pStyle w:val="Header"/>
            <w:spacing w:before="40"/>
            <w:ind w:right="17"/>
            <w:jc w:val="right"/>
          </w:pPr>
        </w:p>
      </w:tc>
    </w:tr>
    <w:tr w:rsidR="003215D3">
      <w:trPr>
        <w:cantSplit/>
        <w:jc w:val="center"/>
      </w:trPr>
      <w:tc>
        <w:tcPr>
          <w:tcW w:w="7258" w:type="dxa"/>
          <w:gridSpan w:val="2"/>
        </w:tcPr>
        <w:p w:rsidR="003215D3" w:rsidRDefault="00637860">
          <w:pPr>
            <w:pStyle w:val="Header"/>
            <w:spacing w:before="40"/>
            <w:ind w:right="17"/>
            <w:jc w:val="right"/>
          </w:pPr>
          <w:r>
            <w:t>Contents</w:t>
          </w:r>
        </w:p>
      </w:tc>
    </w:tr>
  </w:tbl>
  <w:p w:rsidR="003215D3" w:rsidRDefault="003215D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215D3">
      <w:trPr>
        <w:cantSplit/>
        <w:jc w:val="center"/>
      </w:trPr>
      <w:tc>
        <w:tcPr>
          <w:tcW w:w="7263" w:type="dxa"/>
          <w:gridSpan w:val="2"/>
        </w:tcPr>
        <w:p w:rsidR="003215D3" w:rsidRDefault="00637860">
          <w:pPr>
            <w:pStyle w:val="Header"/>
          </w:pPr>
          <w:r>
            <w:rPr>
              <w:b/>
              <w:i/>
            </w:rPr>
            <w:fldChar w:fldCharType="begin"/>
          </w:r>
          <w:r>
            <w:rPr>
              <w:b/>
              <w:i/>
            </w:rPr>
            <w:instrText>STYLEREF "Name of Act/Reg"</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STYLEREF CharPartNo</w:instrText>
          </w:r>
          <w:r>
            <w:rPr>
              <w:b/>
            </w:rPr>
            <w:fldChar w:fldCharType="end"/>
          </w:r>
        </w:p>
      </w:tc>
      <w:tc>
        <w:tcPr>
          <w:tcW w:w="5715" w:type="dxa"/>
          <w:vAlign w:val="bottom"/>
        </w:tcPr>
        <w:p w:rsidR="003215D3" w:rsidRDefault="00637860">
          <w:pPr>
            <w:pStyle w:val="Header"/>
            <w:spacing w:before="40"/>
          </w:pPr>
          <w:r>
            <w:fldChar w:fldCharType="begin"/>
          </w:r>
          <w:r>
            <w:instrText xml:space="preserve"> styleref CharPartText </w:instrText>
          </w:r>
          <w:r>
            <w:fldChar w:fldCharType="end"/>
          </w:r>
        </w:p>
      </w:tc>
    </w:tr>
    <w:tr w:rsidR="003215D3">
      <w:trPr>
        <w:jc w:val="center"/>
      </w:trPr>
      <w:tc>
        <w:tcPr>
          <w:tcW w:w="1548" w:type="dxa"/>
        </w:tcPr>
        <w:p w:rsidR="003215D3" w:rsidRDefault="00637860">
          <w:pPr>
            <w:pStyle w:val="Header"/>
            <w:spacing w:before="40"/>
          </w:pPr>
          <w:r>
            <w:rPr>
              <w:b/>
            </w:rPr>
            <w:fldChar w:fldCharType="begin"/>
          </w:r>
          <w:r>
            <w:rPr>
              <w:b/>
            </w:rPr>
            <w:instrText>STYLEREF CharDivNo</w:instrText>
          </w:r>
          <w:r>
            <w:rPr>
              <w:b/>
            </w:rPr>
            <w:fldChar w:fldCharType="end"/>
          </w:r>
        </w:p>
      </w:tc>
      <w:tc>
        <w:tcPr>
          <w:tcW w:w="5715" w:type="dxa"/>
          <w:vAlign w:val="bottom"/>
        </w:tcPr>
        <w:p w:rsidR="003215D3" w:rsidRDefault="00637860">
          <w:pPr>
            <w:pStyle w:val="Header"/>
            <w:spacing w:before="40"/>
          </w:pPr>
          <w:r>
            <w:fldChar w:fldCharType="begin"/>
          </w:r>
          <w:r>
            <w:instrText xml:space="preserve"> styleref CharDivText </w:instrText>
          </w:r>
          <w:r>
            <w:fldChar w:fldCharType="end"/>
          </w:r>
        </w:p>
      </w:tc>
    </w:tr>
    <w:tr w:rsidR="003215D3">
      <w:trPr>
        <w:cantSplit/>
        <w:jc w:val="center"/>
      </w:trPr>
      <w:tc>
        <w:tcPr>
          <w:tcW w:w="7263" w:type="dxa"/>
          <w:gridSpan w:val="2"/>
        </w:tcPr>
        <w:p w:rsidR="003215D3" w:rsidRDefault="00637860">
          <w:pPr>
            <w:pStyle w:val="Header"/>
            <w:spacing w:before="40"/>
          </w:pPr>
          <w:r>
            <w:rPr>
              <w:b/>
            </w:rPr>
            <w:t xml:space="preserve">bl. </w:t>
          </w:r>
          <w:r>
            <w:rPr>
              <w:b/>
            </w:rPr>
            <w:fldChar w:fldCharType="begin"/>
          </w:r>
          <w:r>
            <w:rPr>
              <w:b/>
            </w:rPr>
            <w:instrText>STYLEREF CharSectNo</w:instrText>
          </w:r>
          <w:r>
            <w:rPr>
              <w:b/>
            </w:rPr>
            <w:fldChar w:fldCharType="separate"/>
          </w:r>
          <w:r w:rsidR="0019795B">
            <w:rPr>
              <w:b/>
            </w:rPr>
            <w:t>1</w:t>
          </w:r>
          <w:r>
            <w:rPr>
              <w:b/>
            </w:rPr>
            <w:fldChar w:fldCharType="end"/>
          </w:r>
        </w:p>
      </w:tc>
    </w:tr>
  </w:tbl>
  <w:p w:rsidR="003215D3" w:rsidRDefault="003215D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215D3">
      <w:trPr>
        <w:cantSplit/>
        <w:jc w:val="center"/>
      </w:trPr>
      <w:tc>
        <w:tcPr>
          <w:tcW w:w="7263" w:type="dxa"/>
          <w:gridSpan w:val="2"/>
        </w:tcPr>
        <w:p w:rsidR="003215D3" w:rsidRDefault="00637860">
          <w:pPr>
            <w:pStyle w:val="Header"/>
            <w:ind w:right="17"/>
            <w:jc w:val="right"/>
          </w:pPr>
          <w:r>
            <w:rPr>
              <w:b/>
              <w:i/>
            </w:rPr>
            <w:fldChar w:fldCharType="begin"/>
          </w:r>
          <w:r>
            <w:rPr>
              <w:b/>
              <w:i/>
            </w:rPr>
            <w:instrText>STYLEREF "Name of Act/Reg"</w:instrText>
          </w:r>
          <w:r>
            <w:rPr>
              <w:b/>
              <w:i/>
            </w:rPr>
            <w:fldChar w:fldCharType="separate"/>
          </w:r>
          <w:r w:rsidR="0019795B">
            <w:rPr>
              <w:b/>
              <w:i/>
            </w:rPr>
            <w:t>Energy Operators (Electricity Generation and Retail Corporation) (Charges) By-laws 2006</w:t>
          </w:r>
          <w:r>
            <w:rPr>
              <w:b/>
              <w:i/>
            </w:rPr>
            <w:fldChar w:fldCharType="end"/>
          </w:r>
        </w:p>
      </w:tc>
    </w:tr>
    <w:tr w:rsidR="003215D3">
      <w:trPr>
        <w:jc w:val="center"/>
      </w:trPr>
      <w:tc>
        <w:tcPr>
          <w:tcW w:w="5715" w:type="dxa"/>
          <w:vAlign w:val="bottom"/>
        </w:tcPr>
        <w:p w:rsidR="003215D3" w:rsidRDefault="00637860">
          <w:pPr>
            <w:pStyle w:val="Header"/>
            <w:spacing w:before="40"/>
            <w:jc w:val="right"/>
          </w:pPr>
          <w:r>
            <w:fldChar w:fldCharType="begin"/>
          </w:r>
          <w:r>
            <w:instrText xml:space="preserve"> styleref CharPartText </w:instrText>
          </w:r>
          <w:r>
            <w:fldChar w:fldCharType="end"/>
          </w:r>
        </w:p>
      </w:tc>
      <w:tc>
        <w:tcPr>
          <w:tcW w:w="1548" w:type="dxa"/>
        </w:tcPr>
        <w:p w:rsidR="003215D3" w:rsidRDefault="00637860">
          <w:pPr>
            <w:pStyle w:val="Header"/>
            <w:spacing w:before="40"/>
            <w:ind w:right="17"/>
            <w:jc w:val="right"/>
          </w:pPr>
          <w:r>
            <w:rPr>
              <w:b/>
            </w:rPr>
            <w:fldChar w:fldCharType="begin"/>
          </w:r>
          <w:r>
            <w:rPr>
              <w:b/>
            </w:rPr>
            <w:instrText>STYLEREF CharPartNo</w:instrText>
          </w:r>
          <w:r>
            <w:rPr>
              <w:b/>
            </w:rPr>
            <w:fldChar w:fldCharType="end"/>
          </w:r>
        </w:p>
      </w:tc>
    </w:tr>
    <w:tr w:rsidR="003215D3">
      <w:trPr>
        <w:jc w:val="center"/>
      </w:trPr>
      <w:tc>
        <w:tcPr>
          <w:tcW w:w="5715" w:type="dxa"/>
          <w:vAlign w:val="bottom"/>
        </w:tcPr>
        <w:p w:rsidR="003215D3" w:rsidRDefault="00637860">
          <w:pPr>
            <w:pStyle w:val="Header"/>
            <w:spacing w:before="40"/>
            <w:jc w:val="right"/>
          </w:pPr>
          <w:r>
            <w:fldChar w:fldCharType="begin"/>
          </w:r>
          <w:r>
            <w:instrText xml:space="preserve"> styleref CharDivText </w:instrText>
          </w:r>
          <w:r>
            <w:fldChar w:fldCharType="end"/>
          </w:r>
        </w:p>
      </w:tc>
      <w:tc>
        <w:tcPr>
          <w:tcW w:w="1548" w:type="dxa"/>
        </w:tcPr>
        <w:p w:rsidR="003215D3" w:rsidRDefault="00637860">
          <w:pPr>
            <w:pStyle w:val="Header"/>
            <w:spacing w:before="40"/>
            <w:ind w:right="17"/>
            <w:jc w:val="right"/>
          </w:pPr>
          <w:r>
            <w:rPr>
              <w:b/>
            </w:rPr>
            <w:fldChar w:fldCharType="begin"/>
          </w:r>
          <w:r>
            <w:rPr>
              <w:b/>
            </w:rPr>
            <w:instrText>STYLEREF CharDivNo</w:instrText>
          </w:r>
          <w:r>
            <w:rPr>
              <w:b/>
            </w:rPr>
            <w:fldChar w:fldCharType="end"/>
          </w:r>
        </w:p>
      </w:tc>
    </w:tr>
    <w:tr w:rsidR="003215D3">
      <w:trPr>
        <w:cantSplit/>
        <w:jc w:val="center"/>
      </w:trPr>
      <w:tc>
        <w:tcPr>
          <w:tcW w:w="7263" w:type="dxa"/>
          <w:gridSpan w:val="2"/>
        </w:tcPr>
        <w:p w:rsidR="003215D3" w:rsidRDefault="00637860">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sidR="0019795B">
            <w:rPr>
              <w:b/>
            </w:rPr>
            <w:t>1</w:t>
          </w:r>
          <w:r>
            <w:rPr>
              <w:b/>
            </w:rPr>
            <w:fldChar w:fldCharType="end"/>
          </w:r>
        </w:p>
      </w:tc>
    </w:tr>
  </w:tbl>
  <w:p w:rsidR="003215D3" w:rsidRDefault="003215D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5D3" w:rsidRDefault="0032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01413"/>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s>
  <w:rsids>
    <w:rsidRoot w:val="00BB7C73"/>
    <w:rsid w:val="0019795B"/>
    <w:rsid w:val="00247B6C"/>
    <w:rsid w:val="003215D3"/>
    <w:rsid w:val="0055233B"/>
    <w:rsid w:val="00637860"/>
    <w:rsid w:val="00653DFB"/>
    <w:rsid w:val="006B2F8D"/>
    <w:rsid w:val="007722CE"/>
    <w:rsid w:val="00BB7C73"/>
    <w:rsid w:val="00D507C3"/>
    <w:rsid w:val="00E44E82"/>
    <w:rsid w:val="00FD5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4719</Words>
  <Characters>23218</Characters>
  <Application>Microsoft Office Word</Application>
  <DocSecurity>0</DocSecurity>
  <Lines>859</Lines>
  <Paragraphs>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2006 - 04-g0-00</dc:title>
  <dc:subject/>
  <dc:creator/>
  <cp:keywords/>
  <dc:description/>
  <cp:lastModifiedBy>Master Repository Process</cp:lastModifiedBy>
  <cp:revision>4</cp:revision>
  <cp:lastPrinted>2019-06-24T07:01:00Z</cp:lastPrinted>
  <dcterms:created xsi:type="dcterms:W3CDTF">2021-06-21T06:43:00Z</dcterms:created>
  <dcterms:modified xsi:type="dcterms:W3CDTF">2021-06-21T06:43:00Z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22 Jun 2021</vt:lpwstr>
  </property>
  <property fmtid="{D5CDD505-2E9C-101B-9397-08002B2CF9AE}" pid="8" name="Suffix">
    <vt:lpwstr>04-g0-00</vt:lpwstr>
  </property>
  <property fmtid="{D5CDD505-2E9C-101B-9397-08002B2CF9AE}" pid="9" name="CommencementDate">
    <vt:lpwstr>20210622</vt:lpwstr>
  </property>
</Properties>
</file>