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8.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79A525" w14:textId="77777777" w:rsidR="004F0464" w:rsidRDefault="004F0464">
      <w:pPr>
        <w:pStyle w:val="WA"/>
      </w:pPr>
      <w:bookmarkStart w:id="0" w:name="_GoBack"/>
      <w:bookmarkEnd w:id="0"/>
      <w:r>
        <w:rPr>
          <w:noProof/>
        </w:rPr>
        <w:drawing>
          <wp:anchor distT="0" distB="0" distL="114300" distR="114300" simplePos="0" relativeHeight="251667456" behindDoc="0" locked="0" layoutInCell="1" allowOverlap="1" wp14:anchorId="0E97022E" wp14:editId="523B6584">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14:paraId="16C13EE8" w14:textId="30F9CFA2" w:rsidR="004F0464" w:rsidRDefault="004F0464">
      <w:pPr>
        <w:pStyle w:val="NameofActRegPage1"/>
        <w:spacing w:before="3760" w:after="4200"/>
        <w:outlineLvl w:val="0"/>
      </w:pPr>
      <w:r>
        <w:fldChar w:fldCharType="begin"/>
      </w:r>
      <w:r>
        <w:instrText xml:space="preserve"> STYLEREF "Name Of Act/Reg"</w:instrText>
      </w:r>
      <w:r>
        <w:fldChar w:fldCharType="separate"/>
      </w:r>
      <w:r w:rsidR="00554DC7">
        <w:rPr>
          <w:noProof/>
        </w:rPr>
        <w:t>Protection of Information (Entry Registration Information Relating to COVID-19 and Other Infectious Diseases) Act 2021</w:t>
      </w:r>
      <w:r>
        <w:fldChar w:fldCharType="end"/>
      </w:r>
    </w:p>
    <w:p w14:paraId="58927844" w14:textId="77777777" w:rsidR="004F0464" w:rsidRDefault="004F0464">
      <w:pPr>
        <w:jc w:val="center"/>
        <w:sectPr w:rsidR="004F0464">
          <w:headerReference w:type="even" r:id="rId9"/>
          <w:headerReference w:type="default" r:id="rId10"/>
          <w:footerReference w:type="even" r:id="rId11"/>
          <w:footerReference w:type="default" r:id="rId12"/>
          <w:headerReference w:type="first" r:id="rId13"/>
          <w:footerReference w:type="first" r:id="rId14"/>
          <w:pgSz w:w="11907" w:h="16840" w:code="9"/>
          <w:pgMar w:top="2376" w:right="2405" w:bottom="3542" w:left="2405" w:header="706" w:footer="3542" w:gutter="0"/>
          <w:pgNumType w:fmt="lowerRoman" w:start="1"/>
          <w:cols w:space="720"/>
          <w:noEndnote/>
          <w:titlePg/>
          <w:docGrid w:linePitch="326"/>
        </w:sectPr>
      </w:pPr>
    </w:p>
    <w:p w14:paraId="38BD6287" w14:textId="77777777" w:rsidR="00C63430" w:rsidRDefault="00C63430">
      <w:pPr>
        <w:pStyle w:val="WA"/>
        <w:outlineLvl w:val="0"/>
      </w:pPr>
      <w:r>
        <w:lastRenderedPageBreak/>
        <w:t>Western Australia</w:t>
      </w:r>
    </w:p>
    <w:p w14:paraId="5479A750" w14:textId="4C520ADF" w:rsidR="00C63430" w:rsidRDefault="00C63430">
      <w:pPr>
        <w:pStyle w:val="NameofActRegPage1"/>
      </w:pPr>
      <w:r>
        <w:fldChar w:fldCharType="begin"/>
      </w:r>
      <w:r>
        <w:instrText xml:space="preserve"> STYLEREF "Name Of Act/Reg"</w:instrText>
      </w:r>
      <w:r>
        <w:fldChar w:fldCharType="separate"/>
      </w:r>
      <w:r w:rsidR="00554DC7">
        <w:rPr>
          <w:noProof/>
        </w:rPr>
        <w:t>Protection of Information (Entry Registration Information Relating to COVID-19 and Other Infectious Diseases) Act 2021</w:t>
      </w:r>
      <w:r>
        <w:fldChar w:fldCharType="end"/>
      </w:r>
    </w:p>
    <w:p w14:paraId="5A1492D6" w14:textId="77777777" w:rsidR="00C63430" w:rsidRDefault="00C63430">
      <w:pPr>
        <w:pStyle w:val="Arrangement"/>
      </w:pPr>
      <w:r>
        <w:t>Contents</w:t>
      </w:r>
    </w:p>
    <w:p w14:paraId="15342579" w14:textId="6DECFFFF" w:rsidR="00505B65" w:rsidRDefault="00C63430">
      <w:pPr>
        <w:pStyle w:val="TOC8"/>
        <w:rPr>
          <w:rFonts w:asciiTheme="minorHAnsi" w:eastAsiaTheme="minorEastAsia" w:hAnsiTheme="minorHAnsi" w:cstheme="minorBidi"/>
          <w:szCs w:val="22"/>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"2-7" \w \* MERGEFORMAT </w:instrText>
      </w:r>
      <w:r>
        <w:fldChar w:fldCharType="separate"/>
      </w:r>
      <w:r w:rsidR="00505B65">
        <w:t>1.</w:t>
      </w:r>
      <w:r w:rsidR="00505B65">
        <w:tab/>
        <w:t>Short title</w:t>
      </w:r>
      <w:r w:rsidR="00505B65">
        <w:tab/>
      </w:r>
      <w:r w:rsidR="00505B65">
        <w:fldChar w:fldCharType="begin"/>
      </w:r>
      <w:r w:rsidR="00505B65">
        <w:instrText xml:space="preserve"> PAGEREF _Toc75245697 \h </w:instrText>
      </w:r>
      <w:r w:rsidR="00505B65">
        <w:fldChar w:fldCharType="separate"/>
      </w:r>
      <w:r w:rsidR="00554DC7">
        <w:t>2</w:t>
      </w:r>
      <w:r w:rsidR="00505B65">
        <w:fldChar w:fldCharType="end"/>
      </w:r>
    </w:p>
    <w:p w14:paraId="0C8E48FC" w14:textId="1F50DCC9" w:rsidR="00505B65" w:rsidRDefault="00505B65">
      <w:pPr>
        <w:pStyle w:val="TOC8"/>
        <w:rPr>
          <w:rFonts w:asciiTheme="minorHAnsi" w:eastAsiaTheme="minorEastAsia" w:hAnsiTheme="minorHAnsi" w:cstheme="minorBidi"/>
          <w:szCs w:val="22"/>
        </w:rPr>
      </w:pPr>
      <w:r>
        <w:t>2.</w:t>
      </w:r>
      <w:r>
        <w:tab/>
        <w:t>Commencement</w:t>
      </w:r>
      <w:r>
        <w:tab/>
      </w:r>
      <w:r>
        <w:fldChar w:fldCharType="begin"/>
      </w:r>
      <w:r>
        <w:instrText xml:space="preserve"> PAGEREF _Toc75245698 \h </w:instrText>
      </w:r>
      <w:r>
        <w:fldChar w:fldCharType="separate"/>
      </w:r>
      <w:r w:rsidR="00554DC7">
        <w:t>2</w:t>
      </w:r>
      <w:r>
        <w:fldChar w:fldCharType="end"/>
      </w:r>
    </w:p>
    <w:p w14:paraId="49929D99" w14:textId="445AE1EF" w:rsidR="00505B65" w:rsidRDefault="00505B65">
      <w:pPr>
        <w:pStyle w:val="TOC8"/>
        <w:rPr>
          <w:rFonts w:asciiTheme="minorHAnsi" w:eastAsiaTheme="minorEastAsia" w:hAnsiTheme="minorHAnsi" w:cstheme="minorBidi"/>
          <w:szCs w:val="22"/>
        </w:rPr>
      </w:pPr>
      <w:r>
        <w:t>3</w:t>
      </w:r>
      <w:r w:rsidRPr="00A54DCB">
        <w:rPr>
          <w:snapToGrid w:val="0"/>
        </w:rPr>
        <w:t>.</w:t>
      </w:r>
      <w:r w:rsidRPr="00A54DCB">
        <w:rPr>
          <w:snapToGrid w:val="0"/>
        </w:rPr>
        <w:tab/>
        <w:t>Terms used</w:t>
      </w:r>
      <w:r>
        <w:tab/>
      </w:r>
      <w:r>
        <w:fldChar w:fldCharType="begin"/>
      </w:r>
      <w:r>
        <w:instrText xml:space="preserve"> PAGEREF _Toc75245699 \h </w:instrText>
      </w:r>
      <w:r>
        <w:fldChar w:fldCharType="separate"/>
      </w:r>
      <w:r w:rsidR="00554DC7">
        <w:t>2</w:t>
      </w:r>
      <w:r>
        <w:fldChar w:fldCharType="end"/>
      </w:r>
    </w:p>
    <w:p w14:paraId="18B4DD50" w14:textId="588A6ACA" w:rsidR="00505B65" w:rsidRDefault="00505B65">
      <w:pPr>
        <w:pStyle w:val="TOC8"/>
        <w:rPr>
          <w:rFonts w:asciiTheme="minorHAnsi" w:eastAsiaTheme="minorEastAsia" w:hAnsiTheme="minorHAnsi" w:cstheme="minorBidi"/>
          <w:szCs w:val="22"/>
        </w:rPr>
      </w:pPr>
      <w:r>
        <w:t>4.</w:t>
      </w:r>
      <w:r>
        <w:tab/>
        <w:t>Act binds Crown</w:t>
      </w:r>
      <w:r>
        <w:tab/>
      </w:r>
      <w:r>
        <w:fldChar w:fldCharType="begin"/>
      </w:r>
      <w:r>
        <w:instrText xml:space="preserve"> PAGEREF _Toc75245700 \h </w:instrText>
      </w:r>
      <w:r>
        <w:fldChar w:fldCharType="separate"/>
      </w:r>
      <w:r w:rsidR="00554DC7">
        <w:t>5</w:t>
      </w:r>
      <w:r>
        <w:fldChar w:fldCharType="end"/>
      </w:r>
    </w:p>
    <w:p w14:paraId="6D9AFAA9" w14:textId="2D20442C" w:rsidR="00505B65" w:rsidRDefault="00505B65">
      <w:pPr>
        <w:pStyle w:val="TOC8"/>
        <w:rPr>
          <w:rFonts w:asciiTheme="minorHAnsi" w:eastAsiaTheme="minorEastAsia" w:hAnsiTheme="minorHAnsi" w:cstheme="minorBidi"/>
          <w:szCs w:val="22"/>
        </w:rPr>
      </w:pPr>
      <w:r>
        <w:t>5.</w:t>
      </w:r>
      <w:r>
        <w:tab/>
        <w:t>Relationship of this Act to other written laws</w:t>
      </w:r>
      <w:r>
        <w:tab/>
      </w:r>
      <w:r>
        <w:fldChar w:fldCharType="begin"/>
      </w:r>
      <w:r>
        <w:instrText xml:space="preserve"> PAGEREF _Toc75245701 \h </w:instrText>
      </w:r>
      <w:r>
        <w:fldChar w:fldCharType="separate"/>
      </w:r>
      <w:r w:rsidR="00554DC7">
        <w:t>5</w:t>
      </w:r>
      <w:r>
        <w:fldChar w:fldCharType="end"/>
      </w:r>
    </w:p>
    <w:p w14:paraId="6D8F12DD" w14:textId="4CEE4AF7" w:rsidR="00505B65" w:rsidRDefault="00505B65">
      <w:pPr>
        <w:pStyle w:val="TOC8"/>
        <w:rPr>
          <w:rFonts w:asciiTheme="minorHAnsi" w:eastAsiaTheme="minorEastAsia" w:hAnsiTheme="minorHAnsi" w:cstheme="minorBidi"/>
          <w:szCs w:val="22"/>
        </w:rPr>
      </w:pPr>
      <w:r>
        <w:t>6.</w:t>
      </w:r>
      <w:r>
        <w:tab/>
        <w:t>Protection of entry registration information</w:t>
      </w:r>
      <w:r>
        <w:tab/>
      </w:r>
      <w:r>
        <w:fldChar w:fldCharType="begin"/>
      </w:r>
      <w:r>
        <w:instrText xml:space="preserve"> PAGEREF _Toc75245702 \h </w:instrText>
      </w:r>
      <w:r>
        <w:fldChar w:fldCharType="separate"/>
      </w:r>
      <w:r w:rsidR="00554DC7">
        <w:t>5</w:t>
      </w:r>
      <w:r>
        <w:fldChar w:fldCharType="end"/>
      </w:r>
    </w:p>
    <w:p w14:paraId="24D390AA" w14:textId="701AEF6E" w:rsidR="00505B65" w:rsidRDefault="00505B65">
      <w:pPr>
        <w:pStyle w:val="TOC8"/>
        <w:rPr>
          <w:rFonts w:asciiTheme="minorHAnsi" w:eastAsiaTheme="minorEastAsia" w:hAnsiTheme="minorHAnsi" w:cstheme="minorBidi"/>
          <w:szCs w:val="22"/>
        </w:rPr>
      </w:pPr>
      <w:r>
        <w:t>7.</w:t>
      </w:r>
      <w:r>
        <w:tab/>
        <w:t>Storage of entry registration records</w:t>
      </w:r>
      <w:r>
        <w:tab/>
      </w:r>
      <w:r>
        <w:fldChar w:fldCharType="begin"/>
      </w:r>
      <w:r>
        <w:instrText xml:space="preserve"> PAGEREF _Toc75245703 \h </w:instrText>
      </w:r>
      <w:r>
        <w:fldChar w:fldCharType="separate"/>
      </w:r>
      <w:r w:rsidR="00554DC7">
        <w:t>7</w:t>
      </w:r>
      <w:r>
        <w:fldChar w:fldCharType="end"/>
      </w:r>
    </w:p>
    <w:p w14:paraId="63617E48" w14:textId="0929854A" w:rsidR="00505B65" w:rsidRDefault="00505B65">
      <w:pPr>
        <w:pStyle w:val="TOC8"/>
        <w:rPr>
          <w:rFonts w:asciiTheme="minorHAnsi" w:eastAsiaTheme="minorEastAsia" w:hAnsiTheme="minorHAnsi" w:cstheme="minorBidi"/>
          <w:szCs w:val="22"/>
        </w:rPr>
      </w:pPr>
      <w:r>
        <w:t>8.</w:t>
      </w:r>
      <w:r>
        <w:tab/>
        <w:t>Destruction of entry registration records</w:t>
      </w:r>
      <w:r>
        <w:tab/>
      </w:r>
      <w:r>
        <w:fldChar w:fldCharType="begin"/>
      </w:r>
      <w:r>
        <w:instrText xml:space="preserve"> PAGEREF _Toc75245704 \h </w:instrText>
      </w:r>
      <w:r>
        <w:fldChar w:fldCharType="separate"/>
      </w:r>
      <w:r w:rsidR="00554DC7">
        <w:t>7</w:t>
      </w:r>
      <w:r>
        <w:fldChar w:fldCharType="end"/>
      </w:r>
    </w:p>
    <w:p w14:paraId="2E3676A9" w14:textId="10FAEDC6" w:rsidR="00505B65" w:rsidRDefault="00505B65">
      <w:pPr>
        <w:pStyle w:val="TOC8"/>
        <w:rPr>
          <w:rFonts w:asciiTheme="minorHAnsi" w:eastAsiaTheme="minorEastAsia" w:hAnsiTheme="minorHAnsi" w:cstheme="minorBidi"/>
          <w:szCs w:val="22"/>
        </w:rPr>
      </w:pPr>
      <w:r>
        <w:t>9.</w:t>
      </w:r>
      <w:r>
        <w:tab/>
        <w:t>Liability of officers of body corporate for offence by body corporate</w:t>
      </w:r>
      <w:r>
        <w:tab/>
      </w:r>
      <w:r>
        <w:fldChar w:fldCharType="begin"/>
      </w:r>
      <w:r>
        <w:instrText xml:space="preserve"> PAGEREF _Toc75245705 \h </w:instrText>
      </w:r>
      <w:r>
        <w:fldChar w:fldCharType="separate"/>
      </w:r>
      <w:r w:rsidR="00554DC7">
        <w:t>9</w:t>
      </w:r>
      <w:r>
        <w:fldChar w:fldCharType="end"/>
      </w:r>
    </w:p>
    <w:p w14:paraId="7A72F773" w14:textId="2F4140CE" w:rsidR="00505B65" w:rsidRDefault="00505B65">
      <w:pPr>
        <w:pStyle w:val="TOC8"/>
        <w:rPr>
          <w:rFonts w:asciiTheme="minorHAnsi" w:eastAsiaTheme="minorEastAsia" w:hAnsiTheme="minorHAnsi" w:cstheme="minorBidi"/>
          <w:szCs w:val="22"/>
        </w:rPr>
      </w:pPr>
      <w:r>
        <w:t>10.</w:t>
      </w:r>
      <w:r>
        <w:tab/>
        <w:t>Publication of approvals</w:t>
      </w:r>
      <w:r>
        <w:tab/>
      </w:r>
      <w:r>
        <w:fldChar w:fldCharType="begin"/>
      </w:r>
      <w:r>
        <w:instrText xml:space="preserve"> PAGEREF _Toc75245706 \h </w:instrText>
      </w:r>
      <w:r>
        <w:fldChar w:fldCharType="separate"/>
      </w:r>
      <w:r w:rsidR="00554DC7">
        <w:t>9</w:t>
      </w:r>
      <w:r>
        <w:fldChar w:fldCharType="end"/>
      </w:r>
    </w:p>
    <w:p w14:paraId="278BF09D" w14:textId="7B1F15AF" w:rsidR="00505B65" w:rsidRDefault="00505B65">
      <w:pPr>
        <w:pStyle w:val="TOC8"/>
        <w:rPr>
          <w:rFonts w:asciiTheme="minorHAnsi" w:eastAsiaTheme="minorEastAsia" w:hAnsiTheme="minorHAnsi" w:cstheme="minorBidi"/>
          <w:szCs w:val="22"/>
        </w:rPr>
      </w:pPr>
      <w:r>
        <w:t>11.</w:t>
      </w:r>
      <w:r>
        <w:tab/>
        <w:t>Transitional provisions</w:t>
      </w:r>
      <w:r>
        <w:tab/>
      </w:r>
      <w:r>
        <w:fldChar w:fldCharType="begin"/>
      </w:r>
      <w:r>
        <w:instrText xml:space="preserve"> PAGEREF _Toc75245707 \h </w:instrText>
      </w:r>
      <w:r>
        <w:fldChar w:fldCharType="separate"/>
      </w:r>
      <w:r w:rsidR="00554DC7">
        <w:t>10</w:t>
      </w:r>
      <w:r>
        <w:fldChar w:fldCharType="end"/>
      </w:r>
    </w:p>
    <w:p w14:paraId="3E9A7800" w14:textId="13169E10" w:rsidR="00505B65" w:rsidRDefault="00505B65">
      <w:pPr>
        <w:pStyle w:val="TOC8"/>
        <w:rPr>
          <w:rFonts w:asciiTheme="minorHAnsi" w:eastAsiaTheme="minorEastAsia" w:hAnsiTheme="minorHAnsi" w:cstheme="minorBidi"/>
          <w:szCs w:val="22"/>
        </w:rPr>
      </w:pPr>
      <w:r>
        <w:t>12.</w:t>
      </w:r>
      <w:r>
        <w:tab/>
        <w:t>Regulations</w:t>
      </w:r>
      <w:r>
        <w:tab/>
      </w:r>
      <w:r>
        <w:fldChar w:fldCharType="begin"/>
      </w:r>
      <w:r>
        <w:instrText xml:space="preserve"> PAGEREF _Toc75245708 \h </w:instrText>
      </w:r>
      <w:r>
        <w:fldChar w:fldCharType="separate"/>
      </w:r>
      <w:r w:rsidR="00554DC7">
        <w:t>10</w:t>
      </w:r>
      <w:r>
        <w:fldChar w:fldCharType="end"/>
      </w:r>
    </w:p>
    <w:p w14:paraId="46FA5DFC" w14:textId="77777777" w:rsidR="00505B65" w:rsidRDefault="00505B65">
      <w:pPr>
        <w:pStyle w:val="TOC2"/>
        <w:tabs>
          <w:tab w:val="right" w:leader="dot" w:pos="7077"/>
        </w:tabs>
        <w:rPr>
          <w:rFonts w:asciiTheme="minorHAnsi" w:eastAsiaTheme="minorEastAsia" w:hAnsiTheme="minorHAnsi" w:cstheme="minorBidi"/>
          <w:b w:val="0"/>
          <w:sz w:val="22"/>
          <w:szCs w:val="22"/>
        </w:rPr>
      </w:pPr>
      <w:r>
        <w:t>Notes</w:t>
      </w:r>
    </w:p>
    <w:p w14:paraId="0DF4590D" w14:textId="3DBAD6AD" w:rsidR="00505B65" w:rsidRDefault="00505B65" w:rsidP="00505B65">
      <w:pPr>
        <w:pStyle w:val="TOC8"/>
        <w:rPr>
          <w:rFonts w:asciiTheme="minorHAnsi" w:eastAsiaTheme="minorEastAsia" w:hAnsiTheme="minorHAnsi" w:cstheme="minorBidi"/>
          <w:szCs w:val="22"/>
        </w:rPr>
      </w:pPr>
      <w:r>
        <w:tab/>
        <w:t>Compilation table</w:t>
      </w:r>
      <w:r>
        <w:tab/>
      </w:r>
      <w:r>
        <w:fldChar w:fldCharType="begin"/>
      </w:r>
      <w:r>
        <w:instrText xml:space="preserve"> PAGEREF _Toc75245710 \h </w:instrText>
      </w:r>
      <w:r>
        <w:fldChar w:fldCharType="separate"/>
      </w:r>
      <w:r w:rsidR="00554DC7">
        <w:t>11</w:t>
      </w:r>
      <w:r>
        <w:fldChar w:fldCharType="end"/>
      </w:r>
    </w:p>
    <w:p w14:paraId="72090CA7" w14:textId="77777777" w:rsidR="00505B65" w:rsidRDefault="00505B65">
      <w:pPr>
        <w:pStyle w:val="TOC2"/>
        <w:tabs>
          <w:tab w:val="right" w:leader="dot" w:pos="7077"/>
        </w:tabs>
        <w:rPr>
          <w:rFonts w:asciiTheme="minorHAnsi" w:eastAsiaTheme="minorEastAsia" w:hAnsiTheme="minorHAnsi" w:cstheme="minorBidi"/>
          <w:b w:val="0"/>
          <w:sz w:val="22"/>
          <w:szCs w:val="22"/>
        </w:rPr>
      </w:pPr>
      <w:r>
        <w:t>Defined terms</w:t>
      </w:r>
    </w:p>
    <w:p w14:paraId="6251EF5C" w14:textId="23D3F393" w:rsidR="00C63430" w:rsidRDefault="00C63430">
      <w:pPr>
        <w:pStyle w:val="NoteHeading"/>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14:paraId="7C589188" w14:textId="77777777" w:rsidR="00C63430" w:rsidRDefault="00C63430">
      <w:pPr>
        <w:pStyle w:val="NoteHeading"/>
        <w:sectPr w:rsidR="00C63430">
          <w:headerReference w:type="even" r:id="rId15"/>
          <w:headerReference w:type="default" r:id="rId16"/>
          <w:footerReference w:type="even" r:id="rId17"/>
          <w:footerReference w:type="default" r:id="rId18"/>
          <w:headerReference w:type="first" r:id="rId19"/>
          <w:footerReference w:type="first" r:id="rId20"/>
          <w:type w:val="oddPage"/>
          <w:pgSz w:w="11907" w:h="16840" w:code="9"/>
          <w:pgMar w:top="2381" w:right="2410" w:bottom="3544" w:left="2410" w:header="720" w:footer="3544" w:gutter="0"/>
          <w:pgNumType w:fmt="lowerRoman" w:start="1"/>
          <w:cols w:space="720"/>
          <w:noEndnote/>
          <w:titlePg/>
        </w:sectPr>
      </w:pPr>
    </w:p>
    <w:p w14:paraId="4882826B" w14:textId="77777777" w:rsidR="00E2408E" w:rsidRDefault="00E2408E">
      <w:pPr>
        <w:pStyle w:val="WA"/>
        <w:spacing w:after="480"/>
      </w:pPr>
      <w:r>
        <w:rPr>
          <w:noProof/>
        </w:rPr>
        <w:lastRenderedPageBreak/>
        <w:drawing>
          <wp:anchor distT="0" distB="0" distL="114300" distR="114300" simplePos="0" relativeHeight="251661312" behindDoc="1" locked="0" layoutInCell="1" allowOverlap="1" wp14:anchorId="51D22720" wp14:editId="0633D1D1">
            <wp:simplePos x="0" y="0"/>
            <wp:positionH relativeFrom="margin">
              <wp:align>center</wp:align>
            </wp:positionH>
            <wp:positionV relativeFrom="paragraph">
              <wp:posOffset>-467995</wp:posOffset>
            </wp:positionV>
            <wp:extent cx="471600" cy="417600"/>
            <wp:effectExtent l="0" t="0" r="5080"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71600" cy="417600"/>
                    </a:xfrm>
                    <a:prstGeom prst="rect">
                      <a:avLst/>
                    </a:prstGeom>
                  </pic:spPr>
                </pic:pic>
              </a:graphicData>
            </a:graphic>
            <wp14:sizeRelH relativeFrom="margin">
              <wp14:pctWidth>0</wp14:pctWidth>
            </wp14:sizeRelH>
            <wp14:sizeRelV relativeFrom="margin">
              <wp14:pctHeight>0</wp14:pctHeight>
            </wp14:sizeRelV>
          </wp:anchor>
        </w:drawing>
      </w:r>
      <w:r>
        <w:t>Western Australia</w:t>
      </w:r>
    </w:p>
    <w:p w14:paraId="3F1185FE" w14:textId="5217AB05" w:rsidR="00AB6DA6" w:rsidRPr="00883660" w:rsidRDefault="00B1133B" w:rsidP="00605784">
      <w:pPr>
        <w:pStyle w:val="NameofActReg"/>
      </w:pPr>
      <w:r>
        <w:t>Protection of Information (Entry Registration Information Relating to COVID</w:t>
      </w:r>
      <w:r>
        <w:noBreakHyphen/>
        <w:t>19 and Other Infectious Diseases) Act 2021</w:t>
      </w:r>
    </w:p>
    <w:p w14:paraId="2802E37B" w14:textId="6C51B3F2" w:rsidR="00AB6DA6" w:rsidRDefault="007C618D" w:rsidP="007666F9">
      <w:pPr>
        <w:pStyle w:val="LongTitle"/>
      </w:pPr>
      <w:bookmarkStart w:id="3" w:name="BillCited"/>
      <w:bookmarkEnd w:id="3"/>
      <w:r>
        <w:t>An Act to protect the confidentiality of certain information obtained for the purposes of contact tracing</w:t>
      </w:r>
      <w:r w:rsidR="008A632B">
        <w:t xml:space="preserve"> relating to COVID-19 and other infectious diseases</w:t>
      </w:r>
      <w:r>
        <w:t>.</w:t>
      </w:r>
    </w:p>
    <w:p w14:paraId="11DDBA81" w14:textId="77777777" w:rsidR="00AB6DA6" w:rsidRDefault="00AB6DA6" w:rsidP="00605784">
      <w:pPr>
        <w:sectPr w:rsidR="00AB6DA6" w:rsidSect="00E2408E">
          <w:headerReference w:type="even" r:id="rId21"/>
          <w:headerReference w:type="default" r:id="rId22"/>
          <w:headerReference w:type="first" r:id="rId23"/>
          <w:endnotePr>
            <w:numFmt w:val="decimal"/>
          </w:endnotePr>
          <w:type w:val="oddPage"/>
          <w:pgSz w:w="11907" w:h="16840" w:code="9"/>
          <w:pgMar w:top="2381" w:right="2410" w:bottom="3544" w:left="2410" w:header="720" w:footer="3544" w:gutter="0"/>
          <w:pgNumType w:start="1"/>
          <w:cols w:space="720"/>
          <w:noEndnote/>
          <w:titlePg/>
          <w:docGrid w:linePitch="326"/>
        </w:sectPr>
      </w:pPr>
    </w:p>
    <w:p w14:paraId="0248B205" w14:textId="5852EE1B" w:rsidR="00AB6DA6" w:rsidRDefault="00154990">
      <w:pPr>
        <w:pStyle w:val="Heading5"/>
      </w:pPr>
      <w:bookmarkStart w:id="4" w:name="_Toc75245697"/>
      <w:r>
        <w:rPr>
          <w:rStyle w:val="CharSectno"/>
        </w:rPr>
        <w:lastRenderedPageBreak/>
        <w:t>1</w:t>
      </w:r>
      <w:r w:rsidR="007C618D">
        <w:t>.</w:t>
      </w:r>
      <w:r w:rsidR="007C618D">
        <w:tab/>
        <w:t>Short title</w:t>
      </w:r>
      <w:bookmarkEnd w:id="4"/>
    </w:p>
    <w:p w14:paraId="39E22469" w14:textId="62A0EDBA" w:rsidR="00AB6DA6" w:rsidRDefault="007C618D">
      <w:pPr>
        <w:pStyle w:val="Subsection"/>
      </w:pPr>
      <w:r>
        <w:tab/>
      </w:r>
      <w:r>
        <w:tab/>
        <w:t>This is the</w:t>
      </w:r>
      <w:r>
        <w:rPr>
          <w:i/>
        </w:rPr>
        <w:t xml:space="preserve"> </w:t>
      </w:r>
      <w:r w:rsidR="00B1133B">
        <w:rPr>
          <w:i/>
        </w:rPr>
        <w:t>Protection of Information (Entry Registration Information Relating to COVID</w:t>
      </w:r>
      <w:r w:rsidR="00B1133B">
        <w:rPr>
          <w:i/>
        </w:rPr>
        <w:noBreakHyphen/>
        <w:t>19 and Other Infectious Diseases) Act 2021</w:t>
      </w:r>
      <w:r>
        <w:t>.</w:t>
      </w:r>
    </w:p>
    <w:p w14:paraId="339BABA3" w14:textId="1BB333FA" w:rsidR="00AB6DA6" w:rsidRDefault="00154990">
      <w:pPr>
        <w:pStyle w:val="Heading5"/>
      </w:pPr>
      <w:bookmarkStart w:id="5" w:name="_Toc75245698"/>
      <w:r>
        <w:rPr>
          <w:rStyle w:val="CharSectno"/>
        </w:rPr>
        <w:t>2</w:t>
      </w:r>
      <w:r w:rsidR="007C618D">
        <w:t>.</w:t>
      </w:r>
      <w:r w:rsidR="007C618D">
        <w:tab/>
        <w:t>Commencement</w:t>
      </w:r>
      <w:bookmarkEnd w:id="5"/>
    </w:p>
    <w:p w14:paraId="76144E60" w14:textId="77777777" w:rsidR="00AB6DA6" w:rsidRDefault="007C618D">
      <w:pPr>
        <w:pStyle w:val="Subsection"/>
        <w:rPr>
          <w:spacing w:val="-2"/>
        </w:rPr>
      </w:pPr>
      <w:r>
        <w:tab/>
      </w:r>
      <w:r>
        <w:tab/>
        <w:t xml:space="preserve">This Act </w:t>
      </w:r>
      <w:r>
        <w:rPr>
          <w:spacing w:val="-2"/>
        </w:rPr>
        <w:t xml:space="preserve">comes into </w:t>
      </w:r>
      <w:r>
        <w:t>operation</w:t>
      </w:r>
      <w:r>
        <w:rPr>
          <w:spacing w:val="-2"/>
        </w:rPr>
        <w:t xml:space="preserve"> </w:t>
      </w:r>
      <w:r w:rsidRPr="00605784">
        <w:rPr>
          <w:spacing w:val="-2"/>
        </w:rPr>
        <w:t>as follows</w:t>
      </w:r>
      <w:r w:rsidRPr="00605784">
        <w:t> —</w:t>
      </w:r>
    </w:p>
    <w:p w14:paraId="040FA1A1" w14:textId="504222C9" w:rsidR="00AB6DA6" w:rsidRDefault="007C618D">
      <w:pPr>
        <w:pStyle w:val="Indenta"/>
      </w:pPr>
      <w:r>
        <w:tab/>
      </w:r>
      <w:r w:rsidR="00154990">
        <w:t>(a)</w:t>
      </w:r>
      <w:r>
        <w:tab/>
        <w:t>sections </w:t>
      </w:r>
      <w:r w:rsidR="00244BDA">
        <w:t>1</w:t>
      </w:r>
      <w:r>
        <w:t xml:space="preserve"> and </w:t>
      </w:r>
      <w:r w:rsidR="00244BDA">
        <w:t>2</w:t>
      </w:r>
      <w:r>
        <w:t> — on the day on which this Act receives the Royal Assent;</w:t>
      </w:r>
    </w:p>
    <w:p w14:paraId="66B84E90" w14:textId="6550BD65" w:rsidR="00AB6DA6" w:rsidRDefault="007C618D">
      <w:pPr>
        <w:pStyle w:val="Indenta"/>
      </w:pPr>
      <w:r>
        <w:tab/>
      </w:r>
      <w:r w:rsidR="00154990">
        <w:t>(b)</w:t>
      </w:r>
      <w:r>
        <w:tab/>
        <w:t>the rest of the Act — on the day after that day.</w:t>
      </w:r>
    </w:p>
    <w:p w14:paraId="47AAE98A" w14:textId="7FE346F4" w:rsidR="00AB6DA6" w:rsidRDefault="00154990">
      <w:pPr>
        <w:pStyle w:val="Heading5"/>
        <w:rPr>
          <w:snapToGrid w:val="0"/>
        </w:rPr>
      </w:pPr>
      <w:bookmarkStart w:id="6" w:name="_Toc75245699"/>
      <w:r>
        <w:rPr>
          <w:rStyle w:val="CharSectno"/>
        </w:rPr>
        <w:t>3</w:t>
      </w:r>
      <w:r w:rsidR="007C618D">
        <w:rPr>
          <w:snapToGrid w:val="0"/>
        </w:rPr>
        <w:t>.</w:t>
      </w:r>
      <w:r w:rsidR="007C618D">
        <w:rPr>
          <w:snapToGrid w:val="0"/>
        </w:rPr>
        <w:tab/>
        <w:t>Terms used</w:t>
      </w:r>
      <w:bookmarkEnd w:id="6"/>
    </w:p>
    <w:p w14:paraId="02CE3D4F" w14:textId="77777777" w:rsidR="00AB6DA6" w:rsidRDefault="007C618D">
      <w:pPr>
        <w:pStyle w:val="Subsection"/>
      </w:pPr>
      <w:r>
        <w:tab/>
      </w:r>
      <w:r>
        <w:tab/>
        <w:t xml:space="preserve">In this Act — </w:t>
      </w:r>
    </w:p>
    <w:p w14:paraId="3D12C1F0" w14:textId="410D33D1" w:rsidR="00AB6DA6" w:rsidRDefault="007C618D">
      <w:pPr>
        <w:pStyle w:val="Defstart"/>
      </w:pPr>
      <w:r>
        <w:tab/>
      </w:r>
      <w:r>
        <w:rPr>
          <w:rStyle w:val="CharDefText"/>
        </w:rPr>
        <w:t>authorised officer</w:t>
      </w:r>
      <w:r>
        <w:t xml:space="preserve"> has the meaning given in the </w:t>
      </w:r>
      <w:r>
        <w:rPr>
          <w:i/>
        </w:rPr>
        <w:t>Public Health Act 2016</w:t>
      </w:r>
      <w:r>
        <w:t xml:space="preserve"> section 4(1);</w:t>
      </w:r>
    </w:p>
    <w:p w14:paraId="13A6DD8C" w14:textId="4DA0792C" w:rsidR="00AB6DA6" w:rsidRDefault="007C618D">
      <w:pPr>
        <w:pStyle w:val="Defstart"/>
      </w:pPr>
      <w:r>
        <w:tab/>
      </w:r>
      <w:r>
        <w:rPr>
          <w:rStyle w:val="CharDefText"/>
        </w:rPr>
        <w:t>CEO</w:t>
      </w:r>
      <w:r>
        <w:t xml:space="preserve"> means the chief executive officer of the department of the Public Service principally assisting in the administration</w:t>
      </w:r>
      <w:r w:rsidRPr="00605784">
        <w:t xml:space="preserve"> of this Act</w:t>
      </w:r>
      <w:r>
        <w:t>;</w:t>
      </w:r>
    </w:p>
    <w:p w14:paraId="038E07AC" w14:textId="32E917CF" w:rsidR="00AB6DA6" w:rsidRDefault="007C618D">
      <w:pPr>
        <w:pStyle w:val="Defstart"/>
      </w:pPr>
      <w:r>
        <w:tab/>
      </w:r>
      <w:r>
        <w:rPr>
          <w:rStyle w:val="CharDefText"/>
        </w:rPr>
        <w:t>Chief Health Officer</w:t>
      </w:r>
      <w:r>
        <w:t xml:space="preserve"> has the meaning given in the </w:t>
      </w:r>
      <w:r>
        <w:rPr>
          <w:i/>
        </w:rPr>
        <w:t>Public Health Act 2016</w:t>
      </w:r>
      <w:r>
        <w:t xml:space="preserve"> section 4(1);</w:t>
      </w:r>
    </w:p>
    <w:p w14:paraId="7AC913B8" w14:textId="2D7B9CD1" w:rsidR="00AB6DA6" w:rsidRDefault="007C618D">
      <w:pPr>
        <w:pStyle w:val="Defstart"/>
      </w:pPr>
      <w:r>
        <w:tab/>
      </w:r>
      <w:r>
        <w:rPr>
          <w:rStyle w:val="CharDefText"/>
        </w:rPr>
        <w:t>commencement day</w:t>
      </w:r>
      <w:r>
        <w:t xml:space="preserve"> means the day on which section </w:t>
      </w:r>
      <w:r w:rsidR="00244BDA">
        <w:t>6</w:t>
      </w:r>
      <w:r>
        <w:t xml:space="preserve"> comes into operation;</w:t>
      </w:r>
    </w:p>
    <w:p w14:paraId="0F066991" w14:textId="32F8E57D" w:rsidR="00AB6DA6" w:rsidRDefault="007C618D">
      <w:pPr>
        <w:pStyle w:val="Defstart"/>
      </w:pPr>
      <w:r>
        <w:tab/>
      </w:r>
      <w:r>
        <w:rPr>
          <w:rStyle w:val="CharDefText"/>
        </w:rPr>
        <w:t>contact tracing</w:t>
      </w:r>
      <w:r>
        <w:t xml:space="preserve">, in relation to an infectious disease emergency, means the process of identifying, notifying, communicating with, managing and directing — </w:t>
      </w:r>
    </w:p>
    <w:p w14:paraId="040C8C90" w14:textId="7B74677C" w:rsidR="00AB6DA6" w:rsidRDefault="007C618D">
      <w:pPr>
        <w:pStyle w:val="Defpara"/>
      </w:pPr>
      <w:r>
        <w:tab/>
      </w:r>
      <w:r w:rsidR="00154990">
        <w:t>(a)</w:t>
      </w:r>
      <w:r>
        <w:tab/>
        <w:t xml:space="preserve">individuals who — </w:t>
      </w:r>
    </w:p>
    <w:p w14:paraId="70791C38" w14:textId="13B79057" w:rsidR="00AB6DA6" w:rsidRDefault="007C618D">
      <w:pPr>
        <w:pStyle w:val="Defsubpara"/>
      </w:pPr>
      <w:r>
        <w:tab/>
      </w:r>
      <w:r w:rsidR="00154990">
        <w:t>(i)</w:t>
      </w:r>
      <w:r>
        <w:tab/>
        <w:t>may be, or may have been, a source of infection; or</w:t>
      </w:r>
    </w:p>
    <w:p w14:paraId="713C7B1D" w14:textId="3EAFBBB6" w:rsidR="00AB6DA6" w:rsidRDefault="007C618D">
      <w:pPr>
        <w:pStyle w:val="Defsubpara"/>
      </w:pPr>
      <w:r>
        <w:tab/>
      </w:r>
      <w:r w:rsidR="00154990">
        <w:t>(ii)</w:t>
      </w:r>
      <w:r>
        <w:tab/>
        <w:t>may have been in contact, directly or indirectly, with, or in the proximity of, an individual who may be, or may have been, a source of infection;</w:t>
      </w:r>
    </w:p>
    <w:p w14:paraId="384C0198" w14:textId="77777777" w:rsidR="00AB6DA6" w:rsidRDefault="007C618D">
      <w:pPr>
        <w:pStyle w:val="Defpara"/>
      </w:pPr>
      <w:r>
        <w:lastRenderedPageBreak/>
        <w:tab/>
      </w:r>
      <w:r>
        <w:tab/>
        <w:t>or</w:t>
      </w:r>
    </w:p>
    <w:p w14:paraId="56E5FA03" w14:textId="0C698E6F" w:rsidR="00AB6DA6" w:rsidRDefault="007C618D">
      <w:pPr>
        <w:pStyle w:val="Defpara"/>
      </w:pPr>
      <w:r>
        <w:tab/>
      </w:r>
      <w:r w:rsidR="00154990">
        <w:t>(b)</w:t>
      </w:r>
      <w:r>
        <w:tab/>
        <w:t>the parents, guardians or carers of, or other persons who have responsibility for the care of, such individuals;</w:t>
      </w:r>
    </w:p>
    <w:p w14:paraId="4FB51E1B" w14:textId="2329E03F" w:rsidR="00AB6DA6" w:rsidRDefault="007C618D">
      <w:pPr>
        <w:pStyle w:val="Defstart"/>
      </w:pPr>
      <w:r>
        <w:tab/>
      </w:r>
      <w:r>
        <w:rPr>
          <w:rStyle w:val="CharDefText"/>
        </w:rPr>
        <w:t>Department’s website</w:t>
      </w:r>
      <w:r>
        <w:t xml:space="preserve"> means a website maintained by or on behalf of the department of the Public Service principally assisting in the administration</w:t>
      </w:r>
      <w:r w:rsidRPr="00605784">
        <w:t xml:space="preserve"> of this Act</w:t>
      </w:r>
      <w:r>
        <w:t>;</w:t>
      </w:r>
    </w:p>
    <w:p w14:paraId="7250C38D" w14:textId="333217BA" w:rsidR="00AB6DA6" w:rsidRDefault="007C618D">
      <w:pPr>
        <w:pStyle w:val="Defstart"/>
        <w:keepNext/>
      </w:pPr>
      <w:r>
        <w:tab/>
      </w:r>
      <w:r>
        <w:rPr>
          <w:rStyle w:val="CharDefText"/>
        </w:rPr>
        <w:t>entry registration information</w:t>
      </w:r>
      <w:r>
        <w:t xml:space="preserve"> — </w:t>
      </w:r>
    </w:p>
    <w:p w14:paraId="66C3542A" w14:textId="2D346F39" w:rsidR="00AB6DA6" w:rsidRDefault="007C618D">
      <w:pPr>
        <w:pStyle w:val="Defpara"/>
      </w:pPr>
      <w:r>
        <w:tab/>
      </w:r>
      <w:r w:rsidR="00154990">
        <w:t>(a)</w:t>
      </w:r>
      <w:r>
        <w:tab/>
        <w:t xml:space="preserve">means relevant information about the presence of persons at a place, obtained, on the occasion of their entry to the place, for the purposes of contact tracing in relation to an infectious disease emergency by the use of the mobile application known as “SafeWA”, or some other contact tracing register or system, whether or not obtained under the </w:t>
      </w:r>
      <w:r>
        <w:rPr>
          <w:i/>
        </w:rPr>
        <w:t>Emergency Management Act 2005</w:t>
      </w:r>
      <w:r>
        <w:t xml:space="preserve"> or the </w:t>
      </w:r>
      <w:r>
        <w:rPr>
          <w:i/>
        </w:rPr>
        <w:t>Public Health Act 2016</w:t>
      </w:r>
      <w:r>
        <w:t>;</w:t>
      </w:r>
      <w:r w:rsidR="0052607D">
        <w:t xml:space="preserve"> </w:t>
      </w:r>
      <w:r>
        <w:t>but</w:t>
      </w:r>
    </w:p>
    <w:p w14:paraId="6E80CFAF" w14:textId="7B9A68F9" w:rsidR="00AB6DA6" w:rsidRDefault="007C618D">
      <w:pPr>
        <w:pStyle w:val="Defpara"/>
      </w:pPr>
      <w:r>
        <w:tab/>
      </w:r>
      <w:r w:rsidR="00154990">
        <w:t>(b)</w:t>
      </w:r>
      <w:r>
        <w:tab/>
        <w:t xml:space="preserve">does not include — </w:t>
      </w:r>
    </w:p>
    <w:p w14:paraId="5EAC5326" w14:textId="1C18B3DF" w:rsidR="00AB6DA6" w:rsidRDefault="007C618D">
      <w:pPr>
        <w:pStyle w:val="Defsubpara"/>
      </w:pPr>
      <w:r>
        <w:tab/>
      </w:r>
      <w:r w:rsidR="00154990">
        <w:t>(i)</w:t>
      </w:r>
      <w:r>
        <w:tab/>
        <w:t xml:space="preserve">such information obtained in the ordinary course of carrying on a business or undertaking if the information would have been obtained </w:t>
      </w:r>
      <w:r w:rsidR="003C77CB">
        <w:t>in any case for</w:t>
      </w:r>
      <w:r>
        <w:t xml:space="preserve"> purposes </w:t>
      </w:r>
      <w:r w:rsidR="003C77CB">
        <w:t>other than</w:t>
      </w:r>
      <w:r>
        <w:t xml:space="preserve"> contact tracing; or</w:t>
      </w:r>
    </w:p>
    <w:p w14:paraId="13FECC46" w14:textId="4C19AE70" w:rsidR="00AB6DA6" w:rsidRDefault="007C618D">
      <w:pPr>
        <w:pStyle w:val="Defsubpara"/>
      </w:pPr>
      <w:r>
        <w:tab/>
      </w:r>
      <w:r w:rsidR="00154990">
        <w:t>(ii)</w:t>
      </w:r>
      <w:r>
        <w:tab/>
        <w:t>statistical or summary information;</w:t>
      </w:r>
    </w:p>
    <w:p w14:paraId="30EF4963" w14:textId="6266E4D7" w:rsidR="00AB6DA6" w:rsidRDefault="007C618D">
      <w:pPr>
        <w:pStyle w:val="Defstart"/>
      </w:pPr>
      <w:r>
        <w:tab/>
      </w:r>
      <w:r>
        <w:rPr>
          <w:rStyle w:val="CharDefText"/>
        </w:rPr>
        <w:t>entry registration record</w:t>
      </w:r>
      <w:r>
        <w:t xml:space="preserve"> means any record of entry registration information, including a record in the form of data, text, images or sound;</w:t>
      </w:r>
    </w:p>
    <w:p w14:paraId="66DF1808" w14:textId="63F876C2" w:rsidR="00AB6DA6" w:rsidRDefault="007C618D">
      <w:pPr>
        <w:pStyle w:val="Defstart"/>
      </w:pPr>
      <w:r>
        <w:tab/>
      </w:r>
      <w:r>
        <w:rPr>
          <w:rStyle w:val="CharDefText"/>
        </w:rPr>
        <w:t>Health Department</w:t>
      </w:r>
      <w:r>
        <w:t xml:space="preserve"> means the department of the Public Service principally assisting in the administration of the </w:t>
      </w:r>
      <w:r>
        <w:rPr>
          <w:i/>
        </w:rPr>
        <w:t xml:space="preserve">Public Health </w:t>
      </w:r>
      <w:r w:rsidR="00A557C7">
        <w:rPr>
          <w:i/>
        </w:rPr>
        <w:t>Act 2</w:t>
      </w:r>
      <w:r>
        <w:rPr>
          <w:i/>
        </w:rPr>
        <w:t>016</w:t>
      </w:r>
      <w:r>
        <w:t>;</w:t>
      </w:r>
    </w:p>
    <w:p w14:paraId="17A9C62C" w14:textId="406B0A52" w:rsidR="00AB6DA6" w:rsidRDefault="007C618D">
      <w:pPr>
        <w:pStyle w:val="Defstart"/>
      </w:pPr>
      <w:r>
        <w:tab/>
      </w:r>
      <w:r>
        <w:rPr>
          <w:rStyle w:val="CharDefText"/>
        </w:rPr>
        <w:t>infectious disease emergency</w:t>
      </w:r>
      <w:r>
        <w:t xml:space="preserve"> means — </w:t>
      </w:r>
    </w:p>
    <w:p w14:paraId="67244299" w14:textId="4A89FF15" w:rsidR="00AB6DA6" w:rsidRDefault="007C618D">
      <w:pPr>
        <w:pStyle w:val="Defpara"/>
      </w:pPr>
      <w:r>
        <w:tab/>
      </w:r>
      <w:r w:rsidR="00154990">
        <w:t>(a)</w:t>
      </w:r>
      <w:r>
        <w:tab/>
        <w:t xml:space="preserve">an emergency situation or a state of emergency declared under the </w:t>
      </w:r>
      <w:r>
        <w:rPr>
          <w:i/>
        </w:rPr>
        <w:t>Emergency Management Act 2005</w:t>
      </w:r>
      <w:r>
        <w:t xml:space="preserve"> in respect of an emergency relating to a plague or epidemic (as referred to in </w:t>
      </w:r>
      <w:r w:rsidR="00605784">
        <w:t>paragraph (</w:t>
      </w:r>
      <w:r>
        <w:t xml:space="preserve">d) of the definition of </w:t>
      </w:r>
      <w:r w:rsidRPr="00AC442D">
        <w:rPr>
          <w:b/>
          <w:i/>
        </w:rPr>
        <w:t>hazard</w:t>
      </w:r>
      <w:r>
        <w:t xml:space="preserve"> in section 3 of that Act); or</w:t>
      </w:r>
    </w:p>
    <w:p w14:paraId="751BE5C2" w14:textId="7940E283" w:rsidR="00AB6DA6" w:rsidRDefault="007C618D">
      <w:pPr>
        <w:pStyle w:val="Defpara"/>
      </w:pPr>
      <w:r>
        <w:lastRenderedPageBreak/>
        <w:tab/>
      </w:r>
      <w:r w:rsidR="00154990">
        <w:t>(b)</w:t>
      </w:r>
      <w:r>
        <w:tab/>
        <w:t xml:space="preserve">a public health state of emergency declared under the </w:t>
      </w:r>
      <w:r>
        <w:rPr>
          <w:i/>
        </w:rPr>
        <w:t>Public Health Act 2016</w:t>
      </w:r>
      <w:r>
        <w:t xml:space="preserve"> in respect of a public health emergency relating to an infectious disease; or</w:t>
      </w:r>
    </w:p>
    <w:p w14:paraId="4A4A3F2F" w14:textId="59CBF783" w:rsidR="00AB6DA6" w:rsidRDefault="007C618D">
      <w:pPr>
        <w:pStyle w:val="Defpara"/>
      </w:pPr>
      <w:r>
        <w:tab/>
      </w:r>
      <w:r w:rsidR="00154990">
        <w:t>(c)</w:t>
      </w:r>
      <w:r>
        <w:tab/>
        <w:t xml:space="preserve">a serious public health risk, in respect of an infectious disease, in relation to which an authorised officer is authorised under the </w:t>
      </w:r>
      <w:r>
        <w:rPr>
          <w:i/>
        </w:rPr>
        <w:t>Public Health Act 2016</w:t>
      </w:r>
      <w:r>
        <w:t xml:space="preserve"> section 152(1) to exercise serious public health incident powers;</w:t>
      </w:r>
    </w:p>
    <w:p w14:paraId="1D66C3B8" w14:textId="01A1CCA5" w:rsidR="00AB6DA6" w:rsidRDefault="007C618D">
      <w:pPr>
        <w:pStyle w:val="Defstart"/>
      </w:pPr>
      <w:r>
        <w:tab/>
      </w:r>
      <w:r>
        <w:rPr>
          <w:rStyle w:val="CharDefText"/>
        </w:rPr>
        <w:t>initial storage period</w:t>
      </w:r>
      <w:r>
        <w:t>, for an entry registration record, has the meaning given in section </w:t>
      </w:r>
      <w:r w:rsidR="00244BDA">
        <w:t>8(1)</w:t>
      </w:r>
      <w:r>
        <w:t>;</w:t>
      </w:r>
    </w:p>
    <w:p w14:paraId="0A6F34ED" w14:textId="69E290BA" w:rsidR="00AB6DA6" w:rsidRDefault="007C618D">
      <w:pPr>
        <w:pStyle w:val="Defstart"/>
      </w:pPr>
      <w:r>
        <w:tab/>
      </w:r>
      <w:r>
        <w:rPr>
          <w:rStyle w:val="CharDefText"/>
        </w:rPr>
        <w:t>prescribed</w:t>
      </w:r>
      <w:r>
        <w:t xml:space="preserve"> means prescribed by </w:t>
      </w:r>
      <w:r w:rsidRPr="00605784">
        <w:t>regulation</w:t>
      </w:r>
      <w:r>
        <w:t>s made under this Act;</w:t>
      </w:r>
    </w:p>
    <w:p w14:paraId="674E1BB9" w14:textId="77777777" w:rsidR="00AB6DA6" w:rsidRDefault="007C618D">
      <w:pPr>
        <w:pStyle w:val="Defstart"/>
      </w:pPr>
      <w:r>
        <w:tab/>
      </w:r>
      <w:r>
        <w:rPr>
          <w:rStyle w:val="CharDefText"/>
        </w:rPr>
        <w:t>records contractor</w:t>
      </w:r>
      <w:r>
        <w:t xml:space="preserve"> means a person engaged under a contract for services to provide services relating to the storage, maintenance, processing or destruction of entry registration records;</w:t>
      </w:r>
    </w:p>
    <w:p w14:paraId="3A8A67D1" w14:textId="7B23CC2D" w:rsidR="00AB6DA6" w:rsidRDefault="007C618D">
      <w:pPr>
        <w:pStyle w:val="Defstart"/>
      </w:pPr>
      <w:r>
        <w:tab/>
      </w:r>
      <w:r>
        <w:rPr>
          <w:rStyle w:val="CharDefText"/>
        </w:rPr>
        <w:t>relevant information</w:t>
      </w:r>
      <w:r>
        <w:t xml:space="preserve"> means any of the following — </w:t>
      </w:r>
    </w:p>
    <w:p w14:paraId="6ABD8E12" w14:textId="2AD308A8" w:rsidR="00AB6DA6" w:rsidRDefault="007C618D">
      <w:pPr>
        <w:pStyle w:val="Defpara"/>
      </w:pPr>
      <w:r>
        <w:tab/>
      </w:r>
      <w:r w:rsidR="00154990">
        <w:t>(a)</w:t>
      </w:r>
      <w:r>
        <w:tab/>
        <w:t>a person’s name and contact details;</w:t>
      </w:r>
    </w:p>
    <w:p w14:paraId="05003DE1" w14:textId="2472A379" w:rsidR="00AB6DA6" w:rsidRDefault="007C618D">
      <w:pPr>
        <w:pStyle w:val="Defpara"/>
      </w:pPr>
      <w:r>
        <w:tab/>
      </w:r>
      <w:r w:rsidR="00154990">
        <w:t>(b)</w:t>
      </w:r>
      <w:r>
        <w:tab/>
        <w:t xml:space="preserve">details of a person’s presence at a place, including — </w:t>
      </w:r>
    </w:p>
    <w:p w14:paraId="7552A572" w14:textId="67D81A78" w:rsidR="00AB6DA6" w:rsidRDefault="007C618D">
      <w:pPr>
        <w:pStyle w:val="Defsubpara"/>
      </w:pPr>
      <w:r>
        <w:tab/>
      </w:r>
      <w:r w:rsidR="00154990">
        <w:t>(i)</w:t>
      </w:r>
      <w:r>
        <w:tab/>
        <w:t>the time and date at which the person entered the place; and</w:t>
      </w:r>
    </w:p>
    <w:p w14:paraId="7EA1F5E7" w14:textId="4F05D580" w:rsidR="00AB6DA6" w:rsidRDefault="007C618D">
      <w:pPr>
        <w:pStyle w:val="Defsubpara"/>
      </w:pPr>
      <w:r>
        <w:tab/>
      </w:r>
      <w:r w:rsidR="00154990">
        <w:t>(ii)</w:t>
      </w:r>
      <w:r>
        <w:tab/>
        <w:t>details of any persons accompanying the person;</w:t>
      </w:r>
    </w:p>
    <w:p w14:paraId="2663A9E9" w14:textId="5BDE0FA8" w:rsidR="00AB6DA6" w:rsidRDefault="007C618D">
      <w:pPr>
        <w:pStyle w:val="Defpara"/>
      </w:pPr>
      <w:r>
        <w:tab/>
      </w:r>
      <w:r w:rsidR="00154990">
        <w:t>(c)</w:t>
      </w:r>
      <w:r>
        <w:tab/>
        <w:t>any other information approved by the Minister for the purposes</w:t>
      </w:r>
      <w:r w:rsidRPr="00605784">
        <w:t xml:space="preserve"> of this definition</w:t>
      </w:r>
      <w:r>
        <w:t>;</w:t>
      </w:r>
    </w:p>
    <w:p w14:paraId="587A2762" w14:textId="2937E9D6" w:rsidR="00AB6DA6" w:rsidRDefault="007C618D">
      <w:pPr>
        <w:pStyle w:val="Defstart"/>
      </w:pPr>
      <w:r>
        <w:tab/>
      </w:r>
      <w:r>
        <w:rPr>
          <w:rStyle w:val="CharDefText"/>
        </w:rPr>
        <w:t>responsible person</w:t>
      </w:r>
      <w:r>
        <w:t xml:space="preserve">, for an entry registration record, means — </w:t>
      </w:r>
    </w:p>
    <w:p w14:paraId="6145CF57" w14:textId="6200772B" w:rsidR="00AB6DA6" w:rsidRDefault="007C618D">
      <w:pPr>
        <w:pStyle w:val="Defpara"/>
      </w:pPr>
      <w:r>
        <w:tab/>
      </w:r>
      <w:r w:rsidR="00154990">
        <w:t>(a)</w:t>
      </w:r>
      <w:r>
        <w:tab/>
        <w:t xml:space="preserve">for a record in the possession or control of an agency as defined in the </w:t>
      </w:r>
      <w:r>
        <w:rPr>
          <w:i/>
        </w:rPr>
        <w:t>Public Sector Management Act 1994</w:t>
      </w:r>
      <w:r>
        <w:t xml:space="preserve"> section 3(1) — the chief executive officer, as defined in that section, of that agency; or</w:t>
      </w:r>
    </w:p>
    <w:p w14:paraId="4E30164B" w14:textId="1F784EF0" w:rsidR="00AB6DA6" w:rsidRDefault="007C618D">
      <w:pPr>
        <w:pStyle w:val="Defpara"/>
      </w:pPr>
      <w:r>
        <w:tab/>
      </w:r>
      <w:r w:rsidR="00154990">
        <w:t>(b)</w:t>
      </w:r>
      <w:r>
        <w:tab/>
        <w:t>for a record in the possession or control of a records contractor — the records contractor; or</w:t>
      </w:r>
    </w:p>
    <w:p w14:paraId="25D42559" w14:textId="7690B539" w:rsidR="00AB6DA6" w:rsidRDefault="007C618D">
      <w:pPr>
        <w:pStyle w:val="Defpara"/>
      </w:pPr>
      <w:r>
        <w:tab/>
      </w:r>
      <w:r w:rsidR="00154990">
        <w:t>(c)</w:t>
      </w:r>
      <w:r>
        <w:tab/>
        <w:t>for any other record — the person in possession or control of the record;</w:t>
      </w:r>
    </w:p>
    <w:p w14:paraId="56A98299" w14:textId="46A89EDF" w:rsidR="00AB6DA6" w:rsidRDefault="007C618D">
      <w:pPr>
        <w:pStyle w:val="Defstart"/>
      </w:pPr>
      <w:r>
        <w:lastRenderedPageBreak/>
        <w:tab/>
      </w:r>
      <w:r>
        <w:rPr>
          <w:rStyle w:val="CharDefText"/>
        </w:rPr>
        <w:t>serious public health incident powers</w:t>
      </w:r>
      <w:r>
        <w:t xml:space="preserve"> has the meaning given in the </w:t>
      </w:r>
      <w:r>
        <w:rPr>
          <w:i/>
        </w:rPr>
        <w:t>Public Health Act 2016</w:t>
      </w:r>
      <w:r>
        <w:t xml:space="preserve"> section 4(1);</w:t>
      </w:r>
    </w:p>
    <w:p w14:paraId="40041B6C" w14:textId="2F1384F7" w:rsidR="00AB6DA6" w:rsidRDefault="007C618D">
      <w:pPr>
        <w:pStyle w:val="Defstart"/>
      </w:pPr>
      <w:r>
        <w:tab/>
      </w:r>
      <w:r>
        <w:rPr>
          <w:rStyle w:val="CharDefText"/>
        </w:rPr>
        <w:t>statistical or summary information</w:t>
      </w:r>
      <w:r>
        <w:t xml:space="preserve"> means statistical or summary information that could not reasonably be expected to lead to the identification of an individual;</w:t>
      </w:r>
    </w:p>
    <w:p w14:paraId="789CD107" w14:textId="70F98295" w:rsidR="00AB6DA6" w:rsidRDefault="007C618D">
      <w:pPr>
        <w:pStyle w:val="Defstart"/>
      </w:pPr>
      <w:r>
        <w:tab/>
      </w:r>
      <w:r>
        <w:rPr>
          <w:rStyle w:val="CharDefText"/>
        </w:rPr>
        <w:t>use</w:t>
      </w:r>
      <w:r>
        <w:t>, in relation to information, includes</w:t>
      </w:r>
      <w:r w:rsidR="003C77CB">
        <w:t xml:space="preserve"> the following</w:t>
      </w:r>
      <w:r>
        <w:t xml:space="preserve"> — </w:t>
      </w:r>
    </w:p>
    <w:p w14:paraId="330BEEBB" w14:textId="136A52DC" w:rsidR="00AB6DA6" w:rsidRDefault="007C618D">
      <w:pPr>
        <w:pStyle w:val="Defpara"/>
      </w:pPr>
      <w:r>
        <w:tab/>
      </w:r>
      <w:r w:rsidR="00154990">
        <w:t>(a)</w:t>
      </w:r>
      <w:r>
        <w:tab/>
        <w:t xml:space="preserve">to possess the information; </w:t>
      </w:r>
    </w:p>
    <w:p w14:paraId="6BD25911" w14:textId="3EBCC497" w:rsidR="00AB6DA6" w:rsidRDefault="007C618D">
      <w:pPr>
        <w:pStyle w:val="Defpara"/>
      </w:pPr>
      <w:r>
        <w:tab/>
      </w:r>
      <w:r w:rsidR="00154990">
        <w:t>(b)</w:t>
      </w:r>
      <w:r>
        <w:tab/>
        <w:t xml:space="preserve">to copy the information; </w:t>
      </w:r>
    </w:p>
    <w:p w14:paraId="7FAFD8E8" w14:textId="5B354715" w:rsidR="00AB6DA6" w:rsidRDefault="007C618D">
      <w:pPr>
        <w:pStyle w:val="Defpara"/>
      </w:pPr>
      <w:r>
        <w:tab/>
      </w:r>
      <w:r w:rsidR="00154990">
        <w:t>(c)</w:t>
      </w:r>
      <w:r>
        <w:tab/>
        <w:t xml:space="preserve">to control the use of the information; </w:t>
      </w:r>
    </w:p>
    <w:p w14:paraId="182146AD" w14:textId="075DE00E" w:rsidR="00AB6DA6" w:rsidRDefault="007C618D">
      <w:pPr>
        <w:pStyle w:val="Defpara"/>
      </w:pPr>
      <w:r>
        <w:tab/>
      </w:r>
      <w:r w:rsidR="00154990">
        <w:t>(d)</w:t>
      </w:r>
      <w:r>
        <w:tab/>
        <w:t xml:space="preserve">to seize the information; </w:t>
      </w:r>
    </w:p>
    <w:p w14:paraId="4FA12134" w14:textId="055162EE" w:rsidR="00AB6DA6" w:rsidRDefault="007C618D">
      <w:pPr>
        <w:pStyle w:val="Defpara"/>
      </w:pPr>
      <w:r>
        <w:tab/>
      </w:r>
      <w:r w:rsidR="00154990">
        <w:t>(e)</w:t>
      </w:r>
      <w:r>
        <w:tab/>
        <w:t>to require the production of the information.</w:t>
      </w:r>
    </w:p>
    <w:p w14:paraId="7383B73B" w14:textId="5F27580B" w:rsidR="00AB6DA6" w:rsidRDefault="00154990">
      <w:pPr>
        <w:pStyle w:val="Heading5"/>
      </w:pPr>
      <w:bookmarkStart w:id="7" w:name="_Toc75245700"/>
      <w:r>
        <w:rPr>
          <w:rStyle w:val="CharSectno"/>
        </w:rPr>
        <w:t>4</w:t>
      </w:r>
      <w:r w:rsidR="007C618D">
        <w:t>.</w:t>
      </w:r>
      <w:r w:rsidR="007C618D">
        <w:tab/>
        <w:t>Act binds Crown</w:t>
      </w:r>
      <w:bookmarkEnd w:id="7"/>
    </w:p>
    <w:p w14:paraId="1F194F7E" w14:textId="77777777" w:rsidR="00AB6DA6" w:rsidRDefault="007C618D">
      <w:pPr>
        <w:pStyle w:val="Subsection"/>
      </w:pPr>
      <w:r>
        <w:tab/>
      </w:r>
      <w:r>
        <w:tab/>
        <w:t>This Act binds the Crown in right of Western Australia and, so far as the legislative power of the Parliament permits, the Crown in all its other capacities.</w:t>
      </w:r>
    </w:p>
    <w:p w14:paraId="290B4E65" w14:textId="61F4825E" w:rsidR="00AB6DA6" w:rsidRDefault="00154990">
      <w:pPr>
        <w:pStyle w:val="Heading5"/>
      </w:pPr>
      <w:bookmarkStart w:id="8" w:name="_Toc75245701"/>
      <w:r>
        <w:rPr>
          <w:rStyle w:val="CharSectno"/>
        </w:rPr>
        <w:t>5</w:t>
      </w:r>
      <w:r w:rsidR="007C618D">
        <w:t>.</w:t>
      </w:r>
      <w:r w:rsidR="007C618D">
        <w:tab/>
        <w:t>Relationship</w:t>
      </w:r>
      <w:r w:rsidR="007C618D" w:rsidRPr="00605784">
        <w:t xml:space="preserve"> of this Act</w:t>
      </w:r>
      <w:r w:rsidR="007C618D">
        <w:t xml:space="preserve"> to other written laws</w:t>
      </w:r>
      <w:bookmarkEnd w:id="8"/>
    </w:p>
    <w:p w14:paraId="31CB4651" w14:textId="20284FA1" w:rsidR="00AB6DA6" w:rsidRDefault="007C618D">
      <w:pPr>
        <w:pStyle w:val="Subsection"/>
      </w:pPr>
      <w:r>
        <w:tab/>
      </w:r>
      <w:r w:rsidR="00154990">
        <w:t>(1)</w:t>
      </w:r>
      <w:r>
        <w:tab/>
        <w:t xml:space="preserve">This Act has effect despite the </w:t>
      </w:r>
      <w:r>
        <w:rPr>
          <w:i/>
        </w:rPr>
        <w:t>Freedom of Information Act 1992</w:t>
      </w:r>
      <w:r>
        <w:t xml:space="preserve"> and the </w:t>
      </w:r>
      <w:r>
        <w:rPr>
          <w:i/>
        </w:rPr>
        <w:t>State Records Act 2000</w:t>
      </w:r>
      <w:r>
        <w:t>.</w:t>
      </w:r>
    </w:p>
    <w:p w14:paraId="5E557228" w14:textId="68031F08" w:rsidR="00AB6DA6" w:rsidRDefault="007C618D">
      <w:pPr>
        <w:pStyle w:val="Subsection"/>
      </w:pPr>
      <w:r>
        <w:tab/>
      </w:r>
      <w:r w:rsidR="00154990">
        <w:t>(2)</w:t>
      </w:r>
      <w:r>
        <w:tab/>
        <w:t>To the extent that there is an inconsistency between a provision</w:t>
      </w:r>
      <w:r w:rsidRPr="00605784">
        <w:t xml:space="preserve"> of this Act</w:t>
      </w:r>
      <w:r>
        <w:t xml:space="preserve"> and a provision of the </w:t>
      </w:r>
      <w:r>
        <w:rPr>
          <w:i/>
        </w:rPr>
        <w:t>Criminal Investigation Act 2006</w:t>
      </w:r>
      <w:r>
        <w:t xml:space="preserve">, the </w:t>
      </w:r>
      <w:r>
        <w:rPr>
          <w:i/>
        </w:rPr>
        <w:t>Emergency Management Act 2005</w:t>
      </w:r>
      <w:r>
        <w:t xml:space="preserve">, the </w:t>
      </w:r>
      <w:r>
        <w:rPr>
          <w:i/>
        </w:rPr>
        <w:t>Public Health Act 2016</w:t>
      </w:r>
      <w:r>
        <w:t xml:space="preserve"> or any other written law, the provision</w:t>
      </w:r>
      <w:r w:rsidRPr="00605784">
        <w:t xml:space="preserve"> of this Act</w:t>
      </w:r>
      <w:r>
        <w:t xml:space="preserve"> prevails.</w:t>
      </w:r>
    </w:p>
    <w:p w14:paraId="0F09557B" w14:textId="30245D02" w:rsidR="00AB6DA6" w:rsidRDefault="00154990">
      <w:pPr>
        <w:pStyle w:val="Heading5"/>
      </w:pPr>
      <w:bookmarkStart w:id="9" w:name="_Toc75245702"/>
      <w:r>
        <w:rPr>
          <w:rStyle w:val="CharSectno"/>
        </w:rPr>
        <w:t>6</w:t>
      </w:r>
      <w:r w:rsidR="007C618D">
        <w:t>.</w:t>
      </w:r>
      <w:r w:rsidR="007C618D">
        <w:tab/>
        <w:t>Protection of entry registration information</w:t>
      </w:r>
      <w:bookmarkEnd w:id="9"/>
    </w:p>
    <w:p w14:paraId="74210734" w14:textId="7BB91AA2" w:rsidR="00AB6DA6" w:rsidRDefault="007C618D">
      <w:pPr>
        <w:pStyle w:val="Subsection"/>
      </w:pPr>
      <w:r>
        <w:tab/>
      </w:r>
      <w:r w:rsidR="00154990">
        <w:t>(1)</w:t>
      </w:r>
      <w:r>
        <w:tab/>
        <w:t xml:space="preserve">Entry registration information cannot be used or disclosed for any purpose other than — </w:t>
      </w:r>
    </w:p>
    <w:p w14:paraId="321E4695" w14:textId="6B4C16D6" w:rsidR="00AB6DA6" w:rsidRDefault="007C618D">
      <w:pPr>
        <w:pStyle w:val="Indenta"/>
      </w:pPr>
      <w:r>
        <w:tab/>
      </w:r>
      <w:r w:rsidR="00154990">
        <w:t>(a)</w:t>
      </w:r>
      <w:r>
        <w:tab/>
        <w:t>contact tracing; or</w:t>
      </w:r>
    </w:p>
    <w:p w14:paraId="4E86A329" w14:textId="428DB698" w:rsidR="00AB6DA6" w:rsidRDefault="007C618D" w:rsidP="00605784">
      <w:pPr>
        <w:pStyle w:val="Indenta"/>
        <w:keepNext/>
      </w:pPr>
      <w:r>
        <w:lastRenderedPageBreak/>
        <w:tab/>
      </w:r>
      <w:r w:rsidR="00154990">
        <w:t>(b)</w:t>
      </w:r>
      <w:r>
        <w:tab/>
        <w:t xml:space="preserve">purposes related to contact tracing, including (without limitation) — </w:t>
      </w:r>
    </w:p>
    <w:p w14:paraId="1E2E3E5A" w14:textId="7B9C72EC" w:rsidR="00AB6DA6" w:rsidRDefault="007C618D">
      <w:pPr>
        <w:pStyle w:val="Indenti"/>
      </w:pPr>
      <w:r>
        <w:tab/>
      </w:r>
      <w:r w:rsidR="00154990">
        <w:t>(i)</w:t>
      </w:r>
      <w:r>
        <w:tab/>
        <w:t>purposes necessary for the support and efficacy of contact tracing; and</w:t>
      </w:r>
    </w:p>
    <w:p w14:paraId="6F1AD018" w14:textId="57F046F4" w:rsidR="00AB6DA6" w:rsidRDefault="007C618D">
      <w:pPr>
        <w:pStyle w:val="Indenti"/>
      </w:pPr>
      <w:r>
        <w:tab/>
      </w:r>
      <w:r w:rsidR="00154990">
        <w:t>(ii)</w:t>
      </w:r>
      <w:r>
        <w:tab/>
        <w:t>purposes necessary for the integrity and security of entry registration information;</w:t>
      </w:r>
    </w:p>
    <w:p w14:paraId="72AE1AE8" w14:textId="77777777" w:rsidR="00AB6DA6" w:rsidRDefault="007C618D">
      <w:pPr>
        <w:pStyle w:val="Indenta"/>
      </w:pPr>
      <w:r>
        <w:tab/>
      </w:r>
      <w:r>
        <w:tab/>
        <w:t>or</w:t>
      </w:r>
    </w:p>
    <w:p w14:paraId="1C4B2F98" w14:textId="45493F70" w:rsidR="00AB6DA6" w:rsidRDefault="007C618D">
      <w:pPr>
        <w:pStyle w:val="Indenta"/>
      </w:pPr>
      <w:r>
        <w:tab/>
      </w:r>
      <w:r w:rsidR="00154990">
        <w:t>(c)</w:t>
      </w:r>
      <w:r>
        <w:tab/>
        <w:t>a purpose in subsection </w:t>
      </w:r>
      <w:r w:rsidR="00244BDA">
        <w:t>(4)</w:t>
      </w:r>
      <w:r>
        <w:t xml:space="preserve"> or </w:t>
      </w:r>
      <w:r w:rsidR="00244BDA">
        <w:t>(5)</w:t>
      </w:r>
      <w:r>
        <w:t>.</w:t>
      </w:r>
    </w:p>
    <w:p w14:paraId="0B6D90B2" w14:textId="15BF898B" w:rsidR="00AB6DA6" w:rsidRDefault="007C618D">
      <w:pPr>
        <w:pStyle w:val="Subsection"/>
      </w:pPr>
      <w:r>
        <w:tab/>
      </w:r>
      <w:r w:rsidR="00154990">
        <w:t>(2)</w:t>
      </w:r>
      <w:r>
        <w:tab/>
        <w:t>Without limiting subsection </w:t>
      </w:r>
      <w:r w:rsidR="00244BDA">
        <w:t>(1)</w:t>
      </w:r>
      <w:r>
        <w:t>, entry registration information is not admissible in evidence in any criminal or civil proceedings other than proceedings in relation to an offence referred to in subsection </w:t>
      </w:r>
      <w:r w:rsidR="00244BDA">
        <w:t>(4)</w:t>
      </w:r>
      <w:r>
        <w:t>.</w:t>
      </w:r>
    </w:p>
    <w:p w14:paraId="0554B22B" w14:textId="566E330A" w:rsidR="00AB6DA6" w:rsidRDefault="007C618D">
      <w:pPr>
        <w:pStyle w:val="Subsection"/>
      </w:pPr>
      <w:r>
        <w:tab/>
      </w:r>
      <w:r w:rsidR="00154990">
        <w:t>(3)</w:t>
      </w:r>
      <w:r>
        <w:tab/>
        <w:t>A person who uses or discloses entry registration information contrary to subsection </w:t>
      </w:r>
      <w:r w:rsidR="00244BDA">
        <w:t>(1)</w:t>
      </w:r>
      <w:r>
        <w:t xml:space="preserve"> commits a crime.</w:t>
      </w:r>
    </w:p>
    <w:p w14:paraId="1D43C343" w14:textId="083E6FDC" w:rsidR="00AB6DA6" w:rsidRDefault="007C618D">
      <w:pPr>
        <w:pStyle w:val="Penstart"/>
      </w:pPr>
      <w:r>
        <w:tab/>
        <w:t>Penalty for this subsection:</w:t>
      </w:r>
    </w:p>
    <w:p w14:paraId="4BA69830" w14:textId="11ABD606" w:rsidR="00AB6DA6" w:rsidRDefault="007C618D">
      <w:pPr>
        <w:pStyle w:val="Penpara"/>
      </w:pPr>
      <w:r>
        <w:tab/>
      </w:r>
      <w:r w:rsidR="00154990">
        <w:t>(a)</w:t>
      </w:r>
      <w:r>
        <w:tab/>
        <w:t>for an individual, imprisonment for 3 years;</w:t>
      </w:r>
    </w:p>
    <w:p w14:paraId="512941C7" w14:textId="7AD3D141" w:rsidR="00AB6DA6" w:rsidRDefault="007C618D">
      <w:pPr>
        <w:pStyle w:val="Penpara"/>
      </w:pPr>
      <w:r>
        <w:tab/>
      </w:r>
      <w:r w:rsidR="00154990">
        <w:t>(b)</w:t>
      </w:r>
      <w:r>
        <w:tab/>
        <w:t>for a body corporate, a fine of $250 000.</w:t>
      </w:r>
    </w:p>
    <w:p w14:paraId="36CD4F0D" w14:textId="775F3251" w:rsidR="00AB6DA6" w:rsidRDefault="007C618D">
      <w:pPr>
        <w:pStyle w:val="Penstart"/>
      </w:pPr>
      <w:r>
        <w:tab/>
        <w:t>Summary conviction penalty for this subsection:</w:t>
      </w:r>
    </w:p>
    <w:p w14:paraId="7D5E84CE" w14:textId="2CFCC004" w:rsidR="00AB6DA6" w:rsidRDefault="007C618D">
      <w:pPr>
        <w:pStyle w:val="Penpara"/>
      </w:pPr>
      <w:r>
        <w:tab/>
      </w:r>
      <w:r w:rsidR="00154990">
        <w:t>(a)</w:t>
      </w:r>
      <w:r>
        <w:tab/>
        <w:t>for an individual, imprisonment for 12 months and a fine of $20 000;</w:t>
      </w:r>
    </w:p>
    <w:p w14:paraId="2E19BFEF" w14:textId="7605D399" w:rsidR="00AB6DA6" w:rsidRDefault="007C618D">
      <w:pPr>
        <w:pStyle w:val="Penpara"/>
      </w:pPr>
      <w:r>
        <w:tab/>
      </w:r>
      <w:r w:rsidR="00154990">
        <w:t>(b)</w:t>
      </w:r>
      <w:r>
        <w:tab/>
        <w:t>for a body corporate, a fine of $100 000.</w:t>
      </w:r>
    </w:p>
    <w:p w14:paraId="2CE4F949" w14:textId="43626EC7" w:rsidR="00AB6DA6" w:rsidRDefault="007C618D">
      <w:pPr>
        <w:pStyle w:val="Subsection"/>
      </w:pPr>
      <w:r>
        <w:tab/>
      </w:r>
      <w:r w:rsidR="00154990">
        <w:t>(4)</w:t>
      </w:r>
      <w:r>
        <w:tab/>
        <w:t xml:space="preserve">Entry registration information may be used or disclosed for the purpose of investigating or prosecuting an offence relating to — </w:t>
      </w:r>
    </w:p>
    <w:p w14:paraId="673C279B" w14:textId="74708E6D" w:rsidR="00AB6DA6" w:rsidRDefault="007C618D">
      <w:pPr>
        <w:pStyle w:val="Indenta"/>
      </w:pPr>
      <w:r>
        <w:tab/>
      </w:r>
      <w:r w:rsidR="00154990">
        <w:t>(a)</w:t>
      </w:r>
      <w:r>
        <w:tab/>
        <w:t xml:space="preserve">compliance with an obligation under the </w:t>
      </w:r>
      <w:r>
        <w:rPr>
          <w:i/>
        </w:rPr>
        <w:t>Emergency Management Act 2005</w:t>
      </w:r>
      <w:r>
        <w:t xml:space="preserve"> or the </w:t>
      </w:r>
      <w:r>
        <w:rPr>
          <w:i/>
        </w:rPr>
        <w:t>Public Health Act 2016</w:t>
      </w:r>
      <w:r>
        <w:t xml:space="preserve"> to provide or record information for the purpose of contact tracing; or</w:t>
      </w:r>
    </w:p>
    <w:p w14:paraId="09C84718" w14:textId="5EB47D4D" w:rsidR="00AB6DA6" w:rsidRDefault="007C618D">
      <w:pPr>
        <w:pStyle w:val="Indenta"/>
      </w:pPr>
      <w:r>
        <w:tab/>
      </w:r>
      <w:r w:rsidR="00154990">
        <w:t>(b)</w:t>
      </w:r>
      <w:r>
        <w:tab/>
        <w:t>compliance with an obligation under this Act; or</w:t>
      </w:r>
    </w:p>
    <w:p w14:paraId="635C18C4" w14:textId="168DADFC" w:rsidR="00AB6DA6" w:rsidRDefault="007C618D" w:rsidP="0052607D">
      <w:pPr>
        <w:pStyle w:val="Indenta"/>
      </w:pPr>
      <w:r>
        <w:tab/>
      </w:r>
      <w:r w:rsidR="00154990">
        <w:t>(c)</w:t>
      </w:r>
      <w:r>
        <w:tab/>
        <w:t xml:space="preserve">compliance with an obligation relating to the recording, use or disclosure of entry registration information </w:t>
      </w:r>
      <w:r>
        <w:lastRenderedPageBreak/>
        <w:t>under</w:t>
      </w:r>
      <w:r w:rsidR="00605784">
        <w:t> </w:t>
      </w:r>
      <w:r>
        <w:rPr>
          <w:i/>
        </w:rPr>
        <w:t>The Criminal Code</w:t>
      </w:r>
      <w:r>
        <w:t xml:space="preserve">, the </w:t>
      </w:r>
      <w:r>
        <w:rPr>
          <w:i/>
        </w:rPr>
        <w:t>Emergency Management Act 2005</w:t>
      </w:r>
      <w:r>
        <w:t xml:space="preserve"> or the </w:t>
      </w:r>
      <w:r>
        <w:rPr>
          <w:i/>
        </w:rPr>
        <w:t>Public Health Act 2016</w:t>
      </w:r>
      <w:r>
        <w:t>; or</w:t>
      </w:r>
    </w:p>
    <w:p w14:paraId="5F2F081E" w14:textId="37FAFD4D" w:rsidR="00AB6DA6" w:rsidRDefault="007C618D">
      <w:pPr>
        <w:pStyle w:val="Indenta"/>
      </w:pPr>
      <w:r>
        <w:tab/>
      </w:r>
      <w:r w:rsidR="00154990">
        <w:t>(d)</w:t>
      </w:r>
      <w:r>
        <w:tab/>
        <w:t>the giving of false or misleading information in compliance or purported compliance with an obligation referred to in paragraph </w:t>
      </w:r>
      <w:r w:rsidR="00244BDA">
        <w:t>(a)</w:t>
      </w:r>
      <w:r>
        <w:t>.</w:t>
      </w:r>
    </w:p>
    <w:p w14:paraId="2A575CD6" w14:textId="327DE89C" w:rsidR="00AB6DA6" w:rsidRDefault="007C618D">
      <w:pPr>
        <w:pStyle w:val="Subsection"/>
      </w:pPr>
      <w:r>
        <w:tab/>
      </w:r>
      <w:r w:rsidR="00154990">
        <w:t>(5)</w:t>
      </w:r>
      <w:r>
        <w:tab/>
        <w:t>A public service officer in the Health Department or a records contractor may, with the approval of the Chief Health Officer, use entry registration information for the purpose of deriving statistical or summary information.</w:t>
      </w:r>
    </w:p>
    <w:p w14:paraId="749153D5" w14:textId="49D1EE7E" w:rsidR="00AB6DA6" w:rsidRDefault="007C618D">
      <w:pPr>
        <w:pStyle w:val="Subsection"/>
      </w:pPr>
      <w:r>
        <w:tab/>
      </w:r>
      <w:r w:rsidR="00154990">
        <w:t>(6)</w:t>
      </w:r>
      <w:r>
        <w:tab/>
        <w:t xml:space="preserve">The </w:t>
      </w:r>
      <w:r>
        <w:rPr>
          <w:i/>
        </w:rPr>
        <w:t xml:space="preserve">Freedom of Information </w:t>
      </w:r>
      <w:r w:rsidR="00A557C7">
        <w:rPr>
          <w:i/>
        </w:rPr>
        <w:t>Act 1</w:t>
      </w:r>
      <w:r>
        <w:rPr>
          <w:i/>
        </w:rPr>
        <w:t>992</w:t>
      </w:r>
      <w:r>
        <w:t xml:space="preserve"> Parts 2 and 4 do not apply to statistical or summary information derived under subsection </w:t>
      </w:r>
      <w:r w:rsidR="00244BDA">
        <w:t>(5)</w:t>
      </w:r>
      <w:r>
        <w:t>.</w:t>
      </w:r>
    </w:p>
    <w:p w14:paraId="064A0745" w14:textId="20CB78E0" w:rsidR="00AB6DA6" w:rsidRDefault="00154990">
      <w:pPr>
        <w:pStyle w:val="Heading5"/>
      </w:pPr>
      <w:bookmarkStart w:id="10" w:name="_Toc75245703"/>
      <w:r>
        <w:rPr>
          <w:rStyle w:val="CharSectno"/>
        </w:rPr>
        <w:t>7</w:t>
      </w:r>
      <w:r w:rsidR="007C618D">
        <w:t>.</w:t>
      </w:r>
      <w:r w:rsidR="007C618D">
        <w:tab/>
        <w:t>Storage of entry registration records</w:t>
      </w:r>
      <w:bookmarkEnd w:id="10"/>
    </w:p>
    <w:p w14:paraId="6105A354" w14:textId="77777777" w:rsidR="00AB6DA6" w:rsidRDefault="007C618D">
      <w:pPr>
        <w:pStyle w:val="Subsection"/>
      </w:pPr>
      <w:r>
        <w:tab/>
      </w:r>
      <w:r>
        <w:tab/>
        <w:t>The responsible person for an entry registration record must, so far as reasonably practicable, ensure that the record is stored in a secure manner until it is destroyed.</w:t>
      </w:r>
    </w:p>
    <w:p w14:paraId="3057AF60" w14:textId="427F751F" w:rsidR="00AB6DA6" w:rsidRDefault="007C618D">
      <w:pPr>
        <w:pStyle w:val="Penstart"/>
      </w:pPr>
      <w:r>
        <w:tab/>
        <w:t>Penalty: imprisonment for 12 months and a fine of $20 000.</w:t>
      </w:r>
    </w:p>
    <w:p w14:paraId="2EEFB1E5" w14:textId="221CB604" w:rsidR="00AB6DA6" w:rsidRDefault="00154990">
      <w:pPr>
        <w:pStyle w:val="Heading5"/>
      </w:pPr>
      <w:bookmarkStart w:id="11" w:name="_Toc75245704"/>
      <w:r>
        <w:rPr>
          <w:rStyle w:val="CharSectno"/>
        </w:rPr>
        <w:t>8</w:t>
      </w:r>
      <w:r w:rsidR="007C618D">
        <w:t>.</w:t>
      </w:r>
      <w:r w:rsidR="007C618D">
        <w:tab/>
        <w:t>Destruction of entry registration records</w:t>
      </w:r>
      <w:bookmarkEnd w:id="11"/>
    </w:p>
    <w:p w14:paraId="3C8864A0" w14:textId="2FBF82F2" w:rsidR="00AB6DA6" w:rsidRDefault="007C618D">
      <w:pPr>
        <w:pStyle w:val="Subsection"/>
      </w:pPr>
      <w:r>
        <w:tab/>
      </w:r>
      <w:r w:rsidR="00154990">
        <w:t>(1)</w:t>
      </w:r>
      <w:r>
        <w:tab/>
        <w:t xml:space="preserve">In this section — </w:t>
      </w:r>
    </w:p>
    <w:p w14:paraId="57891E13" w14:textId="531EAAB7" w:rsidR="00AB6DA6" w:rsidRDefault="007C618D">
      <w:pPr>
        <w:pStyle w:val="Defstart"/>
      </w:pPr>
      <w:r>
        <w:tab/>
      </w:r>
      <w:r>
        <w:rPr>
          <w:rStyle w:val="CharDefText"/>
        </w:rPr>
        <w:t>initial storage period</w:t>
      </w:r>
      <w:r>
        <w:t>, for an entry registration record, means the period of 28 days (or, if a different period is prescribed for the infectious disease emergency, that period) beginning on the day after the day on which the information contained in the record was obtained.</w:t>
      </w:r>
    </w:p>
    <w:p w14:paraId="42539179" w14:textId="7E6DBDFE" w:rsidR="00AB6DA6" w:rsidRDefault="007C618D" w:rsidP="0052607D">
      <w:pPr>
        <w:pStyle w:val="Subsection"/>
        <w:keepNext/>
        <w:keepLines/>
      </w:pPr>
      <w:r>
        <w:tab/>
      </w:r>
      <w:r w:rsidR="00154990">
        <w:t>(2)</w:t>
      </w:r>
      <w:r>
        <w:tab/>
        <w:t>The responsible person for an entry registration record must ensure that it is destroyed, in accordance with subsection </w:t>
      </w:r>
      <w:r w:rsidR="00244BDA">
        <w:t>(8)</w:t>
      </w:r>
      <w:r>
        <w:t>, as soon as practicable after the expiry of the initial storage period for the record.</w:t>
      </w:r>
    </w:p>
    <w:p w14:paraId="1B00AF3E" w14:textId="12F345A5" w:rsidR="00AB6DA6" w:rsidRDefault="007C618D">
      <w:pPr>
        <w:pStyle w:val="Penstart"/>
      </w:pPr>
      <w:r>
        <w:tab/>
        <w:t>Penalty for this subsection: imprisonment for 12 months and a fine of $20 000.</w:t>
      </w:r>
    </w:p>
    <w:p w14:paraId="044FA0AA" w14:textId="44307B34" w:rsidR="00AB6DA6" w:rsidRDefault="007C618D">
      <w:pPr>
        <w:pStyle w:val="Subsection"/>
      </w:pPr>
      <w:r>
        <w:lastRenderedPageBreak/>
        <w:tab/>
      </w:r>
      <w:r w:rsidR="00154990">
        <w:t>(3)</w:t>
      </w:r>
      <w:r>
        <w:tab/>
        <w:t xml:space="preserve">If a responsible person for an entry registration record is required under the </w:t>
      </w:r>
      <w:r>
        <w:rPr>
          <w:i/>
        </w:rPr>
        <w:t>Emergency Management Act 2005</w:t>
      </w:r>
      <w:r>
        <w:t xml:space="preserve"> or the </w:t>
      </w:r>
      <w:r>
        <w:rPr>
          <w:i/>
        </w:rPr>
        <w:t>Public Health Act 2016</w:t>
      </w:r>
      <w:r>
        <w:t xml:space="preserve"> to retain the record for purposes relating to contact tracing for a specified period (the </w:t>
      </w:r>
      <w:r>
        <w:rPr>
          <w:rStyle w:val="CharDefText"/>
        </w:rPr>
        <w:t>extended period</w:t>
      </w:r>
      <w:r>
        <w:t xml:space="preserve">) that extends beyond the initial storage period, the person — </w:t>
      </w:r>
    </w:p>
    <w:p w14:paraId="7DD343A4" w14:textId="1414BE8A" w:rsidR="00AB6DA6" w:rsidRDefault="007C618D">
      <w:pPr>
        <w:pStyle w:val="Indenta"/>
      </w:pPr>
      <w:r>
        <w:tab/>
      </w:r>
      <w:r w:rsidR="00154990">
        <w:t>(a)</w:t>
      </w:r>
      <w:r>
        <w:tab/>
        <w:t>must retain the record for the extended period; and</w:t>
      </w:r>
    </w:p>
    <w:p w14:paraId="2CD6D906" w14:textId="56D63FEF" w:rsidR="00AB6DA6" w:rsidRDefault="007C618D">
      <w:pPr>
        <w:pStyle w:val="Indenta"/>
      </w:pPr>
      <w:r>
        <w:tab/>
      </w:r>
      <w:r w:rsidR="00154990">
        <w:t>(b)</w:t>
      </w:r>
      <w:r>
        <w:tab/>
        <w:t>must destroy the record, in accordance with subsection </w:t>
      </w:r>
      <w:r w:rsidR="00244BDA">
        <w:t>(8)</w:t>
      </w:r>
      <w:r>
        <w:t>, as soon as practicable after the end of the extended period.</w:t>
      </w:r>
    </w:p>
    <w:p w14:paraId="49508B21" w14:textId="6D855F6A" w:rsidR="00AB6DA6" w:rsidRDefault="007C618D">
      <w:pPr>
        <w:pStyle w:val="Penstart"/>
      </w:pPr>
      <w:r>
        <w:tab/>
        <w:t>Penalty for this subsection: imprisonment for 12 months and a fine of $20 000.</w:t>
      </w:r>
    </w:p>
    <w:p w14:paraId="31F6438F" w14:textId="060AF5D3" w:rsidR="00AB6DA6" w:rsidRDefault="007C618D">
      <w:pPr>
        <w:pStyle w:val="Subsection"/>
      </w:pPr>
      <w:r>
        <w:tab/>
      </w:r>
      <w:r w:rsidR="00154990">
        <w:t>(4)</w:t>
      </w:r>
      <w:r>
        <w:tab/>
        <w:t>Subsection </w:t>
      </w:r>
      <w:r w:rsidR="00244BDA">
        <w:t>(3)</w:t>
      </w:r>
      <w:r>
        <w:t xml:space="preserve"> has effect despite subsections </w:t>
      </w:r>
      <w:r w:rsidR="00244BDA">
        <w:t>(2)</w:t>
      </w:r>
      <w:r>
        <w:t>, </w:t>
      </w:r>
      <w:r w:rsidR="00244BDA">
        <w:t>(6)</w:t>
      </w:r>
      <w:r>
        <w:t xml:space="preserve"> and </w:t>
      </w:r>
      <w:r w:rsidR="00244BDA">
        <w:t>(7)</w:t>
      </w:r>
      <w:r>
        <w:t>.</w:t>
      </w:r>
    </w:p>
    <w:p w14:paraId="4F8AA53B" w14:textId="6F7A20E6" w:rsidR="00AB6DA6" w:rsidRDefault="007C618D">
      <w:pPr>
        <w:pStyle w:val="Subsection"/>
      </w:pPr>
      <w:r>
        <w:tab/>
      </w:r>
      <w:r w:rsidR="00154990">
        <w:t>(5)</w:t>
      </w:r>
      <w:r>
        <w:tab/>
        <w:t>Subsections </w:t>
      </w:r>
      <w:r w:rsidR="00244BDA">
        <w:t>(6)</w:t>
      </w:r>
      <w:r>
        <w:t xml:space="preserve"> and </w:t>
      </w:r>
      <w:r w:rsidR="00244BDA">
        <w:t>(7)</w:t>
      </w:r>
      <w:r>
        <w:t xml:space="preserve"> do not apply to a person who is a responsible person solely because of being the occupier or person apparently in charge of a place referred to in paragraph </w:t>
      </w:r>
      <w:r w:rsidR="00244BDA">
        <w:t>(a)</w:t>
      </w:r>
      <w:r>
        <w:t xml:space="preserve"> of the definition of </w:t>
      </w:r>
      <w:r w:rsidRPr="00AC442D">
        <w:rPr>
          <w:b/>
          <w:i/>
        </w:rPr>
        <w:t>entry registration information</w:t>
      </w:r>
      <w:r>
        <w:t xml:space="preserve"> in section </w:t>
      </w:r>
      <w:r w:rsidR="00244BDA">
        <w:t>3</w:t>
      </w:r>
      <w:r>
        <w:t>.</w:t>
      </w:r>
    </w:p>
    <w:p w14:paraId="14F1B1F0" w14:textId="258BCCF3" w:rsidR="00AB6DA6" w:rsidRDefault="007C618D">
      <w:pPr>
        <w:pStyle w:val="Subsection"/>
      </w:pPr>
      <w:r>
        <w:tab/>
      </w:r>
      <w:r w:rsidR="00154990">
        <w:t>(6)</w:t>
      </w:r>
      <w:r>
        <w:tab/>
        <w:t xml:space="preserve">A responsible person for an entry registration record is not required to destroy the record if, at the expiry of the initial storage period for the record, the record — </w:t>
      </w:r>
    </w:p>
    <w:p w14:paraId="1743EE13" w14:textId="17C87969" w:rsidR="00AB6DA6" w:rsidRDefault="007C618D">
      <w:pPr>
        <w:pStyle w:val="Indenta"/>
      </w:pPr>
      <w:r>
        <w:tab/>
      </w:r>
      <w:r w:rsidR="00154990">
        <w:t>(a)</w:t>
      </w:r>
      <w:r>
        <w:tab/>
        <w:t>is required for contact tracing; or</w:t>
      </w:r>
    </w:p>
    <w:p w14:paraId="241116FC" w14:textId="5234E9C0" w:rsidR="00AB6DA6" w:rsidRDefault="007C618D">
      <w:pPr>
        <w:pStyle w:val="Indenta"/>
      </w:pPr>
      <w:r>
        <w:tab/>
      </w:r>
      <w:r w:rsidR="00154990">
        <w:t>(b)</w:t>
      </w:r>
      <w:r>
        <w:tab/>
        <w:t>is required in the investigation of an offence referred to in section </w:t>
      </w:r>
      <w:r w:rsidR="00244BDA">
        <w:t>6(4)</w:t>
      </w:r>
      <w:r>
        <w:t>; or</w:t>
      </w:r>
    </w:p>
    <w:p w14:paraId="3EAB9159" w14:textId="5200703F" w:rsidR="00AB6DA6" w:rsidRDefault="007C618D">
      <w:pPr>
        <w:pStyle w:val="Indenta"/>
      </w:pPr>
      <w:r>
        <w:tab/>
      </w:r>
      <w:r w:rsidR="00154990">
        <w:t>(c)</w:t>
      </w:r>
      <w:r>
        <w:tab/>
        <w:t>is, or is required as, evidence in proceedings for or in relation to an offence referred to in section </w:t>
      </w:r>
      <w:r w:rsidR="00244BDA">
        <w:t>6(4)</w:t>
      </w:r>
      <w:r>
        <w:t>.</w:t>
      </w:r>
    </w:p>
    <w:p w14:paraId="56F3C7F7" w14:textId="259E37B8" w:rsidR="00AB6DA6" w:rsidRDefault="007C618D">
      <w:pPr>
        <w:pStyle w:val="Subsection"/>
      </w:pPr>
      <w:r>
        <w:tab/>
      </w:r>
      <w:r w:rsidR="00154990">
        <w:t>(7)</w:t>
      </w:r>
      <w:r>
        <w:tab/>
        <w:t>A responsible person for an entry registration record that is not destroyed in accordance with subsection </w:t>
      </w:r>
      <w:r w:rsidR="00244BDA">
        <w:t>(2)</w:t>
      </w:r>
      <w:r>
        <w:t xml:space="preserve"> because of the application of subsection </w:t>
      </w:r>
      <w:r w:rsidR="00244BDA">
        <w:t>(6)(a)</w:t>
      </w:r>
      <w:r>
        <w:t xml:space="preserve"> must ensure that the record is destroyed, in accordance with subsection </w:t>
      </w:r>
      <w:r w:rsidR="00244BDA">
        <w:t>(8)</w:t>
      </w:r>
      <w:r>
        <w:t>, as soon as practicable after it ceases to be required for contact tracing.</w:t>
      </w:r>
    </w:p>
    <w:p w14:paraId="614B3741" w14:textId="52F7DD37" w:rsidR="00AB6DA6" w:rsidRDefault="007C618D">
      <w:pPr>
        <w:pStyle w:val="Penstart"/>
      </w:pPr>
      <w:r>
        <w:tab/>
        <w:t>Penalty for this subsection: imprisonment for 12 months and a fine of $20 000.</w:t>
      </w:r>
    </w:p>
    <w:p w14:paraId="1D93A15E" w14:textId="64E226D0" w:rsidR="00AB6DA6" w:rsidRDefault="007C618D">
      <w:pPr>
        <w:pStyle w:val="Subsection"/>
      </w:pPr>
      <w:r>
        <w:lastRenderedPageBreak/>
        <w:tab/>
      </w:r>
      <w:r w:rsidR="00154990">
        <w:t>(8)</w:t>
      </w:r>
      <w:r>
        <w:tab/>
        <w:t xml:space="preserve">An entry registration record must be destroyed either — </w:t>
      </w:r>
    </w:p>
    <w:p w14:paraId="43A24414" w14:textId="75C51B98" w:rsidR="00AB6DA6" w:rsidRDefault="007C618D">
      <w:pPr>
        <w:pStyle w:val="Indenta"/>
      </w:pPr>
      <w:r>
        <w:tab/>
      </w:r>
      <w:r w:rsidR="00154990">
        <w:t>(a)</w:t>
      </w:r>
      <w:r>
        <w:tab/>
        <w:t>in the manner approved by the CEO; or</w:t>
      </w:r>
    </w:p>
    <w:p w14:paraId="431A7E32" w14:textId="65C95ADA" w:rsidR="00AB6DA6" w:rsidRDefault="007C618D">
      <w:pPr>
        <w:pStyle w:val="Indenta"/>
      </w:pPr>
      <w:r>
        <w:tab/>
      </w:r>
      <w:r w:rsidR="00154990">
        <w:t>(b)</w:t>
      </w:r>
      <w:r>
        <w:tab/>
        <w:t>if no approval under paragraph </w:t>
      </w:r>
      <w:r w:rsidR="00244BDA">
        <w:t>(a)</w:t>
      </w:r>
      <w:r>
        <w:t xml:space="preserve"> applies to the record — by taking all reasonable steps to ensure that the entry registration information contained in the record cannot be retrieved.</w:t>
      </w:r>
    </w:p>
    <w:p w14:paraId="6A681037" w14:textId="085E1E90" w:rsidR="00AB6DA6" w:rsidRDefault="00154990">
      <w:pPr>
        <w:pStyle w:val="Heading5"/>
      </w:pPr>
      <w:bookmarkStart w:id="12" w:name="_Toc75245705"/>
      <w:r>
        <w:rPr>
          <w:rStyle w:val="CharSectno"/>
        </w:rPr>
        <w:t>9</w:t>
      </w:r>
      <w:r w:rsidR="007C618D">
        <w:t>.</w:t>
      </w:r>
      <w:r w:rsidR="007C618D">
        <w:tab/>
        <w:t>Liability of officers of body corporate for offence by body corporate</w:t>
      </w:r>
      <w:bookmarkEnd w:id="12"/>
    </w:p>
    <w:p w14:paraId="3542F5D5" w14:textId="75602DF2" w:rsidR="00AB6DA6" w:rsidRDefault="007C618D">
      <w:pPr>
        <w:pStyle w:val="Subsection"/>
      </w:pPr>
      <w:r>
        <w:tab/>
      </w:r>
      <w:r w:rsidR="00154990">
        <w:t>(1)</w:t>
      </w:r>
      <w:r>
        <w:tab/>
        <w:t xml:space="preserve">In this section — </w:t>
      </w:r>
    </w:p>
    <w:p w14:paraId="64DDBCC6" w14:textId="4F86BF8E" w:rsidR="00AB6DA6" w:rsidRDefault="007C618D">
      <w:pPr>
        <w:pStyle w:val="Defstart"/>
      </w:pPr>
      <w:r>
        <w:tab/>
      </w:r>
      <w:r>
        <w:rPr>
          <w:rStyle w:val="CharDefText"/>
        </w:rPr>
        <w:t>officer</w:t>
      </w:r>
      <w:r>
        <w:t xml:space="preserve">, in relation to a body corporate, has the meaning given in the </w:t>
      </w:r>
      <w:r>
        <w:rPr>
          <w:i/>
        </w:rPr>
        <w:t>Corporations Act 200</w:t>
      </w:r>
      <w:r w:rsidRPr="00605784">
        <w:rPr>
          <w:i/>
        </w:rPr>
        <w:t>1</w:t>
      </w:r>
      <w:r w:rsidRPr="00605784">
        <w:t xml:space="preserve"> (</w:t>
      </w:r>
      <w:r>
        <w:t>Commonwealth) section 9.</w:t>
      </w:r>
    </w:p>
    <w:p w14:paraId="299FF450" w14:textId="4D8A590A" w:rsidR="00AB6DA6" w:rsidRDefault="007C618D">
      <w:pPr>
        <w:pStyle w:val="Subsection"/>
      </w:pPr>
      <w:r>
        <w:tab/>
      </w:r>
      <w:r w:rsidR="00154990">
        <w:t>(2)</w:t>
      </w:r>
      <w:r>
        <w:tab/>
        <w:t>If a body corporate is guilty of an offence against section </w:t>
      </w:r>
      <w:r w:rsidR="00244BDA">
        <w:t>6</w:t>
      </w:r>
      <w:r>
        <w:t>, </w:t>
      </w:r>
      <w:r w:rsidR="00244BDA">
        <w:t>7</w:t>
      </w:r>
      <w:r>
        <w:t xml:space="preserve"> or </w:t>
      </w:r>
      <w:r w:rsidR="00244BDA">
        <w:t>8</w:t>
      </w:r>
      <w:r>
        <w:t>, an officer of the body corporate is also guilty of the offence if the officer failed to take all reasonable steps to prevent the commission of the offence by the body corporate.</w:t>
      </w:r>
    </w:p>
    <w:p w14:paraId="786C689E" w14:textId="3ADF8146" w:rsidR="00AB6DA6" w:rsidRDefault="007C618D">
      <w:pPr>
        <w:pStyle w:val="Subsection"/>
      </w:pPr>
      <w:r>
        <w:tab/>
      </w:r>
      <w:r w:rsidR="00154990">
        <w:t>(3)</w:t>
      </w:r>
      <w:r>
        <w:tab/>
        <w:t xml:space="preserve">In determining whether things done or omitted to be done by the officer constitute reasonable steps, a court must have regard to — </w:t>
      </w:r>
    </w:p>
    <w:p w14:paraId="71F66125" w14:textId="6DBA5337" w:rsidR="00AB6DA6" w:rsidRDefault="007C618D">
      <w:pPr>
        <w:pStyle w:val="Indenta"/>
      </w:pPr>
      <w:r>
        <w:tab/>
      </w:r>
      <w:r w:rsidR="00154990">
        <w:t>(a)</w:t>
      </w:r>
      <w:r>
        <w:tab/>
        <w:t>what the officer knew, or ought to have known, about the commission of the offence by the body corporate; and</w:t>
      </w:r>
    </w:p>
    <w:p w14:paraId="13F9AA13" w14:textId="0CF21572" w:rsidR="00AB6DA6" w:rsidRDefault="007C618D">
      <w:pPr>
        <w:pStyle w:val="Indenta"/>
      </w:pPr>
      <w:r>
        <w:tab/>
      </w:r>
      <w:r w:rsidR="00154990">
        <w:t>(b)</w:t>
      </w:r>
      <w:r>
        <w:tab/>
        <w:t>whether the officer was in a position to influence the conduct of the body corporate in relation to the commission of the offence; and</w:t>
      </w:r>
    </w:p>
    <w:p w14:paraId="6BFE6873" w14:textId="706B39E9" w:rsidR="00AB6DA6" w:rsidRDefault="007C618D">
      <w:pPr>
        <w:pStyle w:val="Indenta"/>
      </w:pPr>
      <w:r>
        <w:tab/>
      </w:r>
      <w:r w:rsidR="00154990">
        <w:t>(c)</w:t>
      </w:r>
      <w:r>
        <w:tab/>
        <w:t>any other relevant matter.</w:t>
      </w:r>
    </w:p>
    <w:p w14:paraId="19FA03E8" w14:textId="22795719" w:rsidR="00AB6DA6" w:rsidRDefault="00154990">
      <w:pPr>
        <w:pStyle w:val="Heading5"/>
      </w:pPr>
      <w:bookmarkStart w:id="13" w:name="_Toc75245706"/>
      <w:r>
        <w:rPr>
          <w:rStyle w:val="CharSectno"/>
        </w:rPr>
        <w:t>10</w:t>
      </w:r>
      <w:r w:rsidR="007C618D">
        <w:t>.</w:t>
      </w:r>
      <w:r w:rsidR="007C618D">
        <w:tab/>
      </w:r>
      <w:r w:rsidR="007C618D">
        <w:rPr>
          <w:szCs w:val="24"/>
        </w:rPr>
        <w:t>Publication of a</w:t>
      </w:r>
      <w:r w:rsidR="007C618D">
        <w:t>pprovals</w:t>
      </w:r>
      <w:bookmarkEnd w:id="13"/>
    </w:p>
    <w:p w14:paraId="2774A623" w14:textId="06625471" w:rsidR="00AB6DA6" w:rsidRDefault="007C618D">
      <w:pPr>
        <w:pStyle w:val="Subsection"/>
      </w:pPr>
      <w:r>
        <w:tab/>
      </w:r>
      <w:r w:rsidR="00154990">
        <w:t>(1)</w:t>
      </w:r>
      <w:r>
        <w:tab/>
        <w:t>If the Minister approves information under paragraph </w:t>
      </w:r>
      <w:r w:rsidR="00244BDA">
        <w:t>(c)</w:t>
      </w:r>
      <w:r>
        <w:t xml:space="preserve"> of the definition of </w:t>
      </w:r>
      <w:r w:rsidRPr="00AC442D">
        <w:rPr>
          <w:b/>
          <w:i/>
        </w:rPr>
        <w:t>relevant information</w:t>
      </w:r>
      <w:r>
        <w:t xml:space="preserve"> in section </w:t>
      </w:r>
      <w:r w:rsidR="00244BDA">
        <w:t>3</w:t>
      </w:r>
      <w:r>
        <w:t>, the Minister must ensure that the instrument by which the approval is given is published on the Department’s website.</w:t>
      </w:r>
    </w:p>
    <w:p w14:paraId="411651CD" w14:textId="4073F0F3" w:rsidR="00AB6DA6" w:rsidRDefault="007C618D">
      <w:pPr>
        <w:pStyle w:val="Subsection"/>
      </w:pPr>
      <w:r>
        <w:lastRenderedPageBreak/>
        <w:tab/>
      </w:r>
      <w:r w:rsidR="00154990">
        <w:t>(2)</w:t>
      </w:r>
      <w:r>
        <w:tab/>
        <w:t>If the CEO approves a manner of destruction of entry registration records under section </w:t>
      </w:r>
      <w:r w:rsidR="00244BDA">
        <w:t>8(8)(a)</w:t>
      </w:r>
      <w:r>
        <w:t>, the CEO must ensure that the instrument by which the approval is given is published on the Department’s website.</w:t>
      </w:r>
    </w:p>
    <w:p w14:paraId="104CEB16" w14:textId="56B80EEF" w:rsidR="00AB6DA6" w:rsidRDefault="007C618D">
      <w:pPr>
        <w:pStyle w:val="Subsection"/>
      </w:pPr>
      <w:r>
        <w:tab/>
      </w:r>
      <w:r w:rsidR="00154990">
        <w:t>(3)</w:t>
      </w:r>
      <w:r>
        <w:tab/>
        <w:t>A failure to comply with subsection </w:t>
      </w:r>
      <w:r w:rsidR="00244BDA">
        <w:t>(1)</w:t>
      </w:r>
      <w:r>
        <w:t xml:space="preserve"> or </w:t>
      </w:r>
      <w:r w:rsidR="00244BDA">
        <w:t>(2)</w:t>
      </w:r>
      <w:r>
        <w:t xml:space="preserve"> does not affect the validity of an approval.</w:t>
      </w:r>
    </w:p>
    <w:p w14:paraId="71E354A6" w14:textId="37EDBA5C" w:rsidR="00AB6DA6" w:rsidRDefault="00154990">
      <w:pPr>
        <w:pStyle w:val="Heading5"/>
      </w:pPr>
      <w:bookmarkStart w:id="14" w:name="_Toc75245707"/>
      <w:r>
        <w:rPr>
          <w:rStyle w:val="CharSectno"/>
        </w:rPr>
        <w:t>11</w:t>
      </w:r>
      <w:r w:rsidR="007C618D">
        <w:t>.</w:t>
      </w:r>
      <w:r w:rsidR="007C618D">
        <w:tab/>
        <w:t>Transitional provisions</w:t>
      </w:r>
      <w:bookmarkEnd w:id="14"/>
    </w:p>
    <w:p w14:paraId="39336435" w14:textId="3124D2DC" w:rsidR="00AB6DA6" w:rsidRDefault="007C618D">
      <w:pPr>
        <w:pStyle w:val="Subsection"/>
      </w:pPr>
      <w:r>
        <w:tab/>
      </w:r>
      <w:r w:rsidR="00154990">
        <w:t>(1)</w:t>
      </w:r>
      <w:r>
        <w:tab/>
        <w:t>This Act applies, on and after commencement day, to entry registration information obtained at any time on or after 5 December 2020.</w:t>
      </w:r>
    </w:p>
    <w:p w14:paraId="0398217F" w14:textId="3A8DAF63" w:rsidR="00AB6DA6" w:rsidRDefault="007C618D">
      <w:pPr>
        <w:pStyle w:val="Subsection"/>
      </w:pPr>
      <w:r>
        <w:tab/>
      </w:r>
      <w:r w:rsidR="00154990">
        <w:t>(2)</w:t>
      </w:r>
      <w:r>
        <w:tab/>
        <w:t>However, section </w:t>
      </w:r>
      <w:r w:rsidR="00244BDA">
        <w:t>6(1)</w:t>
      </w:r>
      <w:r>
        <w:t xml:space="preserve"> to </w:t>
      </w:r>
      <w:r w:rsidR="00244BDA">
        <w:t>(3)</w:t>
      </w:r>
      <w:r>
        <w:t xml:space="preserve"> do not apply to entry registration information disclosed before commencement day in compliance with an order to produce under the </w:t>
      </w:r>
      <w:r>
        <w:rPr>
          <w:i/>
        </w:rPr>
        <w:t>Criminal Investigation Act 2006</w:t>
      </w:r>
      <w:r>
        <w:t xml:space="preserve"> Part 6, to the extent necessary for the information to be used, disclosed or admitted in evidence for the purposes for which the order was obtained or for related purposes.</w:t>
      </w:r>
    </w:p>
    <w:p w14:paraId="7E49A940" w14:textId="7D9BFD95" w:rsidR="00AB6DA6" w:rsidRDefault="007C618D">
      <w:pPr>
        <w:pStyle w:val="Subsection"/>
      </w:pPr>
      <w:r>
        <w:tab/>
      </w:r>
      <w:r w:rsidR="00154990">
        <w:t>(3)</w:t>
      </w:r>
      <w:r>
        <w:tab/>
        <w:t>If the initial storage period for an entry registration record begins before commencement day, section </w:t>
      </w:r>
      <w:r w:rsidR="00244BDA">
        <w:t>8</w:t>
      </w:r>
      <w:r>
        <w:t xml:space="preserve"> applies in relation to the record as if the initial storage period for the record begins on commencement day.</w:t>
      </w:r>
    </w:p>
    <w:p w14:paraId="6AEEEB37" w14:textId="4E241547" w:rsidR="00AB6DA6" w:rsidRDefault="00154990">
      <w:pPr>
        <w:pStyle w:val="Heading5"/>
      </w:pPr>
      <w:bookmarkStart w:id="15" w:name="_Toc75245708"/>
      <w:r>
        <w:rPr>
          <w:rStyle w:val="CharSectno"/>
        </w:rPr>
        <w:t>12</w:t>
      </w:r>
      <w:r w:rsidR="007C618D">
        <w:t>.</w:t>
      </w:r>
      <w:r w:rsidR="007C618D">
        <w:tab/>
      </w:r>
      <w:r w:rsidR="007C618D" w:rsidRPr="00605784">
        <w:t>Regulation</w:t>
      </w:r>
      <w:r w:rsidR="007C618D">
        <w:t>s</w:t>
      </w:r>
      <w:bookmarkEnd w:id="15"/>
    </w:p>
    <w:p w14:paraId="6AC29DA1" w14:textId="77777777" w:rsidR="00AB6DA6" w:rsidRDefault="007C618D">
      <w:pPr>
        <w:pStyle w:val="Subsection"/>
      </w:pPr>
      <w:r>
        <w:tab/>
      </w:r>
      <w:r>
        <w:tab/>
        <w:t xml:space="preserve">The Governor may make </w:t>
      </w:r>
      <w:r w:rsidRPr="00605784">
        <w:t>regulation</w:t>
      </w:r>
      <w:r>
        <w:t>s prescribing all matters that are required or permitted by this Act to be prescribed, or are necessary or convenient to be prescribed for giving effect to the purposes</w:t>
      </w:r>
      <w:r w:rsidRPr="00605784">
        <w:t xml:space="preserve"> of this Act</w:t>
      </w:r>
      <w:r>
        <w:t>.</w:t>
      </w:r>
    </w:p>
    <w:p w14:paraId="4726250B" w14:textId="77777777" w:rsidR="00AB6DA6" w:rsidRDefault="007C618D">
      <w:pPr>
        <w:pStyle w:val="CentredBaseLine"/>
        <w:jc w:val="center"/>
      </w:pPr>
      <w:r>
        <w:rPr>
          <w:noProof/>
        </w:rPr>
        <w:drawing>
          <wp:inline distT="0" distB="0" distL="0" distR="0" wp14:anchorId="682594D5" wp14:editId="04CBAAB7">
            <wp:extent cx="922671" cy="171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ine"/>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922671" cy="171450"/>
                    </a:xfrm>
                    <a:prstGeom prst="rect">
                      <a:avLst/>
                    </a:prstGeom>
                    <a:noFill/>
                    <a:ln>
                      <a:noFill/>
                    </a:ln>
                  </pic:spPr>
                </pic:pic>
              </a:graphicData>
            </a:graphic>
          </wp:inline>
        </w:drawing>
      </w:r>
    </w:p>
    <w:p w14:paraId="1D6804FE" w14:textId="77777777" w:rsidR="00AB6DA6" w:rsidRDefault="00AB6DA6">
      <w:pPr>
        <w:pStyle w:val="Subsection"/>
        <w:sectPr w:rsidR="00AB6DA6" w:rsidSect="00E2408E">
          <w:headerReference w:type="even" r:id="rId25"/>
          <w:headerReference w:type="default" r:id="rId26"/>
          <w:endnotePr>
            <w:numFmt w:val="decimal"/>
          </w:endnotePr>
          <w:pgSz w:w="11907" w:h="16840" w:code="9"/>
          <w:pgMar w:top="2381" w:right="2410" w:bottom="3544" w:left="2410" w:header="720" w:footer="3544" w:gutter="0"/>
          <w:cols w:space="720"/>
          <w:docGrid w:linePitch="326"/>
        </w:sectPr>
      </w:pPr>
    </w:p>
    <w:p w14:paraId="54321809" w14:textId="77777777" w:rsidR="00C63430" w:rsidRDefault="00C63430">
      <w:pPr>
        <w:pStyle w:val="nHeading2"/>
      </w:pPr>
      <w:bookmarkStart w:id="16" w:name="_Toc75244116"/>
      <w:bookmarkStart w:id="17" w:name="_Toc75244156"/>
      <w:bookmarkStart w:id="18" w:name="_Toc75245709"/>
      <w:bookmarkStart w:id="19" w:name="_Toc75243515"/>
      <w:r>
        <w:lastRenderedPageBreak/>
        <w:t>Notes</w:t>
      </w:r>
      <w:bookmarkEnd w:id="16"/>
      <w:bookmarkEnd w:id="17"/>
      <w:bookmarkEnd w:id="18"/>
    </w:p>
    <w:p w14:paraId="4ED03B19" w14:textId="193F691F" w:rsidR="00C63430" w:rsidRDefault="00C63430">
      <w:pPr>
        <w:pStyle w:val="nStatement"/>
      </w:pPr>
      <w:r>
        <w:t xml:space="preserve">This is a compilation of the </w:t>
      </w:r>
      <w:r>
        <w:rPr>
          <w:i/>
          <w:noProof/>
        </w:rPr>
        <w:t>Protection of Information (Entry Registration Information Relating to COVID-19 and Other Infectious Diseases) Act 2021</w:t>
      </w:r>
      <w:r>
        <w:t>. For provisions that have come into operation see the compilation table.</w:t>
      </w:r>
    </w:p>
    <w:p w14:paraId="0B28B3B7" w14:textId="77777777" w:rsidR="00C63430" w:rsidRDefault="00C63430">
      <w:pPr>
        <w:pStyle w:val="nHeading3"/>
      </w:pPr>
      <w:bookmarkStart w:id="20" w:name="_Toc75245710"/>
      <w:r>
        <w:t>Compilation table</w:t>
      </w:r>
      <w:bookmarkEnd w:id="20"/>
    </w:p>
    <w:tbl>
      <w:tblPr>
        <w:tblW w:w="0" w:type="auto"/>
        <w:tblInd w:w="28" w:type="dxa"/>
        <w:tblBorders>
          <w:top w:val="single" w:sz="8" w:space="0" w:color="auto"/>
          <w:bottom w:val="single" w:sz="8" w:space="0" w:color="auto"/>
          <w:insideH w:val="single" w:sz="8" w:space="0" w:color="auto"/>
        </w:tblBorders>
        <w:tblLayout w:type="fixed"/>
        <w:tblCellMar>
          <w:left w:w="56" w:type="dxa"/>
          <w:right w:w="56" w:type="dxa"/>
        </w:tblCellMar>
        <w:tblLook w:val="0000" w:firstRow="0" w:lastRow="0" w:firstColumn="0" w:lastColumn="0" w:noHBand="0" w:noVBand="0"/>
      </w:tblPr>
      <w:tblGrid>
        <w:gridCol w:w="2268"/>
        <w:gridCol w:w="1134"/>
        <w:gridCol w:w="1134"/>
        <w:gridCol w:w="2552"/>
      </w:tblGrid>
      <w:tr w:rsidR="00C63430" w14:paraId="5548900D" w14:textId="77777777">
        <w:trPr>
          <w:tblHeader/>
        </w:trPr>
        <w:tc>
          <w:tcPr>
            <w:tcW w:w="2268" w:type="dxa"/>
          </w:tcPr>
          <w:p w14:paraId="33833711" w14:textId="77777777" w:rsidR="00C63430" w:rsidRDefault="00C63430">
            <w:pPr>
              <w:pStyle w:val="nTable"/>
              <w:spacing w:after="40"/>
              <w:rPr>
                <w:b/>
              </w:rPr>
            </w:pPr>
            <w:r>
              <w:rPr>
                <w:b/>
              </w:rPr>
              <w:t>Short title</w:t>
            </w:r>
          </w:p>
        </w:tc>
        <w:tc>
          <w:tcPr>
            <w:tcW w:w="1134" w:type="dxa"/>
          </w:tcPr>
          <w:p w14:paraId="4BE45ADF" w14:textId="77777777" w:rsidR="00C63430" w:rsidRDefault="00C63430">
            <w:pPr>
              <w:pStyle w:val="nTable"/>
              <w:spacing w:after="40"/>
              <w:rPr>
                <w:b/>
              </w:rPr>
            </w:pPr>
            <w:r>
              <w:rPr>
                <w:b/>
              </w:rPr>
              <w:t>Number and year</w:t>
            </w:r>
          </w:p>
        </w:tc>
        <w:tc>
          <w:tcPr>
            <w:tcW w:w="1134" w:type="dxa"/>
          </w:tcPr>
          <w:p w14:paraId="127EF2BC" w14:textId="77777777" w:rsidR="00C63430" w:rsidRDefault="00C63430">
            <w:pPr>
              <w:pStyle w:val="nTable"/>
              <w:spacing w:after="40"/>
              <w:rPr>
                <w:b/>
              </w:rPr>
            </w:pPr>
            <w:r>
              <w:rPr>
                <w:b/>
              </w:rPr>
              <w:t>Assent</w:t>
            </w:r>
          </w:p>
        </w:tc>
        <w:tc>
          <w:tcPr>
            <w:tcW w:w="2552" w:type="dxa"/>
          </w:tcPr>
          <w:p w14:paraId="2B32C1FB" w14:textId="77777777" w:rsidR="00C63430" w:rsidRDefault="00C63430">
            <w:pPr>
              <w:pStyle w:val="nTable"/>
              <w:spacing w:after="40"/>
              <w:rPr>
                <w:b/>
              </w:rPr>
            </w:pPr>
            <w:r>
              <w:rPr>
                <w:b/>
              </w:rPr>
              <w:t>Commencement</w:t>
            </w:r>
          </w:p>
        </w:tc>
      </w:tr>
      <w:tr w:rsidR="00C63430" w14:paraId="43298C85" w14:textId="77777777">
        <w:tc>
          <w:tcPr>
            <w:tcW w:w="2268" w:type="dxa"/>
          </w:tcPr>
          <w:p w14:paraId="5BCB22B4" w14:textId="0FD4C65D" w:rsidR="00C63430" w:rsidRPr="00C63430" w:rsidRDefault="00C63430">
            <w:pPr>
              <w:pStyle w:val="nTable"/>
              <w:spacing w:after="40"/>
            </w:pPr>
            <w:r w:rsidRPr="00C63430">
              <w:rPr>
                <w:i/>
                <w:noProof/>
              </w:rPr>
              <w:t>Protection of Information (Entry Registration Information Relating to COVID-19 and Other Infectious Diseases) Act 2021</w:t>
            </w:r>
          </w:p>
        </w:tc>
        <w:tc>
          <w:tcPr>
            <w:tcW w:w="1134" w:type="dxa"/>
          </w:tcPr>
          <w:p w14:paraId="1AFF4762" w14:textId="0EBBFE69" w:rsidR="00C63430" w:rsidRPr="00C63430" w:rsidRDefault="00C63430">
            <w:pPr>
              <w:pStyle w:val="nTable"/>
              <w:spacing w:after="40"/>
            </w:pPr>
            <w:r>
              <w:t>3 of 2020</w:t>
            </w:r>
          </w:p>
        </w:tc>
        <w:tc>
          <w:tcPr>
            <w:tcW w:w="1134" w:type="dxa"/>
          </w:tcPr>
          <w:p w14:paraId="4E6234F8" w14:textId="4687E0FD" w:rsidR="00C63430" w:rsidRPr="00C63430" w:rsidRDefault="00C63430">
            <w:pPr>
              <w:pStyle w:val="nTable"/>
              <w:spacing w:after="40"/>
            </w:pPr>
            <w:r>
              <w:t>21 Jun 2021</w:t>
            </w:r>
          </w:p>
        </w:tc>
        <w:tc>
          <w:tcPr>
            <w:tcW w:w="2552" w:type="dxa"/>
          </w:tcPr>
          <w:p w14:paraId="071075D6" w14:textId="77777777" w:rsidR="00C63430" w:rsidRPr="00C63430" w:rsidRDefault="00C63430">
            <w:pPr>
              <w:pStyle w:val="nTable"/>
              <w:spacing w:after="40"/>
            </w:pPr>
            <w:r w:rsidRPr="00C63430">
              <w:t>s. 1 and 2: 21 Jun 2021 (see s. 2(a));</w:t>
            </w:r>
          </w:p>
          <w:p w14:paraId="2896FB0B" w14:textId="476F518B" w:rsidR="00C63430" w:rsidRPr="00C63430" w:rsidRDefault="00C63430">
            <w:pPr>
              <w:pStyle w:val="nTable"/>
              <w:spacing w:after="40"/>
            </w:pPr>
            <w:r w:rsidRPr="00C63430">
              <w:t>Act other than s. 1 and 2: 22 Jun 2021 (see s. 2(b))</w:t>
            </w:r>
          </w:p>
        </w:tc>
      </w:tr>
    </w:tbl>
    <w:p w14:paraId="2C0094A6" w14:textId="77777777" w:rsidR="00C63430" w:rsidRDefault="00C63430"/>
    <w:p w14:paraId="2D535EFA" w14:textId="77777777" w:rsidR="00C63430" w:rsidRDefault="00C63430">
      <w:pPr>
        <w:sectPr w:rsidR="00C63430">
          <w:headerReference w:type="even" r:id="rId27"/>
          <w:headerReference w:type="default" r:id="rId28"/>
          <w:pgSz w:w="11907" w:h="16840" w:code="9"/>
          <w:pgMar w:top="2376" w:right="2405" w:bottom="3542" w:left="2405" w:header="706" w:footer="3380" w:gutter="0"/>
          <w:cols w:space="720"/>
          <w:noEndnote/>
          <w:docGrid w:linePitch="326"/>
        </w:sectPr>
      </w:pPr>
    </w:p>
    <w:p w14:paraId="3A9450A0" w14:textId="77777777" w:rsidR="00605784" w:rsidRDefault="00605784">
      <w:pPr>
        <w:pStyle w:val="nHeading2"/>
        <w:rPr>
          <w:sz w:val="28"/>
        </w:rPr>
      </w:pPr>
      <w:bookmarkStart w:id="22" w:name="_Toc75244118"/>
      <w:bookmarkStart w:id="23" w:name="_Toc75244158"/>
      <w:bookmarkStart w:id="24" w:name="_Toc75245711"/>
      <w:r>
        <w:rPr>
          <w:sz w:val="28"/>
        </w:rPr>
        <w:lastRenderedPageBreak/>
        <w:t>Defined terms</w:t>
      </w:r>
      <w:bookmarkEnd w:id="19"/>
      <w:bookmarkEnd w:id="22"/>
      <w:bookmarkEnd w:id="23"/>
      <w:bookmarkEnd w:id="24"/>
    </w:p>
    <w:p w14:paraId="66E5E77C" w14:textId="77777777" w:rsidR="00605784" w:rsidRPr="00AC442D" w:rsidRDefault="00605784">
      <w:pPr>
        <w:ind w:left="850" w:right="850"/>
        <w:jc w:val="center"/>
        <w:rPr>
          <w:i/>
          <w:sz w:val="18"/>
        </w:rPr>
      </w:pPr>
    </w:p>
    <w:p w14:paraId="1CEE6654" w14:textId="77777777" w:rsidR="00605784" w:rsidRDefault="00605784">
      <w:pPr>
        <w:ind w:left="850" w:right="850"/>
        <w:jc w:val="center"/>
        <w:rPr>
          <w:i/>
          <w:sz w:val="18"/>
        </w:rPr>
      </w:pPr>
      <w:r>
        <w:rPr>
          <w:i/>
          <w:sz w:val="18"/>
        </w:rPr>
        <w:t>[This is a list of terms defined and the provisions where they are defined.  The list is not part of the law.]</w:t>
      </w:r>
    </w:p>
    <w:p w14:paraId="00D855AC" w14:textId="77777777" w:rsidR="00605784" w:rsidRDefault="00605784">
      <w:pPr>
        <w:pBdr>
          <w:bottom w:val="single" w:sz="4" w:space="1" w:color="auto"/>
        </w:pBdr>
        <w:tabs>
          <w:tab w:val="right" w:pos="7070"/>
        </w:tabs>
        <w:ind w:left="578"/>
        <w:rPr>
          <w:b/>
          <w:sz w:val="20"/>
        </w:rPr>
      </w:pPr>
      <w:r>
        <w:rPr>
          <w:b/>
          <w:sz w:val="20"/>
        </w:rPr>
        <w:t>Defined term</w:t>
      </w:r>
      <w:r>
        <w:rPr>
          <w:b/>
          <w:sz w:val="20"/>
        </w:rPr>
        <w:tab/>
        <w:t>Provision(s)</w:t>
      </w:r>
    </w:p>
    <w:p w14:paraId="065B60F5" w14:textId="77777777" w:rsidR="00605784" w:rsidRDefault="00605784" w:rsidP="00605784">
      <w:pPr>
        <w:pStyle w:val="DefinedTerms"/>
      </w:pPr>
      <w:r>
        <w:t>authorised officer</w:t>
      </w:r>
      <w:r>
        <w:tab/>
        <w:t>3</w:t>
      </w:r>
    </w:p>
    <w:p w14:paraId="7AA356B1" w14:textId="77777777" w:rsidR="00605784" w:rsidRDefault="00605784" w:rsidP="00605784">
      <w:pPr>
        <w:pStyle w:val="DefinedTerms"/>
      </w:pPr>
      <w:r>
        <w:t>CEO</w:t>
      </w:r>
      <w:r>
        <w:tab/>
        <w:t>3</w:t>
      </w:r>
    </w:p>
    <w:p w14:paraId="6741B8C5" w14:textId="77777777" w:rsidR="00605784" w:rsidRDefault="00605784" w:rsidP="00605784">
      <w:pPr>
        <w:pStyle w:val="DefinedTerms"/>
      </w:pPr>
      <w:r>
        <w:t>Chief Health Officer</w:t>
      </w:r>
      <w:r>
        <w:tab/>
        <w:t>3</w:t>
      </w:r>
    </w:p>
    <w:p w14:paraId="5F5A50E1" w14:textId="77777777" w:rsidR="00605784" w:rsidRDefault="00605784" w:rsidP="00605784">
      <w:pPr>
        <w:pStyle w:val="DefinedTerms"/>
      </w:pPr>
      <w:r>
        <w:t>commencement day</w:t>
      </w:r>
      <w:r>
        <w:tab/>
        <w:t>3</w:t>
      </w:r>
    </w:p>
    <w:p w14:paraId="26DDB67C" w14:textId="77777777" w:rsidR="00605784" w:rsidRDefault="00605784" w:rsidP="00605784">
      <w:pPr>
        <w:pStyle w:val="DefinedTerms"/>
      </w:pPr>
      <w:r>
        <w:t>contact tracing</w:t>
      </w:r>
      <w:r>
        <w:tab/>
        <w:t>3</w:t>
      </w:r>
    </w:p>
    <w:p w14:paraId="22AE785C" w14:textId="77777777" w:rsidR="00605784" w:rsidRDefault="00605784" w:rsidP="00605784">
      <w:pPr>
        <w:pStyle w:val="DefinedTerms"/>
      </w:pPr>
      <w:r>
        <w:t>Department’s website</w:t>
      </w:r>
      <w:r>
        <w:tab/>
        <w:t>3</w:t>
      </w:r>
    </w:p>
    <w:p w14:paraId="1A4C1593" w14:textId="77777777" w:rsidR="00605784" w:rsidRDefault="00605784" w:rsidP="00605784">
      <w:pPr>
        <w:pStyle w:val="DefinedTerms"/>
      </w:pPr>
      <w:r>
        <w:t>entry registration information</w:t>
      </w:r>
      <w:r>
        <w:tab/>
        <w:t>3</w:t>
      </w:r>
    </w:p>
    <w:p w14:paraId="73E46C0F" w14:textId="77777777" w:rsidR="00605784" w:rsidRDefault="00605784" w:rsidP="00605784">
      <w:pPr>
        <w:pStyle w:val="DefinedTerms"/>
      </w:pPr>
      <w:r>
        <w:t>entry registration record</w:t>
      </w:r>
      <w:r>
        <w:tab/>
        <w:t>3</w:t>
      </w:r>
    </w:p>
    <w:p w14:paraId="1D127C7A" w14:textId="77777777" w:rsidR="00605784" w:rsidRDefault="00605784" w:rsidP="00605784">
      <w:pPr>
        <w:pStyle w:val="DefinedTerms"/>
      </w:pPr>
      <w:r>
        <w:t>extended period</w:t>
      </w:r>
      <w:r>
        <w:tab/>
        <w:t>8(3)</w:t>
      </w:r>
    </w:p>
    <w:p w14:paraId="693E2611" w14:textId="77777777" w:rsidR="00605784" w:rsidRDefault="00605784" w:rsidP="00605784">
      <w:pPr>
        <w:pStyle w:val="DefinedTerms"/>
      </w:pPr>
      <w:r>
        <w:t>Health Department</w:t>
      </w:r>
      <w:r>
        <w:tab/>
        <w:t>3</w:t>
      </w:r>
    </w:p>
    <w:p w14:paraId="10473A89" w14:textId="77777777" w:rsidR="00605784" w:rsidRDefault="00605784" w:rsidP="00605784">
      <w:pPr>
        <w:pStyle w:val="DefinedTerms"/>
      </w:pPr>
      <w:r>
        <w:t>infectious disease emergency</w:t>
      </w:r>
      <w:r>
        <w:tab/>
        <w:t>3</w:t>
      </w:r>
    </w:p>
    <w:p w14:paraId="179D63E0" w14:textId="77777777" w:rsidR="00605784" w:rsidRDefault="00605784" w:rsidP="00605784">
      <w:pPr>
        <w:pStyle w:val="DefinedTerms"/>
      </w:pPr>
      <w:r>
        <w:t>initial storage period</w:t>
      </w:r>
      <w:r>
        <w:tab/>
        <w:t>3, 8(1)</w:t>
      </w:r>
    </w:p>
    <w:p w14:paraId="0C0D5481" w14:textId="77777777" w:rsidR="00605784" w:rsidRDefault="00605784" w:rsidP="00605784">
      <w:pPr>
        <w:pStyle w:val="DefinedTerms"/>
      </w:pPr>
      <w:r>
        <w:t>officer</w:t>
      </w:r>
      <w:r>
        <w:tab/>
        <w:t>9(1)</w:t>
      </w:r>
    </w:p>
    <w:p w14:paraId="766FA151" w14:textId="77777777" w:rsidR="00605784" w:rsidRDefault="00605784" w:rsidP="00605784">
      <w:pPr>
        <w:pStyle w:val="DefinedTerms"/>
      </w:pPr>
      <w:r>
        <w:t>prescribed</w:t>
      </w:r>
      <w:r>
        <w:tab/>
        <w:t>3</w:t>
      </w:r>
    </w:p>
    <w:p w14:paraId="338C9311" w14:textId="77777777" w:rsidR="00605784" w:rsidRDefault="00605784" w:rsidP="00605784">
      <w:pPr>
        <w:pStyle w:val="DefinedTerms"/>
      </w:pPr>
      <w:r>
        <w:t>records contractor</w:t>
      </w:r>
      <w:r>
        <w:tab/>
        <w:t>3</w:t>
      </w:r>
    </w:p>
    <w:p w14:paraId="32F2C9B8" w14:textId="77777777" w:rsidR="00605784" w:rsidRDefault="00605784" w:rsidP="00605784">
      <w:pPr>
        <w:pStyle w:val="DefinedTerms"/>
      </w:pPr>
      <w:r>
        <w:t>relevant information</w:t>
      </w:r>
      <w:r>
        <w:tab/>
        <w:t>3</w:t>
      </w:r>
    </w:p>
    <w:p w14:paraId="273169D1" w14:textId="77777777" w:rsidR="00605784" w:rsidRDefault="00605784" w:rsidP="00605784">
      <w:pPr>
        <w:pStyle w:val="DefinedTerms"/>
      </w:pPr>
      <w:r>
        <w:t>responsible person</w:t>
      </w:r>
      <w:r>
        <w:tab/>
        <w:t>3</w:t>
      </w:r>
    </w:p>
    <w:p w14:paraId="2DB545D4" w14:textId="77777777" w:rsidR="00605784" w:rsidRDefault="00605784" w:rsidP="00605784">
      <w:pPr>
        <w:pStyle w:val="DefinedTerms"/>
      </w:pPr>
      <w:r>
        <w:t>serious public health incident powers</w:t>
      </w:r>
      <w:r>
        <w:tab/>
        <w:t>3</w:t>
      </w:r>
    </w:p>
    <w:p w14:paraId="1E4493C2" w14:textId="77777777" w:rsidR="00605784" w:rsidRDefault="00605784" w:rsidP="00605784">
      <w:pPr>
        <w:pStyle w:val="DefinedTerms"/>
      </w:pPr>
      <w:r>
        <w:t>statistical or summary information</w:t>
      </w:r>
      <w:r>
        <w:tab/>
        <w:t>3</w:t>
      </w:r>
    </w:p>
    <w:p w14:paraId="47E546BA" w14:textId="77777777" w:rsidR="00605784" w:rsidRDefault="00605784" w:rsidP="00605784">
      <w:pPr>
        <w:pStyle w:val="DefinedTerms"/>
      </w:pPr>
      <w:r>
        <w:t>use</w:t>
      </w:r>
      <w:r>
        <w:tab/>
        <w:t>3</w:t>
      </w:r>
    </w:p>
    <w:p w14:paraId="41D731D3" w14:textId="77777777" w:rsidR="00605784" w:rsidRDefault="00605784" w:rsidP="00605784"/>
    <w:p w14:paraId="779F46D6" w14:textId="77777777" w:rsidR="00605784" w:rsidRDefault="00605784">
      <w:pPr>
        <w:sectPr w:rsidR="00605784" w:rsidSect="00E2408E">
          <w:headerReference w:type="even" r:id="rId29"/>
          <w:headerReference w:type="default" r:id="rId30"/>
          <w:pgSz w:w="11907" w:h="16840" w:code="9"/>
          <w:pgMar w:top="2381" w:right="2409" w:bottom="3543" w:left="2409" w:header="720" w:footer="3380" w:gutter="0"/>
          <w:cols w:space="720"/>
          <w:noEndnote/>
          <w:docGrid w:linePitch="326"/>
        </w:sectPr>
      </w:pPr>
    </w:p>
    <w:p w14:paraId="346D821E" w14:textId="00982FF0" w:rsidR="00AB6DA6" w:rsidRDefault="00AB6DA6" w:rsidP="00A25BED"/>
    <w:sectPr w:rsidR="00AB6DA6" w:rsidSect="00E2408E">
      <w:headerReference w:type="even" r:id="rId31"/>
      <w:headerReference w:type="default" r:id="rId32"/>
      <w:footerReference w:type="even" r:id="rId33"/>
      <w:footerReference w:type="default" r:id="rId34"/>
      <w:headerReference w:type="first" r:id="rId35"/>
      <w:footerReference w:type="first" r:id="rId36"/>
      <w:endnotePr>
        <w:numFmt w:val="decimal"/>
      </w:endnotePr>
      <w:type w:val="continuous"/>
      <w:pgSz w:w="11907" w:h="16840" w:code="9"/>
      <w:pgMar w:top="567" w:right="1701" w:bottom="567" w:left="1701"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DAF73F" w14:textId="77777777" w:rsidR="00AB6DA6" w:rsidRDefault="007C618D">
      <w:pPr>
        <w:rPr>
          <w:b/>
          <w:sz w:val="28"/>
        </w:rPr>
      </w:pPr>
      <w:r>
        <w:rPr>
          <w:b/>
          <w:sz w:val="28"/>
        </w:rPr>
        <w:t>Endnotes</w:t>
      </w:r>
    </w:p>
    <w:p w14:paraId="0B4BF266" w14:textId="77777777" w:rsidR="00AB6DA6" w:rsidRDefault="007C618D">
      <w:pPr>
        <w:spacing w:after="240"/>
        <w:rPr>
          <w:rFonts w:ascii="Times" w:hAnsi="Times"/>
          <w:sz w:val="18"/>
        </w:rPr>
      </w:pPr>
      <w:r>
        <w:rPr>
          <w:sz w:val="20"/>
        </w:rPr>
        <w:t>[For ease of reference detach these notes and read them alongside the draft.]</w:t>
      </w:r>
    </w:p>
  </w:endnote>
  <w:endnote w:type="continuationSeparator" w:id="0">
    <w:p w14:paraId="198EA620" w14:textId="77777777" w:rsidR="00AB6DA6" w:rsidRDefault="00AB6DA6">
      <w:pPr>
        <w:pStyle w:val="Footer"/>
      </w:pPr>
    </w:p>
  </w:endnote>
  <w:endnote w:type="continuationNotice" w:id="1">
    <w:p w14:paraId="45DCA438" w14:textId="77777777" w:rsidR="00AB6DA6" w:rsidRDefault="00AB6D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2DDC3" w14:textId="77777777" w:rsidR="00D7227D" w:rsidRDefault="00D7227D">
    <w:pPr>
      <w:pStyle w:val="Footer"/>
      <w:pBdr>
        <w:bottom w:val="single" w:sz="4" w:space="1" w:color="auto"/>
      </w:pBdr>
      <w:rPr>
        <w:sz w:val="20"/>
      </w:rPr>
    </w:pPr>
  </w:p>
  <w:p w14:paraId="697279F3" w14:textId="62EF0930" w:rsidR="00D7227D" w:rsidRDefault="00D7227D">
    <w:pPr>
      <w:pStyle w:val="Footer"/>
      <w:tabs>
        <w:tab w:val="center" w:pos="3600"/>
        <w:tab w:val="right" w:pos="7080"/>
      </w:tabs>
      <w:rPr>
        <w:sz w:val="20"/>
      </w:rPr>
    </w:pPr>
    <w:r>
      <w:rPr>
        <w:sz w:val="20"/>
      </w:rPr>
      <w:tab/>
      <w:t xml:space="preserve">Version </w:t>
    </w:r>
    <w:r>
      <w:rPr>
        <w:sz w:val="20"/>
      </w:rPr>
      <w:fldChar w:fldCharType="begin"/>
    </w:r>
    <w:r>
      <w:rPr>
        <w:sz w:val="20"/>
      </w:rPr>
      <w:instrText xml:space="preserve"> DOCPROPERTY "Suffix" </w:instrText>
    </w:r>
    <w:r>
      <w:rPr>
        <w:sz w:val="20"/>
      </w:rPr>
      <w:fldChar w:fldCharType="separate"/>
    </w:r>
    <w:r w:rsidR="00554DC7">
      <w:rPr>
        <w:sz w:val="20"/>
      </w:rPr>
      <w:t>00-a0-00</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sidR="00554DC7">
      <w:rPr>
        <w:sz w:val="20"/>
      </w:rPr>
      <w:t>22 Jun 2021</w:t>
    </w:r>
    <w:r>
      <w:rPr>
        <w:sz w:val="20"/>
      </w:rPr>
      <w:fldChar w:fldCharType="end"/>
    </w:r>
  </w:p>
  <w:p w14:paraId="67BD3FB5" w14:textId="77777777" w:rsidR="00D7227D" w:rsidRDefault="00D7227D">
    <w:pPr>
      <w:pStyle w:val="Footer"/>
      <w:tabs>
        <w:tab w:val="center" w:pos="3600"/>
      </w:tabs>
      <w:rPr>
        <w:sz w:val="16"/>
      </w:rPr>
    </w:pPr>
    <w:r>
      <w:rPr>
        <w:sz w:val="16"/>
      </w:rPr>
      <w:tab/>
      <w:t>Published on www.legislation.wa.gov.au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92E82B" w14:textId="77777777" w:rsidR="00D7227D" w:rsidRDefault="00D7227D">
    <w:pPr>
      <w:pStyle w:val="Footer"/>
      <w:pBdr>
        <w:bottom w:val="single" w:sz="4" w:space="1" w:color="auto"/>
      </w:pBdr>
      <w:rPr>
        <w:sz w:val="20"/>
      </w:rPr>
    </w:pPr>
  </w:p>
  <w:p w14:paraId="5AE19B7A" w14:textId="6EF127DC" w:rsidR="00D7227D" w:rsidRDefault="00D7227D">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sidR="00554DC7">
      <w:rPr>
        <w:sz w:val="20"/>
      </w:rPr>
      <w:t>22 Jun 2021</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sidR="00554DC7">
      <w:rPr>
        <w:sz w:val="20"/>
      </w:rPr>
      <w:t>00-a0-00</w:t>
    </w:r>
    <w:r>
      <w:rPr>
        <w:sz w:val="20"/>
      </w:rPr>
      <w:fldChar w:fldCharType="end"/>
    </w:r>
  </w:p>
  <w:p w14:paraId="1C1679DB" w14:textId="77777777" w:rsidR="00D7227D" w:rsidRDefault="00D7227D">
    <w:pPr>
      <w:pStyle w:val="Footer"/>
      <w:tabs>
        <w:tab w:val="center" w:pos="3600"/>
      </w:tabs>
      <w:rPr>
        <w:sz w:val="16"/>
      </w:rPr>
    </w:pPr>
    <w:r>
      <w:rPr>
        <w:sz w:val="16"/>
      </w:rPr>
      <w:tab/>
      <w:t>Published on www.legislation.wa.gov.au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9772A" w14:textId="77777777" w:rsidR="00D7227D" w:rsidRDefault="00D7227D">
    <w:pPr>
      <w:pStyle w:val="Footer"/>
      <w:pBdr>
        <w:bottom w:val="single" w:sz="4" w:space="1" w:color="auto"/>
      </w:pBdr>
      <w:rPr>
        <w:sz w:val="20"/>
      </w:rPr>
    </w:pPr>
  </w:p>
  <w:p w14:paraId="3D4D77ED" w14:textId="2A4B44E5" w:rsidR="00D7227D" w:rsidRDefault="00D7227D">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sidR="00554DC7">
      <w:rPr>
        <w:sz w:val="20"/>
      </w:rPr>
      <w:t>22 Jun 2021</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sidR="00554DC7">
      <w:rPr>
        <w:sz w:val="20"/>
      </w:rPr>
      <w:t>00-a0-00</w:t>
    </w:r>
    <w:r>
      <w:rPr>
        <w:sz w:val="20"/>
      </w:rPr>
      <w:fldChar w:fldCharType="end"/>
    </w:r>
  </w:p>
  <w:p w14:paraId="5FFE87A0" w14:textId="77777777" w:rsidR="00D7227D" w:rsidRDefault="00D7227D">
    <w:pPr>
      <w:pStyle w:val="Footer"/>
      <w:tabs>
        <w:tab w:val="center" w:pos="3600"/>
      </w:tabs>
      <w:rPr>
        <w:sz w:val="16"/>
      </w:rPr>
    </w:pPr>
    <w:r>
      <w:rPr>
        <w:sz w:val="16"/>
      </w:rPr>
      <w:tab/>
      <w:t>Published on www.legislation.wa.gov.au</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0A273" w14:textId="77777777" w:rsidR="00D7227D" w:rsidRDefault="00D7227D">
    <w:pPr>
      <w:pStyle w:val="Footer"/>
      <w:pBdr>
        <w:bottom w:val="single" w:sz="4" w:space="1" w:color="auto"/>
      </w:pBdr>
      <w:rPr>
        <w:sz w:val="20"/>
      </w:rPr>
    </w:pPr>
  </w:p>
  <w:p w14:paraId="0D8511C9" w14:textId="30EC359E" w:rsidR="00D7227D" w:rsidRDefault="00D7227D">
    <w:pPr>
      <w:pStyle w:val="Footer"/>
      <w:tabs>
        <w:tab w:val="center" w:pos="3600"/>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xii</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sidR="00554DC7">
      <w:rPr>
        <w:sz w:val="20"/>
      </w:rPr>
      <w:t>00-a0-00</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sidR="00554DC7">
      <w:rPr>
        <w:sz w:val="20"/>
      </w:rPr>
      <w:t>22 Jun 2021</w:t>
    </w:r>
    <w:r>
      <w:rPr>
        <w:sz w:val="20"/>
      </w:rPr>
      <w:fldChar w:fldCharType="end"/>
    </w:r>
  </w:p>
  <w:p w14:paraId="45081719" w14:textId="77777777" w:rsidR="00D7227D" w:rsidRDefault="00D7227D">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06DD8C" w14:textId="77777777" w:rsidR="00D7227D" w:rsidRDefault="00D7227D">
    <w:pPr>
      <w:pStyle w:val="Footer"/>
      <w:pBdr>
        <w:bottom w:val="single" w:sz="4" w:space="1" w:color="auto"/>
      </w:pBdr>
      <w:rPr>
        <w:sz w:val="20"/>
      </w:rPr>
    </w:pPr>
  </w:p>
  <w:p w14:paraId="6F6E09C4" w14:textId="62FC5E0B" w:rsidR="00D7227D" w:rsidRDefault="00D7227D">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sidR="00554DC7">
      <w:rPr>
        <w:sz w:val="20"/>
      </w:rPr>
      <w:t>22 Jun 2021</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sidR="00554DC7">
      <w:rPr>
        <w:sz w:val="20"/>
      </w:rPr>
      <w:t>00-a0-00</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xi</w:t>
    </w:r>
    <w:r>
      <w:rPr>
        <w:sz w:val="20"/>
      </w:rPr>
      <w:fldChar w:fldCharType="end"/>
    </w:r>
  </w:p>
  <w:p w14:paraId="6B799019" w14:textId="77777777" w:rsidR="00D7227D" w:rsidRDefault="00D7227D">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D9716" w14:textId="77777777" w:rsidR="00D7227D" w:rsidRDefault="00D7227D">
    <w:pPr>
      <w:pStyle w:val="Footer"/>
      <w:pBdr>
        <w:bottom w:val="single" w:sz="4" w:space="1" w:color="auto"/>
      </w:pBdr>
      <w:rPr>
        <w:sz w:val="20"/>
      </w:rPr>
    </w:pPr>
  </w:p>
  <w:p w14:paraId="266A1583" w14:textId="3D97B0EE" w:rsidR="00D7227D" w:rsidRDefault="00D7227D">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sidR="00554DC7">
      <w:rPr>
        <w:sz w:val="20"/>
      </w:rPr>
      <w:t>22 Jun 2021</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sidR="00554DC7">
      <w:rPr>
        <w:sz w:val="20"/>
      </w:rPr>
      <w:t>00-a0-00</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i</w:t>
    </w:r>
    <w:r>
      <w:rPr>
        <w:sz w:val="20"/>
      </w:rPr>
      <w:fldChar w:fldCharType="end"/>
    </w:r>
  </w:p>
  <w:p w14:paraId="4EC8195B" w14:textId="77777777" w:rsidR="00D7227D" w:rsidRDefault="00D7227D">
    <w:pPr>
      <w:pStyle w:val="Footer"/>
      <w:tabs>
        <w:tab w:val="center" w:pos="3600"/>
      </w:tabs>
      <w:rPr>
        <w:sz w:val="16"/>
      </w:rPr>
    </w:pPr>
    <w:r>
      <w:rPr>
        <w:sz w:val="16"/>
      </w:rPr>
      <w:tab/>
      <w:t>Published on www.legislation.wa.gov.au</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0BF92" w14:textId="77777777" w:rsidR="00AB6DA6" w:rsidRPr="00A25BED" w:rsidRDefault="00AB6DA6" w:rsidP="00A25BED">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AC76F0" w14:textId="77777777" w:rsidR="00AB6DA6" w:rsidRPr="00A25BED" w:rsidRDefault="00AB6DA6" w:rsidP="00A25BED">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05B495" w14:textId="77777777" w:rsidR="00AB6DA6" w:rsidRPr="00A25BED" w:rsidRDefault="00AB6DA6" w:rsidP="00A25B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99140F" w14:textId="77777777" w:rsidR="00AB6DA6" w:rsidRDefault="007C618D">
      <w:r>
        <w:separator/>
      </w:r>
    </w:p>
  </w:footnote>
  <w:footnote w:type="continuationSeparator" w:id="0">
    <w:p w14:paraId="1E4C62DF" w14:textId="77777777" w:rsidR="00AB6DA6" w:rsidRDefault="007C61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73470A" w14:textId="77777777" w:rsidR="00554DC7" w:rsidRDefault="00554DC7">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263" w:type="dxa"/>
      <w:jc w:val="center"/>
      <w:tblLayout w:type="fixed"/>
      <w:tblCellMar>
        <w:left w:w="72" w:type="dxa"/>
        <w:right w:w="72" w:type="dxa"/>
      </w:tblCellMar>
      <w:tblLook w:val="0000" w:firstRow="0" w:lastRow="0" w:firstColumn="0" w:lastColumn="0" w:noHBand="0" w:noVBand="0"/>
    </w:tblPr>
    <w:tblGrid>
      <w:gridCol w:w="1548"/>
      <w:gridCol w:w="5715"/>
    </w:tblGrid>
    <w:tr w:rsidR="00AB6DA6" w14:paraId="4821BBCC" w14:textId="77777777">
      <w:trPr>
        <w:jc w:val="center"/>
      </w:trPr>
      <w:tc>
        <w:tcPr>
          <w:tcW w:w="7263" w:type="dxa"/>
          <w:gridSpan w:val="2"/>
        </w:tcPr>
        <w:p w14:paraId="5941B09F" w14:textId="629E0BCE" w:rsidR="00AB6DA6" w:rsidRDefault="007C618D">
          <w:pPr>
            <w:pStyle w:val="Header"/>
          </w:pPr>
          <w:r>
            <w:rPr>
              <w:b/>
              <w:i/>
            </w:rPr>
            <w:fldChar w:fldCharType="begin"/>
          </w:r>
          <w:r>
            <w:rPr>
              <w:b/>
              <w:i/>
            </w:rPr>
            <w:instrText xml:space="preserve"> STYLEREF "Name of Act/Reg" </w:instrText>
          </w:r>
          <w:r>
            <w:rPr>
              <w:b/>
              <w:i/>
            </w:rPr>
            <w:fldChar w:fldCharType="separate"/>
          </w:r>
          <w:r w:rsidR="00554DC7">
            <w:rPr>
              <w:b/>
              <w:i/>
            </w:rPr>
            <w:t>Protection of Information (Entry Registration Information Relating to COVID-19 and Other Infectious Diseases) Act 2021</w:t>
          </w:r>
          <w:r>
            <w:rPr>
              <w:b/>
              <w:i/>
            </w:rPr>
            <w:fldChar w:fldCharType="end"/>
          </w:r>
        </w:p>
      </w:tc>
    </w:tr>
    <w:tr w:rsidR="00AB6DA6" w14:paraId="5105E152" w14:textId="77777777">
      <w:trPr>
        <w:jc w:val="center"/>
      </w:trPr>
      <w:tc>
        <w:tcPr>
          <w:tcW w:w="1548" w:type="dxa"/>
        </w:tcPr>
        <w:p w14:paraId="512E5A80" w14:textId="4D2024E2" w:rsidR="00AB6DA6" w:rsidRDefault="007C618D">
          <w:pPr>
            <w:pStyle w:val="Header"/>
            <w:spacing w:before="40"/>
          </w:pPr>
          <w:r>
            <w:rPr>
              <w:b/>
            </w:rPr>
            <w:fldChar w:fldCharType="begin"/>
          </w:r>
          <w:r w:rsidR="0089161C">
            <w:rPr>
              <w:b/>
            </w:rPr>
            <w:instrText>STYLEREF CharPartNo</w:instrText>
          </w:r>
          <w:r>
            <w:rPr>
              <w:b/>
            </w:rPr>
            <w:fldChar w:fldCharType="end"/>
          </w:r>
        </w:p>
      </w:tc>
      <w:tc>
        <w:tcPr>
          <w:tcW w:w="5715" w:type="dxa"/>
          <w:vAlign w:val="bottom"/>
        </w:tcPr>
        <w:p w14:paraId="7A52AEB9" w14:textId="10AD7C82" w:rsidR="00AB6DA6" w:rsidRDefault="007C618D">
          <w:pPr>
            <w:pStyle w:val="Header"/>
            <w:spacing w:before="40"/>
          </w:pPr>
          <w:r>
            <w:fldChar w:fldCharType="begin"/>
          </w:r>
          <w:r>
            <w:instrText xml:space="preserve"> styleref CharPartText </w:instrText>
          </w:r>
          <w:r>
            <w:fldChar w:fldCharType="end"/>
          </w:r>
        </w:p>
      </w:tc>
    </w:tr>
    <w:tr w:rsidR="00AB6DA6" w14:paraId="501B746C" w14:textId="77777777">
      <w:trPr>
        <w:jc w:val="center"/>
      </w:trPr>
      <w:tc>
        <w:tcPr>
          <w:tcW w:w="1548" w:type="dxa"/>
        </w:tcPr>
        <w:p w14:paraId="69A1F934" w14:textId="6EFE6B15" w:rsidR="00AB6DA6" w:rsidRDefault="007C618D">
          <w:pPr>
            <w:pStyle w:val="Header"/>
            <w:spacing w:before="40"/>
          </w:pPr>
          <w:r>
            <w:rPr>
              <w:b/>
            </w:rPr>
            <w:fldChar w:fldCharType="begin"/>
          </w:r>
          <w:r w:rsidR="0089161C">
            <w:rPr>
              <w:b/>
            </w:rPr>
            <w:instrText>STYLEREF CharDivNo</w:instrText>
          </w:r>
          <w:r>
            <w:rPr>
              <w:b/>
            </w:rPr>
            <w:fldChar w:fldCharType="end"/>
          </w:r>
        </w:p>
      </w:tc>
      <w:tc>
        <w:tcPr>
          <w:tcW w:w="5715" w:type="dxa"/>
          <w:vAlign w:val="bottom"/>
        </w:tcPr>
        <w:p w14:paraId="05E227BF" w14:textId="259C8D4D" w:rsidR="00AB6DA6" w:rsidRDefault="007C618D">
          <w:pPr>
            <w:pStyle w:val="Header"/>
            <w:spacing w:before="40"/>
          </w:pPr>
          <w:r>
            <w:fldChar w:fldCharType="begin"/>
          </w:r>
          <w:r>
            <w:instrText xml:space="preserve"> styleref CharDivText </w:instrText>
          </w:r>
          <w:r>
            <w:fldChar w:fldCharType="end"/>
          </w:r>
        </w:p>
      </w:tc>
    </w:tr>
    <w:tr w:rsidR="00AB6DA6" w14:paraId="79916A2B" w14:textId="77777777">
      <w:trPr>
        <w:jc w:val="center"/>
      </w:trPr>
      <w:tc>
        <w:tcPr>
          <w:tcW w:w="7263" w:type="dxa"/>
          <w:gridSpan w:val="2"/>
        </w:tcPr>
        <w:p w14:paraId="484E2940" w14:textId="6002D1A4" w:rsidR="00AB6DA6" w:rsidRDefault="007C618D">
          <w:pPr>
            <w:pStyle w:val="Header"/>
            <w:spacing w:before="40"/>
          </w:pPr>
          <w:r>
            <w:rPr>
              <w:b/>
            </w:rPr>
            <w:t xml:space="preserve">s. </w:t>
          </w:r>
          <w:r>
            <w:rPr>
              <w:b/>
            </w:rPr>
            <w:fldChar w:fldCharType="begin"/>
          </w:r>
          <w:r w:rsidR="0089161C">
            <w:rPr>
              <w:b/>
            </w:rPr>
            <w:instrText>STYLEREF CharSectNo</w:instrText>
          </w:r>
          <w:r>
            <w:rPr>
              <w:b/>
            </w:rPr>
            <w:fldChar w:fldCharType="separate"/>
          </w:r>
          <w:r w:rsidR="00554DC7">
            <w:rPr>
              <w:b/>
            </w:rPr>
            <w:t>1</w:t>
          </w:r>
          <w:r>
            <w:rPr>
              <w:b/>
            </w:rPr>
            <w:fldChar w:fldCharType="end"/>
          </w:r>
        </w:p>
      </w:tc>
    </w:tr>
  </w:tbl>
  <w:p w14:paraId="5AA2DF5E" w14:textId="77777777" w:rsidR="00AB6DA6" w:rsidRDefault="00AB6DA6">
    <w:pPr>
      <w:pStyle w:val="Header"/>
      <w:pBdr>
        <w:top w:val="single" w:sz="4" w:space="1" w:color="auto"/>
      </w:pBd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5715"/>
      <w:gridCol w:w="1548"/>
    </w:tblGrid>
    <w:tr w:rsidR="00AB6DA6" w14:paraId="1CED2326" w14:textId="77777777">
      <w:trPr>
        <w:cantSplit/>
        <w:jc w:val="center"/>
      </w:trPr>
      <w:tc>
        <w:tcPr>
          <w:tcW w:w="7263" w:type="dxa"/>
          <w:gridSpan w:val="2"/>
        </w:tcPr>
        <w:p w14:paraId="3E249822" w14:textId="6B3B857C" w:rsidR="00AB6DA6" w:rsidRDefault="007C618D">
          <w:pPr>
            <w:pStyle w:val="Header"/>
            <w:spacing w:before="40"/>
            <w:ind w:right="17"/>
            <w:jc w:val="right"/>
          </w:pPr>
          <w:r>
            <w:rPr>
              <w:b/>
              <w:i/>
            </w:rPr>
            <w:fldChar w:fldCharType="begin"/>
          </w:r>
          <w:r>
            <w:rPr>
              <w:b/>
              <w:i/>
            </w:rPr>
            <w:instrText xml:space="preserve"> STYLEREF "Name of Act/Reg" </w:instrText>
          </w:r>
          <w:r>
            <w:rPr>
              <w:b/>
              <w:i/>
            </w:rPr>
            <w:fldChar w:fldCharType="separate"/>
          </w:r>
          <w:r w:rsidR="00554DC7">
            <w:rPr>
              <w:b/>
              <w:i/>
            </w:rPr>
            <w:t>Protection of Information (Entry Registration Information Relating to COVID-19 and Other Infectious Diseases) Act 2021</w:t>
          </w:r>
          <w:r>
            <w:rPr>
              <w:b/>
              <w:i/>
            </w:rPr>
            <w:fldChar w:fldCharType="end"/>
          </w:r>
        </w:p>
      </w:tc>
    </w:tr>
    <w:tr w:rsidR="00AB6DA6" w14:paraId="0C22E380" w14:textId="77777777">
      <w:trPr>
        <w:jc w:val="center"/>
      </w:trPr>
      <w:tc>
        <w:tcPr>
          <w:tcW w:w="5715" w:type="dxa"/>
          <w:vAlign w:val="bottom"/>
        </w:tcPr>
        <w:p w14:paraId="506A37A1" w14:textId="7FF0E127" w:rsidR="00AB6DA6" w:rsidRDefault="007C618D">
          <w:pPr>
            <w:pStyle w:val="Header"/>
            <w:spacing w:before="40"/>
            <w:jc w:val="right"/>
          </w:pPr>
          <w:r>
            <w:fldChar w:fldCharType="begin"/>
          </w:r>
          <w:r>
            <w:instrText xml:space="preserve"> styleref CharPartText </w:instrText>
          </w:r>
          <w:r>
            <w:fldChar w:fldCharType="end"/>
          </w:r>
        </w:p>
      </w:tc>
      <w:tc>
        <w:tcPr>
          <w:tcW w:w="1548" w:type="dxa"/>
        </w:tcPr>
        <w:p w14:paraId="15E4F8A1" w14:textId="675802A3" w:rsidR="00AB6DA6" w:rsidRDefault="007C618D">
          <w:pPr>
            <w:pStyle w:val="Header"/>
            <w:spacing w:before="40"/>
            <w:ind w:right="17"/>
            <w:jc w:val="right"/>
          </w:pPr>
          <w:r>
            <w:rPr>
              <w:b/>
            </w:rPr>
            <w:fldChar w:fldCharType="begin"/>
          </w:r>
          <w:r w:rsidR="0089161C">
            <w:rPr>
              <w:b/>
            </w:rPr>
            <w:instrText>STYLEREF CharPartNo</w:instrText>
          </w:r>
          <w:r>
            <w:rPr>
              <w:b/>
            </w:rPr>
            <w:fldChar w:fldCharType="end"/>
          </w:r>
        </w:p>
      </w:tc>
    </w:tr>
    <w:tr w:rsidR="00AB6DA6" w14:paraId="771A6882" w14:textId="77777777">
      <w:trPr>
        <w:jc w:val="center"/>
      </w:trPr>
      <w:tc>
        <w:tcPr>
          <w:tcW w:w="5715" w:type="dxa"/>
          <w:vAlign w:val="bottom"/>
        </w:tcPr>
        <w:p w14:paraId="317E6304" w14:textId="1EFBC220" w:rsidR="00AB6DA6" w:rsidRDefault="007C618D">
          <w:pPr>
            <w:pStyle w:val="Header"/>
            <w:spacing w:before="40"/>
            <w:jc w:val="right"/>
          </w:pPr>
          <w:r>
            <w:fldChar w:fldCharType="begin"/>
          </w:r>
          <w:r>
            <w:instrText xml:space="preserve"> styleref CharDivText </w:instrText>
          </w:r>
          <w:r>
            <w:fldChar w:fldCharType="end"/>
          </w:r>
        </w:p>
      </w:tc>
      <w:tc>
        <w:tcPr>
          <w:tcW w:w="1548" w:type="dxa"/>
        </w:tcPr>
        <w:p w14:paraId="58A96F29" w14:textId="7D5B5BE0" w:rsidR="00AB6DA6" w:rsidRDefault="007C618D">
          <w:pPr>
            <w:pStyle w:val="Header"/>
            <w:spacing w:before="40"/>
            <w:ind w:right="17"/>
            <w:jc w:val="right"/>
          </w:pPr>
          <w:r>
            <w:rPr>
              <w:b/>
            </w:rPr>
            <w:fldChar w:fldCharType="begin"/>
          </w:r>
          <w:r w:rsidR="0089161C">
            <w:rPr>
              <w:b/>
            </w:rPr>
            <w:instrText>STYLEREF CharDivNo</w:instrText>
          </w:r>
          <w:r>
            <w:rPr>
              <w:b/>
            </w:rPr>
            <w:fldChar w:fldCharType="end"/>
          </w:r>
        </w:p>
      </w:tc>
    </w:tr>
    <w:tr w:rsidR="00AB6DA6" w14:paraId="62B84465" w14:textId="77777777">
      <w:trPr>
        <w:cantSplit/>
        <w:jc w:val="center"/>
      </w:trPr>
      <w:tc>
        <w:tcPr>
          <w:tcW w:w="7263" w:type="dxa"/>
          <w:gridSpan w:val="2"/>
        </w:tcPr>
        <w:p w14:paraId="4B2843A7" w14:textId="280744E4" w:rsidR="00AB6DA6" w:rsidRDefault="007C618D">
          <w:pPr>
            <w:pStyle w:val="Header"/>
            <w:spacing w:before="40"/>
            <w:ind w:right="17"/>
            <w:jc w:val="right"/>
          </w:pPr>
          <w:r>
            <w:rPr>
              <w:b/>
            </w:rPr>
            <w:t xml:space="preserve">s. </w:t>
          </w:r>
          <w:r>
            <w:rPr>
              <w:b/>
            </w:rPr>
            <w:fldChar w:fldCharType="begin"/>
          </w:r>
          <w:r w:rsidR="0089161C">
            <w:rPr>
              <w:b/>
            </w:rPr>
            <w:instrText>STYLEREF CharSectNo</w:instrText>
          </w:r>
          <w:r>
            <w:rPr>
              <w:b/>
            </w:rPr>
            <w:fldChar w:fldCharType="separate"/>
          </w:r>
          <w:r w:rsidR="00554DC7">
            <w:rPr>
              <w:b/>
            </w:rPr>
            <w:t>1</w:t>
          </w:r>
          <w:r>
            <w:rPr>
              <w:b/>
            </w:rPr>
            <w:fldChar w:fldCharType="end"/>
          </w:r>
        </w:p>
      </w:tc>
    </w:tr>
  </w:tbl>
  <w:p w14:paraId="5224B1A7" w14:textId="77777777" w:rsidR="00AB6DA6" w:rsidRDefault="00AB6DA6">
    <w:pPr>
      <w:pStyle w:val="Header"/>
      <w:pBdr>
        <w:top w:val="single" w:sz="4" w:space="1" w:color="auto"/>
      </w:pBd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1548"/>
      <w:gridCol w:w="5764"/>
    </w:tblGrid>
    <w:tr w:rsidR="00C63430" w14:paraId="34B2D669" w14:textId="77777777">
      <w:trPr>
        <w:cantSplit/>
        <w:jc w:val="center"/>
      </w:trPr>
      <w:tc>
        <w:tcPr>
          <w:tcW w:w="7312" w:type="dxa"/>
          <w:gridSpan w:val="2"/>
        </w:tcPr>
        <w:p w14:paraId="726F58E9" w14:textId="7B53F9F5" w:rsidR="00C63430" w:rsidRDefault="00C63430">
          <w:pPr>
            <w:pStyle w:val="Header"/>
          </w:pPr>
          <w:r>
            <w:rPr>
              <w:b/>
              <w:i/>
            </w:rPr>
            <w:fldChar w:fldCharType="begin"/>
          </w:r>
          <w:r>
            <w:rPr>
              <w:b/>
              <w:i/>
            </w:rPr>
            <w:instrText xml:space="preserve"> STYLEREF "Name of Act/Reg" </w:instrText>
          </w:r>
          <w:r>
            <w:rPr>
              <w:b/>
              <w:i/>
            </w:rPr>
            <w:fldChar w:fldCharType="separate"/>
          </w:r>
          <w:r w:rsidR="00554DC7">
            <w:rPr>
              <w:b/>
              <w:i/>
            </w:rPr>
            <w:t>Protection of Information (Entry Registration Information Relating to COVID-19 and Other Infectious Diseases) Act 2021</w:t>
          </w:r>
          <w:r>
            <w:rPr>
              <w:b/>
              <w:i/>
            </w:rPr>
            <w:fldChar w:fldCharType="end"/>
          </w:r>
        </w:p>
      </w:tc>
    </w:tr>
    <w:tr w:rsidR="00C63430" w14:paraId="0E8A9A13" w14:textId="77777777">
      <w:trPr>
        <w:jc w:val="center"/>
      </w:trPr>
      <w:tc>
        <w:tcPr>
          <w:tcW w:w="1548" w:type="dxa"/>
        </w:tcPr>
        <w:p w14:paraId="4BD8460C" w14:textId="74B64597" w:rsidR="00C63430" w:rsidRDefault="00C63430">
          <w:pPr>
            <w:pStyle w:val="Header"/>
            <w:spacing w:before="40"/>
          </w:pPr>
          <w:r>
            <w:rPr>
              <w:b/>
            </w:rPr>
            <w:fldChar w:fldCharType="begin"/>
          </w:r>
          <w:r>
            <w:rPr>
              <w:b/>
            </w:rPr>
            <w:instrText xml:space="preserve"> STYLEREF "nHeading 2" </w:instrText>
          </w:r>
          <w:r>
            <w:rPr>
              <w:b/>
            </w:rPr>
            <w:fldChar w:fldCharType="separate"/>
          </w:r>
          <w:r w:rsidR="00554DC7">
            <w:rPr>
              <w:b/>
            </w:rPr>
            <w:t>Notes</w:t>
          </w:r>
          <w:r>
            <w:rPr>
              <w:b/>
            </w:rPr>
            <w:fldChar w:fldCharType="end"/>
          </w:r>
        </w:p>
      </w:tc>
      <w:tc>
        <w:tcPr>
          <w:tcW w:w="5764" w:type="dxa"/>
        </w:tcPr>
        <w:p w14:paraId="43041446" w14:textId="7091D428" w:rsidR="00C63430" w:rsidRDefault="00C63430">
          <w:pPr>
            <w:pStyle w:val="Header"/>
            <w:spacing w:before="40"/>
          </w:pPr>
          <w:r>
            <w:fldChar w:fldCharType="begin"/>
          </w:r>
          <w:r>
            <w:instrText xml:space="preserve"> STYLEREF "nHeading 3" </w:instrText>
          </w:r>
          <w:r>
            <w:fldChar w:fldCharType="separate"/>
          </w:r>
          <w:r w:rsidR="00554DC7">
            <w:t>Compilation table</w:t>
          </w:r>
          <w:r>
            <w:fldChar w:fldCharType="end"/>
          </w:r>
        </w:p>
      </w:tc>
    </w:tr>
    <w:tr w:rsidR="00C63430" w14:paraId="694A28C7" w14:textId="77777777">
      <w:trPr>
        <w:jc w:val="center"/>
      </w:trPr>
      <w:tc>
        <w:tcPr>
          <w:tcW w:w="1548" w:type="dxa"/>
        </w:tcPr>
        <w:p w14:paraId="764579CE" w14:textId="77777777" w:rsidR="00C63430" w:rsidRDefault="00C63430">
          <w:pPr>
            <w:pStyle w:val="Header"/>
            <w:spacing w:before="40"/>
          </w:pPr>
        </w:p>
      </w:tc>
      <w:tc>
        <w:tcPr>
          <w:tcW w:w="5764" w:type="dxa"/>
        </w:tcPr>
        <w:p w14:paraId="625EC8CC" w14:textId="77777777" w:rsidR="00C63430" w:rsidRDefault="00C63430">
          <w:pPr>
            <w:pStyle w:val="Header"/>
            <w:spacing w:before="40"/>
          </w:pPr>
        </w:p>
      </w:tc>
    </w:tr>
    <w:tr w:rsidR="00C63430" w14:paraId="137C9B46" w14:textId="77777777">
      <w:trPr>
        <w:cantSplit/>
        <w:jc w:val="center"/>
      </w:trPr>
      <w:tc>
        <w:tcPr>
          <w:tcW w:w="7312" w:type="dxa"/>
          <w:gridSpan w:val="2"/>
        </w:tcPr>
        <w:p w14:paraId="5D0B3EFF" w14:textId="77777777" w:rsidR="00C63430" w:rsidRDefault="00C63430">
          <w:pPr>
            <w:pStyle w:val="Header"/>
            <w:spacing w:before="40"/>
          </w:pPr>
        </w:p>
      </w:tc>
    </w:tr>
  </w:tbl>
  <w:p w14:paraId="2E5D8FB7" w14:textId="77777777" w:rsidR="00C63430" w:rsidRDefault="00C63430">
    <w:pPr>
      <w:pStyle w:val="Header"/>
      <w:pBdr>
        <w:top w:val="single" w:sz="4" w:space="1" w:color="auto"/>
      </w:pBd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5760"/>
      <w:gridCol w:w="1552"/>
    </w:tblGrid>
    <w:tr w:rsidR="00C63430" w14:paraId="4E0C15EA" w14:textId="77777777">
      <w:trPr>
        <w:cantSplit/>
        <w:jc w:val="center"/>
      </w:trPr>
      <w:tc>
        <w:tcPr>
          <w:tcW w:w="7312" w:type="dxa"/>
          <w:gridSpan w:val="2"/>
        </w:tcPr>
        <w:p w14:paraId="1ECD88F6" w14:textId="77937CF9" w:rsidR="00C63430" w:rsidRDefault="00C63430">
          <w:pPr>
            <w:pStyle w:val="Header"/>
            <w:ind w:right="17"/>
            <w:jc w:val="right"/>
          </w:pPr>
          <w:r>
            <w:rPr>
              <w:b/>
              <w:i/>
            </w:rPr>
            <w:fldChar w:fldCharType="begin"/>
          </w:r>
          <w:r>
            <w:rPr>
              <w:b/>
              <w:i/>
            </w:rPr>
            <w:instrText xml:space="preserve"> STYLEREF "Name of Act/Reg" </w:instrText>
          </w:r>
          <w:r>
            <w:rPr>
              <w:b/>
              <w:i/>
            </w:rPr>
            <w:fldChar w:fldCharType="separate"/>
          </w:r>
          <w:r w:rsidR="00554DC7">
            <w:rPr>
              <w:b/>
              <w:i/>
            </w:rPr>
            <w:t>Protection of Information (Entry Registration Information Relating to COVID-19 and Other Infectious Diseases) Act 2021</w:t>
          </w:r>
          <w:r>
            <w:rPr>
              <w:b/>
              <w:i/>
            </w:rPr>
            <w:fldChar w:fldCharType="end"/>
          </w:r>
        </w:p>
      </w:tc>
    </w:tr>
    <w:tr w:rsidR="00C63430" w14:paraId="7083667D" w14:textId="77777777">
      <w:trPr>
        <w:jc w:val="center"/>
      </w:trPr>
      <w:tc>
        <w:tcPr>
          <w:tcW w:w="5760" w:type="dxa"/>
        </w:tcPr>
        <w:p w14:paraId="40B195F6" w14:textId="3D74B36A" w:rsidR="00C63430" w:rsidRDefault="00C63430">
          <w:pPr>
            <w:pStyle w:val="Header"/>
            <w:spacing w:before="40"/>
            <w:jc w:val="right"/>
          </w:pPr>
          <w:r>
            <w:fldChar w:fldCharType="begin"/>
          </w:r>
          <w:r>
            <w:instrText xml:space="preserve"> STYLEREF "nHeading 3" </w:instrText>
          </w:r>
          <w:r>
            <w:fldChar w:fldCharType="separate"/>
          </w:r>
          <w:r w:rsidR="00554DC7">
            <w:t>Compilation table</w:t>
          </w:r>
          <w:r>
            <w:fldChar w:fldCharType="end"/>
          </w:r>
        </w:p>
      </w:tc>
      <w:tc>
        <w:tcPr>
          <w:tcW w:w="1552" w:type="dxa"/>
        </w:tcPr>
        <w:p w14:paraId="77D2E40B" w14:textId="2F42731B" w:rsidR="00C63430" w:rsidRDefault="00C63430">
          <w:pPr>
            <w:pStyle w:val="Header"/>
            <w:spacing w:before="40"/>
            <w:ind w:right="17"/>
            <w:jc w:val="right"/>
          </w:pPr>
          <w:r>
            <w:rPr>
              <w:b/>
            </w:rPr>
            <w:fldChar w:fldCharType="begin"/>
          </w:r>
          <w:r>
            <w:rPr>
              <w:b/>
            </w:rPr>
            <w:instrText xml:space="preserve"> STYLEREF "nHeading 2" </w:instrText>
          </w:r>
          <w:r>
            <w:rPr>
              <w:b/>
            </w:rPr>
            <w:fldChar w:fldCharType="separate"/>
          </w:r>
          <w:r w:rsidR="00554DC7">
            <w:rPr>
              <w:b/>
            </w:rPr>
            <w:t>Notes</w:t>
          </w:r>
          <w:r>
            <w:rPr>
              <w:b/>
            </w:rPr>
            <w:fldChar w:fldCharType="end"/>
          </w:r>
        </w:p>
      </w:tc>
    </w:tr>
    <w:tr w:rsidR="00C63430" w14:paraId="78DBF136" w14:textId="77777777">
      <w:trPr>
        <w:jc w:val="center"/>
      </w:trPr>
      <w:tc>
        <w:tcPr>
          <w:tcW w:w="5760" w:type="dxa"/>
        </w:tcPr>
        <w:p w14:paraId="7BFFCA35" w14:textId="77777777" w:rsidR="00C63430" w:rsidRDefault="00C63430">
          <w:pPr>
            <w:pStyle w:val="Header"/>
            <w:spacing w:before="40"/>
            <w:jc w:val="right"/>
          </w:pPr>
        </w:p>
      </w:tc>
      <w:tc>
        <w:tcPr>
          <w:tcW w:w="1552" w:type="dxa"/>
        </w:tcPr>
        <w:p w14:paraId="1EFD5CC0" w14:textId="77777777" w:rsidR="00C63430" w:rsidRDefault="00C63430">
          <w:pPr>
            <w:pStyle w:val="Header"/>
            <w:spacing w:before="40"/>
            <w:ind w:right="17"/>
            <w:jc w:val="right"/>
          </w:pPr>
        </w:p>
      </w:tc>
    </w:tr>
    <w:tr w:rsidR="00C63430" w14:paraId="26FF8812" w14:textId="77777777">
      <w:trPr>
        <w:cantSplit/>
        <w:jc w:val="center"/>
      </w:trPr>
      <w:tc>
        <w:tcPr>
          <w:tcW w:w="7312" w:type="dxa"/>
          <w:gridSpan w:val="2"/>
        </w:tcPr>
        <w:p w14:paraId="28C19F0D" w14:textId="77777777" w:rsidR="00C63430" w:rsidRDefault="00C63430">
          <w:pPr>
            <w:pStyle w:val="Header"/>
            <w:spacing w:before="40"/>
            <w:ind w:right="17"/>
            <w:jc w:val="right"/>
          </w:pPr>
        </w:p>
      </w:tc>
    </w:tr>
  </w:tbl>
  <w:p w14:paraId="3413E5EB" w14:textId="77777777" w:rsidR="00C63430" w:rsidRDefault="00C63430">
    <w:pPr>
      <w:pStyle w:val="Header"/>
      <w:pBdr>
        <w:top w:val="single" w:sz="4" w:space="1" w:color="auto"/>
      </w:pBdr>
    </w:pPr>
    <w:bookmarkStart w:id="21" w:name="Compilation"/>
    <w:bookmarkEnd w:id="21"/>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1348"/>
      <w:gridCol w:w="5915"/>
    </w:tblGrid>
    <w:tr w:rsidR="00605784" w14:paraId="2C5FA14D" w14:textId="77777777">
      <w:trPr>
        <w:cantSplit/>
        <w:jc w:val="center"/>
      </w:trPr>
      <w:tc>
        <w:tcPr>
          <w:tcW w:w="7263" w:type="dxa"/>
          <w:gridSpan w:val="2"/>
        </w:tcPr>
        <w:p w14:paraId="3E8FC404" w14:textId="69F566FE" w:rsidR="00605784" w:rsidRDefault="00605784">
          <w:pPr>
            <w:pStyle w:val="Header"/>
          </w:pPr>
          <w:r>
            <w:rPr>
              <w:b/>
              <w:i/>
            </w:rPr>
            <w:fldChar w:fldCharType="begin"/>
          </w:r>
          <w:r>
            <w:rPr>
              <w:b/>
              <w:i/>
            </w:rPr>
            <w:instrText xml:space="preserve"> STYLEREF "Name of Act/Reg" </w:instrText>
          </w:r>
          <w:r>
            <w:rPr>
              <w:b/>
              <w:i/>
            </w:rPr>
            <w:fldChar w:fldCharType="separate"/>
          </w:r>
          <w:r w:rsidR="00554DC7">
            <w:rPr>
              <w:b/>
              <w:i/>
            </w:rPr>
            <w:t>Protection of Information (Entry Registration Information Relating to COVID-19 and Other Infectious Diseases) Act 2021</w:t>
          </w:r>
          <w:r>
            <w:rPr>
              <w:b/>
              <w:i/>
            </w:rPr>
            <w:fldChar w:fldCharType="end"/>
          </w:r>
        </w:p>
      </w:tc>
    </w:tr>
    <w:tr w:rsidR="00605784" w14:paraId="4DB607EB" w14:textId="77777777">
      <w:trPr>
        <w:jc w:val="center"/>
      </w:trPr>
      <w:tc>
        <w:tcPr>
          <w:tcW w:w="1348" w:type="dxa"/>
        </w:tcPr>
        <w:p w14:paraId="6BBBC443" w14:textId="77777777" w:rsidR="00605784" w:rsidRDefault="00605784">
          <w:pPr>
            <w:pStyle w:val="Header"/>
            <w:spacing w:before="40"/>
          </w:pPr>
        </w:p>
      </w:tc>
      <w:tc>
        <w:tcPr>
          <w:tcW w:w="5915" w:type="dxa"/>
        </w:tcPr>
        <w:p w14:paraId="1D652E83" w14:textId="77777777" w:rsidR="00605784" w:rsidRDefault="00605784">
          <w:pPr>
            <w:pStyle w:val="Header"/>
            <w:spacing w:before="40"/>
          </w:pPr>
        </w:p>
      </w:tc>
    </w:tr>
    <w:tr w:rsidR="00605784" w14:paraId="73DE926A" w14:textId="77777777">
      <w:trPr>
        <w:jc w:val="center"/>
      </w:trPr>
      <w:tc>
        <w:tcPr>
          <w:tcW w:w="1348" w:type="dxa"/>
        </w:tcPr>
        <w:p w14:paraId="5B5AA247" w14:textId="77777777" w:rsidR="00605784" w:rsidRDefault="00605784">
          <w:pPr>
            <w:pStyle w:val="Header"/>
            <w:spacing w:before="40"/>
          </w:pPr>
        </w:p>
      </w:tc>
      <w:tc>
        <w:tcPr>
          <w:tcW w:w="5915" w:type="dxa"/>
        </w:tcPr>
        <w:p w14:paraId="3F106AD0" w14:textId="77777777" w:rsidR="00605784" w:rsidRDefault="00605784">
          <w:pPr>
            <w:pStyle w:val="Header"/>
            <w:spacing w:before="40"/>
          </w:pPr>
        </w:p>
      </w:tc>
    </w:tr>
    <w:tr w:rsidR="00605784" w14:paraId="74CBB5BF" w14:textId="77777777">
      <w:trPr>
        <w:cantSplit/>
        <w:jc w:val="center"/>
      </w:trPr>
      <w:tc>
        <w:tcPr>
          <w:tcW w:w="7263" w:type="dxa"/>
          <w:gridSpan w:val="2"/>
        </w:tcPr>
        <w:p w14:paraId="3CA3D914" w14:textId="77777777" w:rsidR="00605784" w:rsidRDefault="00605784">
          <w:pPr>
            <w:pStyle w:val="Header"/>
          </w:pPr>
          <w:r>
            <w:t>Defined terms</w:t>
          </w:r>
        </w:p>
      </w:tc>
    </w:tr>
  </w:tbl>
  <w:p w14:paraId="4608464A" w14:textId="77777777" w:rsidR="00605784" w:rsidRDefault="00605784">
    <w:pPr>
      <w:pStyle w:val="Header"/>
      <w:pBdr>
        <w:top w:val="single" w:sz="4" w:space="1" w:color="auto"/>
      </w:pBd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5884"/>
      <w:gridCol w:w="1379"/>
    </w:tblGrid>
    <w:tr w:rsidR="00605784" w14:paraId="6AA01F60" w14:textId="77777777">
      <w:trPr>
        <w:cantSplit/>
        <w:jc w:val="center"/>
      </w:trPr>
      <w:tc>
        <w:tcPr>
          <w:tcW w:w="7263" w:type="dxa"/>
          <w:gridSpan w:val="2"/>
        </w:tcPr>
        <w:p w14:paraId="52D5AECF" w14:textId="045B35CC" w:rsidR="00605784" w:rsidRDefault="00605784">
          <w:pPr>
            <w:pStyle w:val="Header"/>
            <w:spacing w:before="40"/>
            <w:ind w:right="17"/>
            <w:jc w:val="right"/>
          </w:pPr>
          <w:r>
            <w:rPr>
              <w:b/>
              <w:i/>
            </w:rPr>
            <w:fldChar w:fldCharType="begin"/>
          </w:r>
          <w:r>
            <w:rPr>
              <w:b/>
              <w:i/>
            </w:rPr>
            <w:instrText xml:space="preserve"> STYLEREF "Name of Act/Reg" </w:instrText>
          </w:r>
          <w:r>
            <w:rPr>
              <w:b/>
              <w:i/>
            </w:rPr>
            <w:fldChar w:fldCharType="separate"/>
          </w:r>
          <w:r w:rsidR="00554DC7">
            <w:rPr>
              <w:b/>
              <w:i/>
            </w:rPr>
            <w:t>Protection of Information (Entry Registration Information Relating to COVID-19 and Other Infectious Diseases) Act 2021</w:t>
          </w:r>
          <w:r>
            <w:rPr>
              <w:b/>
              <w:i/>
            </w:rPr>
            <w:fldChar w:fldCharType="end"/>
          </w:r>
        </w:p>
      </w:tc>
    </w:tr>
    <w:tr w:rsidR="00605784" w14:paraId="121EB0C8" w14:textId="77777777">
      <w:trPr>
        <w:jc w:val="center"/>
      </w:trPr>
      <w:tc>
        <w:tcPr>
          <w:tcW w:w="5884" w:type="dxa"/>
        </w:tcPr>
        <w:p w14:paraId="1BE0A076" w14:textId="77777777" w:rsidR="00605784" w:rsidRDefault="00605784">
          <w:pPr>
            <w:pStyle w:val="Header"/>
            <w:spacing w:before="40"/>
            <w:jc w:val="right"/>
          </w:pPr>
        </w:p>
      </w:tc>
      <w:tc>
        <w:tcPr>
          <w:tcW w:w="1379" w:type="dxa"/>
        </w:tcPr>
        <w:p w14:paraId="137888A4" w14:textId="77777777" w:rsidR="00605784" w:rsidRDefault="00605784">
          <w:pPr>
            <w:pStyle w:val="Header"/>
            <w:spacing w:before="40"/>
            <w:ind w:right="17"/>
            <w:jc w:val="right"/>
          </w:pPr>
        </w:p>
      </w:tc>
    </w:tr>
    <w:tr w:rsidR="00605784" w14:paraId="65EECB89" w14:textId="77777777">
      <w:trPr>
        <w:jc w:val="center"/>
      </w:trPr>
      <w:tc>
        <w:tcPr>
          <w:tcW w:w="5884" w:type="dxa"/>
        </w:tcPr>
        <w:p w14:paraId="3E709AC9" w14:textId="77777777" w:rsidR="00605784" w:rsidRDefault="00605784">
          <w:pPr>
            <w:pStyle w:val="Header"/>
            <w:spacing w:before="40"/>
            <w:jc w:val="right"/>
          </w:pPr>
        </w:p>
      </w:tc>
      <w:tc>
        <w:tcPr>
          <w:tcW w:w="1379" w:type="dxa"/>
        </w:tcPr>
        <w:p w14:paraId="00EED85B" w14:textId="77777777" w:rsidR="00605784" w:rsidRDefault="00605784">
          <w:pPr>
            <w:pStyle w:val="Header"/>
            <w:spacing w:before="40"/>
            <w:ind w:right="17"/>
            <w:jc w:val="right"/>
          </w:pPr>
        </w:p>
      </w:tc>
    </w:tr>
    <w:tr w:rsidR="00605784" w14:paraId="37065B47" w14:textId="77777777">
      <w:trPr>
        <w:cantSplit/>
        <w:jc w:val="center"/>
      </w:trPr>
      <w:tc>
        <w:tcPr>
          <w:tcW w:w="7263" w:type="dxa"/>
          <w:gridSpan w:val="2"/>
        </w:tcPr>
        <w:p w14:paraId="1503349E" w14:textId="77777777" w:rsidR="00605784" w:rsidRDefault="00605784">
          <w:pPr>
            <w:pStyle w:val="Header"/>
            <w:spacing w:before="40"/>
            <w:ind w:right="17"/>
            <w:jc w:val="right"/>
          </w:pPr>
          <w:r>
            <w:t>Defined terms</w:t>
          </w:r>
        </w:p>
      </w:tc>
    </w:tr>
  </w:tbl>
  <w:p w14:paraId="09E89062" w14:textId="77777777" w:rsidR="00605784" w:rsidRDefault="00605784">
    <w:pPr>
      <w:pStyle w:val="Header"/>
      <w:pBdr>
        <w:top w:val="single" w:sz="4" w:space="1" w:color="auto"/>
      </w:pBdr>
    </w:pPr>
    <w:bookmarkStart w:id="25" w:name="DefinedTerms"/>
    <w:bookmarkEnd w:id="25"/>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DD409A" w14:textId="77777777" w:rsidR="00AB6DA6" w:rsidRPr="00A25BED" w:rsidRDefault="00AB6DA6" w:rsidP="00A25BED">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6E5D8F" w14:textId="77777777" w:rsidR="00AB6DA6" w:rsidRPr="00A25BED" w:rsidRDefault="00AB6DA6" w:rsidP="00A25BED">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E3A1E7" w14:textId="77777777" w:rsidR="00AB6DA6" w:rsidRPr="00A25BED" w:rsidRDefault="00AB6DA6" w:rsidP="00A25BED">
    <w:pPr>
      <w:pStyle w:val="Header"/>
    </w:pPr>
    <w:bookmarkStart w:id="26" w:name="Coversheet"/>
    <w:bookmarkEnd w:id="26"/>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61D5A" w14:textId="77777777" w:rsidR="00554DC7" w:rsidRDefault="00554D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B17C5E" w14:textId="77777777" w:rsidR="004F0464" w:rsidRDefault="004F0464">
    <w:pPr>
      <w:pStyle w:val="Header"/>
    </w:pPr>
    <w:bookmarkStart w:id="1" w:name="TitlePage"/>
    <w:bookmarkEnd w:id="1"/>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1548"/>
      <w:gridCol w:w="5715"/>
    </w:tblGrid>
    <w:tr w:rsidR="00C63430" w14:paraId="1DB46ED5" w14:textId="77777777">
      <w:trPr>
        <w:cantSplit/>
        <w:jc w:val="center"/>
      </w:trPr>
      <w:tc>
        <w:tcPr>
          <w:tcW w:w="7258" w:type="dxa"/>
          <w:gridSpan w:val="2"/>
        </w:tcPr>
        <w:p w14:paraId="6CD40AEF" w14:textId="7DCAE87B" w:rsidR="00C63430" w:rsidRDefault="00C63430">
          <w:pPr>
            <w:pStyle w:val="Header"/>
          </w:pPr>
          <w:r>
            <w:rPr>
              <w:b/>
              <w:i/>
            </w:rPr>
            <w:fldChar w:fldCharType="begin"/>
          </w:r>
          <w:r>
            <w:rPr>
              <w:b/>
              <w:i/>
            </w:rPr>
            <w:instrText xml:space="preserve"> STYLEREF "Name of Act/Reg" </w:instrText>
          </w:r>
          <w:r>
            <w:rPr>
              <w:b/>
              <w:i/>
            </w:rPr>
            <w:fldChar w:fldCharType="separate"/>
          </w:r>
          <w:r w:rsidR="00554DC7">
            <w:rPr>
              <w:b/>
              <w:i/>
            </w:rPr>
            <w:t>Protection of Information (Entry Registration Information Relating to COVID-19 and Other Infectious Diseases) Act 2021</w:t>
          </w:r>
          <w:r>
            <w:rPr>
              <w:b/>
              <w:i/>
            </w:rPr>
            <w:fldChar w:fldCharType="end"/>
          </w:r>
        </w:p>
      </w:tc>
    </w:tr>
    <w:tr w:rsidR="00C63430" w14:paraId="3CEAD146" w14:textId="77777777">
      <w:trPr>
        <w:jc w:val="center"/>
      </w:trPr>
      <w:tc>
        <w:tcPr>
          <w:tcW w:w="1548" w:type="dxa"/>
        </w:tcPr>
        <w:p w14:paraId="2E0CAC89" w14:textId="77777777" w:rsidR="00C63430" w:rsidRDefault="00C63430">
          <w:pPr>
            <w:pStyle w:val="Header"/>
            <w:spacing w:before="40"/>
          </w:pPr>
        </w:p>
      </w:tc>
      <w:tc>
        <w:tcPr>
          <w:tcW w:w="5715" w:type="dxa"/>
        </w:tcPr>
        <w:p w14:paraId="3743BE5D" w14:textId="77777777" w:rsidR="00C63430" w:rsidRDefault="00C63430">
          <w:pPr>
            <w:pStyle w:val="Header"/>
            <w:spacing w:before="40"/>
          </w:pPr>
        </w:p>
      </w:tc>
    </w:tr>
    <w:tr w:rsidR="00C63430" w14:paraId="62672E2F" w14:textId="77777777">
      <w:trPr>
        <w:jc w:val="center"/>
      </w:trPr>
      <w:tc>
        <w:tcPr>
          <w:tcW w:w="1548" w:type="dxa"/>
        </w:tcPr>
        <w:p w14:paraId="176B3BF4" w14:textId="77777777" w:rsidR="00C63430" w:rsidRDefault="00C63430">
          <w:pPr>
            <w:pStyle w:val="Header"/>
            <w:spacing w:before="40"/>
          </w:pPr>
        </w:p>
      </w:tc>
      <w:tc>
        <w:tcPr>
          <w:tcW w:w="5715" w:type="dxa"/>
        </w:tcPr>
        <w:p w14:paraId="07E7CB19" w14:textId="77777777" w:rsidR="00C63430" w:rsidRDefault="00C63430">
          <w:pPr>
            <w:pStyle w:val="Header"/>
            <w:spacing w:before="40"/>
          </w:pPr>
        </w:p>
      </w:tc>
    </w:tr>
    <w:tr w:rsidR="00C63430" w14:paraId="2AC16C13" w14:textId="77777777">
      <w:trPr>
        <w:cantSplit/>
        <w:jc w:val="center"/>
      </w:trPr>
      <w:tc>
        <w:tcPr>
          <w:tcW w:w="7258" w:type="dxa"/>
          <w:gridSpan w:val="2"/>
        </w:tcPr>
        <w:p w14:paraId="2B63B271" w14:textId="77777777" w:rsidR="00C63430" w:rsidRDefault="00C63430">
          <w:pPr>
            <w:pStyle w:val="Header"/>
            <w:spacing w:before="40"/>
          </w:pPr>
          <w:r>
            <w:t>Contents</w:t>
          </w:r>
        </w:p>
      </w:tc>
    </w:tr>
  </w:tbl>
  <w:p w14:paraId="595BD244" w14:textId="77777777" w:rsidR="00C63430" w:rsidRDefault="00C63430">
    <w:pPr>
      <w:pStyle w:val="Header"/>
      <w:pBdr>
        <w:top w:val="single" w:sz="4" w:space="1"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5715"/>
      <w:gridCol w:w="1548"/>
    </w:tblGrid>
    <w:tr w:rsidR="00C63430" w14:paraId="30D04843" w14:textId="77777777">
      <w:trPr>
        <w:cantSplit/>
        <w:jc w:val="center"/>
      </w:trPr>
      <w:tc>
        <w:tcPr>
          <w:tcW w:w="7258" w:type="dxa"/>
          <w:gridSpan w:val="2"/>
        </w:tcPr>
        <w:p w14:paraId="0382179B" w14:textId="4807A57D" w:rsidR="00C63430" w:rsidRDefault="00C63430">
          <w:pPr>
            <w:pStyle w:val="Header"/>
            <w:ind w:right="17"/>
            <w:jc w:val="right"/>
          </w:pPr>
          <w:r>
            <w:rPr>
              <w:b/>
              <w:i/>
            </w:rPr>
            <w:fldChar w:fldCharType="begin"/>
          </w:r>
          <w:r>
            <w:rPr>
              <w:b/>
              <w:i/>
            </w:rPr>
            <w:instrText xml:space="preserve"> STYLEREF "Name of Act/Reg" </w:instrText>
          </w:r>
          <w:r>
            <w:rPr>
              <w:b/>
              <w:i/>
            </w:rPr>
            <w:fldChar w:fldCharType="separate"/>
          </w:r>
          <w:r w:rsidR="00554DC7">
            <w:rPr>
              <w:b/>
              <w:i/>
            </w:rPr>
            <w:t>Protection of Information (Entry Registration Information Relating to COVID-19 and Other Infectious Diseases) Act 2021</w:t>
          </w:r>
          <w:r>
            <w:rPr>
              <w:b/>
              <w:i/>
            </w:rPr>
            <w:fldChar w:fldCharType="end"/>
          </w:r>
        </w:p>
      </w:tc>
    </w:tr>
    <w:tr w:rsidR="00C63430" w14:paraId="55B07E1B" w14:textId="77777777">
      <w:trPr>
        <w:jc w:val="center"/>
      </w:trPr>
      <w:tc>
        <w:tcPr>
          <w:tcW w:w="5715" w:type="dxa"/>
        </w:tcPr>
        <w:p w14:paraId="4170F999" w14:textId="77777777" w:rsidR="00C63430" w:rsidRDefault="00C63430">
          <w:pPr>
            <w:pStyle w:val="Header"/>
            <w:spacing w:before="40"/>
            <w:jc w:val="right"/>
          </w:pPr>
        </w:p>
      </w:tc>
      <w:tc>
        <w:tcPr>
          <w:tcW w:w="1548" w:type="dxa"/>
        </w:tcPr>
        <w:p w14:paraId="26243275" w14:textId="77777777" w:rsidR="00C63430" w:rsidRDefault="00C63430">
          <w:pPr>
            <w:pStyle w:val="Header"/>
            <w:spacing w:before="40"/>
            <w:ind w:right="17"/>
            <w:jc w:val="right"/>
          </w:pPr>
        </w:p>
      </w:tc>
    </w:tr>
    <w:tr w:rsidR="00C63430" w14:paraId="4A2932DE" w14:textId="77777777">
      <w:trPr>
        <w:jc w:val="center"/>
      </w:trPr>
      <w:tc>
        <w:tcPr>
          <w:tcW w:w="5715" w:type="dxa"/>
        </w:tcPr>
        <w:p w14:paraId="6EE2B636" w14:textId="77777777" w:rsidR="00C63430" w:rsidRDefault="00C63430">
          <w:pPr>
            <w:pStyle w:val="Header"/>
            <w:spacing w:before="40"/>
            <w:jc w:val="right"/>
          </w:pPr>
        </w:p>
      </w:tc>
      <w:tc>
        <w:tcPr>
          <w:tcW w:w="1548" w:type="dxa"/>
        </w:tcPr>
        <w:p w14:paraId="0A751EBF" w14:textId="77777777" w:rsidR="00C63430" w:rsidRDefault="00C63430">
          <w:pPr>
            <w:pStyle w:val="Header"/>
            <w:spacing w:before="40"/>
            <w:ind w:right="17"/>
            <w:jc w:val="right"/>
          </w:pPr>
        </w:p>
      </w:tc>
    </w:tr>
    <w:tr w:rsidR="00C63430" w14:paraId="470F4424" w14:textId="77777777">
      <w:trPr>
        <w:cantSplit/>
        <w:jc w:val="center"/>
      </w:trPr>
      <w:tc>
        <w:tcPr>
          <w:tcW w:w="7258" w:type="dxa"/>
          <w:gridSpan w:val="2"/>
        </w:tcPr>
        <w:p w14:paraId="2991524E" w14:textId="77777777" w:rsidR="00C63430" w:rsidRDefault="00C63430">
          <w:pPr>
            <w:pStyle w:val="Header"/>
            <w:spacing w:before="40"/>
            <w:ind w:right="17"/>
            <w:jc w:val="right"/>
          </w:pPr>
          <w:r>
            <w:t>Contents</w:t>
          </w:r>
        </w:p>
      </w:tc>
    </w:tr>
  </w:tbl>
  <w:p w14:paraId="2FB5EFB2" w14:textId="77777777" w:rsidR="00C63430" w:rsidRDefault="00C63430">
    <w:pPr>
      <w:pStyle w:val="Header"/>
      <w:pBdr>
        <w:top w:val="single" w:sz="4" w:space="1" w:color="auto"/>
      </w:pBdr>
    </w:pPr>
    <w:bookmarkStart w:id="2" w:name="TOC"/>
    <w:bookmarkEnd w:id="2"/>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074D9" w14:textId="77777777" w:rsidR="00C63430" w:rsidRDefault="00C6343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1548"/>
      <w:gridCol w:w="5715"/>
    </w:tblGrid>
    <w:tr w:rsidR="00AB6DA6" w14:paraId="3E2D6C69" w14:textId="77777777">
      <w:trPr>
        <w:cantSplit/>
        <w:jc w:val="center"/>
      </w:trPr>
      <w:tc>
        <w:tcPr>
          <w:tcW w:w="7263" w:type="dxa"/>
          <w:gridSpan w:val="2"/>
        </w:tcPr>
        <w:p w14:paraId="3D854ED1" w14:textId="553A6399" w:rsidR="00AB6DA6" w:rsidRDefault="007C618D">
          <w:pPr>
            <w:pStyle w:val="Header"/>
          </w:pPr>
          <w:r>
            <w:rPr>
              <w:b/>
              <w:i/>
            </w:rPr>
            <w:fldChar w:fldCharType="begin"/>
          </w:r>
          <w:r>
            <w:rPr>
              <w:b/>
              <w:i/>
            </w:rPr>
            <w:instrText xml:space="preserve"> STYLEREF "Name of Act/Reg" </w:instrText>
          </w:r>
          <w:r>
            <w:rPr>
              <w:b/>
              <w:i/>
            </w:rPr>
            <w:fldChar w:fldCharType="separate"/>
          </w:r>
          <w:r w:rsidR="00554DC7">
            <w:rPr>
              <w:b/>
              <w:i/>
            </w:rPr>
            <w:t>Protection of Information (Entry Registration Information Relating to COVID-19 and Other Infectious Diseases) Act 2021</w:t>
          </w:r>
          <w:r>
            <w:rPr>
              <w:b/>
              <w:i/>
            </w:rPr>
            <w:fldChar w:fldCharType="end"/>
          </w:r>
        </w:p>
      </w:tc>
    </w:tr>
    <w:tr w:rsidR="00AB6DA6" w14:paraId="13089AA5" w14:textId="77777777">
      <w:trPr>
        <w:jc w:val="center"/>
      </w:trPr>
      <w:tc>
        <w:tcPr>
          <w:tcW w:w="1548" w:type="dxa"/>
        </w:tcPr>
        <w:p w14:paraId="6FA4D2BB" w14:textId="3788844D" w:rsidR="00AB6DA6" w:rsidRDefault="007C618D">
          <w:pPr>
            <w:pStyle w:val="Header"/>
            <w:spacing w:before="40"/>
          </w:pPr>
          <w:r>
            <w:rPr>
              <w:b/>
            </w:rPr>
            <w:fldChar w:fldCharType="begin"/>
          </w:r>
          <w:r>
            <w:rPr>
              <w:b/>
            </w:rPr>
            <w:instrText xml:space="preserve"> styleref CharPartNo </w:instrText>
          </w:r>
          <w:r>
            <w:rPr>
              <w:b/>
            </w:rPr>
            <w:fldChar w:fldCharType="end"/>
          </w:r>
          <w:r>
            <w:rPr>
              <w:b/>
            </w:rPr>
            <w:t xml:space="preserve"> </w:t>
          </w:r>
          <w:r>
            <w:rPr>
              <w:b/>
            </w:rPr>
            <w:fldChar w:fldCharType="begin"/>
          </w:r>
          <w:r w:rsidR="0089161C">
            <w:rPr>
              <w:b/>
            </w:rPr>
            <w:instrText>styleref CharPartNo</w:instrText>
          </w:r>
          <w:r>
            <w:rPr>
              <w:b/>
            </w:rPr>
            <w:fldChar w:fldCharType="end"/>
          </w:r>
        </w:p>
      </w:tc>
      <w:tc>
        <w:tcPr>
          <w:tcW w:w="5715" w:type="dxa"/>
          <w:vAlign w:val="bottom"/>
        </w:tcPr>
        <w:p w14:paraId="213540ED" w14:textId="6F1EB219" w:rsidR="00AB6DA6" w:rsidRDefault="007C618D">
          <w:pPr>
            <w:pStyle w:val="Header"/>
            <w:spacing w:before="40"/>
          </w:pPr>
          <w:r>
            <w:fldChar w:fldCharType="begin"/>
          </w:r>
          <w:r>
            <w:instrText xml:space="preserve"> styleref CharPartText </w:instrText>
          </w:r>
          <w:r>
            <w:fldChar w:fldCharType="end"/>
          </w:r>
        </w:p>
      </w:tc>
    </w:tr>
    <w:tr w:rsidR="00AB6DA6" w14:paraId="4C6E085E" w14:textId="77777777">
      <w:trPr>
        <w:jc w:val="center"/>
      </w:trPr>
      <w:tc>
        <w:tcPr>
          <w:tcW w:w="1548" w:type="dxa"/>
        </w:tcPr>
        <w:p w14:paraId="4C21578D" w14:textId="4D94252B" w:rsidR="00AB6DA6" w:rsidRDefault="007C618D">
          <w:pPr>
            <w:pStyle w:val="Header"/>
            <w:spacing w:before="40"/>
          </w:pPr>
          <w:r>
            <w:rPr>
              <w:b/>
            </w:rPr>
            <w:fldChar w:fldCharType="begin"/>
          </w:r>
          <w:r>
            <w:rPr>
              <w:b/>
            </w:rPr>
            <w:instrText xml:space="preserve"> styleref CharDivNo </w:instrText>
          </w:r>
          <w:r>
            <w:rPr>
              <w:b/>
            </w:rPr>
            <w:fldChar w:fldCharType="end"/>
          </w:r>
          <w:r>
            <w:rPr>
              <w:b/>
            </w:rPr>
            <w:t xml:space="preserve"> </w:t>
          </w:r>
          <w:r>
            <w:rPr>
              <w:b/>
            </w:rPr>
            <w:fldChar w:fldCharType="begin"/>
          </w:r>
          <w:r w:rsidR="0089161C">
            <w:rPr>
              <w:b/>
            </w:rPr>
            <w:instrText>styleref CharDivNo</w:instrText>
          </w:r>
          <w:r>
            <w:rPr>
              <w:b/>
            </w:rPr>
            <w:fldChar w:fldCharType="end"/>
          </w:r>
        </w:p>
      </w:tc>
      <w:tc>
        <w:tcPr>
          <w:tcW w:w="5715" w:type="dxa"/>
          <w:vAlign w:val="bottom"/>
        </w:tcPr>
        <w:p w14:paraId="36288B20" w14:textId="345A5038" w:rsidR="00AB6DA6" w:rsidRDefault="007C618D">
          <w:pPr>
            <w:pStyle w:val="Header"/>
            <w:spacing w:before="40"/>
          </w:pPr>
          <w:r>
            <w:fldChar w:fldCharType="begin"/>
          </w:r>
          <w:r>
            <w:instrText xml:space="preserve"> styleref CharDivText </w:instrText>
          </w:r>
          <w:r>
            <w:fldChar w:fldCharType="end"/>
          </w:r>
        </w:p>
      </w:tc>
    </w:tr>
    <w:tr w:rsidR="00AB6DA6" w14:paraId="27DEEC4F" w14:textId="77777777">
      <w:trPr>
        <w:cantSplit/>
        <w:jc w:val="center"/>
      </w:trPr>
      <w:tc>
        <w:tcPr>
          <w:tcW w:w="7263" w:type="dxa"/>
          <w:gridSpan w:val="2"/>
        </w:tcPr>
        <w:p w14:paraId="3443CB67" w14:textId="77777777" w:rsidR="00AB6DA6" w:rsidRDefault="00AB6DA6">
          <w:pPr>
            <w:pStyle w:val="Header"/>
            <w:spacing w:before="40"/>
          </w:pPr>
        </w:p>
      </w:tc>
    </w:tr>
  </w:tbl>
  <w:p w14:paraId="2E1C6DE3" w14:textId="77777777" w:rsidR="00AB6DA6" w:rsidRDefault="00AB6DA6">
    <w:pPr>
      <w:pStyle w:val="Header"/>
      <w:pBdr>
        <w:top w:val="single" w:sz="4" w:space="1"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5715"/>
      <w:gridCol w:w="1548"/>
    </w:tblGrid>
    <w:tr w:rsidR="00AB6DA6" w14:paraId="1AA2CDF3" w14:textId="77777777">
      <w:trPr>
        <w:cantSplit/>
        <w:jc w:val="center"/>
      </w:trPr>
      <w:tc>
        <w:tcPr>
          <w:tcW w:w="7263" w:type="dxa"/>
          <w:gridSpan w:val="2"/>
        </w:tcPr>
        <w:p w14:paraId="74311941" w14:textId="0DE1B650" w:rsidR="00AB6DA6" w:rsidRDefault="007C618D">
          <w:pPr>
            <w:pStyle w:val="Header"/>
            <w:ind w:right="17"/>
            <w:jc w:val="right"/>
          </w:pPr>
          <w:r>
            <w:rPr>
              <w:b/>
              <w:i/>
            </w:rPr>
            <w:fldChar w:fldCharType="begin"/>
          </w:r>
          <w:r>
            <w:rPr>
              <w:b/>
              <w:i/>
            </w:rPr>
            <w:instrText xml:space="preserve"> STYLEREF "Name of Act/Reg" </w:instrText>
          </w:r>
          <w:r>
            <w:rPr>
              <w:b/>
              <w:i/>
            </w:rPr>
            <w:fldChar w:fldCharType="separate"/>
          </w:r>
          <w:r w:rsidR="00554DC7">
            <w:rPr>
              <w:b/>
              <w:i/>
            </w:rPr>
            <w:t>Protection of Information (Entry Registration Information Relating to COVID-19 and Other Infectious Diseases) Act 2021</w:t>
          </w:r>
          <w:r>
            <w:rPr>
              <w:b/>
              <w:i/>
            </w:rPr>
            <w:fldChar w:fldCharType="end"/>
          </w:r>
        </w:p>
      </w:tc>
    </w:tr>
    <w:tr w:rsidR="00AB6DA6" w14:paraId="247E186F" w14:textId="77777777">
      <w:trPr>
        <w:jc w:val="center"/>
      </w:trPr>
      <w:tc>
        <w:tcPr>
          <w:tcW w:w="5715" w:type="dxa"/>
          <w:vAlign w:val="bottom"/>
        </w:tcPr>
        <w:p w14:paraId="72C39627" w14:textId="73DA52C1" w:rsidR="00AB6DA6" w:rsidRDefault="007C618D">
          <w:pPr>
            <w:pStyle w:val="Header"/>
            <w:spacing w:before="40"/>
            <w:jc w:val="right"/>
          </w:pPr>
          <w:r>
            <w:fldChar w:fldCharType="begin"/>
          </w:r>
          <w:r>
            <w:instrText xml:space="preserve"> styleref CharPartText </w:instrText>
          </w:r>
          <w:r>
            <w:fldChar w:fldCharType="end"/>
          </w:r>
        </w:p>
      </w:tc>
      <w:tc>
        <w:tcPr>
          <w:tcW w:w="1548" w:type="dxa"/>
        </w:tcPr>
        <w:p w14:paraId="54643CD2" w14:textId="0DD45669" w:rsidR="00AB6DA6" w:rsidRDefault="007C618D">
          <w:pPr>
            <w:pStyle w:val="Header"/>
            <w:spacing w:before="40"/>
            <w:ind w:right="17"/>
            <w:jc w:val="right"/>
          </w:pPr>
          <w:r>
            <w:rPr>
              <w:b/>
            </w:rPr>
            <w:fldChar w:fldCharType="begin"/>
          </w:r>
          <w:r>
            <w:rPr>
              <w:b/>
            </w:rPr>
            <w:instrText xml:space="preserve"> styleref CharPartNo </w:instrText>
          </w:r>
          <w:r>
            <w:rPr>
              <w:b/>
            </w:rPr>
            <w:fldChar w:fldCharType="end"/>
          </w:r>
          <w:r>
            <w:rPr>
              <w:b/>
            </w:rPr>
            <w:t xml:space="preserve"> </w:t>
          </w:r>
          <w:r>
            <w:rPr>
              <w:b/>
            </w:rPr>
            <w:fldChar w:fldCharType="begin"/>
          </w:r>
          <w:r w:rsidR="0089161C">
            <w:rPr>
              <w:b/>
            </w:rPr>
            <w:instrText>styleref CharPartNo</w:instrText>
          </w:r>
          <w:r>
            <w:rPr>
              <w:b/>
            </w:rPr>
            <w:fldChar w:fldCharType="end"/>
          </w:r>
        </w:p>
      </w:tc>
    </w:tr>
    <w:tr w:rsidR="00AB6DA6" w14:paraId="7AB8CAD5" w14:textId="77777777">
      <w:trPr>
        <w:jc w:val="center"/>
      </w:trPr>
      <w:tc>
        <w:tcPr>
          <w:tcW w:w="5715" w:type="dxa"/>
          <w:vAlign w:val="bottom"/>
        </w:tcPr>
        <w:p w14:paraId="147C337E" w14:textId="788CC2E2" w:rsidR="00AB6DA6" w:rsidRDefault="007C618D">
          <w:pPr>
            <w:pStyle w:val="Header"/>
            <w:spacing w:before="40"/>
            <w:jc w:val="right"/>
          </w:pPr>
          <w:r>
            <w:fldChar w:fldCharType="begin"/>
          </w:r>
          <w:r>
            <w:instrText xml:space="preserve"> styleref CharDivText </w:instrText>
          </w:r>
          <w:r>
            <w:fldChar w:fldCharType="end"/>
          </w:r>
        </w:p>
      </w:tc>
      <w:tc>
        <w:tcPr>
          <w:tcW w:w="1548" w:type="dxa"/>
        </w:tcPr>
        <w:p w14:paraId="7BD02217" w14:textId="3CF8F40F" w:rsidR="00AB6DA6" w:rsidRDefault="007C618D">
          <w:pPr>
            <w:pStyle w:val="Header"/>
            <w:spacing w:before="40"/>
            <w:ind w:right="17"/>
            <w:jc w:val="right"/>
          </w:pPr>
          <w:r>
            <w:rPr>
              <w:b/>
            </w:rPr>
            <w:fldChar w:fldCharType="begin"/>
          </w:r>
          <w:r>
            <w:rPr>
              <w:b/>
            </w:rPr>
            <w:instrText xml:space="preserve"> styleref CharDivNo </w:instrText>
          </w:r>
          <w:r>
            <w:rPr>
              <w:b/>
            </w:rPr>
            <w:fldChar w:fldCharType="end"/>
          </w:r>
          <w:r>
            <w:rPr>
              <w:b/>
            </w:rPr>
            <w:t xml:space="preserve"> </w:t>
          </w:r>
          <w:r>
            <w:rPr>
              <w:b/>
            </w:rPr>
            <w:fldChar w:fldCharType="begin"/>
          </w:r>
          <w:r w:rsidR="0089161C">
            <w:rPr>
              <w:b/>
            </w:rPr>
            <w:instrText>styleref CharDivNo</w:instrText>
          </w:r>
          <w:r>
            <w:rPr>
              <w:b/>
            </w:rPr>
            <w:fldChar w:fldCharType="end"/>
          </w:r>
        </w:p>
      </w:tc>
    </w:tr>
    <w:tr w:rsidR="00AB6DA6" w14:paraId="215038BE" w14:textId="77777777">
      <w:trPr>
        <w:cantSplit/>
        <w:jc w:val="center"/>
      </w:trPr>
      <w:tc>
        <w:tcPr>
          <w:tcW w:w="7263" w:type="dxa"/>
          <w:gridSpan w:val="2"/>
        </w:tcPr>
        <w:p w14:paraId="1E4A3E99" w14:textId="77777777" w:rsidR="00AB6DA6" w:rsidRDefault="00AB6DA6">
          <w:pPr>
            <w:pStyle w:val="Header"/>
            <w:spacing w:before="40"/>
            <w:ind w:right="17"/>
            <w:jc w:val="right"/>
          </w:pPr>
        </w:p>
      </w:tc>
    </w:tr>
  </w:tbl>
  <w:p w14:paraId="1D9D9D9A" w14:textId="77777777" w:rsidR="00AB6DA6" w:rsidRDefault="00AB6DA6">
    <w:pPr>
      <w:pStyle w:val="Header"/>
      <w:pBdr>
        <w:top w:val="single" w:sz="4" w:space="1" w:color="auto"/>
      </w:pBd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1D8D21" w14:textId="77777777" w:rsidR="00AB6DA6" w:rsidRDefault="00AB6D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E38D7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144F87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4C248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A4ED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FC29B5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9EDD4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2D0D5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48EB14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B1C8FA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842CE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1" w15:restartNumberingAfterBreak="0">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15:restartNumberingAfterBreak="0">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15:restartNumberingAfterBreak="0">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15:restartNumberingAfterBreak="0">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15:restartNumberingAfterBreak="0">
    <w:nsid w:val="3C2808C0"/>
    <w:multiLevelType w:val="singleLevel"/>
    <w:tmpl w:val="B1B4B30E"/>
    <w:lvl w:ilvl="0">
      <w:start w:val="1"/>
      <w:numFmt w:val="bullet"/>
      <w:lvlText w:val=""/>
      <w:lvlJc w:val="left"/>
      <w:pPr>
        <w:tabs>
          <w:tab w:val="num" w:pos="1446"/>
        </w:tabs>
        <w:ind w:left="1446" w:hanging="567"/>
      </w:pPr>
      <w:rPr>
        <w:rFonts w:ascii="Symbol" w:hAnsi="Symbol" w:hint="default"/>
      </w:rPr>
    </w:lvl>
  </w:abstractNum>
  <w:abstractNum w:abstractNumId="16" w15:restartNumberingAfterBreak="0">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15:restartNumberingAfterBreak="0">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15:restartNumberingAfterBreak="0">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15:restartNumberingAfterBreak="0">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15:restartNumberingAfterBreak="0">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10"/>
  </w:num>
  <w:num w:numId="2">
    <w:abstractNumId w:val="13"/>
  </w:num>
  <w:num w:numId="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114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uleResults" w:val="&lt;AllLaws&gt;&lt;/AllLaws&gt;"/>
    <w:docVar w:name="WAFER" w:val="20210621175330"/>
    <w:docVar w:name="WAFER_20150206084435" w:val="ResetPageSize"/>
    <w:docVar w:name="WAFER_20150206084435_GUID" w:val="bd672a8f-e74f-4265-8b59-571b146e34b9"/>
    <w:docVar w:name="WAFER_20151016134806" w:val="UsedStyles"/>
    <w:docVar w:name="WAFER_20151016134806_GUID" w:val="77167ae3-b7f9-4ae7-a275-d4dd9db5de8f"/>
    <w:docVar w:name="WAFER_20151016134831" w:val="UpdateStyles"/>
    <w:docVar w:name="WAFER_20151016134831_GUID" w:val="68650fa9-f801-454a-81cb-df6f0a3af691"/>
    <w:docVar w:name="WAFER_20151016170344" w:val="UpdateStyles"/>
    <w:docVar w:name="WAFER_20151016170344_GUID" w:val="c2fb0bb9-fde3-426d-a7f7-1ca211c82009"/>
    <w:docVar w:name="WAFER_20151016170354" w:val="UsedStyles"/>
    <w:docVar w:name="WAFER_20151016170354_GUID" w:val="d4fa4e8d-5c43-4618-b8fe-4523b77d625d"/>
    <w:docVar w:name="WAFER_20151016170429" w:val="UpdateStyles"/>
    <w:docVar w:name="WAFER_20151016170429_GUID" w:val="32c06985-9f0e-42f1-9a8c-d3c43cfa7a80"/>
    <w:docVar w:name="WAFER_20151019113653" w:val="UpdateStyles,UsedStyles"/>
    <w:docVar w:name="WAFER_20151019113653_GUID" w:val="1f665551-9baf-4b15-bb73-b1d91ed3e6c5"/>
    <w:docVar w:name="WAFER_20151102150119" w:val="UpdateStyles,UsedStyles"/>
    <w:docVar w:name="WAFER_20151102150119_GUID" w:val="a899c777-2ec0-4846-a593-74d215570969"/>
    <w:docVar w:name="WAFER_20190125160012" w:val="UpdateStyles"/>
    <w:docVar w:name="WAFER_20190125160012_GUID" w:val="dc5d0076-61d2-4a5a-ade6-d09c39dd39b9"/>
    <w:docVar w:name="WAFER_20190213151032" w:val="UpdateStyles"/>
    <w:docVar w:name="WAFER_20190213151032_GUID" w:val="9dd68532-689a-40c0-9c87-5c2f321a3e4e"/>
    <w:docVar w:name="WAFER_20190227114526" w:val="UpdateStyles"/>
    <w:docVar w:name="WAFER_20190227114526_GUID" w:val="0e6e130b-18da-4239-84b5-f08b99a6e1c9"/>
    <w:docVar w:name="WAFER_20200207102225" w:val="UpdateStyles.ProcessFixes,UpdateStyles.ProcessFixes,RemoveIncorrectStyles.ProcessStyles,RemoveIncorrectStyles.ProcessStyles"/>
    <w:docVar w:name="WAFER_20200207102225_GUID" w:val="592fe921-7416-4a1a-b8d7-41a034b93757"/>
    <w:docVar w:name="WAFER_20210603123321" w:val="RemoveDocumentProtection.CheckForDocumentProtection,RemoveCustomizations.CheckForCustomization,RemoveBackground.CheckForBackground,RemoveTocBookmarks.RemoveBookmarks,RemoveUnusedBookmarks.RemoveBookmarks,RemoveLanguageTags.RemoveTags,RemoveSmartTags.RemoveTags,ResetPageSize.Reset,RunningHeaders.Run,UpdateStyles.ProcessFixes,UpdateStyles.ProcessFixes,RemoveIncorrectStyles.ProcessStyles"/>
    <w:docVar w:name="WAFER_20210603123321_GUID" w:val="3173cbd8-bdec-48be-945d-f18c9d9fa2e1"/>
    <w:docVar w:name="WAFER_20210610095534" w:val="RemoveDocumentProtection.CheckForDocumentProtection,RemoveCustomizations.CheckForCustomization,RemoveBackground.CheckForBackground,RemoveTocBookmarks.RemoveBookmarks,RemoveUnusedBookmarks.RemoveBookmarks,RemoveLanguageTags.RemoveTags,RemoveSmartTags.RemoveTags,ResetPageSize.Reset,RunningHeaders.Run,UpdateStyles.ProcessFixes,UpdateStyles.ProcessFixes,RemoveIncorrectStyles.ProcessStyles"/>
    <w:docVar w:name="WAFER_20210610095534_GUID" w:val="aa510f19-8146-4ddc-add9-1232e85552ed"/>
    <w:docVar w:name="WAFER_20210614094310" w:val="RemoveDocumentProtection.CheckForDocumentProtection,RemoveCustomizations.CheckForCustomization,RemoveBackground.CheckForBackground,RemoveTocBookmarks.RemoveBookmarks,RemoveUnusedBookmarks.RemoveBookmarks,RemoveLanguageTags.RemoveTags,RemoveSmartTags.RemoveTags,ResetPageSize.Reset,RunningHeaders.Run,UpdateStyles.ProcessFixes,UpdateStyles.ProcessFixes,RemoveIncorrectStyles.ProcessStyles"/>
    <w:docVar w:name="WAFER_20210614094310_GUID" w:val="7737c992-5b41-40e6-9f65-b2b1b213f72a"/>
    <w:docVar w:name="WAFER_20210621175330" w:val="RemoveDocumentProtection.CheckForDocumentProtection,RemoveCustomizations.CheckForCustomization,RemoveBackground.CheckForBackground,RemoveTocBookmarks.RemoveBookmarks,RemoveUnusedBookmarks.RemoveBookmarks,RemoveLanguageTags.RemoveTags,RemoveSmartTags.RemoveTags,ResetPageSize.Reset,RunningHeaders.Run,UpdateStyles.ProcessFixes,UpdateStyles.ProcessFixes,RemoveIncorrectStyles.ProcessStyles"/>
    <w:docVar w:name="WAFER_20210621175330_GUID" w:val="ce26dac1-bd06-44f6-b07f-3ab1e6ff722c"/>
  </w:docVars>
  <w:rsids>
    <w:rsidRoot w:val="00A557C7"/>
    <w:rsid w:val="00097671"/>
    <w:rsid w:val="00154990"/>
    <w:rsid w:val="00244BDA"/>
    <w:rsid w:val="003A24B3"/>
    <w:rsid w:val="003C77CB"/>
    <w:rsid w:val="004F0464"/>
    <w:rsid w:val="00505B65"/>
    <w:rsid w:val="0052607D"/>
    <w:rsid w:val="00554DC7"/>
    <w:rsid w:val="0058752A"/>
    <w:rsid w:val="005F6BC1"/>
    <w:rsid w:val="00604BF7"/>
    <w:rsid w:val="00605784"/>
    <w:rsid w:val="0067398F"/>
    <w:rsid w:val="00690002"/>
    <w:rsid w:val="007666F9"/>
    <w:rsid w:val="007C618D"/>
    <w:rsid w:val="007D76FA"/>
    <w:rsid w:val="00883660"/>
    <w:rsid w:val="0089161C"/>
    <w:rsid w:val="008A632B"/>
    <w:rsid w:val="008C680F"/>
    <w:rsid w:val="009029BB"/>
    <w:rsid w:val="0099213A"/>
    <w:rsid w:val="00A25BED"/>
    <w:rsid w:val="00A44EFD"/>
    <w:rsid w:val="00A557C7"/>
    <w:rsid w:val="00AB6DA6"/>
    <w:rsid w:val="00AC442D"/>
    <w:rsid w:val="00AF3364"/>
    <w:rsid w:val="00B1133B"/>
    <w:rsid w:val="00B205C5"/>
    <w:rsid w:val="00BE5254"/>
    <w:rsid w:val="00C16E4C"/>
    <w:rsid w:val="00C348E2"/>
    <w:rsid w:val="00C34DBA"/>
    <w:rsid w:val="00C63430"/>
    <w:rsid w:val="00D7227D"/>
    <w:rsid w:val="00DB3D2D"/>
    <w:rsid w:val="00E240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000E31"/>
  <w15:docId w15:val="{1C18B6A1-C007-47C7-9D76-FEF155D17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rPr>
      <w:rFonts w:ascii="Arial" w:hAnsi="Arial"/>
      <w:sz w:val="16"/>
    </w:rPr>
  </w:style>
  <w:style w:type="paragraph" w:styleId="Footer">
    <w:name w:val="footer"/>
    <w:basedOn w:val="Normal"/>
    <w:link w:val="FooterChar"/>
    <w:rPr>
      <w:rFonts w:ascii="Arial" w:hAnsi="Arial"/>
    </w:rPr>
  </w:style>
  <w:style w:type="paragraph" w:styleId="Header">
    <w:name w:val="header"/>
    <w:rPr>
      <w:rFonts w:ascii="Arial" w:hAnsi="Arial"/>
      <w:noProof/>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styleId="TOC2">
    <w:name w:val="toc 2"/>
    <w:next w:val="Normal"/>
    <w:uiPriority w:val="39"/>
    <w:pPr>
      <w:keepNext/>
      <w:spacing w:before="120" w:after="60"/>
      <w:ind w:left="1985" w:right="1134" w:hanging="567"/>
    </w:pPr>
    <w:rPr>
      <w:b/>
      <w:noProof/>
      <w:sz w:val="28"/>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character" w:customStyle="1" w:styleId="CharSectno">
    <w:name w:val="CharSectno"/>
    <w:rPr>
      <w:noProof w:val="0"/>
    </w:rPr>
  </w:style>
  <w:style w:type="character" w:customStyle="1" w:styleId="CharChapNo">
    <w:name w:val="CharChapNo"/>
    <w:rPr>
      <w:noProof w:val="0"/>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styleId="BodyText">
    <w:name w:val="Body Text"/>
    <w:basedOn w:val="Normal"/>
    <w:pPr>
      <w:spacing w:after="120"/>
    </w:p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LongTitle">
    <w:name w:val="Long Title"/>
    <w:rPr>
      <w:b/>
      <w:sz w:val="24"/>
    </w:rPr>
  </w:style>
  <w:style w:type="paragraph" w:customStyle="1" w:styleId="WA">
    <w:name w:val="WA"/>
    <w:pPr>
      <w:spacing w:after="720"/>
      <w:jc w:val="center"/>
    </w:pPr>
    <w:rPr>
      <w:sz w:val="24"/>
    </w:rPr>
  </w:style>
  <w:style w:type="paragraph" w:customStyle="1" w:styleId="Defpara">
    <w:name w:val="Defpara"/>
    <w:pPr>
      <w:tabs>
        <w:tab w:val="right" w:pos="1332"/>
      </w:tabs>
      <w:spacing w:before="80" w:line="260" w:lineRule="atLeast"/>
      <w:ind w:left="1616" w:hanging="1616"/>
    </w:pPr>
    <w:rPr>
      <w:snapToGrid w:val="0"/>
      <w:sz w:val="24"/>
    </w:rPr>
  </w:style>
  <w:style w:type="paragraph" w:customStyle="1" w:styleId="DeleteClose">
    <w:name w:val="DeleteClose"/>
    <w:basedOn w:val="Normal"/>
    <w:pPr>
      <w:keepLines/>
      <w:jc w:val="center"/>
    </w:pPr>
    <w:rPr>
      <w:szCs w:val="24"/>
    </w:rPr>
  </w:style>
  <w:style w:type="paragraph" w:customStyle="1" w:styleId="Arrangement">
    <w:name w:val="Arrangement"/>
    <w:pPr>
      <w:spacing w:after="480"/>
      <w:ind w:left="2304" w:right="2304"/>
      <w:jc w:val="center"/>
    </w:pPr>
    <w:rPr>
      <w:b/>
      <w:sz w:val="28"/>
    </w:rPr>
  </w:style>
  <w:style w:type="paragraph" w:customStyle="1" w:styleId="AssentNote">
    <w:name w:val="Assent Note"/>
    <w:pPr>
      <w:keepLines/>
      <w:spacing w:before="160" w:after="240"/>
      <w:jc w:val="right"/>
    </w:pPr>
    <w:rPr>
      <w:i/>
      <w:snapToGrid w:val="0"/>
      <w:sz w:val="24"/>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rPr>
  </w:style>
  <w:style w:type="character" w:customStyle="1" w:styleId="CharSchNo">
    <w:name w:val="CharSchNo"/>
    <w:rPr>
      <w:noProof w:val="0"/>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Ednotedefitem">
    <w:name w:val="Ednote(defitem)"/>
    <w:basedOn w:val="Defitem"/>
    <w:rPr>
      <w:i/>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Ednotedefpara">
    <w:name w:val="Ednote(defpara)"/>
    <w:basedOn w:val="Defpara"/>
    <w:rPr>
      <w:i/>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defsubpara">
    <w:name w:val="Ednote(defsubpara)"/>
    <w:basedOn w:val="Defsubpara"/>
    <w:rPr>
      <w:i/>
    </w:r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llowedHyperlink">
    <w:name w:val="FollowedHyperlink"/>
    <w:basedOn w:val="DefaultParagraphFont"/>
    <w:rPr>
      <w:color w:val="800080"/>
      <w:sz w:val="24"/>
      <w:u w:val="single"/>
    </w:rPr>
  </w:style>
  <w:style w:type="paragraph" w:customStyle="1" w:styleId="FooterDisclaimer">
    <w:name w:val="Footer.Disclaimer"/>
    <w:pPr>
      <w:jc w:val="center"/>
    </w:pPr>
    <w:rPr>
      <w:rFonts w:ascii="Arial" w:hAnsi="Arial"/>
      <w:i/>
      <w:sz w:val="16"/>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i/>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character" w:styleId="Hyperlink">
    <w:name w:val="Hyperlink"/>
    <w:basedOn w:val="DefaultParagraphFont"/>
    <w:rPr>
      <w:color w:val="0000FF"/>
      <w:sz w:val="24"/>
      <w:u w:val="single"/>
    </w:r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tabs>
        <w:tab w:val="num" w:pos="360"/>
      </w:tabs>
    </w:pPr>
  </w:style>
  <w:style w:type="paragraph" w:styleId="ListBullet2">
    <w:name w:val="List Bullet 2"/>
    <w:basedOn w:val="Normal"/>
    <w:autoRedefine/>
    <w:pPr>
      <w:tabs>
        <w:tab w:val="num" w:pos="360"/>
      </w:tabs>
    </w:pPr>
  </w:style>
  <w:style w:type="paragraph" w:styleId="ListBullet3">
    <w:name w:val="List Bullet 3"/>
    <w:basedOn w:val="Normal"/>
    <w:autoRedefine/>
    <w:pPr>
      <w:tabs>
        <w:tab w:val="num" w:pos="360"/>
      </w:tabs>
    </w:pPr>
  </w:style>
  <w:style w:type="paragraph" w:styleId="ListBullet4">
    <w:name w:val="List Bullet 4"/>
    <w:basedOn w:val="Normal"/>
    <w:autoRedefine/>
    <w:pPr>
      <w:tabs>
        <w:tab w:val="num" w:pos="360"/>
      </w:tabs>
    </w:pPr>
  </w:style>
  <w:style w:type="paragraph" w:styleId="ListBullet5">
    <w:name w:val="List Bullet 5"/>
    <w:basedOn w:val="Normal"/>
    <w:autoRedefine/>
    <w:pPr>
      <w:tabs>
        <w:tab w:val="num" w:pos="360"/>
      </w:tabs>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tabs>
        <w:tab w:val="num" w:pos="360"/>
      </w:tabs>
    </w:pPr>
  </w:style>
  <w:style w:type="paragraph" w:styleId="ListNumber2">
    <w:name w:val="List Number 2"/>
    <w:basedOn w:val="Normal"/>
    <w:pPr>
      <w:tabs>
        <w:tab w:val="num" w:pos="360"/>
      </w:tabs>
    </w:pPr>
  </w:style>
  <w:style w:type="paragraph" w:styleId="ListNumber3">
    <w:name w:val="List Number 3"/>
    <w:basedOn w:val="Normal"/>
    <w:pPr>
      <w:tabs>
        <w:tab w:val="num" w:pos="360"/>
      </w:tabs>
    </w:pPr>
  </w:style>
  <w:style w:type="paragraph" w:styleId="ListNumber4">
    <w:name w:val="List Number 4"/>
    <w:basedOn w:val="Normal"/>
    <w:pPr>
      <w:tabs>
        <w:tab w:val="num" w:pos="360"/>
      </w:tabs>
    </w:pPr>
  </w:style>
  <w:style w:type="paragraph" w:styleId="ListNumber5">
    <w:name w:val="List Number 5"/>
    <w:basedOn w:val="Normal"/>
    <w:pPr>
      <w:tabs>
        <w:tab w:val="num" w:pos="360"/>
      </w:tabs>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sz w:val="24"/>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sz w:val="24"/>
    </w:rPr>
  </w:style>
  <w:style w:type="paragraph" w:customStyle="1" w:styleId="NameofActRegPage1">
    <w:name w:val="Name of Act/Reg(Page 1)"/>
    <w:basedOn w:val="NameofActReg"/>
    <w:pPr>
      <w:spacing w:before="0" w:after="720"/>
    </w:pPr>
  </w:style>
  <w:style w:type="paragraph" w:customStyle="1" w:styleId="nHeading2">
    <w:name w:val="nHeading 2"/>
    <w:qFormat/>
    <w:pPr>
      <w:keepNext/>
      <w:jc w:val="center"/>
      <w:outlineLvl w:val="1"/>
    </w:pPr>
    <w:rPr>
      <w:b/>
      <w:sz w:val="32"/>
    </w:rPr>
  </w:style>
  <w:style w:type="paragraph" w:customStyle="1" w:styleId="nHeading3">
    <w:name w:val="nHeading 3"/>
    <w:qFormat/>
    <w:pPr>
      <w:keepNext/>
      <w:spacing w:before="240" w:after="120"/>
      <w:jc w:val="center"/>
      <w:outlineLvl w:val="2"/>
    </w:pPr>
    <w:rPr>
      <w:b/>
      <w:sz w:val="26"/>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tart">
    <w:name w:val="Penstart"/>
    <w:basedOn w:val="Normal"/>
    <w:pPr>
      <w:tabs>
        <w:tab w:val="left" w:pos="879"/>
      </w:tabs>
      <w:spacing w:before="80" w:line="260" w:lineRule="atLeast"/>
      <w:ind w:left="1332" w:hanging="1332"/>
    </w:pPr>
  </w:style>
  <w:style w:type="paragraph" w:customStyle="1" w:styleId="nTable">
    <w:name w:val="nTable"/>
    <w:pPr>
      <w:spacing w:before="40"/>
    </w:pPr>
    <w:rPr>
      <w:sz w:val="19"/>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tart">
    <w:name w:val="zDefstart"/>
    <w:pPr>
      <w:spacing w:before="80" w:line="260" w:lineRule="atLeast"/>
      <w:ind w:left="1446" w:right="284" w:hanging="879"/>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Penitem">
    <w:name w:val="Penitem"/>
    <w:pPr>
      <w:tabs>
        <w:tab w:val="right" w:pos="3119"/>
        <w:tab w:val="left" w:pos="3402"/>
      </w:tabs>
      <w:spacing w:before="80" w:line="260" w:lineRule="atLeast"/>
      <w:ind w:left="3402" w:hanging="3402"/>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pPr>
      <w:tabs>
        <w:tab w:val="right" w:pos="2892"/>
      </w:tabs>
      <w:spacing w:before="80"/>
      <w:ind w:left="3204" w:hanging="3204"/>
    </w:pPr>
    <w:rPr>
      <w:snapToGrid w:val="0"/>
      <w:sz w:val="22"/>
    </w:r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sz w:val="22"/>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pPr>
      <w:tabs>
        <w:tab w:val="right" w:pos="3459"/>
      </w:tabs>
      <w:spacing w:before="80"/>
      <w:ind w:left="3686" w:right="284" w:hanging="3119"/>
    </w:pPr>
    <w:rPr>
      <w:snapToGrid w:val="0"/>
      <w:sz w:val="22"/>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rincipalActReg">
    <w:name w:val="PrincipalAct_Reg"/>
    <w:pPr>
      <w:spacing w:after="480"/>
      <w:jc w:val="center"/>
    </w:pPr>
    <w:rPr>
      <w:sz w:val="24"/>
    </w:rPr>
  </w:style>
  <w:style w:type="character" w:customStyle="1" w:styleId="DraftersNotes">
    <w:name w:val="DraftersNotes"/>
    <w:basedOn w:val="DefaultParagraphFont"/>
    <w:rPr>
      <w:b/>
      <w:i/>
      <w:sz w:val="20"/>
    </w:rPr>
  </w:style>
  <w:style w:type="paragraph" w:customStyle="1" w:styleId="Equation">
    <w:name w:val="Equation"/>
    <w:rPr>
      <w:noProof/>
      <w:sz w:val="24"/>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DefinedTerms">
    <w:name w:val="Defined Terms"/>
    <w:pPr>
      <w:tabs>
        <w:tab w:val="right" w:leader="dot" w:pos="7070"/>
      </w:tabs>
      <w:ind w:left="578" w:right="578"/>
    </w:p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BlankClose">
    <w:name w:val="BlankClose"/>
    <w:basedOn w:val="Normal"/>
    <w:pPr>
      <w:keepLines/>
      <w:jc w:val="center"/>
    </w:pPr>
    <w:rPr>
      <w:szCs w:val="24"/>
    </w:rPr>
  </w:style>
  <w:style w:type="paragraph" w:customStyle="1" w:styleId="BlankOpen">
    <w:name w:val="BlankOpen"/>
    <w:basedOn w:val="Normal"/>
    <w:pPr>
      <w:keepNext/>
      <w:keepLines/>
      <w:jc w:val="center"/>
    </w:pPr>
    <w:rPr>
      <w:szCs w:val="24"/>
    </w:rPr>
  </w:style>
  <w:style w:type="paragraph" w:customStyle="1" w:styleId="TableAm">
    <w:name w:val="TableAm"/>
    <w:qFormat/>
    <w:pPr>
      <w:tabs>
        <w:tab w:val="left" w:pos="567"/>
      </w:tabs>
      <w:spacing w:before="120"/>
    </w:pPr>
    <w:rPr>
      <w:sz w:val="24"/>
    </w:rPr>
  </w:style>
  <w:style w:type="paragraph" w:customStyle="1" w:styleId="TableAmNote">
    <w:name w:val="TableAmNote"/>
    <w:pPr>
      <w:tabs>
        <w:tab w:val="left" w:pos="567"/>
      </w:tabs>
      <w:spacing w:before="60"/>
    </w:pPr>
    <w:rPr>
      <w:rFonts w:ascii="Arial" w:hAnsi="Arial"/>
      <w:sz w:val="18"/>
    </w:rPr>
  </w:style>
  <w:style w:type="paragraph" w:customStyle="1" w:styleId="DeleteOpen">
    <w:name w:val="DeleteOpen"/>
    <w:basedOn w:val="Normal"/>
    <w:pPr>
      <w:keepNext/>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yDeleteListPara">
    <w:name w:val="yDeleteListPara"/>
    <w:basedOn w:val="DeleteListPara"/>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yDeleteListSub">
    <w:name w:val="yDeleteListSub"/>
    <w:basedOn w:val="DeleteListSub"/>
    <w:rPr>
      <w:sz w:val="22"/>
    </w:rPr>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pPr>
      <w:keepNext/>
      <w:spacing w:before="160" w:after="60"/>
      <w:jc w:val="center"/>
    </w:pPr>
    <w:rPr>
      <w:rFonts w:ascii="Arial" w:hAnsi="Arial"/>
      <w:b/>
      <w:bCs/>
      <w:sz w:val="18"/>
    </w:rPr>
  </w:style>
  <w:style w:type="paragraph" w:customStyle="1" w:styleId="THeadingNAm">
    <w:name w:val="THeadingNAm"/>
    <w:pPr>
      <w:keepNext/>
      <w:spacing w:before="160" w:after="60" w:line="260" w:lineRule="atLeast"/>
      <w:ind w:left="879" w:right="142"/>
      <w:jc w:val="center"/>
    </w:pPr>
    <w:rPr>
      <w:b/>
      <w:bCs/>
      <w:sz w:val="24"/>
    </w:rPr>
  </w:style>
  <w:style w:type="paragraph" w:customStyle="1" w:styleId="zTHeadingNAm">
    <w:name w:val="zTHeadingNAm"/>
    <w:basedOn w:val="THeadingNAm"/>
  </w:style>
  <w:style w:type="paragraph" w:customStyle="1" w:styleId="yTHeadingNAm">
    <w:name w:val="yTHeadingNAm"/>
    <w:basedOn w:val="THeadingNAm"/>
    <w:pPr>
      <w:ind w:left="142"/>
    </w:pPr>
    <w:rPr>
      <w:sz w:val="22"/>
    </w:rPr>
  </w:style>
  <w:style w:type="paragraph" w:customStyle="1" w:styleId="zyTHeadingNAm">
    <w:name w:val="zyTHeadingNAm"/>
    <w:basedOn w:val="yTHeadingNAm"/>
  </w:style>
  <w:style w:type="paragraph" w:customStyle="1" w:styleId="TableNAm">
    <w:name w:val="TableNAm"/>
    <w:qFormat/>
    <w:pPr>
      <w:tabs>
        <w:tab w:val="left" w:pos="567"/>
      </w:tabs>
      <w:spacing w:before="120"/>
    </w:pPr>
    <w:rPr>
      <w:sz w:val="24"/>
    </w:rPr>
  </w:style>
  <w:style w:type="paragraph" w:customStyle="1" w:styleId="zTableNAm">
    <w:name w:val="zTableNAm"/>
    <w:basedOn w:val="TableNAm"/>
  </w:style>
  <w:style w:type="paragraph" w:customStyle="1" w:styleId="yTableNAm">
    <w:name w:val="yTableNAm"/>
    <w:basedOn w:val="TableNAm"/>
    <w:rPr>
      <w:sz w:val="22"/>
    </w:rPr>
  </w:style>
  <w:style w:type="paragraph" w:customStyle="1" w:styleId="zyTableNAm">
    <w:name w:val="zyTableNAm"/>
    <w:basedOn w:val="yTableNAm"/>
  </w:style>
  <w:style w:type="paragraph" w:customStyle="1" w:styleId="SignatureText">
    <w:name w:val="SignatureText"/>
    <w:basedOn w:val="Normal"/>
  </w:style>
  <w:style w:type="paragraph" w:customStyle="1" w:styleId="PrincipalActRegPage1">
    <w:name w:val="PrincipalAct_Reg(Page 1)"/>
    <w:pPr>
      <w:spacing w:before="2600"/>
      <w:jc w:val="center"/>
    </w:pPr>
    <w:rPr>
      <w:sz w:val="24"/>
    </w:rPr>
  </w:style>
  <w:style w:type="paragraph" w:customStyle="1" w:styleId="ReprintNo">
    <w:name w:val="ReprintNo"/>
    <w:rPr>
      <w:b/>
      <w:noProof/>
      <w:sz w:val="28"/>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customStyle="1" w:styleId="ExCo">
    <w:name w:val="ExCo"/>
    <w:qFormat/>
    <w:rPr>
      <w:sz w:val="24"/>
    </w:rPr>
  </w:style>
  <w:style w:type="paragraph" w:customStyle="1" w:styleId="TitleNote">
    <w:name w:val="TitleNote"/>
    <w:rPr>
      <w:sz w:val="24"/>
    </w:rPr>
  </w:style>
  <w:style w:type="paragraph" w:customStyle="1" w:styleId="nStatement">
    <w:name w:val="nStatement"/>
    <w:pPr>
      <w:spacing w:before="80"/>
    </w:pPr>
  </w:style>
  <w:style w:type="paragraph" w:customStyle="1" w:styleId="nNote">
    <w:name w:val="nNote"/>
    <w:pPr>
      <w:spacing w:before="80"/>
      <w:ind w:left="454" w:hanging="454"/>
    </w:pPr>
  </w:style>
  <w:style w:type="paragraph" w:customStyle="1" w:styleId="nNotePara">
    <w:name w:val="nNotePara"/>
    <w:pPr>
      <w:tabs>
        <w:tab w:val="right" w:pos="993"/>
      </w:tabs>
      <w:spacing w:before="40"/>
      <w:ind w:left="1134" w:hanging="1134"/>
    </w:pPr>
  </w:style>
  <w:style w:type="paragraph" w:customStyle="1" w:styleId="nNoteSubPara">
    <w:name w:val="nNoteSubPara"/>
    <w:pPr>
      <w:tabs>
        <w:tab w:val="right" w:pos="1418"/>
      </w:tabs>
      <w:spacing w:before="40"/>
      <w:ind w:left="1701" w:hanging="1701"/>
    </w:pPr>
  </w:style>
  <w:style w:type="paragraph" w:customStyle="1" w:styleId="AssentDate">
    <w:name w:val="AssentDate"/>
    <w:pPr>
      <w:jc w:val="right"/>
    </w:pPr>
    <w:rPr>
      <w:sz w:val="24"/>
    </w:rPr>
  </w:style>
  <w:style w:type="character" w:customStyle="1" w:styleId="FooterChar">
    <w:name w:val="Footer Char"/>
    <w:basedOn w:val="DefaultParagraphFont"/>
    <w:link w:val="Footer"/>
    <w:rsid w:val="00C63430"/>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1.xml"/><Relationship Id="rId21" Type="http://schemas.openxmlformats.org/officeDocument/2006/relationships/header" Target="header7.xml"/><Relationship Id="rId34"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0.xml"/><Relationship Id="rId33" Type="http://schemas.openxmlformats.org/officeDocument/2006/relationships/footer" Target="footer7.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2.jpeg"/><Relationship Id="rId32" Type="http://schemas.openxmlformats.org/officeDocument/2006/relationships/header" Target="header17.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3.xml"/><Relationship Id="rId36" Type="http://schemas.openxmlformats.org/officeDocument/2006/relationships/footer" Target="footer9.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2.xml"/><Relationship Id="rId30" Type="http://schemas.openxmlformats.org/officeDocument/2006/relationships/header" Target="header15.xml"/><Relationship Id="rId35" Type="http://schemas.openxmlformats.org/officeDocument/2006/relationships/header" Target="header18.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F6FB36-3F84-42CA-964A-1765F3F75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2592</Words>
  <Characters>13272</Characters>
  <Application>Microsoft Office Word</Application>
  <DocSecurity>0</DocSecurity>
  <Lines>390</Lines>
  <Paragraphs>223</Paragraphs>
  <ScaleCrop>false</ScaleCrop>
  <HeadingPairs>
    <vt:vector size="2" baseType="variant">
      <vt:variant>
        <vt:lpstr>Title</vt:lpstr>
      </vt:variant>
      <vt:variant>
        <vt:i4>1</vt:i4>
      </vt:variant>
    </vt:vector>
  </HeadingPairs>
  <TitlesOfParts>
    <vt:vector size="1" baseType="lpstr">
      <vt:lpstr>Drafting Template (Bills)</vt:lpstr>
    </vt:vector>
  </TitlesOfParts>
  <Manager/>
  <Company/>
  <LinksUpToDate>false</LinksUpToDate>
  <CharactersWithSpaces>15641</CharactersWithSpaces>
  <SharedDoc>false</SharedDoc>
  <HyperlinkBase/>
  <HLinks>
    <vt:vector size="12" baseType="variant">
      <vt:variant>
        <vt:i4>3276894</vt:i4>
      </vt:variant>
      <vt:variant>
        <vt:i4>140</vt:i4>
      </vt:variant>
      <vt:variant>
        <vt:i4>0</vt:i4>
      </vt:variant>
      <vt:variant>
        <vt:i4>5</vt:i4>
      </vt:variant>
      <vt:variant>
        <vt:lpwstr>mailto:John.Lightowlers@psc.wa.gov.au</vt:lpwstr>
      </vt:variant>
      <vt:variant>
        <vt:lpwstr/>
      </vt:variant>
      <vt:variant>
        <vt:i4>5898351</vt:i4>
      </vt:variant>
      <vt:variant>
        <vt:i4>135</vt:i4>
      </vt:variant>
      <vt:variant>
        <vt:i4>0</vt:i4>
      </vt:variant>
      <vt:variant>
        <vt:i4>5</vt:i4>
      </vt:variant>
      <vt:variant>
        <vt:lpwstr>mailto:DraftLegislation@treasury.wa.gov.au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Protection of Information (Entry Registration Information Relating to COVID-19 and Other Infectious Diseases) Act 2021 - 00-a0-00</dc:title>
  <dc:subject/>
  <dc:creator/>
  <cp:keywords/>
  <dc:description/>
  <cp:lastModifiedBy>Master Repository Process</cp:lastModifiedBy>
  <cp:revision>4</cp:revision>
  <cp:lastPrinted>2021-06-14T02:00:00Z</cp:lastPrinted>
  <dcterms:created xsi:type="dcterms:W3CDTF">2021-06-22T01:17:00Z</dcterms:created>
  <dcterms:modified xsi:type="dcterms:W3CDTF">2021-06-22T01:17:00Z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3 of 2021</vt:lpwstr>
  </property>
  <property fmtid="{D5CDD505-2E9C-101B-9397-08002B2CF9AE}" pid="3" name="DocumentType">
    <vt:lpwstr>Act</vt:lpwstr>
  </property>
  <property fmtid="{D5CDD505-2E9C-101B-9397-08002B2CF9AE}" pid="4" name="AsAtDate">
    <vt:lpwstr>22 Jun 2021</vt:lpwstr>
  </property>
  <property fmtid="{D5CDD505-2E9C-101B-9397-08002B2CF9AE}" pid="5" name="Suffix">
    <vt:lpwstr>00-a0-00</vt:lpwstr>
  </property>
  <property fmtid="{D5CDD505-2E9C-101B-9397-08002B2CF9AE}" pid="6" name="CommencementDate">
    <vt:lpwstr>20210622</vt:lpwstr>
  </property>
</Properties>
</file>