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E9" w:rsidRDefault="005435E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435E9" w:rsidRDefault="005435E9">
      <w:pPr>
        <w:pStyle w:val="PrincipalActRegPage1"/>
      </w:pPr>
      <w:r>
        <w:fldChar w:fldCharType="begin"/>
      </w:r>
      <w:r>
        <w:instrText xml:space="preserve"> STYLEREF "PrincipalAct_Reg"</w:instrText>
      </w:r>
      <w:r>
        <w:fldChar w:fldCharType="separate"/>
      </w:r>
      <w:r w:rsidR="00962E4C">
        <w:rPr>
          <w:noProof/>
        </w:rPr>
        <w:t>Water Services Act 2012</w:t>
      </w:r>
      <w:r>
        <w:fldChar w:fldCharType="end"/>
      </w:r>
    </w:p>
    <w:p w:rsidR="005435E9" w:rsidRDefault="005435E9">
      <w:pPr>
        <w:pStyle w:val="NameofActRegPage1"/>
        <w:spacing w:before="1800" w:after="4200"/>
        <w:outlineLvl w:val="0"/>
      </w:pPr>
      <w:r>
        <w:fldChar w:fldCharType="begin"/>
      </w:r>
      <w:r>
        <w:instrText xml:space="preserve"> STYLEREF "Name Of Act/Reg"</w:instrText>
      </w:r>
      <w:r>
        <w:fldChar w:fldCharType="separate"/>
      </w:r>
      <w:r w:rsidR="00962E4C">
        <w:rPr>
          <w:noProof/>
        </w:rPr>
        <w:t>Water Services (Water Corporations Charges) Regulations 2014</w:t>
      </w:r>
      <w:r>
        <w:fldChar w:fldCharType="end"/>
      </w:r>
    </w:p>
    <w:p w:rsidR="005435E9" w:rsidRDefault="005435E9">
      <w:pPr>
        <w:jc w:val="center"/>
        <w:sectPr w:rsidR="005435E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D5583" w:rsidRDefault="00ED5583">
      <w:pPr>
        <w:pStyle w:val="WA"/>
      </w:pPr>
      <w:r>
        <w:lastRenderedPageBreak/>
        <w:t>Western Australia</w:t>
      </w:r>
    </w:p>
    <w:p w:rsidR="005435E9" w:rsidRDefault="005435E9">
      <w:pPr>
        <w:pStyle w:val="NameofActRegPage1"/>
      </w:pPr>
      <w:r>
        <w:fldChar w:fldCharType="begin"/>
      </w:r>
      <w:r>
        <w:instrText xml:space="preserve"> STYLEREF "Name Of Act/Reg"</w:instrText>
      </w:r>
      <w:r>
        <w:fldChar w:fldCharType="separate"/>
      </w:r>
      <w:r w:rsidR="00962E4C">
        <w:rPr>
          <w:noProof/>
        </w:rPr>
        <w:t>Water Services (Water Corporations Charges) Regulations 2014</w:t>
      </w:r>
      <w:r>
        <w:fldChar w:fldCharType="end"/>
      </w:r>
    </w:p>
    <w:p w:rsidR="005435E9" w:rsidRDefault="005435E9">
      <w:pPr>
        <w:pStyle w:val="Arrangement"/>
      </w:pPr>
      <w:r>
        <w:t>Contents</w:t>
      </w:r>
    </w:p>
    <w:p w:rsidR="00121DFB" w:rsidRDefault="005435E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21DFB">
        <w:t>Part 1 — Preliminary</w:t>
      </w:r>
    </w:p>
    <w:p w:rsidR="00121DFB" w:rsidRDefault="00121DFB">
      <w:pPr>
        <w:pStyle w:val="TOC8"/>
        <w:rPr>
          <w:rFonts w:asciiTheme="minorHAnsi" w:eastAsiaTheme="minorEastAsia" w:hAnsiTheme="minorHAnsi" w:cstheme="minorBidi"/>
          <w:szCs w:val="22"/>
        </w:rPr>
      </w:pPr>
      <w:r>
        <w:t>1.</w:t>
      </w:r>
      <w:r>
        <w:tab/>
        <w:t>Citation</w:t>
      </w:r>
      <w:r>
        <w:tab/>
      </w:r>
      <w:r>
        <w:fldChar w:fldCharType="begin"/>
      </w:r>
      <w:r>
        <w:instrText xml:space="preserve"> PAGEREF _Toc75519596 \h </w:instrText>
      </w:r>
      <w:r>
        <w:fldChar w:fldCharType="separate"/>
      </w:r>
      <w:r w:rsidR="00962E4C">
        <w:t>1</w:t>
      </w:r>
      <w:r>
        <w:fldChar w:fldCharType="end"/>
      </w:r>
    </w:p>
    <w:p w:rsidR="00121DFB" w:rsidRDefault="00121DFB">
      <w:pPr>
        <w:pStyle w:val="TOC8"/>
        <w:rPr>
          <w:rFonts w:asciiTheme="minorHAnsi" w:eastAsiaTheme="minorEastAsia" w:hAnsiTheme="minorHAnsi" w:cstheme="minorBidi"/>
          <w:szCs w:val="22"/>
        </w:rPr>
      </w:pPr>
      <w:r>
        <w:t>2</w:t>
      </w:r>
      <w:r w:rsidRPr="00F878CA">
        <w:rPr>
          <w:spacing w:val="-2"/>
        </w:rPr>
        <w:t>.</w:t>
      </w:r>
      <w:r w:rsidRPr="00F878CA">
        <w:rPr>
          <w:spacing w:val="-2"/>
        </w:rPr>
        <w:tab/>
        <w:t>Commencement</w:t>
      </w:r>
      <w:r>
        <w:tab/>
      </w:r>
      <w:r>
        <w:fldChar w:fldCharType="begin"/>
      </w:r>
      <w:r>
        <w:instrText xml:space="preserve"> PAGEREF _Toc75519597 \h </w:instrText>
      </w:r>
      <w:r>
        <w:fldChar w:fldCharType="separate"/>
      </w:r>
      <w:r w:rsidR="00962E4C">
        <w:t>1</w:t>
      </w:r>
      <w:r>
        <w:fldChar w:fldCharType="end"/>
      </w:r>
    </w:p>
    <w:p w:rsidR="00121DFB" w:rsidRDefault="00121DFB">
      <w:pPr>
        <w:pStyle w:val="TOC8"/>
        <w:rPr>
          <w:rFonts w:asciiTheme="minorHAnsi" w:eastAsiaTheme="minorEastAsia" w:hAnsiTheme="minorHAnsi" w:cstheme="minorBidi"/>
          <w:szCs w:val="22"/>
        </w:rPr>
      </w:pPr>
      <w:r>
        <w:t>3.</w:t>
      </w:r>
      <w:r>
        <w:tab/>
        <w:t>Terms used</w:t>
      </w:r>
      <w:r>
        <w:tab/>
      </w:r>
      <w:r>
        <w:fldChar w:fldCharType="begin"/>
      </w:r>
      <w:r>
        <w:instrText xml:space="preserve"> PAGEREF _Toc75519598 \h </w:instrText>
      </w:r>
      <w:r>
        <w:fldChar w:fldCharType="separate"/>
      </w:r>
      <w:r w:rsidR="00962E4C">
        <w:t>1</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Part 2 — General provisions</w:t>
      </w:r>
    </w:p>
    <w:p w:rsidR="00121DFB" w:rsidRDefault="00121DFB">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_Toc75519600 \h </w:instrText>
      </w:r>
      <w:r>
        <w:fldChar w:fldCharType="separate"/>
      </w:r>
      <w:r w:rsidR="00962E4C">
        <w:t>3</w:t>
      </w:r>
      <w:r>
        <w:fldChar w:fldCharType="end"/>
      </w:r>
    </w:p>
    <w:p w:rsidR="00121DFB" w:rsidRDefault="00121DFB">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_Toc75519601 \h </w:instrText>
      </w:r>
      <w:r>
        <w:fldChar w:fldCharType="separate"/>
      </w:r>
      <w:r w:rsidR="00962E4C">
        <w:t>3</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Part 3 — Charges for Bunbury Water Corporation</w:t>
      </w:r>
    </w:p>
    <w:p w:rsidR="00121DFB" w:rsidRDefault="00121DFB">
      <w:pPr>
        <w:pStyle w:val="TOC8"/>
        <w:rPr>
          <w:rFonts w:asciiTheme="minorHAnsi" w:eastAsiaTheme="minorEastAsia" w:hAnsiTheme="minorHAnsi" w:cstheme="minorBidi"/>
          <w:szCs w:val="22"/>
        </w:rPr>
      </w:pPr>
      <w:r>
        <w:t>6.</w:t>
      </w:r>
      <w:r>
        <w:tab/>
        <w:t>Terms used</w:t>
      </w:r>
      <w:r>
        <w:tab/>
      </w:r>
      <w:r>
        <w:fldChar w:fldCharType="begin"/>
      </w:r>
      <w:r>
        <w:instrText xml:space="preserve"> PAGEREF _Toc75519603 \h </w:instrText>
      </w:r>
      <w:r>
        <w:fldChar w:fldCharType="separate"/>
      </w:r>
      <w:r w:rsidR="00962E4C">
        <w:t>4</w:t>
      </w:r>
      <w:r>
        <w:fldChar w:fldCharType="end"/>
      </w:r>
    </w:p>
    <w:p w:rsidR="00121DFB" w:rsidRDefault="00121DFB">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_Toc75519604 \h </w:instrText>
      </w:r>
      <w:r>
        <w:fldChar w:fldCharType="separate"/>
      </w:r>
      <w:r w:rsidR="00962E4C">
        <w:t>5</w:t>
      </w:r>
      <w:r>
        <w:fldChar w:fldCharType="end"/>
      </w:r>
    </w:p>
    <w:p w:rsidR="00121DFB" w:rsidRDefault="00121DFB">
      <w:pPr>
        <w:pStyle w:val="TOC8"/>
        <w:rPr>
          <w:rFonts w:asciiTheme="minorHAnsi" w:eastAsiaTheme="minorEastAsia" w:hAnsiTheme="minorHAnsi" w:cstheme="minorBidi"/>
          <w:szCs w:val="22"/>
        </w:rPr>
      </w:pPr>
      <w:r>
        <w:t>9.</w:t>
      </w:r>
      <w:r>
        <w:tab/>
        <w:t>Concessions</w:t>
      </w:r>
      <w:r>
        <w:tab/>
      </w:r>
      <w:r>
        <w:fldChar w:fldCharType="begin"/>
      </w:r>
      <w:r>
        <w:instrText xml:space="preserve"> PAGEREF _Toc75519605 \h </w:instrText>
      </w:r>
      <w:r>
        <w:fldChar w:fldCharType="separate"/>
      </w:r>
      <w:r w:rsidR="00962E4C">
        <w:t>5</w:t>
      </w:r>
      <w:r>
        <w:fldChar w:fldCharType="end"/>
      </w:r>
    </w:p>
    <w:p w:rsidR="00121DFB" w:rsidRDefault="00121DFB">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_Toc75519606 \h </w:instrText>
      </w:r>
      <w:r>
        <w:fldChar w:fldCharType="separate"/>
      </w:r>
      <w:r w:rsidR="00962E4C">
        <w:t>6</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rsidR="00121DFB" w:rsidRDefault="00121DFB">
      <w:pPr>
        <w:pStyle w:val="TOC8"/>
        <w:rPr>
          <w:rFonts w:asciiTheme="minorHAnsi" w:eastAsiaTheme="minorEastAsia" w:hAnsiTheme="minorHAnsi" w:cstheme="minorBidi"/>
          <w:szCs w:val="22"/>
        </w:rPr>
      </w:pPr>
      <w:r>
        <w:t>11.</w:t>
      </w:r>
      <w:r>
        <w:tab/>
        <w:t>Terms used</w:t>
      </w:r>
      <w:r>
        <w:tab/>
      </w:r>
      <w:r>
        <w:fldChar w:fldCharType="begin"/>
      </w:r>
      <w:r>
        <w:instrText xml:space="preserve"> PAGEREF _Toc75519608 \h </w:instrText>
      </w:r>
      <w:r>
        <w:fldChar w:fldCharType="separate"/>
      </w:r>
      <w:r w:rsidR="00962E4C">
        <w:t>7</w:t>
      </w:r>
      <w:r>
        <w:fldChar w:fldCharType="end"/>
      </w:r>
    </w:p>
    <w:p w:rsidR="00121DFB" w:rsidRDefault="00121DFB">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_Toc75519609 \h </w:instrText>
      </w:r>
      <w:r>
        <w:fldChar w:fldCharType="separate"/>
      </w:r>
      <w:r w:rsidR="00962E4C">
        <w:t>8</w:t>
      </w:r>
      <w:r>
        <w:fldChar w:fldCharType="end"/>
      </w:r>
    </w:p>
    <w:p w:rsidR="00121DFB" w:rsidRDefault="00121DFB">
      <w:pPr>
        <w:pStyle w:val="TOC8"/>
        <w:rPr>
          <w:rFonts w:asciiTheme="minorHAnsi" w:eastAsiaTheme="minorEastAsia" w:hAnsiTheme="minorHAnsi" w:cstheme="minorBidi"/>
          <w:szCs w:val="22"/>
        </w:rPr>
      </w:pPr>
      <w:r>
        <w:t>14.</w:t>
      </w:r>
      <w:r>
        <w:tab/>
        <w:t>Concessions</w:t>
      </w:r>
      <w:r>
        <w:tab/>
      </w:r>
      <w:r>
        <w:fldChar w:fldCharType="begin"/>
      </w:r>
      <w:r>
        <w:instrText xml:space="preserve"> PAGEREF _Toc75519610 \h </w:instrText>
      </w:r>
      <w:r>
        <w:fldChar w:fldCharType="separate"/>
      </w:r>
      <w:r w:rsidR="00962E4C">
        <w:t>8</w:t>
      </w:r>
      <w:r>
        <w:fldChar w:fldCharType="end"/>
      </w:r>
    </w:p>
    <w:p w:rsidR="00121DFB" w:rsidRDefault="00121DFB">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_Toc75519611 \h </w:instrText>
      </w:r>
      <w:r>
        <w:fldChar w:fldCharType="separate"/>
      </w:r>
      <w:r w:rsidR="00962E4C">
        <w:t>9</w:t>
      </w:r>
      <w:r>
        <w:fldChar w:fldCharType="end"/>
      </w:r>
    </w:p>
    <w:p w:rsidR="00121DFB" w:rsidRDefault="00121DFB">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_Toc75519612 \h </w:instrText>
      </w:r>
      <w:r>
        <w:fldChar w:fldCharType="separate"/>
      </w:r>
      <w:r w:rsidR="00962E4C">
        <w:t>10</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rsidR="00121DFB" w:rsidRDefault="00121DFB">
      <w:pPr>
        <w:pStyle w:val="TOC4"/>
        <w:tabs>
          <w:tab w:val="right" w:leader="dot" w:pos="7077"/>
        </w:tabs>
        <w:rPr>
          <w:rFonts w:asciiTheme="minorHAnsi" w:eastAsiaTheme="minorEastAsia" w:hAnsiTheme="minorHAnsi" w:cstheme="minorBidi"/>
          <w:b w:val="0"/>
          <w:szCs w:val="22"/>
        </w:rPr>
      </w:pPr>
      <w:r>
        <w:t>Division 1 — Preliminary</w:t>
      </w:r>
    </w:p>
    <w:p w:rsidR="00121DFB" w:rsidRDefault="00121DFB">
      <w:pPr>
        <w:pStyle w:val="TOC8"/>
        <w:rPr>
          <w:rFonts w:asciiTheme="minorHAnsi" w:eastAsiaTheme="minorEastAsia" w:hAnsiTheme="minorHAnsi" w:cstheme="minorBidi"/>
          <w:szCs w:val="22"/>
        </w:rPr>
      </w:pPr>
      <w:r>
        <w:t>16.</w:t>
      </w:r>
      <w:r>
        <w:tab/>
        <w:t>Terms used</w:t>
      </w:r>
      <w:r>
        <w:tab/>
      </w:r>
      <w:r>
        <w:fldChar w:fldCharType="begin"/>
      </w:r>
      <w:r>
        <w:instrText xml:space="preserve"> PAGEREF _Toc75519615 \h </w:instrText>
      </w:r>
      <w:r>
        <w:fldChar w:fldCharType="separate"/>
      </w:r>
      <w:r w:rsidR="00962E4C">
        <w:t>11</w:t>
      </w:r>
      <w:r>
        <w:fldChar w:fldCharType="end"/>
      </w:r>
    </w:p>
    <w:p w:rsidR="00121DFB" w:rsidRDefault="00121DFB">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_Toc75519616 \h </w:instrText>
      </w:r>
      <w:r>
        <w:fldChar w:fldCharType="separate"/>
      </w:r>
      <w:r w:rsidR="00962E4C">
        <w:t>17</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2 — Provisions of general application</w:t>
      </w:r>
    </w:p>
    <w:p w:rsidR="00121DFB" w:rsidRDefault="00121DFB">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_Toc75519618 \h </w:instrText>
      </w:r>
      <w:r>
        <w:fldChar w:fldCharType="separate"/>
      </w:r>
      <w:r w:rsidR="00962E4C">
        <w:t>19</w:t>
      </w:r>
      <w:r>
        <w:fldChar w:fldCharType="end"/>
      </w:r>
    </w:p>
    <w:p w:rsidR="00121DFB" w:rsidRDefault="00121DFB">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_Toc75519619 \h </w:instrText>
      </w:r>
      <w:r>
        <w:fldChar w:fldCharType="separate"/>
      </w:r>
      <w:r w:rsidR="00962E4C">
        <w:t>19</w:t>
      </w:r>
      <w:r>
        <w:fldChar w:fldCharType="end"/>
      </w:r>
    </w:p>
    <w:p w:rsidR="00121DFB" w:rsidRDefault="00121DFB">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_Toc75519620 \h </w:instrText>
      </w:r>
      <w:r>
        <w:fldChar w:fldCharType="separate"/>
      </w:r>
      <w:r w:rsidR="00962E4C">
        <w:t>20</w:t>
      </w:r>
      <w:r>
        <w:fldChar w:fldCharType="end"/>
      </w:r>
    </w:p>
    <w:p w:rsidR="00121DFB" w:rsidRDefault="00121DFB">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_Toc75519621 \h </w:instrText>
      </w:r>
      <w:r>
        <w:fldChar w:fldCharType="separate"/>
      </w:r>
      <w:r w:rsidR="00962E4C">
        <w:t>21</w:t>
      </w:r>
      <w:r>
        <w:fldChar w:fldCharType="end"/>
      </w:r>
    </w:p>
    <w:p w:rsidR="00121DFB" w:rsidRDefault="00121DFB">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_Toc75519622 \h </w:instrText>
      </w:r>
      <w:r>
        <w:fldChar w:fldCharType="separate"/>
      </w:r>
      <w:r w:rsidR="00962E4C">
        <w:t>21</w:t>
      </w:r>
      <w:r>
        <w:fldChar w:fldCharType="end"/>
      </w:r>
    </w:p>
    <w:p w:rsidR="00121DFB" w:rsidRDefault="00121DFB">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_Toc75519623 \h </w:instrText>
      </w:r>
      <w:r>
        <w:fldChar w:fldCharType="separate"/>
      </w:r>
      <w:r w:rsidR="00962E4C">
        <w:t>23</w:t>
      </w:r>
      <w:r>
        <w:fldChar w:fldCharType="end"/>
      </w:r>
    </w:p>
    <w:p w:rsidR="00121DFB" w:rsidRDefault="00121DFB">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_Toc75519624 \h </w:instrText>
      </w:r>
      <w:r>
        <w:fldChar w:fldCharType="separate"/>
      </w:r>
      <w:r w:rsidR="00962E4C">
        <w:t>25</w:t>
      </w:r>
      <w:r>
        <w:fldChar w:fldCharType="end"/>
      </w:r>
    </w:p>
    <w:p w:rsidR="00121DFB" w:rsidRDefault="00121DFB">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_Toc75519625 \h </w:instrText>
      </w:r>
      <w:r>
        <w:fldChar w:fldCharType="separate"/>
      </w:r>
      <w:r w:rsidR="00962E4C">
        <w:t>25</w:t>
      </w:r>
      <w:r>
        <w:fldChar w:fldCharType="end"/>
      </w:r>
    </w:p>
    <w:p w:rsidR="00121DFB" w:rsidRDefault="00121DFB">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_Toc75519626 \h </w:instrText>
      </w:r>
      <w:r>
        <w:fldChar w:fldCharType="separate"/>
      </w:r>
      <w:r w:rsidR="00962E4C">
        <w:t>26</w:t>
      </w:r>
      <w:r>
        <w:fldChar w:fldCharType="end"/>
      </w:r>
    </w:p>
    <w:p w:rsidR="00121DFB" w:rsidRDefault="00121DFB">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_Toc75519627 \h </w:instrText>
      </w:r>
      <w:r>
        <w:fldChar w:fldCharType="separate"/>
      </w:r>
      <w:r w:rsidR="00962E4C">
        <w:t>26</w:t>
      </w:r>
      <w:r>
        <w:fldChar w:fldCharType="end"/>
      </w:r>
    </w:p>
    <w:p w:rsidR="00121DFB" w:rsidRDefault="00121DFB">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_Toc75519628 \h </w:instrText>
      </w:r>
      <w:r>
        <w:fldChar w:fldCharType="separate"/>
      </w:r>
      <w:r w:rsidR="00962E4C">
        <w:t>27</w:t>
      </w:r>
      <w:r>
        <w:fldChar w:fldCharType="end"/>
      </w:r>
    </w:p>
    <w:p w:rsidR="00121DFB" w:rsidRDefault="00121DFB">
      <w:pPr>
        <w:pStyle w:val="TOC8"/>
        <w:rPr>
          <w:rFonts w:asciiTheme="minorHAnsi" w:eastAsiaTheme="minorEastAsia" w:hAnsiTheme="minorHAnsi" w:cstheme="minorBidi"/>
          <w:szCs w:val="22"/>
        </w:rPr>
      </w:pPr>
      <w:r>
        <w:t>28A.</w:t>
      </w:r>
      <w:r>
        <w:tab/>
        <w:t>Maximum increases for various GRV based charges in financial year commencing on 1 July 2020</w:t>
      </w:r>
      <w:r>
        <w:tab/>
      </w:r>
      <w:r>
        <w:fldChar w:fldCharType="begin"/>
      </w:r>
      <w:r>
        <w:instrText xml:space="preserve"> PAGEREF _Toc75519629 \h </w:instrText>
      </w:r>
      <w:r>
        <w:fldChar w:fldCharType="separate"/>
      </w:r>
      <w:r w:rsidR="00962E4C">
        <w:t>28</w:t>
      </w:r>
      <w:r>
        <w:fldChar w:fldCharType="end"/>
      </w:r>
    </w:p>
    <w:p w:rsidR="00121DFB" w:rsidRDefault="00121DFB">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_Toc75519630 \h </w:instrText>
      </w:r>
      <w:r>
        <w:fldChar w:fldCharType="separate"/>
      </w:r>
      <w:r w:rsidR="00962E4C">
        <w:t>30</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3 — Water supply charges</w:t>
      </w:r>
    </w:p>
    <w:p w:rsidR="00121DFB" w:rsidRDefault="00121DFB">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_Toc75519632 \h </w:instrText>
      </w:r>
      <w:r>
        <w:fldChar w:fldCharType="separate"/>
      </w:r>
      <w:r w:rsidR="00962E4C">
        <w:t>30</w:t>
      </w:r>
      <w:r>
        <w:fldChar w:fldCharType="end"/>
      </w:r>
    </w:p>
    <w:p w:rsidR="00121DFB" w:rsidRDefault="00121DFB">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_Toc75519633 \h </w:instrText>
      </w:r>
      <w:r>
        <w:fldChar w:fldCharType="separate"/>
      </w:r>
      <w:r w:rsidR="00962E4C">
        <w:t>30</w:t>
      </w:r>
      <w:r>
        <w:fldChar w:fldCharType="end"/>
      </w:r>
    </w:p>
    <w:p w:rsidR="00121DFB" w:rsidRDefault="00121DFB">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_Toc75519634 \h </w:instrText>
      </w:r>
      <w:r>
        <w:fldChar w:fldCharType="separate"/>
      </w:r>
      <w:r w:rsidR="00962E4C">
        <w:t>31</w:t>
      </w:r>
      <w:r>
        <w:fldChar w:fldCharType="end"/>
      </w:r>
    </w:p>
    <w:p w:rsidR="00121DFB" w:rsidRDefault="00121DFB">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_Toc75519635 \h </w:instrText>
      </w:r>
      <w:r>
        <w:fldChar w:fldCharType="separate"/>
      </w:r>
      <w:r w:rsidR="00962E4C">
        <w:t>34</w:t>
      </w:r>
      <w:r>
        <w:fldChar w:fldCharType="end"/>
      </w:r>
    </w:p>
    <w:p w:rsidR="00121DFB" w:rsidRDefault="00121DFB">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_Toc75519636 \h </w:instrText>
      </w:r>
      <w:r>
        <w:fldChar w:fldCharType="separate"/>
      </w:r>
      <w:r w:rsidR="00962E4C">
        <w:t>35</w:t>
      </w:r>
      <w:r>
        <w:fldChar w:fldCharType="end"/>
      </w:r>
    </w:p>
    <w:p w:rsidR="00121DFB" w:rsidRDefault="00121DFB">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_Toc75519637 \h </w:instrText>
      </w:r>
      <w:r>
        <w:fldChar w:fldCharType="separate"/>
      </w:r>
      <w:r w:rsidR="00962E4C">
        <w:t>37</w:t>
      </w:r>
      <w:r>
        <w:fldChar w:fldCharType="end"/>
      </w:r>
    </w:p>
    <w:p w:rsidR="00121DFB" w:rsidRDefault="00121DFB">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_Toc75519638 \h </w:instrText>
      </w:r>
      <w:r>
        <w:fldChar w:fldCharType="separate"/>
      </w:r>
      <w:r w:rsidR="00962E4C">
        <w:t>39</w:t>
      </w:r>
      <w:r>
        <w:fldChar w:fldCharType="end"/>
      </w:r>
    </w:p>
    <w:p w:rsidR="00121DFB" w:rsidRDefault="00121DFB">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_Toc75519639 \h </w:instrText>
      </w:r>
      <w:r>
        <w:fldChar w:fldCharType="separate"/>
      </w:r>
      <w:r w:rsidR="00962E4C">
        <w:t>39</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lastRenderedPageBreak/>
        <w:t>Division 4 — Sewerage charges</w:t>
      </w:r>
    </w:p>
    <w:p w:rsidR="00121DFB" w:rsidRDefault="00121DFB">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_Toc75519641 \h </w:instrText>
      </w:r>
      <w:r>
        <w:fldChar w:fldCharType="separate"/>
      </w:r>
      <w:r w:rsidR="00962E4C">
        <w:t>40</w:t>
      </w:r>
      <w:r>
        <w:fldChar w:fldCharType="end"/>
      </w:r>
    </w:p>
    <w:p w:rsidR="00121DFB" w:rsidRDefault="00121DFB">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_Toc75519642 \h </w:instrText>
      </w:r>
      <w:r>
        <w:fldChar w:fldCharType="separate"/>
      </w:r>
      <w:r w:rsidR="00962E4C">
        <w:t>40</w:t>
      </w:r>
      <w:r>
        <w:fldChar w:fldCharType="end"/>
      </w:r>
    </w:p>
    <w:p w:rsidR="00121DFB" w:rsidRDefault="00121DFB">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_Toc75519643 \h </w:instrText>
      </w:r>
      <w:r>
        <w:fldChar w:fldCharType="separate"/>
      </w:r>
      <w:r w:rsidR="00962E4C">
        <w:t>41</w:t>
      </w:r>
      <w:r>
        <w:fldChar w:fldCharType="end"/>
      </w:r>
    </w:p>
    <w:p w:rsidR="00121DFB" w:rsidRDefault="00121DFB">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_Toc75519644 \h </w:instrText>
      </w:r>
      <w:r>
        <w:fldChar w:fldCharType="separate"/>
      </w:r>
      <w:r w:rsidR="00962E4C">
        <w:t>42</w:t>
      </w:r>
      <w:r>
        <w:fldChar w:fldCharType="end"/>
      </w:r>
    </w:p>
    <w:p w:rsidR="00121DFB" w:rsidRDefault="00121DFB">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_Toc75519645 \h </w:instrText>
      </w:r>
      <w:r>
        <w:fldChar w:fldCharType="separate"/>
      </w:r>
      <w:r w:rsidR="00962E4C">
        <w:t>44</w:t>
      </w:r>
      <w:r>
        <w:fldChar w:fldCharType="end"/>
      </w:r>
    </w:p>
    <w:p w:rsidR="00121DFB" w:rsidRDefault="00121DFB">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_Toc75519646 \h </w:instrText>
      </w:r>
      <w:r>
        <w:fldChar w:fldCharType="separate"/>
      </w:r>
      <w:r w:rsidR="00962E4C">
        <w:t>44</w:t>
      </w:r>
      <w:r>
        <w:fldChar w:fldCharType="end"/>
      </w:r>
    </w:p>
    <w:p w:rsidR="00121DFB" w:rsidRDefault="00121DFB">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_Toc75519647 \h </w:instrText>
      </w:r>
      <w:r>
        <w:fldChar w:fldCharType="separate"/>
      </w:r>
      <w:r w:rsidR="00962E4C">
        <w:t>45</w:t>
      </w:r>
      <w:r>
        <w:fldChar w:fldCharType="end"/>
      </w:r>
    </w:p>
    <w:p w:rsidR="00121DFB" w:rsidRDefault="00121DFB">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_Toc75519648 \h </w:instrText>
      </w:r>
      <w:r>
        <w:fldChar w:fldCharType="separate"/>
      </w:r>
      <w:r w:rsidR="00962E4C">
        <w:t>46</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5 — Drainage charges</w:t>
      </w:r>
    </w:p>
    <w:p w:rsidR="00121DFB" w:rsidRDefault="00121DFB">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_Toc75519650 \h </w:instrText>
      </w:r>
      <w:r>
        <w:fldChar w:fldCharType="separate"/>
      </w:r>
      <w:r w:rsidR="00962E4C">
        <w:t>47</w:t>
      </w:r>
      <w:r>
        <w:fldChar w:fldCharType="end"/>
      </w:r>
    </w:p>
    <w:p w:rsidR="00121DFB" w:rsidRDefault="00121DFB">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_Toc75519651 \h </w:instrText>
      </w:r>
      <w:r>
        <w:fldChar w:fldCharType="separate"/>
      </w:r>
      <w:r w:rsidR="00962E4C">
        <w:t>48</w:t>
      </w:r>
      <w:r>
        <w:fldChar w:fldCharType="end"/>
      </w:r>
    </w:p>
    <w:p w:rsidR="00121DFB" w:rsidRDefault="00121DFB">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_Toc75519652 \h </w:instrText>
      </w:r>
      <w:r>
        <w:fldChar w:fldCharType="separate"/>
      </w:r>
      <w:r w:rsidR="00962E4C">
        <w:t>49</w:t>
      </w:r>
      <w:r>
        <w:fldChar w:fldCharType="end"/>
      </w:r>
    </w:p>
    <w:p w:rsidR="00121DFB" w:rsidRDefault="00121DFB">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_Toc75519653 \h </w:instrText>
      </w:r>
      <w:r>
        <w:fldChar w:fldCharType="separate"/>
      </w:r>
      <w:r w:rsidR="00962E4C">
        <w:t>49</w:t>
      </w:r>
      <w:r>
        <w:fldChar w:fldCharType="end"/>
      </w:r>
    </w:p>
    <w:p w:rsidR="00121DFB" w:rsidRDefault="00121DFB">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_Toc75519654 \h </w:instrText>
      </w:r>
      <w:r>
        <w:fldChar w:fldCharType="separate"/>
      </w:r>
      <w:r w:rsidR="00962E4C">
        <w:t>50</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6 — Irrigation charges</w:t>
      </w:r>
    </w:p>
    <w:p w:rsidR="00121DFB" w:rsidRDefault="00121DFB">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_Toc75519656 \h </w:instrText>
      </w:r>
      <w:r>
        <w:fldChar w:fldCharType="separate"/>
      </w:r>
      <w:r w:rsidR="00962E4C">
        <w:t>51</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7 — Miscellaneous charges</w:t>
      </w:r>
    </w:p>
    <w:p w:rsidR="00121DFB" w:rsidRDefault="00121DFB">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_Toc75519658 \h </w:instrText>
      </w:r>
      <w:r>
        <w:fldChar w:fldCharType="separate"/>
      </w:r>
      <w:r w:rsidR="00962E4C">
        <w:t>52</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rsidR="00121DFB" w:rsidRDefault="00121DFB">
      <w:pPr>
        <w:pStyle w:val="TOC4"/>
        <w:tabs>
          <w:tab w:val="right" w:leader="dot" w:pos="7077"/>
        </w:tabs>
        <w:rPr>
          <w:rFonts w:asciiTheme="minorHAnsi" w:eastAsiaTheme="minorEastAsia" w:hAnsiTheme="minorHAnsi" w:cstheme="minorBidi"/>
          <w:b w:val="0"/>
          <w:szCs w:val="22"/>
        </w:rPr>
      </w:pPr>
      <w:r>
        <w:t>Division 1 — </w:t>
      </w:r>
      <w:r w:rsidRPr="00F878CA">
        <w:rPr>
          <w:i/>
        </w:rPr>
        <w:t>Water Services (Water Corporations Charges) Regulations 2013</w:t>
      </w:r>
      <w:r>
        <w:t xml:space="preserve"> repealed</w:t>
      </w:r>
    </w:p>
    <w:p w:rsidR="00121DFB" w:rsidRDefault="00121DFB">
      <w:pPr>
        <w:pStyle w:val="TOC8"/>
        <w:rPr>
          <w:rFonts w:asciiTheme="minorHAnsi" w:eastAsiaTheme="minorEastAsia" w:hAnsiTheme="minorHAnsi" w:cstheme="minorBidi"/>
          <w:szCs w:val="22"/>
        </w:rPr>
      </w:pPr>
      <w:r>
        <w:t>52.</w:t>
      </w:r>
      <w:r>
        <w:tab/>
      </w:r>
      <w:r w:rsidRPr="00F878CA">
        <w:rPr>
          <w:i/>
        </w:rPr>
        <w:t>Water Services (Water Corporations Charges) Regulations 2013</w:t>
      </w:r>
      <w:r>
        <w:t xml:space="preserve"> repealed</w:t>
      </w:r>
      <w:r>
        <w:tab/>
      </w:r>
      <w:r>
        <w:fldChar w:fldCharType="begin"/>
      </w:r>
      <w:r>
        <w:instrText xml:space="preserve"> PAGEREF _Toc75519661 \h </w:instrText>
      </w:r>
      <w:r>
        <w:fldChar w:fldCharType="separate"/>
      </w:r>
      <w:r w:rsidR="00962E4C">
        <w:t>53</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 xml:space="preserve">Division 2 — Transitional provisions: </w:t>
      </w:r>
      <w:r w:rsidRPr="00F878CA">
        <w:rPr>
          <w:i/>
        </w:rPr>
        <w:t>Water Services (Water Corporations Charges) Regulations 2014</w:t>
      </w:r>
    </w:p>
    <w:p w:rsidR="00121DFB" w:rsidRDefault="00121DFB">
      <w:pPr>
        <w:pStyle w:val="TOC6"/>
        <w:tabs>
          <w:tab w:val="right" w:leader="dot" w:pos="7077"/>
        </w:tabs>
        <w:rPr>
          <w:rFonts w:asciiTheme="minorHAnsi" w:eastAsiaTheme="minorEastAsia" w:hAnsiTheme="minorHAnsi" w:cstheme="minorBidi"/>
          <w:b w:val="0"/>
          <w:sz w:val="22"/>
          <w:szCs w:val="22"/>
        </w:rPr>
      </w:pPr>
      <w:r>
        <w:t>Subdivision 1 — General provisions</w:t>
      </w:r>
    </w:p>
    <w:p w:rsidR="00121DFB" w:rsidRDefault="00121DFB">
      <w:pPr>
        <w:pStyle w:val="TOC8"/>
        <w:rPr>
          <w:rFonts w:asciiTheme="minorHAnsi" w:eastAsiaTheme="minorEastAsia" w:hAnsiTheme="minorHAnsi" w:cstheme="minorBidi"/>
          <w:szCs w:val="22"/>
        </w:rPr>
      </w:pPr>
      <w:r>
        <w:t>53.</w:t>
      </w:r>
      <w:r>
        <w:tab/>
        <w:t xml:space="preserve">Application of the </w:t>
      </w:r>
      <w:r w:rsidRPr="00F878CA">
        <w:rPr>
          <w:i/>
        </w:rPr>
        <w:t>Interpretation Act 1984</w:t>
      </w:r>
      <w:r>
        <w:tab/>
      </w:r>
      <w:r>
        <w:fldChar w:fldCharType="begin"/>
      </w:r>
      <w:r>
        <w:instrText xml:space="preserve"> PAGEREF _Toc75519664 \h </w:instrText>
      </w:r>
      <w:r>
        <w:fldChar w:fldCharType="separate"/>
      </w:r>
      <w:r w:rsidR="00962E4C">
        <w:t>53</w:t>
      </w:r>
      <w:r>
        <w:fldChar w:fldCharType="end"/>
      </w:r>
    </w:p>
    <w:p w:rsidR="00121DFB" w:rsidRDefault="00121DFB">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_Toc75519665 \h </w:instrText>
      </w:r>
      <w:r>
        <w:fldChar w:fldCharType="separate"/>
      </w:r>
      <w:r w:rsidR="00962E4C">
        <w:t>53</w:t>
      </w:r>
      <w:r>
        <w:fldChar w:fldCharType="end"/>
      </w:r>
    </w:p>
    <w:p w:rsidR="00121DFB" w:rsidRDefault="00121DFB">
      <w:pPr>
        <w:pStyle w:val="TOC8"/>
        <w:rPr>
          <w:rFonts w:asciiTheme="minorHAnsi" w:eastAsiaTheme="minorEastAsia" w:hAnsiTheme="minorHAnsi" w:cstheme="minorBidi"/>
          <w:szCs w:val="22"/>
        </w:rPr>
      </w:pPr>
      <w:r>
        <w:lastRenderedPageBreak/>
        <w:t>55.</w:t>
      </w:r>
      <w:r>
        <w:tab/>
        <w:t>Continuing effect of things done before 1 July 2014</w:t>
      </w:r>
      <w:r>
        <w:tab/>
      </w:r>
      <w:r>
        <w:fldChar w:fldCharType="begin"/>
      </w:r>
      <w:r>
        <w:instrText xml:space="preserve"> PAGEREF _Toc75519666 \h </w:instrText>
      </w:r>
      <w:r>
        <w:fldChar w:fldCharType="separate"/>
      </w:r>
      <w:r w:rsidR="00962E4C">
        <w:t>53</w:t>
      </w:r>
      <w:r>
        <w:fldChar w:fldCharType="end"/>
      </w:r>
    </w:p>
    <w:p w:rsidR="00121DFB" w:rsidRDefault="00121DFB">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_Toc75519667 \h </w:instrText>
      </w:r>
      <w:r>
        <w:fldChar w:fldCharType="separate"/>
      </w:r>
      <w:r w:rsidR="00962E4C">
        <w:t>54</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2 — Specific provisions</w:t>
      </w:r>
    </w:p>
    <w:p w:rsidR="00121DFB" w:rsidRDefault="00121DFB">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_Toc75519669 \h </w:instrText>
      </w:r>
      <w:r>
        <w:fldChar w:fldCharType="separate"/>
      </w:r>
      <w:r w:rsidR="00962E4C">
        <w:t>54</w:t>
      </w:r>
      <w:r>
        <w:fldChar w:fldCharType="end"/>
      </w:r>
    </w:p>
    <w:p w:rsidR="00121DFB" w:rsidRDefault="00121DFB">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_Toc75519670 \h </w:instrText>
      </w:r>
      <w:r>
        <w:fldChar w:fldCharType="separate"/>
      </w:r>
      <w:r w:rsidR="00962E4C">
        <w:t>54</w:t>
      </w:r>
      <w:r>
        <w:fldChar w:fldCharType="end"/>
      </w:r>
    </w:p>
    <w:p w:rsidR="00121DFB" w:rsidRDefault="00121DFB">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_Toc75519671 \h </w:instrText>
      </w:r>
      <w:r>
        <w:fldChar w:fldCharType="separate"/>
      </w:r>
      <w:r w:rsidR="00962E4C">
        <w:t>55</w:t>
      </w:r>
      <w:r>
        <w:fldChar w:fldCharType="end"/>
      </w:r>
    </w:p>
    <w:p w:rsidR="00121DFB" w:rsidRDefault="00121DFB">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_Toc75519672 \h </w:instrText>
      </w:r>
      <w:r>
        <w:fldChar w:fldCharType="separate"/>
      </w:r>
      <w:r w:rsidR="00962E4C">
        <w:t>55</w:t>
      </w:r>
      <w:r>
        <w:fldChar w:fldCharType="end"/>
      </w:r>
    </w:p>
    <w:p w:rsidR="00121DFB" w:rsidRDefault="00121DFB">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_Toc75519673 \h </w:instrText>
      </w:r>
      <w:r>
        <w:fldChar w:fldCharType="separate"/>
      </w:r>
      <w:r w:rsidR="00962E4C">
        <w:t>55</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 xml:space="preserve">Division 3 — Transitional provisions: </w:t>
      </w:r>
      <w:r w:rsidRPr="00F878CA">
        <w:rPr>
          <w:i/>
        </w:rPr>
        <w:t>Water Services (Water Corporations Charges) Amendment Regulations (No. 2) 2014</w:t>
      </w:r>
    </w:p>
    <w:p w:rsidR="00121DFB" w:rsidRDefault="00121DFB">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_Toc75519675 \h </w:instrText>
      </w:r>
      <w:r>
        <w:fldChar w:fldCharType="separate"/>
      </w:r>
      <w:r w:rsidR="00962E4C">
        <w:t>56</w:t>
      </w:r>
      <w:r>
        <w:fldChar w:fldCharType="end"/>
      </w:r>
    </w:p>
    <w:p w:rsidR="00121DFB" w:rsidRDefault="00121DFB">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_Toc75519676 \h </w:instrText>
      </w:r>
      <w:r>
        <w:fldChar w:fldCharType="separate"/>
      </w:r>
      <w:r w:rsidR="00962E4C">
        <w:t>56</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rsidR="00121DFB" w:rsidRDefault="00121DFB">
      <w:pPr>
        <w:pStyle w:val="TOC4"/>
        <w:tabs>
          <w:tab w:val="right" w:leader="dot" w:pos="7077"/>
        </w:tabs>
        <w:rPr>
          <w:rFonts w:asciiTheme="minorHAnsi" w:eastAsiaTheme="minorEastAsia" w:hAnsiTheme="minorHAnsi" w:cstheme="minorBidi"/>
          <w:b w:val="0"/>
          <w:szCs w:val="22"/>
        </w:rPr>
      </w:pPr>
      <w:r>
        <w:t>Division 1 — Service charges</w:t>
      </w:r>
    </w:p>
    <w:p w:rsidR="00121DFB" w:rsidRDefault="00121DFB">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_Toc75519679 \h </w:instrText>
      </w:r>
      <w:r>
        <w:fldChar w:fldCharType="separate"/>
      </w:r>
      <w:r w:rsidR="00962E4C">
        <w:t>58</w:t>
      </w:r>
      <w:r>
        <w:fldChar w:fldCharType="end"/>
      </w:r>
    </w:p>
    <w:p w:rsidR="00121DFB" w:rsidRDefault="00121DFB">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_Toc75519680 \h </w:instrText>
      </w:r>
      <w:r>
        <w:fldChar w:fldCharType="separate"/>
      </w:r>
      <w:r w:rsidR="00962E4C">
        <w:t>58</w:t>
      </w:r>
      <w:r>
        <w:fldChar w:fldCharType="end"/>
      </w:r>
    </w:p>
    <w:p w:rsidR="00121DFB" w:rsidRDefault="00121DFB">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_Toc75519681 \h </w:instrText>
      </w:r>
      <w:r>
        <w:fldChar w:fldCharType="separate"/>
      </w:r>
      <w:r w:rsidR="00962E4C">
        <w:t>58</w:t>
      </w:r>
      <w:r>
        <w:fldChar w:fldCharType="end"/>
      </w:r>
    </w:p>
    <w:p w:rsidR="00121DFB" w:rsidRDefault="00121DFB">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_Toc75519682 \h </w:instrText>
      </w:r>
      <w:r>
        <w:fldChar w:fldCharType="separate"/>
      </w:r>
      <w:r w:rsidR="00962E4C">
        <w:t>58</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2 — Consumption charges</w:t>
      </w:r>
    </w:p>
    <w:p w:rsidR="00121DFB" w:rsidRDefault="00121DFB">
      <w:pPr>
        <w:pStyle w:val="TOC8"/>
        <w:rPr>
          <w:rFonts w:asciiTheme="minorHAnsi" w:eastAsiaTheme="minorEastAsia" w:hAnsiTheme="minorHAnsi" w:cstheme="minorBidi"/>
          <w:szCs w:val="22"/>
        </w:rPr>
      </w:pPr>
      <w:r>
        <w:t>5.</w:t>
      </w:r>
      <w:r>
        <w:tab/>
        <w:t>Consumption charges for 2020/21 year and subsequent years</w:t>
      </w:r>
      <w:r>
        <w:tab/>
      </w:r>
      <w:r>
        <w:fldChar w:fldCharType="begin"/>
      </w:r>
      <w:r>
        <w:instrText xml:space="preserve"> PAGEREF _Toc75519684 \h </w:instrText>
      </w:r>
      <w:r>
        <w:fldChar w:fldCharType="separate"/>
      </w:r>
      <w:r w:rsidR="00962E4C">
        <w:t>59</w:t>
      </w:r>
      <w:r>
        <w:fldChar w:fldCharType="end"/>
      </w:r>
    </w:p>
    <w:p w:rsidR="00121DFB" w:rsidRDefault="00121DFB">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_Toc75519685 \h </w:instrText>
      </w:r>
      <w:r>
        <w:fldChar w:fldCharType="separate"/>
      </w:r>
      <w:r w:rsidR="00962E4C">
        <w:t>59</w:t>
      </w:r>
      <w:r>
        <w:fldChar w:fldCharType="end"/>
      </w:r>
    </w:p>
    <w:p w:rsidR="00121DFB" w:rsidRDefault="00121DFB">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_Toc75519686 \h </w:instrText>
      </w:r>
      <w:r>
        <w:fldChar w:fldCharType="separate"/>
      </w:r>
      <w:r w:rsidR="00962E4C">
        <w:t>59</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rsidR="00121DFB" w:rsidRDefault="00121DFB">
      <w:pPr>
        <w:pStyle w:val="TOC4"/>
        <w:tabs>
          <w:tab w:val="right" w:leader="dot" w:pos="7077"/>
        </w:tabs>
        <w:rPr>
          <w:rFonts w:asciiTheme="minorHAnsi" w:eastAsiaTheme="minorEastAsia" w:hAnsiTheme="minorHAnsi" w:cstheme="minorBidi"/>
          <w:b w:val="0"/>
          <w:szCs w:val="22"/>
        </w:rPr>
      </w:pPr>
      <w:r>
        <w:t>Division 1 — Service charges</w:t>
      </w:r>
    </w:p>
    <w:p w:rsidR="00121DFB" w:rsidRDefault="00121DFB">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_Toc75519689 \h </w:instrText>
      </w:r>
      <w:r>
        <w:fldChar w:fldCharType="separate"/>
      </w:r>
      <w:r w:rsidR="00962E4C">
        <w:t>60</w:t>
      </w:r>
      <w:r>
        <w:fldChar w:fldCharType="end"/>
      </w:r>
    </w:p>
    <w:p w:rsidR="00121DFB" w:rsidRDefault="00121DFB">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_Toc75519690 \h </w:instrText>
      </w:r>
      <w:r>
        <w:fldChar w:fldCharType="separate"/>
      </w:r>
      <w:r w:rsidR="00962E4C">
        <w:t>60</w:t>
      </w:r>
      <w:r>
        <w:fldChar w:fldCharType="end"/>
      </w:r>
    </w:p>
    <w:p w:rsidR="00121DFB" w:rsidRDefault="00121DFB">
      <w:pPr>
        <w:pStyle w:val="TOC8"/>
        <w:rPr>
          <w:rFonts w:asciiTheme="minorHAnsi" w:eastAsiaTheme="minorEastAsia" w:hAnsiTheme="minorHAnsi" w:cstheme="minorBidi"/>
          <w:szCs w:val="22"/>
        </w:rPr>
      </w:pPr>
      <w:r>
        <w:lastRenderedPageBreak/>
        <w:t>3.</w:t>
      </w:r>
      <w:r>
        <w:tab/>
        <w:t>Non</w:t>
      </w:r>
      <w:r>
        <w:noBreakHyphen/>
        <w:t>residential lots</w:t>
      </w:r>
      <w:r>
        <w:tab/>
      </w:r>
      <w:r>
        <w:fldChar w:fldCharType="begin"/>
      </w:r>
      <w:r>
        <w:instrText xml:space="preserve"> PAGEREF _Toc75519691 \h </w:instrText>
      </w:r>
      <w:r>
        <w:fldChar w:fldCharType="separate"/>
      </w:r>
      <w:r w:rsidR="00962E4C">
        <w:t>60</w:t>
      </w:r>
      <w:r>
        <w:fldChar w:fldCharType="end"/>
      </w:r>
    </w:p>
    <w:p w:rsidR="00121DFB" w:rsidRDefault="00121DFB">
      <w:pPr>
        <w:pStyle w:val="TOC8"/>
        <w:rPr>
          <w:rFonts w:asciiTheme="minorHAnsi" w:eastAsiaTheme="minorEastAsia" w:hAnsiTheme="minorHAnsi" w:cstheme="minorBidi"/>
          <w:szCs w:val="22"/>
        </w:rPr>
      </w:pPr>
      <w:r>
        <w:t>4.</w:t>
      </w:r>
      <w:r>
        <w:tab/>
        <w:t>Vacant land</w:t>
      </w:r>
      <w:r>
        <w:tab/>
      </w:r>
      <w:r>
        <w:fldChar w:fldCharType="begin"/>
      </w:r>
      <w:r>
        <w:instrText xml:space="preserve"> PAGEREF _Toc75519692 \h </w:instrText>
      </w:r>
      <w:r>
        <w:fldChar w:fldCharType="separate"/>
      </w:r>
      <w:r w:rsidR="00962E4C">
        <w:t>60</w:t>
      </w:r>
      <w:r>
        <w:fldChar w:fldCharType="end"/>
      </w:r>
    </w:p>
    <w:p w:rsidR="00121DFB" w:rsidRDefault="00121DFB">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_Toc75519693 \h </w:instrText>
      </w:r>
      <w:r>
        <w:fldChar w:fldCharType="separate"/>
      </w:r>
      <w:r w:rsidR="00962E4C">
        <w:t>60</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2 — Consumption charges</w:t>
      </w:r>
    </w:p>
    <w:p w:rsidR="00121DFB" w:rsidRDefault="00121DFB">
      <w:pPr>
        <w:pStyle w:val="TOC8"/>
        <w:rPr>
          <w:rFonts w:asciiTheme="minorHAnsi" w:eastAsiaTheme="minorEastAsia" w:hAnsiTheme="minorHAnsi" w:cstheme="minorBidi"/>
          <w:szCs w:val="22"/>
        </w:rPr>
      </w:pPr>
      <w:r>
        <w:t>6.</w:t>
      </w:r>
      <w:r>
        <w:tab/>
        <w:t>Consumption charges for 2020/21 year and subsequent years</w:t>
      </w:r>
      <w:r>
        <w:tab/>
      </w:r>
      <w:r>
        <w:fldChar w:fldCharType="begin"/>
      </w:r>
      <w:r>
        <w:instrText xml:space="preserve"> PAGEREF _Toc75519695 \h </w:instrText>
      </w:r>
      <w:r>
        <w:fldChar w:fldCharType="separate"/>
      </w:r>
      <w:r w:rsidR="00962E4C">
        <w:t>61</w:t>
      </w:r>
      <w:r>
        <w:fldChar w:fldCharType="end"/>
      </w:r>
    </w:p>
    <w:p w:rsidR="00121DFB" w:rsidRDefault="00121DFB">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_Toc75519696 \h </w:instrText>
      </w:r>
      <w:r>
        <w:fldChar w:fldCharType="separate"/>
      </w:r>
      <w:r w:rsidR="00962E4C">
        <w:t>61</w:t>
      </w:r>
      <w:r>
        <w:fldChar w:fldCharType="end"/>
      </w:r>
    </w:p>
    <w:p w:rsidR="00121DFB" w:rsidRDefault="00121DFB">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_Toc75519697 \h </w:instrText>
      </w:r>
      <w:r>
        <w:fldChar w:fldCharType="separate"/>
      </w:r>
      <w:r w:rsidR="00962E4C">
        <w:t>61</w:t>
      </w:r>
      <w:r>
        <w:fldChar w:fldCharType="end"/>
      </w:r>
    </w:p>
    <w:p w:rsidR="00121DFB" w:rsidRDefault="00121DFB">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_Toc75519698 \h </w:instrText>
      </w:r>
      <w:r>
        <w:fldChar w:fldCharType="separate"/>
      </w:r>
      <w:r w:rsidR="00962E4C">
        <w:t>61</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rsidR="00121DFB" w:rsidRDefault="00121DFB">
      <w:pPr>
        <w:pStyle w:val="TOC4"/>
        <w:tabs>
          <w:tab w:val="right" w:leader="dot" w:pos="7077"/>
        </w:tabs>
        <w:rPr>
          <w:rFonts w:asciiTheme="minorHAnsi" w:eastAsiaTheme="minorEastAsia" w:hAnsiTheme="minorHAnsi" w:cstheme="minorBidi"/>
          <w:b w:val="0"/>
          <w:szCs w:val="22"/>
        </w:rPr>
      </w:pPr>
      <w:r>
        <w:t>Division 1 — Service charges</w:t>
      </w:r>
    </w:p>
    <w:p w:rsidR="00121DFB" w:rsidRDefault="00121DFB">
      <w:pPr>
        <w:pStyle w:val="TOC6"/>
        <w:tabs>
          <w:tab w:val="right" w:leader="dot" w:pos="7077"/>
        </w:tabs>
        <w:rPr>
          <w:rFonts w:asciiTheme="minorHAnsi" w:eastAsiaTheme="minorEastAsia" w:hAnsiTheme="minorHAnsi" w:cstheme="minorBidi"/>
          <w:b w:val="0"/>
          <w:sz w:val="22"/>
          <w:szCs w:val="22"/>
        </w:rPr>
      </w:pPr>
      <w:r>
        <w:t>Subdivision 1 — Preliminary</w:t>
      </w:r>
    </w:p>
    <w:p w:rsidR="00121DFB" w:rsidRDefault="00121DFB">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_Toc75519702 \h </w:instrText>
      </w:r>
      <w:r>
        <w:fldChar w:fldCharType="separate"/>
      </w:r>
      <w:r w:rsidR="00962E4C">
        <w:t>62</w:t>
      </w:r>
      <w:r>
        <w:fldChar w:fldCharType="end"/>
      </w:r>
    </w:p>
    <w:p w:rsidR="00121DFB" w:rsidRDefault="00121DFB">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_Toc75519703 \h </w:instrText>
      </w:r>
      <w:r>
        <w:fldChar w:fldCharType="separate"/>
      </w:r>
      <w:r w:rsidR="00962E4C">
        <w:t>62</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rsidR="00121DFB" w:rsidRDefault="00121DFB">
      <w:pPr>
        <w:pStyle w:val="TOC8"/>
        <w:rPr>
          <w:rFonts w:asciiTheme="minorHAnsi" w:eastAsiaTheme="minorEastAsia" w:hAnsiTheme="minorHAnsi" w:cstheme="minorBidi"/>
          <w:szCs w:val="22"/>
        </w:rPr>
      </w:pPr>
      <w:r>
        <w:t>3.</w:t>
      </w:r>
      <w:r>
        <w:tab/>
        <w:t>Residential</w:t>
      </w:r>
      <w:r>
        <w:tab/>
      </w:r>
      <w:r>
        <w:fldChar w:fldCharType="begin"/>
      </w:r>
      <w:r>
        <w:instrText xml:space="preserve"> PAGEREF _Toc75519705 \h </w:instrText>
      </w:r>
      <w:r>
        <w:fldChar w:fldCharType="separate"/>
      </w:r>
      <w:r w:rsidR="00962E4C">
        <w:t>63</w:t>
      </w:r>
      <w:r>
        <w:fldChar w:fldCharType="end"/>
      </w:r>
    </w:p>
    <w:p w:rsidR="00121DFB" w:rsidRDefault="00121DFB">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_Toc75519706 \h </w:instrText>
      </w:r>
      <w:r>
        <w:fldChar w:fldCharType="separate"/>
      </w:r>
      <w:r w:rsidR="00962E4C">
        <w:t>63</w:t>
      </w:r>
      <w:r>
        <w:fldChar w:fldCharType="end"/>
      </w:r>
    </w:p>
    <w:p w:rsidR="00121DFB" w:rsidRDefault="00121DFB">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_Toc75519707 \h </w:instrText>
      </w:r>
      <w:r>
        <w:fldChar w:fldCharType="separate"/>
      </w:r>
      <w:r w:rsidR="00962E4C">
        <w:t>63</w:t>
      </w:r>
      <w:r>
        <w:fldChar w:fldCharType="end"/>
      </w:r>
    </w:p>
    <w:p w:rsidR="00121DFB" w:rsidRDefault="00121DFB">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_Toc75519708 \h </w:instrText>
      </w:r>
      <w:r>
        <w:fldChar w:fldCharType="separate"/>
      </w:r>
      <w:r w:rsidR="00962E4C">
        <w:t>63</w:t>
      </w:r>
      <w:r>
        <w:fldChar w:fldCharType="end"/>
      </w:r>
    </w:p>
    <w:p w:rsidR="00121DFB" w:rsidRDefault="00121DFB">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_Toc75519709 \h </w:instrText>
      </w:r>
      <w:r>
        <w:fldChar w:fldCharType="separate"/>
      </w:r>
      <w:r w:rsidR="00962E4C">
        <w:t>64</w:t>
      </w:r>
      <w:r>
        <w:fldChar w:fldCharType="end"/>
      </w:r>
    </w:p>
    <w:p w:rsidR="00121DFB" w:rsidRDefault="00121DFB">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_Toc75519710 \h </w:instrText>
      </w:r>
      <w:r>
        <w:fldChar w:fldCharType="separate"/>
      </w:r>
      <w:r w:rsidR="00962E4C">
        <w:t>64</w:t>
      </w:r>
      <w:r>
        <w:fldChar w:fldCharType="end"/>
      </w:r>
    </w:p>
    <w:p w:rsidR="00121DFB" w:rsidRDefault="00121DFB">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_Toc75519711 \h </w:instrText>
      </w:r>
      <w:r>
        <w:fldChar w:fldCharType="separate"/>
      </w:r>
      <w:r w:rsidR="00962E4C">
        <w:t>64</w:t>
      </w:r>
      <w:r>
        <w:fldChar w:fldCharType="end"/>
      </w:r>
    </w:p>
    <w:p w:rsidR="00121DFB" w:rsidRDefault="00121DFB">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_Toc75519712 \h </w:instrText>
      </w:r>
      <w:r>
        <w:fldChar w:fldCharType="separate"/>
      </w:r>
      <w:r w:rsidR="00962E4C">
        <w:t>64</w:t>
      </w:r>
      <w:r>
        <w:fldChar w:fldCharType="end"/>
      </w:r>
    </w:p>
    <w:p w:rsidR="00121DFB" w:rsidRDefault="00121DFB">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_Toc75519713 \h </w:instrText>
      </w:r>
      <w:r>
        <w:fldChar w:fldCharType="separate"/>
      </w:r>
      <w:r w:rsidR="00962E4C">
        <w:t>65</w:t>
      </w:r>
      <w:r>
        <w:fldChar w:fldCharType="end"/>
      </w:r>
    </w:p>
    <w:p w:rsidR="00121DFB" w:rsidRDefault="00121DFB">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_Toc75519714 \h </w:instrText>
      </w:r>
      <w:r>
        <w:fldChar w:fldCharType="separate"/>
      </w:r>
      <w:r w:rsidR="00962E4C">
        <w:t>65</w:t>
      </w:r>
      <w:r>
        <w:fldChar w:fldCharType="end"/>
      </w:r>
    </w:p>
    <w:p w:rsidR="00121DFB" w:rsidRDefault="00121DFB">
      <w:pPr>
        <w:pStyle w:val="TOC8"/>
        <w:rPr>
          <w:rFonts w:asciiTheme="minorHAnsi" w:eastAsiaTheme="minorEastAsia" w:hAnsiTheme="minorHAnsi" w:cstheme="minorBidi"/>
          <w:szCs w:val="22"/>
        </w:rPr>
      </w:pPr>
      <w:r>
        <w:t>13.</w:t>
      </w:r>
      <w:r>
        <w:tab/>
        <w:t>Farmland</w:t>
      </w:r>
      <w:r>
        <w:tab/>
      </w:r>
      <w:r>
        <w:fldChar w:fldCharType="begin"/>
      </w:r>
      <w:r>
        <w:instrText xml:space="preserve"> PAGEREF _Toc75519715 \h </w:instrText>
      </w:r>
      <w:r>
        <w:fldChar w:fldCharType="separate"/>
      </w:r>
      <w:r w:rsidR="00962E4C">
        <w:t>66</w:t>
      </w:r>
      <w:r>
        <w:fldChar w:fldCharType="end"/>
      </w:r>
    </w:p>
    <w:p w:rsidR="00121DFB" w:rsidRDefault="00121DFB">
      <w:pPr>
        <w:pStyle w:val="TOC8"/>
        <w:rPr>
          <w:rFonts w:asciiTheme="minorHAnsi" w:eastAsiaTheme="minorEastAsia" w:hAnsiTheme="minorHAnsi" w:cstheme="minorBidi"/>
          <w:szCs w:val="22"/>
        </w:rPr>
      </w:pPr>
      <w:r>
        <w:t>14.</w:t>
      </w:r>
      <w:r>
        <w:tab/>
        <w:t>Vacant land</w:t>
      </w:r>
      <w:r>
        <w:tab/>
      </w:r>
      <w:r>
        <w:fldChar w:fldCharType="begin"/>
      </w:r>
      <w:r>
        <w:instrText xml:space="preserve"> PAGEREF _Toc75519716 \h </w:instrText>
      </w:r>
      <w:r>
        <w:fldChar w:fldCharType="separate"/>
      </w:r>
      <w:r w:rsidR="00962E4C">
        <w:t>66</w:t>
      </w:r>
      <w:r>
        <w:fldChar w:fldCharType="end"/>
      </w:r>
    </w:p>
    <w:p w:rsidR="00121DFB" w:rsidRDefault="00121DFB">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_Toc75519717 \h </w:instrText>
      </w:r>
      <w:r>
        <w:fldChar w:fldCharType="separate"/>
      </w:r>
      <w:r w:rsidR="00962E4C">
        <w:t>66</w:t>
      </w:r>
      <w:r>
        <w:fldChar w:fldCharType="end"/>
      </w:r>
    </w:p>
    <w:p w:rsidR="00121DFB" w:rsidRDefault="00121DFB">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_Toc75519718 \h </w:instrText>
      </w:r>
      <w:r>
        <w:fldChar w:fldCharType="separate"/>
      </w:r>
      <w:r w:rsidR="00962E4C">
        <w:t>66</w:t>
      </w:r>
      <w:r>
        <w:fldChar w:fldCharType="end"/>
      </w:r>
    </w:p>
    <w:p w:rsidR="00121DFB" w:rsidRDefault="00121DFB">
      <w:pPr>
        <w:pStyle w:val="TOC8"/>
        <w:rPr>
          <w:rFonts w:asciiTheme="minorHAnsi" w:eastAsiaTheme="minorEastAsia" w:hAnsiTheme="minorHAnsi" w:cstheme="minorBidi"/>
          <w:szCs w:val="22"/>
        </w:rPr>
      </w:pPr>
      <w:r>
        <w:lastRenderedPageBreak/>
        <w:t>17.</w:t>
      </w:r>
      <w:r>
        <w:tab/>
        <w:t>Government trading organisations and non</w:t>
      </w:r>
      <w:r>
        <w:noBreakHyphen/>
        <w:t>commercial government property: on</w:t>
      </w:r>
      <w:r>
        <w:noBreakHyphen/>
        <w:t>supply to lessees or ships</w:t>
      </w:r>
      <w:r>
        <w:tab/>
      </w:r>
      <w:r>
        <w:fldChar w:fldCharType="begin"/>
      </w:r>
      <w:r>
        <w:instrText xml:space="preserve"> PAGEREF _Toc75519719 \h </w:instrText>
      </w:r>
      <w:r>
        <w:fldChar w:fldCharType="separate"/>
      </w:r>
      <w:r w:rsidR="00962E4C">
        <w:t>67</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3 — Other service charges</w:t>
      </w:r>
    </w:p>
    <w:p w:rsidR="00121DFB" w:rsidRDefault="00121DFB">
      <w:pPr>
        <w:pStyle w:val="TOC8"/>
        <w:rPr>
          <w:rFonts w:asciiTheme="minorHAnsi" w:eastAsiaTheme="minorEastAsia" w:hAnsiTheme="minorHAnsi" w:cstheme="minorBidi"/>
          <w:szCs w:val="22"/>
        </w:rPr>
      </w:pPr>
      <w:r>
        <w:t>18.</w:t>
      </w:r>
      <w:r>
        <w:tab/>
        <w:t>Stock</w:t>
      </w:r>
      <w:r>
        <w:tab/>
      </w:r>
      <w:r>
        <w:fldChar w:fldCharType="begin"/>
      </w:r>
      <w:r>
        <w:instrText xml:space="preserve"> PAGEREF _Toc75519721 \h </w:instrText>
      </w:r>
      <w:r>
        <w:fldChar w:fldCharType="separate"/>
      </w:r>
      <w:r w:rsidR="00962E4C">
        <w:t>68</w:t>
      </w:r>
      <w:r>
        <w:fldChar w:fldCharType="end"/>
      </w:r>
    </w:p>
    <w:p w:rsidR="00121DFB" w:rsidRDefault="00121DFB">
      <w:pPr>
        <w:pStyle w:val="TOC8"/>
        <w:rPr>
          <w:rFonts w:asciiTheme="minorHAnsi" w:eastAsiaTheme="minorEastAsia" w:hAnsiTheme="minorHAnsi" w:cstheme="minorBidi"/>
          <w:szCs w:val="22"/>
        </w:rPr>
      </w:pPr>
      <w:r>
        <w:t>19.</w:t>
      </w:r>
      <w:r>
        <w:tab/>
        <w:t>Shipping</w:t>
      </w:r>
      <w:r>
        <w:tab/>
      </w:r>
      <w:r>
        <w:fldChar w:fldCharType="begin"/>
      </w:r>
      <w:r>
        <w:instrText xml:space="preserve"> PAGEREF _Toc75519722 \h </w:instrText>
      </w:r>
      <w:r>
        <w:fldChar w:fldCharType="separate"/>
      </w:r>
      <w:r w:rsidR="00962E4C">
        <w:t>68</w:t>
      </w:r>
      <w:r>
        <w:fldChar w:fldCharType="end"/>
      </w:r>
    </w:p>
    <w:p w:rsidR="00121DFB" w:rsidRDefault="00121DFB">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_Toc75519723 \h </w:instrText>
      </w:r>
      <w:r>
        <w:fldChar w:fldCharType="separate"/>
      </w:r>
      <w:r w:rsidR="00962E4C">
        <w:t>68</w:t>
      </w:r>
      <w:r>
        <w:fldChar w:fldCharType="end"/>
      </w:r>
    </w:p>
    <w:p w:rsidR="00121DFB" w:rsidRDefault="00121DFB">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_Toc75519724 \h </w:instrText>
      </w:r>
      <w:r>
        <w:fldChar w:fldCharType="separate"/>
      </w:r>
      <w:r w:rsidR="00962E4C">
        <w:t>68</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2 — Consumption charges</w:t>
      </w:r>
    </w:p>
    <w:p w:rsidR="00121DFB" w:rsidRDefault="00121DFB">
      <w:pPr>
        <w:pStyle w:val="TOC6"/>
        <w:tabs>
          <w:tab w:val="right" w:leader="dot" w:pos="7077"/>
        </w:tabs>
        <w:rPr>
          <w:rFonts w:asciiTheme="minorHAnsi" w:eastAsiaTheme="minorEastAsia" w:hAnsiTheme="minorHAnsi" w:cstheme="minorBidi"/>
          <w:b w:val="0"/>
          <w:sz w:val="22"/>
          <w:szCs w:val="22"/>
        </w:rPr>
      </w:pPr>
      <w:r>
        <w:t>Subdivision 1 — Preliminary</w:t>
      </w:r>
    </w:p>
    <w:p w:rsidR="00121DFB" w:rsidRDefault="00121DFB">
      <w:pPr>
        <w:pStyle w:val="TOC8"/>
        <w:rPr>
          <w:rFonts w:asciiTheme="minorHAnsi" w:eastAsiaTheme="minorEastAsia" w:hAnsiTheme="minorHAnsi" w:cstheme="minorBidi"/>
          <w:szCs w:val="22"/>
        </w:rPr>
      </w:pPr>
      <w:r>
        <w:t>22.</w:t>
      </w:r>
      <w:r>
        <w:tab/>
        <w:t>Consumption charges for 2020/21 year and subsequent years</w:t>
      </w:r>
      <w:r>
        <w:tab/>
      </w:r>
      <w:r>
        <w:fldChar w:fldCharType="begin"/>
      </w:r>
      <w:r>
        <w:instrText xml:space="preserve"> PAGEREF _Toc75519727 \h </w:instrText>
      </w:r>
      <w:r>
        <w:fldChar w:fldCharType="separate"/>
      </w:r>
      <w:r w:rsidR="00962E4C">
        <w:t>68</w:t>
      </w:r>
      <w:r>
        <w:fldChar w:fldCharType="end"/>
      </w:r>
    </w:p>
    <w:p w:rsidR="00121DFB" w:rsidRDefault="00121DFB">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_Toc75519728 \h </w:instrText>
      </w:r>
      <w:r>
        <w:fldChar w:fldCharType="separate"/>
      </w:r>
      <w:r w:rsidR="00962E4C">
        <w:t>69</w:t>
      </w:r>
      <w:r>
        <w:fldChar w:fldCharType="end"/>
      </w:r>
    </w:p>
    <w:p w:rsidR="00121DFB" w:rsidRDefault="00121DFB">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_Toc75519729 \h </w:instrText>
      </w:r>
      <w:r>
        <w:fldChar w:fldCharType="separate"/>
      </w:r>
      <w:r w:rsidR="00962E4C">
        <w:t>69</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rsidR="00121DFB" w:rsidRDefault="00121DFB">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_Toc75519731 \h </w:instrText>
      </w:r>
      <w:r>
        <w:fldChar w:fldCharType="separate"/>
      </w:r>
      <w:r w:rsidR="00962E4C">
        <w:t>70</w:t>
      </w:r>
      <w:r>
        <w:fldChar w:fldCharType="end"/>
      </w:r>
    </w:p>
    <w:p w:rsidR="00121DFB" w:rsidRDefault="00121DFB">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_Toc75519732 \h </w:instrText>
      </w:r>
      <w:r>
        <w:fldChar w:fldCharType="separate"/>
      </w:r>
      <w:r w:rsidR="00962E4C">
        <w:t>70</w:t>
      </w:r>
      <w:r>
        <w:fldChar w:fldCharType="end"/>
      </w:r>
    </w:p>
    <w:p w:rsidR="00121DFB" w:rsidRDefault="00121DFB">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_Toc75519733 \h </w:instrText>
      </w:r>
      <w:r>
        <w:fldChar w:fldCharType="separate"/>
      </w:r>
      <w:r w:rsidR="00962E4C">
        <w:t>70</w:t>
      </w:r>
      <w:r>
        <w:fldChar w:fldCharType="end"/>
      </w:r>
    </w:p>
    <w:p w:rsidR="00121DFB" w:rsidRDefault="00121DFB">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_Toc75519734 \h </w:instrText>
      </w:r>
      <w:r>
        <w:fldChar w:fldCharType="separate"/>
      </w:r>
      <w:r w:rsidR="00962E4C">
        <w:t>71</w:t>
      </w:r>
      <w:r>
        <w:fldChar w:fldCharType="end"/>
      </w:r>
    </w:p>
    <w:p w:rsidR="00121DFB" w:rsidRDefault="00121DFB">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_Toc75519735 \h </w:instrText>
      </w:r>
      <w:r>
        <w:fldChar w:fldCharType="separate"/>
      </w:r>
      <w:r w:rsidR="00962E4C">
        <w:t>72</w:t>
      </w:r>
      <w:r>
        <w:fldChar w:fldCharType="end"/>
      </w:r>
    </w:p>
    <w:p w:rsidR="00121DFB" w:rsidRDefault="00121DFB">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_Toc75519736 \h </w:instrText>
      </w:r>
      <w:r>
        <w:fldChar w:fldCharType="separate"/>
      </w:r>
      <w:r w:rsidR="00962E4C">
        <w:t>73</w:t>
      </w:r>
      <w:r>
        <w:fldChar w:fldCharType="end"/>
      </w:r>
    </w:p>
    <w:p w:rsidR="00121DFB" w:rsidRDefault="00121DFB">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_Toc75519737 \h </w:instrText>
      </w:r>
      <w:r>
        <w:fldChar w:fldCharType="separate"/>
      </w:r>
      <w:r w:rsidR="00962E4C">
        <w:t>74</w:t>
      </w:r>
      <w:r>
        <w:fldChar w:fldCharType="end"/>
      </w:r>
    </w:p>
    <w:p w:rsidR="00121DFB" w:rsidRDefault="00121DFB">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_Toc75519738 \h </w:instrText>
      </w:r>
      <w:r>
        <w:fldChar w:fldCharType="separate"/>
      </w:r>
      <w:r w:rsidR="00962E4C">
        <w:t>75</w:t>
      </w:r>
      <w:r>
        <w:fldChar w:fldCharType="end"/>
      </w:r>
    </w:p>
    <w:p w:rsidR="00121DFB" w:rsidRDefault="00121DFB">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_Toc75519739 \h </w:instrText>
      </w:r>
      <w:r>
        <w:fldChar w:fldCharType="separate"/>
      </w:r>
      <w:r w:rsidR="00962E4C">
        <w:t>75</w:t>
      </w:r>
      <w:r>
        <w:fldChar w:fldCharType="end"/>
      </w:r>
    </w:p>
    <w:p w:rsidR="00121DFB" w:rsidRDefault="00121DFB">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_Toc75519740 \h </w:instrText>
      </w:r>
      <w:r>
        <w:fldChar w:fldCharType="separate"/>
      </w:r>
      <w:r w:rsidR="00962E4C">
        <w:t>75</w:t>
      </w:r>
      <w:r>
        <w:fldChar w:fldCharType="end"/>
      </w:r>
    </w:p>
    <w:p w:rsidR="00121DFB" w:rsidRDefault="00121DFB">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_Toc75519741 \h </w:instrText>
      </w:r>
      <w:r>
        <w:fldChar w:fldCharType="separate"/>
      </w:r>
      <w:r w:rsidR="00962E4C">
        <w:t>76</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3 — Other consumption charges</w:t>
      </w:r>
    </w:p>
    <w:p w:rsidR="00121DFB" w:rsidRDefault="00121DFB">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_Toc75519743 \h </w:instrText>
      </w:r>
      <w:r>
        <w:fldChar w:fldCharType="separate"/>
      </w:r>
      <w:r w:rsidR="00962E4C">
        <w:t>76</w:t>
      </w:r>
      <w:r>
        <w:fldChar w:fldCharType="end"/>
      </w:r>
    </w:p>
    <w:p w:rsidR="00121DFB" w:rsidRDefault="00121DFB">
      <w:pPr>
        <w:pStyle w:val="TOC8"/>
        <w:rPr>
          <w:rFonts w:asciiTheme="minorHAnsi" w:eastAsiaTheme="minorEastAsia" w:hAnsiTheme="minorHAnsi" w:cstheme="minorBidi"/>
          <w:szCs w:val="22"/>
        </w:rPr>
      </w:pPr>
      <w:r>
        <w:t>37.</w:t>
      </w:r>
      <w:r>
        <w:tab/>
        <w:t>Shipping</w:t>
      </w:r>
      <w:r>
        <w:tab/>
      </w:r>
      <w:r>
        <w:fldChar w:fldCharType="begin"/>
      </w:r>
      <w:r>
        <w:instrText xml:space="preserve"> PAGEREF _Toc75519744 \h </w:instrText>
      </w:r>
      <w:r>
        <w:fldChar w:fldCharType="separate"/>
      </w:r>
      <w:r w:rsidR="00962E4C">
        <w:t>76</w:t>
      </w:r>
      <w:r>
        <w:fldChar w:fldCharType="end"/>
      </w:r>
    </w:p>
    <w:p w:rsidR="00121DFB" w:rsidRDefault="00121DFB">
      <w:pPr>
        <w:pStyle w:val="TOC8"/>
        <w:rPr>
          <w:rFonts w:asciiTheme="minorHAnsi" w:eastAsiaTheme="minorEastAsia" w:hAnsiTheme="minorHAnsi" w:cstheme="minorBidi"/>
          <w:szCs w:val="22"/>
        </w:rPr>
      </w:pPr>
      <w:r>
        <w:t>38.</w:t>
      </w:r>
      <w:r>
        <w:tab/>
        <w:t>Stock</w:t>
      </w:r>
      <w:r>
        <w:tab/>
      </w:r>
      <w:r>
        <w:fldChar w:fldCharType="begin"/>
      </w:r>
      <w:r>
        <w:instrText xml:space="preserve"> PAGEREF _Toc75519745 \h </w:instrText>
      </w:r>
      <w:r>
        <w:fldChar w:fldCharType="separate"/>
      </w:r>
      <w:r w:rsidR="00962E4C">
        <w:t>77</w:t>
      </w:r>
      <w:r>
        <w:fldChar w:fldCharType="end"/>
      </w:r>
    </w:p>
    <w:p w:rsidR="00121DFB" w:rsidRDefault="00121DFB">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_Toc75519746 \h </w:instrText>
      </w:r>
      <w:r>
        <w:fldChar w:fldCharType="separate"/>
      </w:r>
      <w:r w:rsidR="00962E4C">
        <w:t>77</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rsidR="00121DFB" w:rsidRDefault="00121DFB">
      <w:pPr>
        <w:pStyle w:val="TOC4"/>
        <w:tabs>
          <w:tab w:val="right" w:leader="dot" w:pos="7077"/>
        </w:tabs>
        <w:rPr>
          <w:rFonts w:asciiTheme="minorHAnsi" w:eastAsiaTheme="minorEastAsia" w:hAnsiTheme="minorHAnsi" w:cstheme="minorBidi"/>
          <w:b w:val="0"/>
          <w:szCs w:val="22"/>
        </w:rPr>
      </w:pPr>
      <w:r>
        <w:t>Division 1 — Service charges</w:t>
      </w:r>
    </w:p>
    <w:p w:rsidR="00121DFB" w:rsidRDefault="00121DFB">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_Toc75519749 \h </w:instrText>
      </w:r>
      <w:r>
        <w:fldChar w:fldCharType="separate"/>
      </w:r>
      <w:r w:rsidR="00962E4C">
        <w:t>78</w:t>
      </w:r>
      <w:r>
        <w:fldChar w:fldCharType="end"/>
      </w:r>
    </w:p>
    <w:p w:rsidR="00121DFB" w:rsidRDefault="00121DFB">
      <w:pPr>
        <w:pStyle w:val="TOC8"/>
        <w:rPr>
          <w:rFonts w:asciiTheme="minorHAnsi" w:eastAsiaTheme="minorEastAsia" w:hAnsiTheme="minorHAnsi" w:cstheme="minorBidi"/>
          <w:szCs w:val="22"/>
        </w:rPr>
      </w:pPr>
      <w:r>
        <w:lastRenderedPageBreak/>
        <w:t>2.</w:t>
      </w:r>
      <w:r>
        <w:tab/>
        <w:t>Metropolitan residential</w:t>
      </w:r>
      <w:r>
        <w:tab/>
      </w:r>
      <w:r>
        <w:fldChar w:fldCharType="begin"/>
      </w:r>
      <w:r>
        <w:instrText xml:space="preserve"> PAGEREF _Toc75519750 \h </w:instrText>
      </w:r>
      <w:r>
        <w:fldChar w:fldCharType="separate"/>
      </w:r>
      <w:r w:rsidR="00962E4C">
        <w:t>78</w:t>
      </w:r>
      <w:r>
        <w:fldChar w:fldCharType="end"/>
      </w:r>
    </w:p>
    <w:p w:rsidR="00121DFB" w:rsidRDefault="00121DFB">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_Toc75519751 \h </w:instrText>
      </w:r>
      <w:r>
        <w:fldChar w:fldCharType="separate"/>
      </w:r>
      <w:r w:rsidR="00962E4C">
        <w:t>78</w:t>
      </w:r>
      <w:r>
        <w:fldChar w:fldCharType="end"/>
      </w:r>
    </w:p>
    <w:p w:rsidR="00121DFB" w:rsidRDefault="00121DFB">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_Toc75519752 \h </w:instrText>
      </w:r>
      <w:r>
        <w:fldChar w:fldCharType="separate"/>
      </w:r>
      <w:r w:rsidR="00962E4C">
        <w:t>78</w:t>
      </w:r>
      <w:r>
        <w:fldChar w:fldCharType="end"/>
      </w:r>
    </w:p>
    <w:p w:rsidR="00121DFB" w:rsidRDefault="00121DFB">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_Toc75519753 \h </w:instrText>
      </w:r>
      <w:r>
        <w:fldChar w:fldCharType="separate"/>
      </w:r>
      <w:r w:rsidR="00962E4C">
        <w:t>79</w:t>
      </w:r>
      <w:r>
        <w:fldChar w:fldCharType="end"/>
      </w:r>
    </w:p>
    <w:p w:rsidR="00121DFB" w:rsidRDefault="00121DFB">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_Toc75519754 \h </w:instrText>
      </w:r>
      <w:r>
        <w:fldChar w:fldCharType="separate"/>
      </w:r>
      <w:r w:rsidR="00962E4C">
        <w:t>79</w:t>
      </w:r>
      <w:r>
        <w:fldChar w:fldCharType="end"/>
      </w:r>
    </w:p>
    <w:p w:rsidR="00121DFB" w:rsidRDefault="00121DFB">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_Toc75519755 \h </w:instrText>
      </w:r>
      <w:r>
        <w:fldChar w:fldCharType="separate"/>
      </w:r>
      <w:r w:rsidR="00962E4C">
        <w:t>79</w:t>
      </w:r>
      <w:r>
        <w:fldChar w:fldCharType="end"/>
      </w:r>
    </w:p>
    <w:p w:rsidR="00121DFB" w:rsidRDefault="00121DFB">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_Toc75519756 \h </w:instrText>
      </w:r>
      <w:r>
        <w:fldChar w:fldCharType="separate"/>
      </w:r>
      <w:r w:rsidR="00962E4C">
        <w:t>80</w:t>
      </w:r>
      <w:r>
        <w:fldChar w:fldCharType="end"/>
      </w:r>
    </w:p>
    <w:p w:rsidR="00121DFB" w:rsidRDefault="00121DFB">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_Toc75519757 \h </w:instrText>
      </w:r>
      <w:r>
        <w:fldChar w:fldCharType="separate"/>
      </w:r>
      <w:r w:rsidR="00962E4C">
        <w:t>80</w:t>
      </w:r>
      <w:r>
        <w:fldChar w:fldCharType="end"/>
      </w:r>
    </w:p>
    <w:p w:rsidR="00121DFB" w:rsidRDefault="00121DFB">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_Toc75519758 \h </w:instrText>
      </w:r>
      <w:r>
        <w:fldChar w:fldCharType="separate"/>
      </w:r>
      <w:r w:rsidR="00962E4C">
        <w:t>80</w:t>
      </w:r>
      <w:r>
        <w:fldChar w:fldCharType="end"/>
      </w:r>
    </w:p>
    <w:p w:rsidR="00121DFB" w:rsidRDefault="00121DFB">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_Toc75519759 \h </w:instrText>
      </w:r>
      <w:r>
        <w:fldChar w:fldCharType="separate"/>
      </w:r>
      <w:r w:rsidR="00962E4C">
        <w:t>81</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rsidR="00121DFB" w:rsidRDefault="00121DFB">
      <w:pPr>
        <w:pStyle w:val="TOC6"/>
        <w:tabs>
          <w:tab w:val="right" w:leader="dot" w:pos="7077"/>
        </w:tabs>
        <w:rPr>
          <w:rFonts w:asciiTheme="minorHAnsi" w:eastAsiaTheme="minorEastAsia" w:hAnsiTheme="minorHAnsi" w:cstheme="minorBidi"/>
          <w:b w:val="0"/>
          <w:sz w:val="22"/>
          <w:szCs w:val="22"/>
        </w:rPr>
      </w:pPr>
      <w:r>
        <w:t>Subdivision 1 — Preliminary</w:t>
      </w:r>
    </w:p>
    <w:p w:rsidR="00121DFB" w:rsidRDefault="00121DFB">
      <w:pPr>
        <w:pStyle w:val="TOC8"/>
        <w:rPr>
          <w:rFonts w:asciiTheme="minorHAnsi" w:eastAsiaTheme="minorEastAsia" w:hAnsiTheme="minorHAnsi" w:cstheme="minorBidi"/>
          <w:szCs w:val="22"/>
        </w:rPr>
      </w:pPr>
      <w:r>
        <w:t>12.</w:t>
      </w:r>
      <w:r>
        <w:tab/>
        <w:t>Combined charges for 2020/21 year and subsequent years</w:t>
      </w:r>
      <w:r>
        <w:tab/>
      </w:r>
      <w:r>
        <w:fldChar w:fldCharType="begin"/>
      </w:r>
      <w:r>
        <w:instrText xml:space="preserve"> PAGEREF _Toc75519762 \h </w:instrText>
      </w:r>
      <w:r>
        <w:fldChar w:fldCharType="separate"/>
      </w:r>
      <w:r w:rsidR="00962E4C">
        <w:t>87</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2 — Combined charges: metropolitan</w:t>
      </w:r>
    </w:p>
    <w:p w:rsidR="00121DFB" w:rsidRDefault="00121DFB">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_Toc75519764 \h </w:instrText>
      </w:r>
      <w:r>
        <w:fldChar w:fldCharType="separate"/>
      </w:r>
      <w:r w:rsidR="00962E4C">
        <w:t>87</w:t>
      </w:r>
      <w:r>
        <w:fldChar w:fldCharType="end"/>
      </w:r>
    </w:p>
    <w:p w:rsidR="00121DFB" w:rsidRDefault="00121DFB">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_Toc75519765 \h </w:instrText>
      </w:r>
      <w:r>
        <w:fldChar w:fldCharType="separate"/>
      </w:r>
      <w:r w:rsidR="00962E4C">
        <w:t>87</w:t>
      </w:r>
      <w:r>
        <w:fldChar w:fldCharType="end"/>
      </w:r>
    </w:p>
    <w:p w:rsidR="00121DFB" w:rsidRDefault="00121DFB">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_Toc75519766 \h </w:instrText>
      </w:r>
      <w:r>
        <w:fldChar w:fldCharType="separate"/>
      </w:r>
      <w:r w:rsidR="00962E4C">
        <w:t>88</w:t>
      </w:r>
      <w:r>
        <w:fldChar w:fldCharType="end"/>
      </w:r>
    </w:p>
    <w:p w:rsidR="00121DFB" w:rsidRDefault="00121DFB">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_Toc75519767 \h </w:instrText>
      </w:r>
      <w:r>
        <w:fldChar w:fldCharType="separate"/>
      </w:r>
      <w:r w:rsidR="00962E4C">
        <w:t>88</w:t>
      </w:r>
      <w:r>
        <w:fldChar w:fldCharType="end"/>
      </w:r>
    </w:p>
    <w:p w:rsidR="00121DFB" w:rsidRDefault="00121DFB">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_Toc75519768 \h </w:instrText>
      </w:r>
      <w:r>
        <w:fldChar w:fldCharType="separate"/>
      </w:r>
      <w:r w:rsidR="00962E4C">
        <w:t>89</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rsidR="00121DFB" w:rsidRDefault="00121DFB">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_Toc75519770 \h </w:instrText>
      </w:r>
      <w:r>
        <w:fldChar w:fldCharType="separate"/>
      </w:r>
      <w:r w:rsidR="00962E4C">
        <w:t>90</w:t>
      </w:r>
      <w:r>
        <w:fldChar w:fldCharType="end"/>
      </w:r>
    </w:p>
    <w:p w:rsidR="00121DFB" w:rsidRDefault="00121DFB">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_Toc75519771 \h </w:instrText>
      </w:r>
      <w:r>
        <w:fldChar w:fldCharType="separate"/>
      </w:r>
      <w:r w:rsidR="00962E4C">
        <w:t>90</w:t>
      </w:r>
      <w:r>
        <w:fldChar w:fldCharType="end"/>
      </w:r>
    </w:p>
    <w:p w:rsidR="00121DFB" w:rsidRDefault="00121DFB">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_Toc75519772 \h </w:instrText>
      </w:r>
      <w:r>
        <w:fldChar w:fldCharType="separate"/>
      </w:r>
      <w:r w:rsidR="00962E4C">
        <w:t>91</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rsidR="00121DFB" w:rsidRDefault="00121DFB">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_Toc75519774 \h </w:instrText>
      </w:r>
      <w:r>
        <w:fldChar w:fldCharType="separate"/>
      </w:r>
      <w:r w:rsidR="00962E4C">
        <w:t>91</w:t>
      </w:r>
      <w:r>
        <w:fldChar w:fldCharType="end"/>
      </w:r>
    </w:p>
    <w:p w:rsidR="00121DFB" w:rsidRDefault="00121DFB">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_Toc75519775 \h </w:instrText>
      </w:r>
      <w:r>
        <w:fldChar w:fldCharType="separate"/>
      </w:r>
      <w:r w:rsidR="00962E4C">
        <w:t>92</w:t>
      </w:r>
      <w:r>
        <w:fldChar w:fldCharType="end"/>
      </w:r>
    </w:p>
    <w:p w:rsidR="00121DFB" w:rsidRDefault="00121DFB">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_Toc75519776 \h </w:instrText>
      </w:r>
      <w:r>
        <w:fldChar w:fldCharType="separate"/>
      </w:r>
      <w:r w:rsidR="00962E4C">
        <w:t>93</w:t>
      </w:r>
      <w:r>
        <w:fldChar w:fldCharType="end"/>
      </w:r>
    </w:p>
    <w:p w:rsidR="00121DFB" w:rsidRDefault="00121DFB">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_Toc75519777 \h </w:instrText>
      </w:r>
      <w:r>
        <w:fldChar w:fldCharType="separate"/>
      </w:r>
      <w:r w:rsidR="00962E4C">
        <w:t>94</w:t>
      </w:r>
      <w:r>
        <w:fldChar w:fldCharType="end"/>
      </w:r>
    </w:p>
    <w:p w:rsidR="00121DFB" w:rsidRDefault="00121DFB">
      <w:pPr>
        <w:pStyle w:val="TOC8"/>
        <w:rPr>
          <w:rFonts w:asciiTheme="minorHAnsi" w:eastAsiaTheme="minorEastAsia" w:hAnsiTheme="minorHAnsi" w:cstheme="minorBidi"/>
          <w:szCs w:val="22"/>
        </w:rPr>
      </w:pPr>
      <w:r>
        <w:lastRenderedPageBreak/>
        <w:t>24A.</w:t>
      </w:r>
      <w:r>
        <w:tab/>
        <w:t>Non</w:t>
      </w:r>
      <w:r>
        <w:noBreakHyphen/>
        <w:t>metropolitan government trading organisation and non</w:t>
      </w:r>
      <w:r>
        <w:noBreakHyphen/>
        <w:t>commercial government property</w:t>
      </w:r>
      <w:r>
        <w:tab/>
      </w:r>
      <w:r>
        <w:fldChar w:fldCharType="begin"/>
      </w:r>
      <w:r>
        <w:instrText xml:space="preserve"> PAGEREF _Toc75519778 \h </w:instrText>
      </w:r>
      <w:r>
        <w:fldChar w:fldCharType="separate"/>
      </w:r>
      <w:r w:rsidR="00962E4C">
        <w:t>94</w:t>
      </w:r>
      <w:r>
        <w:fldChar w:fldCharType="end"/>
      </w:r>
    </w:p>
    <w:p w:rsidR="00121DFB" w:rsidRDefault="00121DFB">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rsidR="00121DFB" w:rsidRDefault="00121DFB">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_Toc75519780 \h </w:instrText>
      </w:r>
      <w:r>
        <w:fldChar w:fldCharType="separate"/>
      </w:r>
      <w:r w:rsidR="00962E4C">
        <w:t>95</w:t>
      </w:r>
      <w:r>
        <w:fldChar w:fldCharType="end"/>
      </w:r>
    </w:p>
    <w:p w:rsidR="00121DFB" w:rsidRDefault="00121DFB">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_Toc75519781 \h </w:instrText>
      </w:r>
      <w:r>
        <w:fldChar w:fldCharType="separate"/>
      </w:r>
      <w:r w:rsidR="00962E4C">
        <w:t>95</w:t>
      </w:r>
      <w:r>
        <w:fldChar w:fldCharType="end"/>
      </w:r>
    </w:p>
    <w:p w:rsidR="00121DFB" w:rsidRDefault="00121DFB">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_Toc75519782 \h </w:instrText>
      </w:r>
      <w:r>
        <w:fldChar w:fldCharType="separate"/>
      </w:r>
      <w:r w:rsidR="00962E4C">
        <w:t>96</w:t>
      </w:r>
      <w:r>
        <w:fldChar w:fldCharType="end"/>
      </w:r>
    </w:p>
    <w:p w:rsidR="00121DFB" w:rsidRDefault="00121DFB">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_Toc75519783 \h </w:instrText>
      </w:r>
      <w:r>
        <w:fldChar w:fldCharType="separate"/>
      </w:r>
      <w:r w:rsidR="00962E4C">
        <w:t>97</w:t>
      </w:r>
      <w:r>
        <w:fldChar w:fldCharType="end"/>
      </w:r>
    </w:p>
    <w:p w:rsidR="00121DFB" w:rsidRDefault="00121DFB">
      <w:pPr>
        <w:pStyle w:val="TOC4"/>
        <w:tabs>
          <w:tab w:val="right" w:leader="dot" w:pos="7077"/>
        </w:tabs>
        <w:rPr>
          <w:rFonts w:asciiTheme="minorHAnsi" w:eastAsiaTheme="minorEastAsia" w:hAnsiTheme="minorHAnsi" w:cstheme="minorBidi"/>
          <w:b w:val="0"/>
          <w:szCs w:val="22"/>
        </w:rPr>
      </w:pPr>
      <w:r>
        <w:t>Division 3 — Discharge charges: trade waste and effluent</w:t>
      </w:r>
    </w:p>
    <w:p w:rsidR="00121DFB" w:rsidRDefault="00121DFB">
      <w:pPr>
        <w:pStyle w:val="TOC8"/>
        <w:rPr>
          <w:rFonts w:asciiTheme="minorHAnsi" w:eastAsiaTheme="minorEastAsia" w:hAnsiTheme="minorHAnsi" w:cstheme="minorBidi"/>
          <w:szCs w:val="22"/>
        </w:rPr>
      </w:pPr>
      <w:r>
        <w:t>29.</w:t>
      </w:r>
      <w:r>
        <w:tab/>
        <w:t>Discharge charges for 2020/21 year and subsequent years</w:t>
      </w:r>
      <w:r>
        <w:tab/>
      </w:r>
      <w:r>
        <w:fldChar w:fldCharType="begin"/>
      </w:r>
      <w:r>
        <w:instrText xml:space="preserve"> PAGEREF _Toc75519785 \h </w:instrText>
      </w:r>
      <w:r>
        <w:fldChar w:fldCharType="separate"/>
      </w:r>
      <w:r w:rsidR="00962E4C">
        <w:t>97</w:t>
      </w:r>
      <w:r>
        <w:fldChar w:fldCharType="end"/>
      </w:r>
    </w:p>
    <w:p w:rsidR="00121DFB" w:rsidRDefault="00121DFB">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_Toc75519786 \h </w:instrText>
      </w:r>
      <w:r>
        <w:fldChar w:fldCharType="separate"/>
      </w:r>
      <w:r w:rsidR="00962E4C">
        <w:t>97</w:t>
      </w:r>
      <w:r>
        <w:fldChar w:fldCharType="end"/>
      </w:r>
    </w:p>
    <w:p w:rsidR="00121DFB" w:rsidRDefault="00121DFB">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_Toc75519787 \h </w:instrText>
      </w:r>
      <w:r>
        <w:fldChar w:fldCharType="separate"/>
      </w:r>
      <w:r w:rsidR="00962E4C">
        <w:t>100</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rsidR="00121DFB" w:rsidRDefault="00121DFB">
      <w:pPr>
        <w:pStyle w:val="TOC8"/>
        <w:rPr>
          <w:rFonts w:asciiTheme="minorHAnsi" w:eastAsiaTheme="minorEastAsia" w:hAnsiTheme="minorHAnsi" w:cstheme="minorBidi"/>
          <w:szCs w:val="22"/>
        </w:rPr>
      </w:pPr>
      <w:r>
        <w:t>1.</w:t>
      </w:r>
      <w:r>
        <w:tab/>
        <w:t>Drainage charges for 2020/21 year and subsequent years</w:t>
      </w:r>
      <w:r>
        <w:tab/>
      </w:r>
      <w:r>
        <w:fldChar w:fldCharType="begin"/>
      </w:r>
      <w:r>
        <w:instrText xml:space="preserve"> PAGEREF _Toc75519789 \h </w:instrText>
      </w:r>
      <w:r>
        <w:fldChar w:fldCharType="separate"/>
      </w:r>
      <w:r w:rsidR="00962E4C">
        <w:t>102</w:t>
      </w:r>
      <w:r>
        <w:fldChar w:fldCharType="end"/>
      </w:r>
    </w:p>
    <w:p w:rsidR="00121DFB" w:rsidRDefault="00121DFB">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_Toc75519790 \h </w:instrText>
      </w:r>
      <w:r>
        <w:fldChar w:fldCharType="separate"/>
      </w:r>
      <w:r w:rsidR="00962E4C">
        <w:t>102</w:t>
      </w:r>
      <w:r>
        <w:fldChar w:fldCharType="end"/>
      </w:r>
    </w:p>
    <w:p w:rsidR="00121DFB" w:rsidRDefault="00121DFB">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_Toc75519791 \h </w:instrText>
      </w:r>
      <w:r>
        <w:fldChar w:fldCharType="separate"/>
      </w:r>
      <w:r w:rsidR="00962E4C">
        <w:t>102</w:t>
      </w:r>
      <w:r>
        <w:fldChar w:fldCharType="end"/>
      </w:r>
    </w:p>
    <w:p w:rsidR="00121DFB" w:rsidRDefault="00121DFB">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_Toc75519792 \h </w:instrText>
      </w:r>
      <w:r>
        <w:fldChar w:fldCharType="separate"/>
      </w:r>
      <w:r w:rsidR="00962E4C">
        <w:t>102</w:t>
      </w:r>
      <w:r>
        <w:fldChar w:fldCharType="end"/>
      </w:r>
    </w:p>
    <w:p w:rsidR="00121DFB" w:rsidRDefault="00121DFB">
      <w:pPr>
        <w:pStyle w:val="TOC8"/>
        <w:rPr>
          <w:rFonts w:asciiTheme="minorHAnsi" w:eastAsiaTheme="minorEastAsia" w:hAnsiTheme="minorHAnsi" w:cstheme="minorBidi"/>
          <w:szCs w:val="22"/>
        </w:rPr>
      </w:pPr>
      <w:r>
        <w:t>5.</w:t>
      </w:r>
      <w:r>
        <w:tab/>
        <w:t>Vacant land</w:t>
      </w:r>
      <w:r>
        <w:tab/>
      </w:r>
      <w:r>
        <w:fldChar w:fldCharType="begin"/>
      </w:r>
      <w:r>
        <w:instrText xml:space="preserve"> PAGEREF _Toc75519793 \h </w:instrText>
      </w:r>
      <w:r>
        <w:fldChar w:fldCharType="separate"/>
      </w:r>
      <w:r w:rsidR="00962E4C">
        <w:t>102</w:t>
      </w:r>
      <w:r>
        <w:fldChar w:fldCharType="end"/>
      </w:r>
    </w:p>
    <w:p w:rsidR="00121DFB" w:rsidRDefault="00121DFB">
      <w:pPr>
        <w:pStyle w:val="TOC8"/>
        <w:rPr>
          <w:rFonts w:asciiTheme="minorHAnsi" w:eastAsiaTheme="minorEastAsia" w:hAnsiTheme="minorHAnsi" w:cstheme="minorBidi"/>
          <w:szCs w:val="22"/>
        </w:rPr>
      </w:pPr>
      <w:r>
        <w:t>6.</w:t>
      </w:r>
      <w:r>
        <w:tab/>
        <w:t>Non</w:t>
      </w:r>
      <w:r>
        <w:noBreakHyphen/>
        <w:t>residential (except strata</w:t>
      </w:r>
      <w:r>
        <w:noBreakHyphen/>
        <w:t>titled caravan bays and storage units or parking bays in strata titles scheme or community titles scheme)</w:t>
      </w:r>
      <w:r>
        <w:tab/>
      </w:r>
      <w:r>
        <w:fldChar w:fldCharType="begin"/>
      </w:r>
      <w:r>
        <w:instrText xml:space="preserve"> PAGEREF _Toc75519794 \h </w:instrText>
      </w:r>
      <w:r>
        <w:fldChar w:fldCharType="separate"/>
      </w:r>
      <w:r w:rsidR="00962E4C">
        <w:t>103</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rsidR="00121DFB" w:rsidRDefault="00121DFB">
      <w:pPr>
        <w:pStyle w:val="TOC8"/>
        <w:rPr>
          <w:rFonts w:asciiTheme="minorHAnsi" w:eastAsiaTheme="minorEastAsia" w:hAnsiTheme="minorHAnsi" w:cstheme="minorBidi"/>
          <w:szCs w:val="22"/>
        </w:rPr>
      </w:pPr>
      <w:r>
        <w:t>1.</w:t>
      </w:r>
      <w:r>
        <w:tab/>
        <w:t>Irrigation charges for 2020/21 year and subsequent years</w:t>
      </w:r>
      <w:r>
        <w:tab/>
      </w:r>
      <w:r>
        <w:fldChar w:fldCharType="begin"/>
      </w:r>
      <w:r>
        <w:instrText xml:space="preserve"> PAGEREF _Toc75519796 \h </w:instrText>
      </w:r>
      <w:r>
        <w:fldChar w:fldCharType="separate"/>
      </w:r>
      <w:r w:rsidR="00962E4C">
        <w:t>104</w:t>
      </w:r>
      <w:r>
        <w:fldChar w:fldCharType="end"/>
      </w:r>
    </w:p>
    <w:p w:rsidR="00121DFB" w:rsidRDefault="00121DFB">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_Toc75519797 \h </w:instrText>
      </w:r>
      <w:r>
        <w:fldChar w:fldCharType="separate"/>
      </w:r>
      <w:r w:rsidR="00962E4C">
        <w:t>104</w:t>
      </w:r>
      <w:r>
        <w:fldChar w:fldCharType="end"/>
      </w:r>
    </w:p>
    <w:p w:rsidR="00121DFB" w:rsidRDefault="00121DFB">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_Toc75519798 \h </w:instrText>
      </w:r>
      <w:r>
        <w:fldChar w:fldCharType="separate"/>
      </w:r>
      <w:r w:rsidR="00962E4C">
        <w:t>104</w:t>
      </w:r>
      <w:r>
        <w:fldChar w:fldCharType="end"/>
      </w:r>
    </w:p>
    <w:p w:rsidR="00121DFB" w:rsidRDefault="00121DFB">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_Toc75519799 \h </w:instrText>
      </w:r>
      <w:r>
        <w:fldChar w:fldCharType="separate"/>
      </w:r>
      <w:r w:rsidR="00962E4C">
        <w:t>104</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lastRenderedPageBreak/>
        <w:t>Schedule 7 — Miscellaneous charges for the Water Corporation</w:t>
      </w:r>
    </w:p>
    <w:p w:rsidR="00121DFB" w:rsidRDefault="00121DFB">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_Toc75519801 \h </w:instrText>
      </w:r>
      <w:r>
        <w:fldChar w:fldCharType="separate"/>
      </w:r>
      <w:r w:rsidR="00962E4C">
        <w:t>106</w:t>
      </w:r>
      <w:r>
        <w:fldChar w:fldCharType="end"/>
      </w:r>
    </w:p>
    <w:p w:rsidR="00121DFB" w:rsidRDefault="00121DFB">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_Toc75519802 \h </w:instrText>
      </w:r>
      <w:r>
        <w:fldChar w:fldCharType="separate"/>
      </w:r>
      <w:r w:rsidR="00962E4C">
        <w:t>106</w:t>
      </w:r>
      <w:r>
        <w:fldChar w:fldCharType="end"/>
      </w:r>
    </w:p>
    <w:p w:rsidR="00121DFB" w:rsidRDefault="00121DFB">
      <w:pPr>
        <w:pStyle w:val="TOC8"/>
        <w:rPr>
          <w:rFonts w:asciiTheme="minorHAnsi" w:eastAsiaTheme="minorEastAsia" w:hAnsiTheme="minorHAnsi" w:cstheme="minorBidi"/>
          <w:szCs w:val="22"/>
        </w:rPr>
      </w:pPr>
      <w:r>
        <w:t>3.</w:t>
      </w:r>
      <w:r>
        <w:tab/>
        <w:t>Testing meters</w:t>
      </w:r>
      <w:r>
        <w:tab/>
      </w:r>
      <w:r>
        <w:fldChar w:fldCharType="begin"/>
      </w:r>
      <w:r>
        <w:instrText xml:space="preserve"> PAGEREF _Toc75519803 \h </w:instrText>
      </w:r>
      <w:r>
        <w:fldChar w:fldCharType="separate"/>
      </w:r>
      <w:r w:rsidR="00962E4C">
        <w:t>106</w:t>
      </w:r>
      <w:r>
        <w:fldChar w:fldCharType="end"/>
      </w:r>
    </w:p>
    <w:p w:rsidR="00121DFB" w:rsidRDefault="00121DFB">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_Toc75519804 \h </w:instrText>
      </w:r>
      <w:r>
        <w:fldChar w:fldCharType="separate"/>
      </w:r>
      <w:r w:rsidR="00962E4C">
        <w:t>106</w:t>
      </w:r>
      <w:r>
        <w:fldChar w:fldCharType="end"/>
      </w:r>
    </w:p>
    <w:p w:rsidR="00121DFB" w:rsidRDefault="00121DFB">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_Toc75519805 \h </w:instrText>
      </w:r>
      <w:r>
        <w:fldChar w:fldCharType="separate"/>
      </w:r>
      <w:r w:rsidR="00962E4C">
        <w:t>107</w:t>
      </w:r>
      <w:r>
        <w:fldChar w:fldCharType="end"/>
      </w:r>
    </w:p>
    <w:p w:rsidR="00121DFB" w:rsidRDefault="00121DFB">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_Toc75519806 \h </w:instrText>
      </w:r>
      <w:r>
        <w:fldChar w:fldCharType="separate"/>
      </w:r>
      <w:r w:rsidR="00962E4C">
        <w:t>107</w:t>
      </w:r>
      <w:r>
        <w:fldChar w:fldCharType="end"/>
      </w:r>
    </w:p>
    <w:p w:rsidR="00121DFB" w:rsidRDefault="00121DFB">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_Toc75519807 \h </w:instrText>
      </w:r>
      <w:r>
        <w:fldChar w:fldCharType="separate"/>
      </w:r>
      <w:r w:rsidR="00962E4C">
        <w:t>107</w:t>
      </w:r>
      <w:r>
        <w:fldChar w:fldCharType="end"/>
      </w:r>
    </w:p>
    <w:p w:rsidR="00121DFB" w:rsidRDefault="00121DFB">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_Toc75519808 \h </w:instrText>
      </w:r>
      <w:r>
        <w:fldChar w:fldCharType="separate"/>
      </w:r>
      <w:r w:rsidR="00962E4C">
        <w:t>108</w:t>
      </w:r>
      <w:r>
        <w:fldChar w:fldCharType="end"/>
      </w:r>
    </w:p>
    <w:p w:rsidR="00121DFB" w:rsidRDefault="00121DFB">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_Toc75519809 \h </w:instrText>
      </w:r>
      <w:r>
        <w:fldChar w:fldCharType="separate"/>
      </w:r>
      <w:r w:rsidR="00962E4C">
        <w:t>109</w:t>
      </w:r>
      <w:r>
        <w:fldChar w:fldCharType="end"/>
      </w:r>
    </w:p>
    <w:p w:rsidR="00121DFB" w:rsidRDefault="00121DFB">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_Toc75519810 \h </w:instrText>
      </w:r>
      <w:r>
        <w:fldChar w:fldCharType="separate"/>
      </w:r>
      <w:r w:rsidR="00962E4C">
        <w:t>109</w:t>
      </w:r>
      <w:r>
        <w:fldChar w:fldCharType="end"/>
      </w:r>
    </w:p>
    <w:p w:rsidR="00121DFB" w:rsidRDefault="00121DFB">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_Toc75519811 \h </w:instrText>
      </w:r>
      <w:r>
        <w:fldChar w:fldCharType="separate"/>
      </w:r>
      <w:r w:rsidR="00962E4C">
        <w:t>109</w:t>
      </w:r>
      <w:r>
        <w:fldChar w:fldCharType="end"/>
      </w:r>
    </w:p>
    <w:p w:rsidR="00121DFB" w:rsidRDefault="00121DFB">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_Toc75519812 \h </w:instrText>
      </w:r>
      <w:r>
        <w:fldChar w:fldCharType="separate"/>
      </w:r>
      <w:r w:rsidR="00962E4C">
        <w:t>110</w:t>
      </w:r>
      <w:r>
        <w:fldChar w:fldCharType="end"/>
      </w:r>
    </w:p>
    <w:p w:rsidR="00121DFB" w:rsidRDefault="00121DFB">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_Toc75519813 \h </w:instrText>
      </w:r>
      <w:r>
        <w:fldChar w:fldCharType="separate"/>
      </w:r>
      <w:r w:rsidR="00962E4C">
        <w:t>110</w:t>
      </w:r>
      <w:r>
        <w:fldChar w:fldCharType="end"/>
      </w:r>
    </w:p>
    <w:p w:rsidR="00121DFB" w:rsidRDefault="00121DFB">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_Toc75519814 \h </w:instrText>
      </w:r>
      <w:r>
        <w:fldChar w:fldCharType="separate"/>
      </w:r>
      <w:r w:rsidR="00962E4C">
        <w:t>110</w:t>
      </w:r>
      <w:r>
        <w:fldChar w:fldCharType="end"/>
      </w:r>
    </w:p>
    <w:p w:rsidR="00121DFB" w:rsidRDefault="00121DFB">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_Toc75519815 \h </w:instrText>
      </w:r>
      <w:r>
        <w:fldChar w:fldCharType="separate"/>
      </w:r>
      <w:r w:rsidR="00962E4C">
        <w:t>111</w:t>
      </w:r>
      <w:r>
        <w:fldChar w:fldCharType="end"/>
      </w:r>
    </w:p>
    <w:p w:rsidR="00121DFB" w:rsidRDefault="00121DFB">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_Toc75519816 \h </w:instrText>
      </w:r>
      <w:r>
        <w:fldChar w:fldCharType="separate"/>
      </w:r>
      <w:r w:rsidR="00962E4C">
        <w:t>111</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8 — Government trading organisations</w:t>
      </w:r>
    </w:p>
    <w:p w:rsidR="00121DFB" w:rsidRDefault="00121DFB">
      <w:pPr>
        <w:pStyle w:val="TOC2"/>
        <w:tabs>
          <w:tab w:val="right" w:leader="dot" w:pos="7077"/>
        </w:tabs>
        <w:rPr>
          <w:rFonts w:asciiTheme="minorHAnsi" w:eastAsiaTheme="minorEastAsia" w:hAnsiTheme="minorHAnsi" w:cstheme="minorBidi"/>
          <w:b w:val="0"/>
          <w:sz w:val="22"/>
          <w:szCs w:val="22"/>
        </w:rPr>
      </w:pPr>
      <w:r>
        <w:t>Schedule 9 — Central business districts</w:t>
      </w:r>
    </w:p>
    <w:p w:rsidR="00121DFB" w:rsidRDefault="00121DFB">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_Toc75519819 \h </w:instrText>
      </w:r>
      <w:r>
        <w:fldChar w:fldCharType="separate"/>
      </w:r>
      <w:r w:rsidR="00962E4C">
        <w:t>114</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rsidR="00121DFB" w:rsidRDefault="00121DFB">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rsidR="00121DFB" w:rsidRDefault="00121DFB">
      <w:pPr>
        <w:pStyle w:val="TOC2"/>
        <w:tabs>
          <w:tab w:val="right" w:leader="dot" w:pos="7077"/>
        </w:tabs>
        <w:rPr>
          <w:rFonts w:asciiTheme="minorHAnsi" w:eastAsiaTheme="minorEastAsia" w:hAnsiTheme="minorHAnsi" w:cstheme="minorBidi"/>
          <w:b w:val="0"/>
          <w:sz w:val="22"/>
          <w:szCs w:val="22"/>
        </w:rPr>
      </w:pPr>
      <w:r>
        <w:t>Notes</w:t>
      </w:r>
    </w:p>
    <w:p w:rsidR="00121DFB" w:rsidRDefault="00121DFB" w:rsidP="00121DFB">
      <w:pPr>
        <w:pStyle w:val="TOC8"/>
        <w:rPr>
          <w:rFonts w:asciiTheme="minorHAnsi" w:eastAsiaTheme="minorEastAsia" w:hAnsiTheme="minorHAnsi" w:cstheme="minorBidi"/>
          <w:szCs w:val="22"/>
        </w:rPr>
      </w:pPr>
      <w:r>
        <w:tab/>
        <w:t>Compilation table</w:t>
      </w:r>
      <w:r>
        <w:tab/>
      </w:r>
      <w:r>
        <w:fldChar w:fldCharType="begin"/>
      </w:r>
      <w:r>
        <w:instrText xml:space="preserve"> PAGEREF _Toc75519823 \h </w:instrText>
      </w:r>
      <w:r>
        <w:fldChar w:fldCharType="separate"/>
      </w:r>
      <w:r w:rsidR="00962E4C">
        <w:t>135</w:t>
      </w:r>
      <w:r>
        <w:fldChar w:fldCharType="end"/>
      </w:r>
    </w:p>
    <w:p w:rsidR="00121DFB" w:rsidRDefault="00121DFB" w:rsidP="00121DF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_Toc75519824 \h </w:instrText>
      </w:r>
      <w:r>
        <w:fldChar w:fldCharType="separate"/>
      </w:r>
      <w:r w:rsidR="00962E4C">
        <w:t>136</w:t>
      </w:r>
      <w:r>
        <w:fldChar w:fldCharType="end"/>
      </w:r>
    </w:p>
    <w:p w:rsidR="00121DFB" w:rsidRDefault="00121DFB" w:rsidP="00121DFB">
      <w:pPr>
        <w:pStyle w:val="TOC8"/>
        <w:rPr>
          <w:rFonts w:asciiTheme="minorHAnsi" w:eastAsiaTheme="minorEastAsia" w:hAnsiTheme="minorHAnsi" w:cstheme="minorBidi"/>
          <w:szCs w:val="22"/>
        </w:rPr>
      </w:pPr>
      <w:r>
        <w:tab/>
        <w:t>Other notes</w:t>
      </w:r>
      <w:r>
        <w:tab/>
      </w:r>
      <w:r>
        <w:fldChar w:fldCharType="begin"/>
      </w:r>
      <w:r>
        <w:instrText xml:space="preserve"> PAGEREF _Toc75519825 \h </w:instrText>
      </w:r>
      <w:r>
        <w:fldChar w:fldCharType="separate"/>
      </w:r>
      <w:r w:rsidR="00962E4C">
        <w:t>136</w:t>
      </w:r>
      <w:r>
        <w:fldChar w:fldCharType="end"/>
      </w:r>
    </w:p>
    <w:p w:rsidR="00121DFB" w:rsidRDefault="00121DFB">
      <w:pPr>
        <w:pStyle w:val="TOC2"/>
        <w:tabs>
          <w:tab w:val="right" w:leader="dot" w:pos="7077"/>
        </w:tabs>
        <w:rPr>
          <w:rFonts w:asciiTheme="minorHAnsi" w:eastAsiaTheme="minorEastAsia" w:hAnsiTheme="minorHAnsi" w:cstheme="minorBidi"/>
          <w:b w:val="0"/>
          <w:sz w:val="22"/>
          <w:szCs w:val="22"/>
        </w:rPr>
      </w:pPr>
      <w:r>
        <w:t>Defined terms</w:t>
      </w:r>
    </w:p>
    <w:p w:rsidR="005435E9" w:rsidRDefault="005435E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435E9" w:rsidRDefault="005435E9">
      <w:pPr>
        <w:pStyle w:val="NoteHeading"/>
        <w:sectPr w:rsidR="005435E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435E9" w:rsidRDefault="005435E9">
      <w:pPr>
        <w:pStyle w:val="PrincipalActReg"/>
      </w:pPr>
      <w:r>
        <w:lastRenderedPageBreak/>
        <w:t>Water Services Act 2012</w:t>
      </w:r>
    </w:p>
    <w:p w:rsidR="005435E9" w:rsidRDefault="005435E9">
      <w:pPr>
        <w:pStyle w:val="NameofActReg"/>
      </w:pPr>
      <w:r>
        <w:t>Water Services (Water Corporations Charges) Regulations 2014</w:t>
      </w:r>
    </w:p>
    <w:p w:rsidR="005435E9" w:rsidRDefault="005435E9">
      <w:pPr>
        <w:pStyle w:val="Heading2"/>
        <w:pageBreakBefore w:val="0"/>
        <w:spacing w:before="240"/>
      </w:pPr>
      <w:bookmarkStart w:id="3" w:name="_Toc75266146"/>
      <w:bookmarkStart w:id="4" w:name="_Toc75269427"/>
      <w:bookmarkStart w:id="5" w:name="_Toc75350926"/>
      <w:bookmarkStart w:id="6" w:name="_Toc755195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5435E9" w:rsidRDefault="005435E9">
      <w:pPr>
        <w:pStyle w:val="Heading5"/>
      </w:pPr>
      <w:bookmarkStart w:id="7" w:name="_Toc75519596"/>
      <w:r>
        <w:rPr>
          <w:rStyle w:val="CharSectno"/>
        </w:rPr>
        <w:t>1</w:t>
      </w:r>
      <w:r>
        <w:t>.</w:t>
      </w:r>
      <w:r>
        <w:tab/>
        <w:t>Citation</w:t>
      </w:r>
      <w:bookmarkEnd w:id="7"/>
    </w:p>
    <w:p w:rsidR="005435E9" w:rsidRDefault="005435E9">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rsidR="005435E9" w:rsidRDefault="005435E9">
      <w:pPr>
        <w:pStyle w:val="Heading5"/>
        <w:rPr>
          <w:spacing w:val="-2"/>
        </w:rPr>
      </w:pPr>
      <w:bookmarkStart w:id="9" w:name="_Toc75519597"/>
      <w:r>
        <w:rPr>
          <w:rStyle w:val="CharSectno"/>
        </w:rPr>
        <w:t>2</w:t>
      </w:r>
      <w:r>
        <w:rPr>
          <w:spacing w:val="-2"/>
        </w:rPr>
        <w:t>.</w:t>
      </w:r>
      <w:r>
        <w:rPr>
          <w:spacing w:val="-2"/>
        </w:rPr>
        <w:tab/>
        <w:t>Commencement</w:t>
      </w:r>
      <w:bookmarkEnd w:id="9"/>
    </w:p>
    <w:p w:rsidR="005435E9" w:rsidRDefault="005435E9">
      <w:pPr>
        <w:pStyle w:val="Subsection"/>
        <w:rPr>
          <w:spacing w:val="-2"/>
        </w:rPr>
      </w:pPr>
      <w:r>
        <w:rPr>
          <w:spacing w:val="-2"/>
        </w:rPr>
        <w:tab/>
      </w:r>
      <w:r>
        <w:rPr>
          <w:spacing w:val="-2"/>
        </w:rPr>
        <w:tab/>
        <w:t xml:space="preserve">These regulations come into operation as follows — </w:t>
      </w:r>
    </w:p>
    <w:p w:rsidR="005435E9" w:rsidRDefault="005435E9">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rsidR="005435E9" w:rsidRDefault="005435E9">
      <w:pPr>
        <w:pStyle w:val="Indenta"/>
      </w:pPr>
      <w:r>
        <w:tab/>
        <w:t>(b)</w:t>
      </w:r>
      <w:r>
        <w:tab/>
        <w:t xml:space="preserve">the rest of the </w:t>
      </w:r>
      <w:r>
        <w:rPr>
          <w:spacing w:val="-2"/>
        </w:rPr>
        <w:t xml:space="preserve">regulations — </w:t>
      </w:r>
      <w:r>
        <w:t>on 1 July 2014.</w:t>
      </w:r>
    </w:p>
    <w:p w:rsidR="005435E9" w:rsidRDefault="005435E9">
      <w:pPr>
        <w:pStyle w:val="Heading5"/>
      </w:pPr>
      <w:bookmarkStart w:id="10" w:name="_Toc75519598"/>
      <w:r>
        <w:rPr>
          <w:rStyle w:val="CharSectno"/>
        </w:rPr>
        <w:t>3</w:t>
      </w:r>
      <w:r>
        <w:t>.</w:t>
      </w:r>
      <w:r>
        <w:tab/>
        <w:t>Terms used</w:t>
      </w:r>
      <w:bookmarkEnd w:id="10"/>
    </w:p>
    <w:p w:rsidR="005435E9" w:rsidRDefault="005435E9">
      <w:pPr>
        <w:pStyle w:val="Subsection"/>
      </w:pPr>
      <w:r>
        <w:tab/>
        <w:t>(1)</w:t>
      </w:r>
      <w:r>
        <w:tab/>
        <w:t xml:space="preserve">In these regulations — </w:t>
      </w:r>
    </w:p>
    <w:p w:rsidR="005435E9" w:rsidRDefault="005435E9">
      <w:pPr>
        <w:pStyle w:val="Defstart"/>
      </w:pPr>
      <w:r>
        <w:tab/>
      </w:r>
      <w:r>
        <w:rPr>
          <w:rStyle w:val="CharDefText"/>
        </w:rPr>
        <w:t>charge period</w:t>
      </w:r>
      <w:r>
        <w:t>, in relation to a water service charge, means the period to which an invoice for the charge, or a portion of the charge, relates;</w:t>
      </w:r>
    </w:p>
    <w:p w:rsidR="005435E9" w:rsidRDefault="005435E9">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rsidR="005435E9" w:rsidRDefault="005435E9">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rsidR="005435E9" w:rsidRDefault="005435E9">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rsidR="005435E9" w:rsidRDefault="005435E9">
      <w:pPr>
        <w:pStyle w:val="Defpara"/>
      </w:pPr>
      <w:r>
        <w:tab/>
        <w:t>(a)</w:t>
      </w:r>
      <w:r>
        <w:tab/>
        <w:t>on land on which a dwelling is located, or is proposed to be located; and</w:t>
      </w:r>
    </w:p>
    <w:p w:rsidR="005435E9" w:rsidRDefault="005435E9">
      <w:pPr>
        <w:pStyle w:val="Defpara"/>
      </w:pPr>
      <w:r>
        <w:tab/>
        <w:t>(b)</w:t>
      </w:r>
      <w:r>
        <w:tab/>
        <w:t>in a street or road adjoining that land;</w:t>
      </w:r>
    </w:p>
    <w:p w:rsidR="005435E9" w:rsidRDefault="005435E9">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rsidR="005435E9" w:rsidRDefault="005435E9">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rsidR="005435E9" w:rsidRDefault="005435E9">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rsidR="005435E9" w:rsidRDefault="005435E9">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rsidR="005435E9" w:rsidRDefault="005435E9">
      <w:pPr>
        <w:pStyle w:val="Footnotesection"/>
      </w:pPr>
      <w:r>
        <w:tab/>
        <w:t>[Regulation 3 amended: Gazette 13 Dec 2016 p. 5689</w:t>
      </w:r>
      <w:r>
        <w:noBreakHyphen/>
        <w:t>90.]</w:t>
      </w:r>
    </w:p>
    <w:p w:rsidR="005435E9" w:rsidRDefault="005435E9">
      <w:pPr>
        <w:pStyle w:val="Heading2"/>
      </w:pPr>
      <w:bookmarkStart w:id="11" w:name="_Toc75266150"/>
      <w:bookmarkStart w:id="12" w:name="_Toc75269431"/>
      <w:bookmarkStart w:id="13" w:name="_Toc75350930"/>
      <w:bookmarkStart w:id="14" w:name="_Toc75519599"/>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rsidR="005435E9" w:rsidRDefault="005435E9">
      <w:pPr>
        <w:pStyle w:val="Heading5"/>
      </w:pPr>
      <w:bookmarkStart w:id="15" w:name="_Toc75519600"/>
      <w:r>
        <w:rPr>
          <w:rStyle w:val="CharSectno"/>
        </w:rPr>
        <w:t>4</w:t>
      </w:r>
      <w:r>
        <w:t>.</w:t>
      </w:r>
      <w:r>
        <w:tab/>
        <w:t>Annual charges and pro rata annual charges</w:t>
      </w:r>
      <w:bookmarkEnd w:id="15"/>
    </w:p>
    <w:p w:rsidR="005435E9" w:rsidRDefault="005435E9">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rsidR="005435E9" w:rsidRDefault="005435E9">
      <w:pPr>
        <w:pStyle w:val="Subsection"/>
      </w:pPr>
      <w:r>
        <w:tab/>
        <w:t>(2)</w:t>
      </w:r>
      <w:r>
        <w:tab/>
        <w:t>However, subregulation (1) does not apply so as to affect the amount of any charge that has already become payable for the year.</w:t>
      </w:r>
    </w:p>
    <w:p w:rsidR="005435E9" w:rsidRDefault="005435E9">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rsidR="005435E9" w:rsidRDefault="005435E9">
      <w:pPr>
        <w:pStyle w:val="Heading5"/>
      </w:pPr>
      <w:bookmarkStart w:id="16" w:name="_Toc75519601"/>
      <w:r>
        <w:rPr>
          <w:rStyle w:val="CharSectno"/>
        </w:rPr>
        <w:t>5</w:t>
      </w:r>
      <w:r>
        <w:t>.</w:t>
      </w:r>
      <w:r>
        <w:tab/>
        <w:t>Amendment of consumption or discharge charges during charge period</w:t>
      </w:r>
      <w:bookmarkEnd w:id="16"/>
    </w:p>
    <w:p w:rsidR="005435E9" w:rsidRDefault="005435E9">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rsidR="005435E9" w:rsidRDefault="005435E9">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rsidR="005435E9" w:rsidRDefault="005435E9">
      <w:pPr>
        <w:pStyle w:val="Heading2"/>
      </w:pPr>
      <w:bookmarkStart w:id="17" w:name="_Toc75266153"/>
      <w:bookmarkStart w:id="18" w:name="_Toc75269434"/>
      <w:bookmarkStart w:id="19" w:name="_Toc75350933"/>
      <w:bookmarkStart w:id="20" w:name="_Toc75519602"/>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rsidR="005435E9" w:rsidRDefault="005435E9">
      <w:pPr>
        <w:pStyle w:val="Heading5"/>
      </w:pPr>
      <w:bookmarkStart w:id="21" w:name="_Toc75519603"/>
      <w:r>
        <w:rPr>
          <w:rStyle w:val="CharSectno"/>
        </w:rPr>
        <w:t>6</w:t>
      </w:r>
      <w:r>
        <w:t>.</w:t>
      </w:r>
      <w:r>
        <w:tab/>
        <w:t>Terms used</w:t>
      </w:r>
      <w:bookmarkEnd w:id="21"/>
    </w:p>
    <w:p w:rsidR="005435E9" w:rsidRDefault="005435E9">
      <w:pPr>
        <w:pStyle w:val="Subsection"/>
      </w:pPr>
      <w:r>
        <w:tab/>
      </w:r>
      <w:r>
        <w:tab/>
        <w:t xml:space="preserve">In this Part — </w:t>
      </w:r>
    </w:p>
    <w:p w:rsidR="005435E9" w:rsidRDefault="005435E9">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rsidR="005435E9" w:rsidRDefault="005435E9">
      <w:pPr>
        <w:pStyle w:val="Defstart"/>
      </w:pPr>
      <w:r>
        <w:tab/>
      </w:r>
      <w:r>
        <w:rPr>
          <w:rStyle w:val="CharDefText"/>
        </w:rPr>
        <w:t>financial year</w:t>
      </w:r>
      <w:r>
        <w:t>, preceded by a reference to 2 calendar years (for example, 2014/15), means the financial year ending on 30 June in the second of those years;</w:t>
      </w:r>
    </w:p>
    <w:p w:rsidR="00ED5583" w:rsidRDefault="00ED5583" w:rsidP="00ED5583">
      <w:pPr>
        <w:pStyle w:val="Defstart"/>
      </w:pPr>
      <w:r>
        <w:tab/>
      </w:r>
      <w:r>
        <w:rPr>
          <w:rStyle w:val="CharDefText"/>
        </w:rPr>
        <w:t>lot</w:t>
      </w:r>
      <w:r>
        <w:t xml:space="preserve"> — </w:t>
      </w:r>
    </w:p>
    <w:p w:rsidR="00ED5583" w:rsidRDefault="00ED5583" w:rsidP="00ED5583">
      <w:pPr>
        <w:pStyle w:val="Defpara"/>
      </w:pPr>
      <w:r>
        <w:tab/>
        <w:t>(a)</w:t>
      </w:r>
      <w:r>
        <w:tab/>
        <w:t xml:space="preserve">has the meaning given in the </w:t>
      </w:r>
      <w:r>
        <w:rPr>
          <w:i/>
        </w:rPr>
        <w:t>Planning and Development Act 2005</w:t>
      </w:r>
      <w:r>
        <w:t xml:space="preserve"> </w:t>
      </w:r>
      <w:r w:rsidRPr="0004210A">
        <w:t>section</w:t>
      </w:r>
      <w:r>
        <w:t xml:space="preserve"> 4(1); and </w:t>
      </w:r>
    </w:p>
    <w:p w:rsidR="00ED5583" w:rsidRDefault="00ED5583" w:rsidP="00ED5583">
      <w:pPr>
        <w:pStyle w:val="Defpara"/>
      </w:pPr>
      <w:r>
        <w:tab/>
        <w:t>(b)</w:t>
      </w:r>
      <w:r>
        <w:tab/>
        <w:t>includes the following —</w:t>
      </w:r>
    </w:p>
    <w:p w:rsidR="00ED5583" w:rsidRDefault="00ED5583" w:rsidP="00ED5583">
      <w:pPr>
        <w:pStyle w:val="Defsubpara"/>
      </w:pPr>
      <w:r>
        <w:tab/>
        <w:t>(i)</w:t>
      </w:r>
      <w:r>
        <w:tab/>
        <w:t>a lot in a strata scheme or a lot in a survey</w:t>
      </w:r>
      <w:r>
        <w:noBreakHyphen/>
        <w:t xml:space="preserve">strata scheme, as those terms are defined in the </w:t>
      </w:r>
      <w:r>
        <w:rPr>
          <w:i/>
        </w:rPr>
        <w:t>Strata Titles Act 1985</w:t>
      </w:r>
      <w:r>
        <w:t xml:space="preserve"> </w:t>
      </w:r>
      <w:r w:rsidRPr="0004210A">
        <w:t>section</w:t>
      </w:r>
      <w:r>
        <w:t xml:space="preserve"> 3(1); </w:t>
      </w:r>
    </w:p>
    <w:p w:rsidR="00ED5583" w:rsidRDefault="00ED5583" w:rsidP="00ED5583">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w:t>
      </w:r>
      <w:r w:rsidRPr="0004210A">
        <w:t>section</w:t>
      </w:r>
      <w:r>
        <w:t> 3(1);</w:t>
      </w:r>
    </w:p>
    <w:p w:rsidR="00ED5583" w:rsidRDefault="00ED5583" w:rsidP="00ED5583">
      <w:pPr>
        <w:pStyle w:val="Defsubpara"/>
      </w:pPr>
      <w:r>
        <w:tab/>
        <w:t>(iii)</w:t>
      </w:r>
      <w:r>
        <w:tab/>
        <w:t xml:space="preserve">a lot as defined in the </w:t>
      </w:r>
      <w:r>
        <w:rPr>
          <w:i/>
        </w:rPr>
        <w:t>Community Titles Act 2018</w:t>
      </w:r>
      <w:r>
        <w:t xml:space="preserve"> </w:t>
      </w:r>
      <w:r w:rsidRPr="0004210A">
        <w:t>section</w:t>
      </w:r>
      <w:r>
        <w:t xml:space="preserve"> 3(1); </w:t>
      </w:r>
    </w:p>
    <w:p w:rsidR="00ED5583" w:rsidRDefault="00ED5583" w:rsidP="00ED5583">
      <w:pPr>
        <w:pStyle w:val="Defsubpara"/>
      </w:pPr>
      <w:r>
        <w:tab/>
        <w:t>(iv)</w:t>
      </w:r>
      <w:r>
        <w:tab/>
        <w:t xml:space="preserve">an area shown as common property on the scheme plan for a community titles (land) scheme, as those terms are defined in the </w:t>
      </w:r>
      <w:r>
        <w:rPr>
          <w:i/>
        </w:rPr>
        <w:t>Community Titles Act 2018</w:t>
      </w:r>
      <w:r>
        <w:t xml:space="preserve"> </w:t>
      </w:r>
      <w:r w:rsidRPr="0004210A">
        <w:t>section</w:t>
      </w:r>
      <w:r>
        <w:t> 3(1);</w:t>
      </w:r>
    </w:p>
    <w:p w:rsidR="005435E9" w:rsidRDefault="005435E9">
      <w:pPr>
        <w:pStyle w:val="Defstart"/>
      </w:pPr>
      <w:r>
        <w:tab/>
      </w:r>
      <w:r>
        <w:rPr>
          <w:rStyle w:val="CharDefText"/>
        </w:rPr>
        <w:t>non</w:t>
      </w:r>
      <w:r>
        <w:rPr>
          <w:rStyle w:val="CharDefText"/>
        </w:rPr>
        <w:noBreakHyphen/>
        <w:t>residential lot</w:t>
      </w:r>
      <w:r>
        <w:t xml:space="preserve"> means a lot that is not a residential lot;</w:t>
      </w:r>
    </w:p>
    <w:p w:rsidR="005435E9" w:rsidRDefault="005435E9">
      <w:pPr>
        <w:pStyle w:val="Defstart"/>
      </w:pPr>
      <w:r>
        <w:tab/>
      </w:r>
      <w:r>
        <w:rPr>
          <w:rStyle w:val="CharDefText"/>
        </w:rPr>
        <w:t>residential lot</w:t>
      </w:r>
      <w:r>
        <w:t xml:space="preserve"> means a lot used wholly or primarily for the purpose of providing residential accommodation for the owner or occupier of the lot.</w:t>
      </w:r>
    </w:p>
    <w:p w:rsidR="00DC0A21" w:rsidRDefault="00DC0A21" w:rsidP="00DC0A21">
      <w:pPr>
        <w:pStyle w:val="Footnotesection"/>
      </w:pPr>
      <w:r>
        <w:lastRenderedPageBreak/>
        <w:tab/>
        <w:t>[Regulation 6 amended: SL 2021/79 r. </w:t>
      </w:r>
      <w:r w:rsidR="00EA5F5B">
        <w:t>8</w:t>
      </w:r>
      <w:r>
        <w:t>.]</w:t>
      </w:r>
    </w:p>
    <w:p w:rsidR="005435E9" w:rsidRDefault="005435E9">
      <w:pPr>
        <w:pStyle w:val="Heading5"/>
      </w:pPr>
      <w:bookmarkStart w:id="22" w:name="_Toc75519604"/>
      <w:r>
        <w:rPr>
          <w:rStyle w:val="CharSectno"/>
        </w:rPr>
        <w:t>7</w:t>
      </w:r>
      <w:r>
        <w:t>.</w:t>
      </w:r>
      <w:r>
        <w:tab/>
        <w:t>Water supply charges</w:t>
      </w:r>
      <w:bookmarkEnd w:id="22"/>
    </w:p>
    <w:p w:rsidR="005435E9" w:rsidRDefault="005435E9">
      <w:pPr>
        <w:pStyle w:val="Subsection"/>
      </w:pPr>
      <w:r>
        <w:tab/>
      </w:r>
      <w:r>
        <w:tab/>
        <w:t>The water service charges set out in Schedule 1 Divisions 1 and 2 apply, in accordance with the Schedule, in respect of land in respect of which a water supply service is provided by the Bunbury Water Corporation.</w:t>
      </w:r>
    </w:p>
    <w:p w:rsidR="005435E9" w:rsidRDefault="005435E9">
      <w:pPr>
        <w:pStyle w:val="Ednotesection"/>
      </w:pPr>
      <w:r>
        <w:t>[</w:t>
      </w:r>
      <w:r>
        <w:rPr>
          <w:b/>
        </w:rPr>
        <w:t>8.</w:t>
      </w:r>
      <w:r>
        <w:tab/>
        <w:t>Deleted: Gazette 23 Jun 2017 p. 3324.]</w:t>
      </w:r>
    </w:p>
    <w:p w:rsidR="005435E9" w:rsidRDefault="005435E9">
      <w:pPr>
        <w:pStyle w:val="Heading5"/>
      </w:pPr>
      <w:bookmarkStart w:id="23" w:name="_Toc75519605"/>
      <w:r>
        <w:rPr>
          <w:rStyle w:val="CharSectno"/>
        </w:rPr>
        <w:t>9</w:t>
      </w:r>
      <w:r>
        <w:t>.</w:t>
      </w:r>
      <w:r>
        <w:tab/>
        <w:t>Concessions</w:t>
      </w:r>
      <w:bookmarkEnd w:id="23"/>
    </w:p>
    <w:p w:rsidR="005435E9" w:rsidRDefault="005435E9">
      <w:pPr>
        <w:pStyle w:val="Subsection"/>
        <w:keepNext/>
      </w:pPr>
      <w:r>
        <w:tab/>
        <w:t>(1)</w:t>
      </w:r>
      <w:r>
        <w:tab/>
        <w:t xml:space="preserve">The following concessions on charges set out in Schedule 1 apply — </w:t>
      </w:r>
    </w:p>
    <w:p w:rsidR="005435E9" w:rsidRDefault="005435E9">
      <w:pPr>
        <w:pStyle w:val="Indenta"/>
      </w:pPr>
      <w:r>
        <w:rPr>
          <w:snapToGrid w:val="0"/>
        </w:rPr>
        <w:tab/>
        <w:t>(a)</w:t>
      </w:r>
      <w:r>
        <w:rPr>
          <w:snapToGrid w:val="0"/>
        </w:rPr>
        <w:tab/>
      </w:r>
      <w:r>
        <w:t xml:space="preserve">for a person who is a registered senior in relation to land and who does not hold a Commonwealth seniors health card — </w:t>
      </w:r>
    </w:p>
    <w:p w:rsidR="005435E9" w:rsidRDefault="005435E9">
      <w:pPr>
        <w:pStyle w:val="Indenti"/>
      </w:pPr>
      <w:r>
        <w:tab/>
        <w:t>(i)</w:t>
      </w:r>
      <w:r>
        <w:tab/>
        <w:t>for a charge set out in Schedule 1 item 2 — a 25% discount on the charge; and</w:t>
      </w:r>
    </w:p>
    <w:p w:rsidR="005435E9" w:rsidRDefault="005435E9">
      <w:pPr>
        <w:pStyle w:val="Indenti"/>
      </w:pPr>
      <w:r>
        <w:tab/>
        <w:t>(ii)</w:t>
      </w:r>
      <w:r>
        <w:tab/>
        <w:t>for a charge set out in Schedule 1 item 5 — a 50% discount on the charge for the first 150 kL of water supplied to the land in the current consumption year;</w:t>
      </w:r>
    </w:p>
    <w:p w:rsidR="005435E9" w:rsidRDefault="005435E9">
      <w:pPr>
        <w:pStyle w:val="Indenta"/>
      </w:pPr>
      <w:r>
        <w:rPr>
          <w:snapToGrid w:val="0"/>
        </w:rPr>
        <w:tab/>
        <w:t>(b)</w:t>
      </w:r>
      <w:r>
        <w:rPr>
          <w:snapToGrid w:val="0"/>
        </w:rPr>
        <w:tab/>
      </w:r>
      <w:r>
        <w:t xml:space="preserve">for a person who is a registered senior in relation to land and who holds a Commonwealth seniors health card — </w:t>
      </w:r>
    </w:p>
    <w:p w:rsidR="005435E9" w:rsidRDefault="005435E9">
      <w:pPr>
        <w:pStyle w:val="Indenti"/>
      </w:pPr>
      <w:r>
        <w:tab/>
        <w:t>(i)</w:t>
      </w:r>
      <w:r>
        <w:tab/>
        <w:t>for a charge set out in Schedule 1 item 2 — a 50% discount on the charge; and</w:t>
      </w:r>
    </w:p>
    <w:p w:rsidR="005435E9" w:rsidRDefault="005435E9">
      <w:pPr>
        <w:pStyle w:val="Indenti"/>
      </w:pPr>
      <w:r>
        <w:tab/>
        <w:t>(ii)</w:t>
      </w:r>
      <w:r>
        <w:tab/>
        <w:t>for a charge set out in Schedule 1 item 5 — a 50% discount on the charge for the first 150 kL of water supplied to the land in the current consumption year;</w:t>
      </w:r>
    </w:p>
    <w:p w:rsidR="005435E9" w:rsidRDefault="005435E9">
      <w:pPr>
        <w:pStyle w:val="Indenta"/>
      </w:pPr>
      <w:r>
        <w:rPr>
          <w:snapToGrid w:val="0"/>
        </w:rPr>
        <w:tab/>
        <w:t>(c)</w:t>
      </w:r>
      <w:r>
        <w:rPr>
          <w:snapToGrid w:val="0"/>
        </w:rPr>
        <w:tab/>
      </w:r>
      <w:r>
        <w:t xml:space="preserve">for a person who is a registered pensioner in relation to land — </w:t>
      </w:r>
    </w:p>
    <w:p w:rsidR="005435E9" w:rsidRDefault="005435E9">
      <w:pPr>
        <w:pStyle w:val="Indenti"/>
      </w:pPr>
      <w:r>
        <w:tab/>
        <w:t>(i)</w:t>
      </w:r>
      <w:r>
        <w:tab/>
        <w:t>for a charge set out in Schedule 1 item 2 — a 50% discount on the charge; and</w:t>
      </w:r>
    </w:p>
    <w:p w:rsidR="005435E9" w:rsidRDefault="005435E9">
      <w:pPr>
        <w:pStyle w:val="Indenti"/>
      </w:pPr>
      <w:r>
        <w:lastRenderedPageBreak/>
        <w:tab/>
        <w:t>(ii)</w:t>
      </w:r>
      <w:r>
        <w:tab/>
        <w:t>for a charge set out in Schedule 1 item 5 — a 50% discount on the charge for the first 350 kL of water supplied to the land in the current consumption year.</w:t>
      </w:r>
    </w:p>
    <w:p w:rsidR="005435E9" w:rsidRDefault="005435E9">
      <w:pPr>
        <w:pStyle w:val="Subsection"/>
      </w:pPr>
      <w:r>
        <w:tab/>
        <w:t>(2)</w:t>
      </w:r>
      <w:r>
        <w:tab/>
        <w:t>If, for a charge period, a person to whom subregulation (1) applies is not covered by just one paragraph of that subregulation for the whole of the period then concessions are to be determined pro rata.</w:t>
      </w:r>
    </w:p>
    <w:p w:rsidR="005435E9" w:rsidRDefault="005435E9">
      <w:pPr>
        <w:pStyle w:val="Heading5"/>
      </w:pPr>
      <w:bookmarkStart w:id="24" w:name="_Toc75519606"/>
      <w:r>
        <w:rPr>
          <w:rStyle w:val="CharSectno"/>
        </w:rPr>
        <w:t>10</w:t>
      </w:r>
      <w:r>
        <w:t>.</w:t>
      </w:r>
      <w:r>
        <w:tab/>
        <w:t>Interest accruing on overdue amounts</w:t>
      </w:r>
      <w:bookmarkEnd w:id="24"/>
    </w:p>
    <w:p w:rsidR="005435E9" w:rsidRDefault="005435E9">
      <w:pPr>
        <w:pStyle w:val="Subsection"/>
      </w:pPr>
      <w:r>
        <w:tab/>
      </w:r>
      <w:r>
        <w:tab/>
        <w:t>If an amount payable under this Part is overdue, interest accrues daily on any part of that amount unpaid after the day on which the amount was due, at the rate of 11.33% per annum.</w:t>
      </w:r>
    </w:p>
    <w:p w:rsidR="005435E9" w:rsidRDefault="005435E9">
      <w:pPr>
        <w:pStyle w:val="Footnotesection"/>
      </w:pPr>
      <w:r>
        <w:tab/>
        <w:t>[Regulation 10 amended: Gazette 30 Jun 2015 p. 2363; 27 Jun 2016 p. 2538; 23 Jun 2017 p. 3324; SL 2020/95 r. 4.]</w:t>
      </w:r>
    </w:p>
    <w:p w:rsidR="005435E9" w:rsidRDefault="005435E9">
      <w:pPr>
        <w:pStyle w:val="Heading2"/>
      </w:pPr>
      <w:bookmarkStart w:id="25" w:name="_Toc75266158"/>
      <w:bookmarkStart w:id="26" w:name="_Toc75269439"/>
      <w:bookmarkStart w:id="27" w:name="_Toc75350938"/>
      <w:bookmarkStart w:id="28" w:name="_Toc75519607"/>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rsidR="005435E9" w:rsidRDefault="005435E9">
      <w:pPr>
        <w:pStyle w:val="Heading5"/>
      </w:pPr>
      <w:bookmarkStart w:id="29" w:name="_Toc75519608"/>
      <w:r>
        <w:rPr>
          <w:rStyle w:val="CharSectno"/>
        </w:rPr>
        <w:t>11</w:t>
      </w:r>
      <w:r>
        <w:t>.</w:t>
      </w:r>
      <w:r>
        <w:tab/>
        <w:t>Terms used</w:t>
      </w:r>
      <w:bookmarkEnd w:id="29"/>
    </w:p>
    <w:p w:rsidR="005435E9" w:rsidRDefault="005435E9">
      <w:pPr>
        <w:pStyle w:val="Subsection"/>
      </w:pPr>
      <w:r>
        <w:tab/>
      </w:r>
      <w:r>
        <w:tab/>
        <w:t xml:space="preserve">In this Part — </w:t>
      </w:r>
    </w:p>
    <w:p w:rsidR="005435E9" w:rsidRDefault="005435E9">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rsidR="005435E9" w:rsidRDefault="005435E9">
      <w:pPr>
        <w:pStyle w:val="Defstart"/>
      </w:pPr>
      <w:r>
        <w:tab/>
      </w:r>
      <w:r>
        <w:rPr>
          <w:rStyle w:val="CharDefText"/>
        </w:rPr>
        <w:t>financial year</w:t>
      </w:r>
      <w:r>
        <w:t>, preceded by a reference to 2 calendar years (for example, 2014/15), means the financial year ending on 30 June in the second of those years;</w:t>
      </w:r>
    </w:p>
    <w:p w:rsidR="00511596" w:rsidRDefault="00511596" w:rsidP="00511596">
      <w:pPr>
        <w:pStyle w:val="Defstart"/>
      </w:pPr>
      <w:r>
        <w:tab/>
      </w:r>
      <w:r>
        <w:rPr>
          <w:rStyle w:val="CharDefText"/>
        </w:rPr>
        <w:t>lot</w:t>
      </w:r>
      <w:r>
        <w:t xml:space="preserve"> — </w:t>
      </w:r>
    </w:p>
    <w:p w:rsidR="00511596" w:rsidRDefault="00511596" w:rsidP="00511596">
      <w:pPr>
        <w:pStyle w:val="Defpara"/>
      </w:pPr>
      <w:r>
        <w:tab/>
        <w:t>(a)</w:t>
      </w:r>
      <w:r>
        <w:tab/>
        <w:t xml:space="preserve">has the meaning given in the </w:t>
      </w:r>
      <w:r>
        <w:rPr>
          <w:i/>
        </w:rPr>
        <w:t>Planning and Development Act 2005</w:t>
      </w:r>
      <w:r>
        <w:t xml:space="preserve"> </w:t>
      </w:r>
      <w:r w:rsidRPr="0004210A">
        <w:t>section</w:t>
      </w:r>
      <w:r>
        <w:t> 4(1); and</w:t>
      </w:r>
    </w:p>
    <w:p w:rsidR="00511596" w:rsidRDefault="00511596" w:rsidP="00511596">
      <w:pPr>
        <w:pStyle w:val="Defpara"/>
      </w:pPr>
      <w:r>
        <w:tab/>
        <w:t>(b)</w:t>
      </w:r>
      <w:r>
        <w:tab/>
        <w:t xml:space="preserve">includes the following — </w:t>
      </w:r>
    </w:p>
    <w:p w:rsidR="00511596" w:rsidRDefault="00511596" w:rsidP="00511596">
      <w:pPr>
        <w:pStyle w:val="Defsubpara"/>
      </w:pPr>
      <w:r>
        <w:tab/>
        <w:t>(i)</w:t>
      </w:r>
      <w:r>
        <w:tab/>
        <w:t>a lot in a strata scheme or a lot in a survey</w:t>
      </w:r>
      <w:r>
        <w:noBreakHyphen/>
        <w:t xml:space="preserve">strata scheme, as those terms are defined in the </w:t>
      </w:r>
      <w:r>
        <w:rPr>
          <w:i/>
        </w:rPr>
        <w:t>Strata Titles Act 1985</w:t>
      </w:r>
      <w:r>
        <w:t xml:space="preserve"> </w:t>
      </w:r>
      <w:r w:rsidRPr="0004210A">
        <w:t>section</w:t>
      </w:r>
      <w:r>
        <w:t xml:space="preserve"> 3(1); </w:t>
      </w:r>
    </w:p>
    <w:p w:rsidR="00511596" w:rsidRDefault="00511596" w:rsidP="00511596">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w:t>
      </w:r>
      <w:r w:rsidRPr="0004210A">
        <w:t>section</w:t>
      </w:r>
      <w:r>
        <w:t> 3(1);</w:t>
      </w:r>
    </w:p>
    <w:p w:rsidR="00511596" w:rsidRDefault="00511596" w:rsidP="00511596">
      <w:pPr>
        <w:pStyle w:val="Defsubpara"/>
      </w:pPr>
      <w:r>
        <w:tab/>
        <w:t>(iii)</w:t>
      </w:r>
      <w:r>
        <w:tab/>
        <w:t xml:space="preserve">a lot as defined in the </w:t>
      </w:r>
      <w:r>
        <w:rPr>
          <w:i/>
        </w:rPr>
        <w:t>Community Titles Act 2018</w:t>
      </w:r>
      <w:r>
        <w:t xml:space="preserve"> </w:t>
      </w:r>
      <w:r w:rsidRPr="0004210A">
        <w:t>section</w:t>
      </w:r>
      <w:r>
        <w:t xml:space="preserve"> 3(1); </w:t>
      </w:r>
    </w:p>
    <w:p w:rsidR="00511596" w:rsidRDefault="00511596" w:rsidP="00511596">
      <w:pPr>
        <w:pStyle w:val="Defsubpara"/>
      </w:pPr>
      <w:r>
        <w:tab/>
        <w:t>(iv)</w:t>
      </w:r>
      <w:r>
        <w:tab/>
        <w:t xml:space="preserve">an area shown as common property on the scheme plan for a community titles (land) scheme, as those terms are defined in the </w:t>
      </w:r>
      <w:r>
        <w:rPr>
          <w:i/>
        </w:rPr>
        <w:t>Community Titles Act 2018</w:t>
      </w:r>
      <w:r>
        <w:t xml:space="preserve"> </w:t>
      </w:r>
      <w:r w:rsidRPr="0004210A">
        <w:t>section</w:t>
      </w:r>
      <w:r>
        <w:t> 3(1);</w:t>
      </w:r>
    </w:p>
    <w:p w:rsidR="005435E9" w:rsidRDefault="005435E9">
      <w:pPr>
        <w:pStyle w:val="Defstart"/>
      </w:pPr>
      <w:r>
        <w:tab/>
      </w:r>
      <w:r>
        <w:rPr>
          <w:rStyle w:val="CharDefText"/>
        </w:rPr>
        <w:t>non</w:t>
      </w:r>
      <w:r>
        <w:rPr>
          <w:rStyle w:val="CharDefText"/>
        </w:rPr>
        <w:noBreakHyphen/>
        <w:t>residential lot</w:t>
      </w:r>
      <w:r>
        <w:t xml:space="preserve"> means a lot that is neither a residential lot nor vacant land;</w:t>
      </w:r>
    </w:p>
    <w:p w:rsidR="005435E9" w:rsidRDefault="005435E9">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rsidR="005435E9" w:rsidRDefault="005435E9">
      <w:pPr>
        <w:pStyle w:val="Footnotesection"/>
      </w:pPr>
      <w:r>
        <w:tab/>
        <w:t>[Regulation 11 amended: Gazette 13 Dec 2016 p. 5690</w:t>
      </w:r>
      <w:r w:rsidR="00511596">
        <w:t>; SL 2021/79 r. 9</w:t>
      </w:r>
      <w:r>
        <w:t>.]</w:t>
      </w:r>
    </w:p>
    <w:p w:rsidR="005435E9" w:rsidRDefault="005435E9">
      <w:pPr>
        <w:pStyle w:val="Heading5"/>
      </w:pPr>
      <w:bookmarkStart w:id="30" w:name="_Toc75519609"/>
      <w:r>
        <w:rPr>
          <w:rStyle w:val="CharSectno"/>
        </w:rPr>
        <w:t>12</w:t>
      </w:r>
      <w:r>
        <w:t>.</w:t>
      </w:r>
      <w:r>
        <w:tab/>
        <w:t>Water supply charges</w:t>
      </w:r>
      <w:bookmarkEnd w:id="30"/>
    </w:p>
    <w:p w:rsidR="005435E9" w:rsidRDefault="005435E9">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rsidR="005435E9" w:rsidRDefault="005435E9">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rsidR="005435E9" w:rsidRDefault="005435E9">
      <w:pPr>
        <w:pStyle w:val="Ednotesection"/>
      </w:pPr>
      <w:r>
        <w:t>[</w:t>
      </w:r>
      <w:r>
        <w:rPr>
          <w:b/>
        </w:rPr>
        <w:t>13.</w:t>
      </w:r>
      <w:r>
        <w:tab/>
        <w:t>Deleted: Gazette 30 Jun 2015 p. 2363.]</w:t>
      </w:r>
    </w:p>
    <w:p w:rsidR="005435E9" w:rsidRDefault="005435E9">
      <w:pPr>
        <w:pStyle w:val="Heading5"/>
      </w:pPr>
      <w:bookmarkStart w:id="31" w:name="_Toc75519610"/>
      <w:r>
        <w:rPr>
          <w:rStyle w:val="CharSectno"/>
        </w:rPr>
        <w:t>14</w:t>
      </w:r>
      <w:r>
        <w:t>.</w:t>
      </w:r>
      <w:r>
        <w:tab/>
        <w:t>Concessions</w:t>
      </w:r>
      <w:bookmarkEnd w:id="31"/>
    </w:p>
    <w:p w:rsidR="005435E9" w:rsidRDefault="005435E9">
      <w:pPr>
        <w:pStyle w:val="Subsection"/>
      </w:pPr>
      <w:r>
        <w:tab/>
        <w:t>(1)</w:t>
      </w:r>
      <w:r>
        <w:tab/>
        <w:t xml:space="preserve">The following concessions on charges set out in Schedule 2 apply — </w:t>
      </w:r>
    </w:p>
    <w:p w:rsidR="005435E9" w:rsidRDefault="005435E9">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rsidR="005435E9" w:rsidRDefault="005435E9">
      <w:pPr>
        <w:pStyle w:val="Indenta"/>
      </w:pPr>
      <w:r>
        <w:rPr>
          <w:snapToGrid w:val="0"/>
        </w:rPr>
        <w:tab/>
        <w:t>(b)</w:t>
      </w:r>
      <w:r>
        <w:rPr>
          <w:snapToGrid w:val="0"/>
        </w:rPr>
        <w:tab/>
      </w:r>
      <w:r>
        <w:t xml:space="preserve">for a person who is a registered senior in relation to land and who holds a Commonwealth seniors health card — </w:t>
      </w:r>
    </w:p>
    <w:p w:rsidR="005435E9" w:rsidRDefault="005435E9">
      <w:pPr>
        <w:pStyle w:val="Indenti"/>
      </w:pPr>
      <w:r>
        <w:tab/>
        <w:t>(i)</w:t>
      </w:r>
      <w:r>
        <w:tab/>
        <w:t>for a charge set out in Schedule 2 item 2 — a 50% discount on the charge; and</w:t>
      </w:r>
    </w:p>
    <w:p w:rsidR="005435E9" w:rsidRDefault="005435E9">
      <w:pPr>
        <w:pStyle w:val="Indenti"/>
      </w:pPr>
      <w:r>
        <w:tab/>
        <w:t>(ii)</w:t>
      </w:r>
      <w:r>
        <w:tab/>
        <w:t xml:space="preserve">for a charge set out in Schedule 2 item 7 — a 50% discount on the charge for the first 350 kL </w:t>
      </w:r>
      <w:r>
        <w:lastRenderedPageBreak/>
        <w:t>of water supplied to the land in the current consumption year;</w:t>
      </w:r>
    </w:p>
    <w:p w:rsidR="005435E9" w:rsidRDefault="005435E9">
      <w:pPr>
        <w:pStyle w:val="Indenta"/>
      </w:pPr>
      <w:r>
        <w:rPr>
          <w:snapToGrid w:val="0"/>
        </w:rPr>
        <w:tab/>
        <w:t>(c)</w:t>
      </w:r>
      <w:r>
        <w:rPr>
          <w:snapToGrid w:val="0"/>
        </w:rPr>
        <w:tab/>
      </w:r>
      <w:r>
        <w:t xml:space="preserve">for a person who is a registered pensioner in relation to land — </w:t>
      </w:r>
    </w:p>
    <w:p w:rsidR="005435E9" w:rsidRDefault="005435E9">
      <w:pPr>
        <w:pStyle w:val="Indenti"/>
      </w:pPr>
      <w:r>
        <w:tab/>
        <w:t>(i)</w:t>
      </w:r>
      <w:r>
        <w:tab/>
        <w:t>for a charge set out in Schedule 2 item 2 — a 50% discount on the charge; and</w:t>
      </w:r>
    </w:p>
    <w:p w:rsidR="005435E9" w:rsidRDefault="005435E9">
      <w:pPr>
        <w:pStyle w:val="Indenti"/>
      </w:pPr>
      <w:r>
        <w:tab/>
        <w:t>(ii)</w:t>
      </w:r>
      <w:r>
        <w:tab/>
        <w:t>for a charge set out in Schedule 2 item 7 — a 50% discount on the charge for the first 350 kL of water supplied to the land in the current consumption year.</w:t>
      </w:r>
    </w:p>
    <w:p w:rsidR="005435E9" w:rsidRDefault="005435E9">
      <w:pPr>
        <w:pStyle w:val="Subsection"/>
      </w:pPr>
      <w:r>
        <w:tab/>
        <w:t>(2)</w:t>
      </w:r>
      <w:r>
        <w:tab/>
        <w:t>If, for a charge period, a person to whom subregulation (1) applies is not covered by just one paragraph of that subregulation for the whole of the period then concessions are to be determined pro rata.</w:t>
      </w:r>
    </w:p>
    <w:p w:rsidR="005435E9" w:rsidRDefault="005435E9">
      <w:pPr>
        <w:pStyle w:val="Heading5"/>
      </w:pPr>
      <w:bookmarkStart w:id="32" w:name="_Toc75519611"/>
      <w:r>
        <w:rPr>
          <w:rStyle w:val="CharSectno"/>
        </w:rPr>
        <w:t>15A</w:t>
      </w:r>
      <w:r>
        <w:t>.</w:t>
      </w:r>
      <w:r>
        <w:tab/>
        <w:t>Permitted surcharge for using credit card or debit card</w:t>
      </w:r>
      <w:bookmarkEnd w:id="32"/>
    </w:p>
    <w:p w:rsidR="005435E9" w:rsidRDefault="005435E9">
      <w:pPr>
        <w:pStyle w:val="Subsection"/>
      </w:pPr>
      <w:r>
        <w:tab/>
        <w:t>(1)</w:t>
      </w:r>
      <w:r>
        <w:tab/>
        <w:t xml:space="preserve">In this regulation — </w:t>
      </w:r>
    </w:p>
    <w:p w:rsidR="005435E9" w:rsidRDefault="005435E9">
      <w:pPr>
        <w:pStyle w:val="Defstart"/>
      </w:pPr>
      <w:r>
        <w:tab/>
      </w:r>
      <w:r>
        <w:rPr>
          <w:rStyle w:val="CharDefText"/>
        </w:rPr>
        <w:t>permitted surcharge</w:t>
      </w:r>
      <w:r>
        <w:t xml:space="preserve"> has the meaning given in RBA Standard No. 3 of 2016;</w:t>
      </w:r>
    </w:p>
    <w:p w:rsidR="005435E9" w:rsidRDefault="005435E9">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5435E9" w:rsidRDefault="005435E9">
      <w:pPr>
        <w:pStyle w:val="Subsection"/>
      </w:pPr>
      <w:r>
        <w:tab/>
        <w:t>(2)</w:t>
      </w:r>
      <w:r>
        <w:tab/>
        <w:t>An invoice for a statutory water service charge, or a portion of a statutory water service charge, may include a permitted surcharge for payments made using a credit card or debit card.</w:t>
      </w:r>
    </w:p>
    <w:p w:rsidR="005435E9" w:rsidRDefault="005435E9">
      <w:pPr>
        <w:pStyle w:val="Subsection"/>
      </w:pPr>
      <w:r>
        <w:tab/>
        <w:t>(3)</w:t>
      </w:r>
      <w:r>
        <w:tab/>
        <w:t>The permitted surcharge is payable if the amount in the invoice is paid, in whole or in part, using a credit card or debit card.</w:t>
      </w:r>
    </w:p>
    <w:p w:rsidR="005435E9" w:rsidRDefault="005435E9">
      <w:pPr>
        <w:pStyle w:val="Footnotesection"/>
      </w:pPr>
      <w:r>
        <w:tab/>
        <w:t>[Regulation 15A inserted: Gazette 22 Jun 2018 p. 2212.]</w:t>
      </w:r>
    </w:p>
    <w:p w:rsidR="005435E9" w:rsidRDefault="005435E9">
      <w:pPr>
        <w:pStyle w:val="Heading5"/>
      </w:pPr>
      <w:bookmarkStart w:id="33" w:name="_Toc75519612"/>
      <w:r>
        <w:rPr>
          <w:rStyle w:val="CharSectno"/>
        </w:rPr>
        <w:lastRenderedPageBreak/>
        <w:t>15</w:t>
      </w:r>
      <w:r>
        <w:t>.</w:t>
      </w:r>
      <w:r>
        <w:tab/>
        <w:t>Interest accruing on overdue amounts</w:t>
      </w:r>
      <w:bookmarkEnd w:id="33"/>
    </w:p>
    <w:p w:rsidR="005435E9" w:rsidRDefault="005435E9">
      <w:pPr>
        <w:pStyle w:val="Subsection"/>
      </w:pPr>
      <w:r>
        <w:tab/>
      </w:r>
      <w:r>
        <w:tab/>
        <w:t>If an amount payable under this Part is overdue, interest accrues daily on any part of that amount unpaid after the day on which the amount was due, at the rate of 11.33% per annum.</w:t>
      </w:r>
    </w:p>
    <w:p w:rsidR="005435E9" w:rsidRDefault="005435E9">
      <w:pPr>
        <w:pStyle w:val="Footnotesection"/>
      </w:pPr>
      <w:r>
        <w:tab/>
        <w:t>[Regulation 15 amended: Gazette 27 Jun 2016 p. 2538; 23 Jun 2017 p. 3324; SL 2020/95 r. 5.]</w:t>
      </w:r>
    </w:p>
    <w:p w:rsidR="005435E9" w:rsidRDefault="005435E9">
      <w:pPr>
        <w:pStyle w:val="Heading2"/>
      </w:pPr>
      <w:bookmarkStart w:id="34" w:name="_Toc75266164"/>
      <w:bookmarkStart w:id="35" w:name="_Toc75269445"/>
      <w:bookmarkStart w:id="36" w:name="_Toc75350944"/>
      <w:bookmarkStart w:id="37" w:name="_Toc75519613"/>
      <w:r>
        <w:rPr>
          <w:rStyle w:val="CharPartNo"/>
        </w:rPr>
        <w:lastRenderedPageBreak/>
        <w:t>Part 5</w:t>
      </w:r>
      <w:r>
        <w:t> — </w:t>
      </w:r>
      <w:r>
        <w:rPr>
          <w:rStyle w:val="CharPartText"/>
        </w:rPr>
        <w:t>Charges for the Water Corporation</w:t>
      </w:r>
      <w:bookmarkEnd w:id="34"/>
      <w:bookmarkEnd w:id="35"/>
      <w:bookmarkEnd w:id="36"/>
      <w:bookmarkEnd w:id="37"/>
    </w:p>
    <w:p w:rsidR="005435E9" w:rsidRDefault="005435E9">
      <w:pPr>
        <w:pStyle w:val="Heading3"/>
      </w:pPr>
      <w:bookmarkStart w:id="38" w:name="_Toc75266165"/>
      <w:bookmarkStart w:id="39" w:name="_Toc75269446"/>
      <w:bookmarkStart w:id="40" w:name="_Toc75350945"/>
      <w:bookmarkStart w:id="41" w:name="_Toc75519614"/>
      <w:r>
        <w:rPr>
          <w:rStyle w:val="CharDivNo"/>
        </w:rPr>
        <w:t>Division 1</w:t>
      </w:r>
      <w:r>
        <w:t> — </w:t>
      </w:r>
      <w:r>
        <w:rPr>
          <w:rStyle w:val="CharDivText"/>
        </w:rPr>
        <w:t>Preliminary</w:t>
      </w:r>
      <w:bookmarkEnd w:id="38"/>
      <w:bookmarkEnd w:id="39"/>
      <w:bookmarkEnd w:id="40"/>
      <w:bookmarkEnd w:id="41"/>
    </w:p>
    <w:p w:rsidR="005435E9" w:rsidRDefault="005435E9">
      <w:pPr>
        <w:pStyle w:val="Heading5"/>
      </w:pPr>
      <w:bookmarkStart w:id="42" w:name="_Toc75519615"/>
      <w:r>
        <w:rPr>
          <w:rStyle w:val="CharSectno"/>
        </w:rPr>
        <w:t>16</w:t>
      </w:r>
      <w:r>
        <w:t>.</w:t>
      </w:r>
      <w:r>
        <w:tab/>
        <w:t>Terms used</w:t>
      </w:r>
      <w:bookmarkEnd w:id="42"/>
    </w:p>
    <w:p w:rsidR="005435E9" w:rsidRDefault="005435E9">
      <w:pPr>
        <w:pStyle w:val="Subsection"/>
      </w:pPr>
      <w:r>
        <w:tab/>
        <w:t>(1)</w:t>
      </w:r>
      <w:r>
        <w:tab/>
        <w:t xml:space="preserve">In this Part, unless the contrary intention appears — </w:t>
      </w:r>
    </w:p>
    <w:p w:rsidR="005435E9" w:rsidRDefault="005435E9">
      <w:pPr>
        <w:pStyle w:val="Defstart"/>
      </w:pPr>
      <w:r>
        <w:tab/>
      </w:r>
      <w:r>
        <w:rPr>
          <w:rStyle w:val="CharDefText"/>
        </w:rPr>
        <w:t>aged home</w:t>
      </w:r>
      <w:r>
        <w:t xml:space="preserve"> means a facility that, in the opinion of the Water Corporation — </w:t>
      </w:r>
    </w:p>
    <w:p w:rsidR="005435E9" w:rsidRDefault="005435E9">
      <w:pPr>
        <w:pStyle w:val="Defpara"/>
      </w:pPr>
      <w:r>
        <w:tab/>
        <w:t>(a)</w:t>
      </w:r>
      <w:r>
        <w:tab/>
        <w:t>is used to provide accommodation for aged persons; and</w:t>
      </w:r>
    </w:p>
    <w:p w:rsidR="005435E9" w:rsidRDefault="005435E9">
      <w:pPr>
        <w:pStyle w:val="Defpara"/>
      </w:pPr>
      <w:r>
        <w:tab/>
        <w:t>(b)</w:t>
      </w:r>
      <w:r>
        <w:tab/>
        <w:t>is not operated for the purpose of profit or gain;</w:t>
      </w:r>
    </w:p>
    <w:p w:rsidR="005435E9" w:rsidRDefault="005435E9">
      <w:pPr>
        <w:pStyle w:val="Defstart"/>
      </w:pPr>
      <w:r>
        <w:tab/>
      </w:r>
      <w:r>
        <w:rPr>
          <w:rStyle w:val="CharDefText"/>
        </w:rPr>
        <w:t>alienated land</w:t>
      </w:r>
      <w:r>
        <w:t xml:space="preserve"> has the meaning given in the </w:t>
      </w:r>
      <w:r>
        <w:rPr>
          <w:i/>
        </w:rPr>
        <w:t>Land Administration Act 1997</w:t>
      </w:r>
      <w:r>
        <w:t xml:space="preserve"> section 3(1);</w:t>
      </w:r>
    </w:p>
    <w:p w:rsidR="005435E9" w:rsidRDefault="005435E9">
      <w:pPr>
        <w:pStyle w:val="Defstart"/>
      </w:pPr>
      <w:r>
        <w:tab/>
      </w:r>
      <w:r>
        <w:rPr>
          <w:rStyle w:val="CharDefText"/>
        </w:rPr>
        <w:t>boundary volume</w:t>
      </w:r>
      <w:r>
        <w:t xml:space="preserve"> means the first or last volume in a volumetric range;</w:t>
      </w:r>
    </w:p>
    <w:p w:rsidR="005435E9" w:rsidRDefault="005435E9">
      <w:pPr>
        <w:pStyle w:val="Defstart"/>
      </w:pPr>
      <w:r>
        <w:tab/>
      </w:r>
      <w:r>
        <w:rPr>
          <w:rStyle w:val="CharDefText"/>
        </w:rPr>
        <w:t>caravan bay</w:t>
      </w:r>
      <w:r>
        <w:t xml:space="preserve"> means site as defined in the </w:t>
      </w:r>
      <w:r>
        <w:rPr>
          <w:i/>
        </w:rPr>
        <w:t>Caravan Parks and Camping Grounds Act 1995</w:t>
      </w:r>
      <w:r>
        <w:t xml:space="preserve"> section 5(1);</w:t>
      </w:r>
    </w:p>
    <w:p w:rsidR="005435E9" w:rsidRDefault="005435E9">
      <w:pPr>
        <w:pStyle w:val="Defstart"/>
      </w:pPr>
      <w:r>
        <w:tab/>
      </w:r>
      <w:r>
        <w:rPr>
          <w:rStyle w:val="CharDefText"/>
        </w:rPr>
        <w:t>central business districts</w:t>
      </w:r>
      <w:r>
        <w:t xml:space="preserve"> means the districts described in Schedule 9;</w:t>
      </w:r>
    </w:p>
    <w:p w:rsidR="005435E9" w:rsidRDefault="005435E9">
      <w:pPr>
        <w:pStyle w:val="Defstart"/>
      </w:pPr>
      <w:r>
        <w:tab/>
      </w:r>
      <w:r>
        <w:rPr>
          <w:rStyle w:val="CharDefText"/>
        </w:rPr>
        <w:t>change of circumstances</w:t>
      </w:r>
      <w:r>
        <w:t xml:space="preserve"> includes — </w:t>
      </w:r>
    </w:p>
    <w:p w:rsidR="005435E9" w:rsidRDefault="005435E9">
      <w:pPr>
        <w:pStyle w:val="Defpara"/>
      </w:pPr>
      <w:r>
        <w:tab/>
        <w:t>(a)</w:t>
      </w:r>
      <w:r>
        <w:tab/>
        <w:t>land becoming or ceasing to be land in respect of which a water service charge applies;</w:t>
      </w:r>
    </w:p>
    <w:p w:rsidR="005435E9" w:rsidRDefault="005435E9">
      <w:pPr>
        <w:pStyle w:val="Defpara"/>
      </w:pPr>
      <w:r>
        <w:tab/>
        <w:t>(b)</w:t>
      </w:r>
      <w:r>
        <w:tab/>
        <w:t>a change in the classification of land;</w:t>
      </w:r>
    </w:p>
    <w:p w:rsidR="005435E9" w:rsidRDefault="005435E9">
      <w:pPr>
        <w:pStyle w:val="Defpara"/>
      </w:pPr>
      <w:r>
        <w:tab/>
        <w:t>(c)</w:t>
      </w:r>
      <w:r>
        <w:tab/>
        <w:t>the installation of a meter or a change in the size of a meter;</w:t>
      </w:r>
    </w:p>
    <w:p w:rsidR="005435E9" w:rsidRDefault="005435E9">
      <w:pPr>
        <w:pStyle w:val="Defpara"/>
      </w:pPr>
      <w:r>
        <w:tab/>
        <w:t>(d)</w:t>
      </w:r>
      <w:r>
        <w:tab/>
        <w:t>a change in the number of major fixtures for land;</w:t>
      </w:r>
    </w:p>
    <w:p w:rsidR="005435E9" w:rsidRDefault="005435E9">
      <w:pPr>
        <w:pStyle w:val="Defstart"/>
      </w:pPr>
      <w:r>
        <w:tab/>
      </w:r>
      <w:r>
        <w:rPr>
          <w:rStyle w:val="CharDefText"/>
        </w:rPr>
        <w:t>charitable purposes</w:t>
      </w:r>
      <w:r>
        <w:t xml:space="preserve"> means purposes that, in the opinion of the Water Corporation, involve — </w:t>
      </w:r>
    </w:p>
    <w:p w:rsidR="005435E9" w:rsidRDefault="005435E9">
      <w:pPr>
        <w:pStyle w:val="Defpara"/>
      </w:pPr>
      <w:r>
        <w:tab/>
        <w:t>(a)</w:t>
      </w:r>
      <w:r>
        <w:tab/>
        <w:t>the provision of relief or assistance to sick, aged, disadvantaged, unemployed or young persons; or</w:t>
      </w:r>
    </w:p>
    <w:p w:rsidR="005435E9" w:rsidRDefault="005435E9">
      <w:pPr>
        <w:pStyle w:val="Defpara"/>
      </w:pPr>
      <w:r>
        <w:tab/>
        <w:t>(b)</w:t>
      </w:r>
      <w:r>
        <w:tab/>
        <w:t>the conduct of other similar activities for the benefit of the public or in the interests of social welfare,</w:t>
      </w:r>
    </w:p>
    <w:p w:rsidR="005435E9" w:rsidRDefault="005435E9">
      <w:pPr>
        <w:pStyle w:val="Defstart"/>
      </w:pPr>
      <w:r>
        <w:tab/>
        <w:t>by a non</w:t>
      </w:r>
      <w:r>
        <w:noBreakHyphen/>
        <w:t>profit private organisation;</w:t>
      </w:r>
    </w:p>
    <w:p w:rsidR="00270AA8" w:rsidRDefault="00270AA8" w:rsidP="00270AA8">
      <w:pPr>
        <w:pStyle w:val="Defstart"/>
      </w:pPr>
      <w:r>
        <w:lastRenderedPageBreak/>
        <w:tab/>
      </w:r>
      <w:r>
        <w:rPr>
          <w:rStyle w:val="CharDefText"/>
        </w:rPr>
        <w:t>community titles scheme</w:t>
      </w:r>
      <w:r>
        <w:t xml:space="preserve"> has the meaning given in the </w:t>
      </w:r>
      <w:r>
        <w:rPr>
          <w:i/>
        </w:rPr>
        <w:t>Community Titles Act 2018</w:t>
      </w:r>
      <w:r>
        <w:t xml:space="preserve"> </w:t>
      </w:r>
      <w:r w:rsidRPr="0004210A">
        <w:t>section</w:t>
      </w:r>
      <w:r>
        <w:t> 3(1);</w:t>
      </w:r>
    </w:p>
    <w:p w:rsidR="005435E9" w:rsidRDefault="005435E9">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rsidR="005435E9" w:rsidRDefault="005435E9">
      <w:pPr>
        <w:pStyle w:val="Defstart"/>
      </w:pPr>
      <w:r>
        <w:tab/>
      </w:r>
      <w:r>
        <w:rPr>
          <w:rStyle w:val="CharDefText"/>
        </w:rPr>
        <w:t>concessional land</w:t>
      </w:r>
      <w:r>
        <w:t xml:space="preserve"> has the meaning given in regulation 17;</w:t>
      </w:r>
    </w:p>
    <w:p w:rsidR="005435E9" w:rsidRDefault="005435E9">
      <w:pPr>
        <w:pStyle w:val="Defstart"/>
      </w:pPr>
      <w:r>
        <w:tab/>
      </w:r>
      <w:r>
        <w:rPr>
          <w:rStyle w:val="CharDefText"/>
        </w:rPr>
        <w:t>consumption year</w:t>
      </w:r>
      <w:r>
        <w:t xml:space="preserve">, for quality/quantity charges for water supplied to land, means — </w:t>
      </w:r>
    </w:p>
    <w:p w:rsidR="005435E9" w:rsidRDefault="005435E9">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rsidR="005435E9" w:rsidRDefault="005435E9">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rsidR="005435E9" w:rsidRDefault="005435E9">
      <w:pPr>
        <w:pStyle w:val="Defstart"/>
      </w:pPr>
      <w:r>
        <w:tab/>
      </w:r>
      <w:r>
        <w:rPr>
          <w:rStyle w:val="CharDefText"/>
        </w:rPr>
        <w:t>desalinated water</w:t>
      </w:r>
      <w:r>
        <w:t xml:space="preserve"> means water that has been treated to reduce or remove salts;</w:t>
      </w:r>
    </w:p>
    <w:p w:rsidR="005435E9" w:rsidRDefault="005435E9">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rsidR="005435E9" w:rsidRDefault="005435E9">
      <w:pPr>
        <w:pStyle w:val="Defpara"/>
      </w:pPr>
      <w:r>
        <w:tab/>
        <w:t>(a)</w:t>
      </w:r>
      <w:r>
        <w:tab/>
        <w:t>the percentage agreed between the Water Corporation and the customer; or</w:t>
      </w:r>
    </w:p>
    <w:p w:rsidR="005435E9" w:rsidRDefault="005435E9">
      <w:pPr>
        <w:pStyle w:val="Defpara"/>
      </w:pPr>
      <w:r>
        <w:tab/>
        <w:t>(b)</w:t>
      </w:r>
      <w:r>
        <w:tab/>
        <w:t>in the absence of an agreement — 95%;</w:t>
      </w:r>
    </w:p>
    <w:p w:rsidR="005435E9" w:rsidRDefault="005435E9">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rsidR="005435E9" w:rsidRDefault="005435E9">
      <w:pPr>
        <w:pStyle w:val="Defpara"/>
      </w:pPr>
      <w:r>
        <w:lastRenderedPageBreak/>
        <w:tab/>
        <w:t>(a)</w:t>
      </w:r>
      <w:r>
        <w:tab/>
        <w:t>if the volume of water supplied to the land is known — calculated by multiplying the volume of water supplied to the land in the year by the discharge factor applicable to the land for the year; or</w:t>
      </w:r>
    </w:p>
    <w:p w:rsidR="005435E9" w:rsidRDefault="005435E9">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rsidR="005435E9" w:rsidRDefault="005435E9">
      <w:pPr>
        <w:pStyle w:val="Defpara"/>
      </w:pPr>
      <w:r>
        <w:tab/>
        <w:t>(c)</w:t>
      </w:r>
      <w:r>
        <w:tab/>
        <w:t>if neither paragraph (a) nor (b) are appropriate — estimated by the Water Corporation;</w:t>
      </w:r>
    </w:p>
    <w:p w:rsidR="005435E9" w:rsidRDefault="005435E9">
      <w:pPr>
        <w:pStyle w:val="Defstart"/>
      </w:pPr>
      <w:r>
        <w:tab/>
      </w:r>
      <w:r>
        <w:rPr>
          <w:rStyle w:val="CharDefText"/>
        </w:rPr>
        <w:t>discharge year</w:t>
      </w:r>
      <w:r>
        <w:t xml:space="preserve">, means — </w:t>
      </w:r>
    </w:p>
    <w:p w:rsidR="005435E9" w:rsidRDefault="005435E9">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rsidR="005435E9" w:rsidRDefault="005435E9">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rsidR="005435E9" w:rsidRDefault="005435E9">
      <w:pPr>
        <w:pStyle w:val="Defstart"/>
      </w:pPr>
      <w:r>
        <w:tab/>
      </w:r>
      <w:r>
        <w:rPr>
          <w:rStyle w:val="CharDefText"/>
        </w:rPr>
        <w:t>drainage area</w:t>
      </w:r>
      <w:r>
        <w:t xml:space="preserve"> means an area designated by the Minister as a drainage area under regulation 45;</w:t>
      </w:r>
    </w:p>
    <w:p w:rsidR="005435E9" w:rsidRDefault="005435E9">
      <w:pPr>
        <w:pStyle w:val="Defstart"/>
      </w:pPr>
      <w:r>
        <w:tab/>
      </w:r>
      <w:r>
        <w:rPr>
          <w:rStyle w:val="CharDefText"/>
        </w:rPr>
        <w:t>drainage charge</w:t>
      </w:r>
      <w:r>
        <w:t xml:space="preserve"> means a water service charge set out in Schedule 5;</w:t>
      </w:r>
    </w:p>
    <w:p w:rsidR="005435E9" w:rsidRDefault="005435E9">
      <w:pPr>
        <w:pStyle w:val="Defstart"/>
      </w:pPr>
      <w:r>
        <w:tab/>
      </w:r>
      <w:r>
        <w:rPr>
          <w:rStyle w:val="CharDefText"/>
        </w:rPr>
        <w:t>financial year</w:t>
      </w:r>
      <w:r>
        <w:t>, preceded by a reference to 2 calendar years (for example, 2014/15) means the financial year ending on 30 June in the second of those years;</w:t>
      </w:r>
    </w:p>
    <w:p w:rsidR="005435E9" w:rsidRDefault="005435E9">
      <w:pPr>
        <w:pStyle w:val="Defstart"/>
      </w:pPr>
      <w:r>
        <w:tab/>
      </w:r>
      <w:r>
        <w:rPr>
          <w:rStyle w:val="CharDefText"/>
        </w:rPr>
        <w:t>government trading organisation</w:t>
      </w:r>
      <w:r>
        <w:t xml:space="preserve"> means an organisation listed in Schedule 8;</w:t>
      </w:r>
    </w:p>
    <w:p w:rsidR="005435E9" w:rsidRDefault="005435E9">
      <w:pPr>
        <w:pStyle w:val="Defstart"/>
      </w:pPr>
      <w:r>
        <w:tab/>
      </w:r>
      <w:r>
        <w:rPr>
          <w:rStyle w:val="CharDefText"/>
        </w:rPr>
        <w:t>GRV</w:t>
      </w:r>
      <w:r>
        <w:t xml:space="preserve">, of land, means the gross rental value of the land under the </w:t>
      </w:r>
      <w:r>
        <w:rPr>
          <w:i/>
        </w:rPr>
        <w:t>Valuation of Land Act 1978</w:t>
      </w:r>
      <w:r>
        <w:t>;</w:t>
      </w:r>
    </w:p>
    <w:p w:rsidR="005435E9" w:rsidRDefault="005435E9">
      <w:pPr>
        <w:pStyle w:val="Defstart"/>
        <w:keepNext/>
      </w:pPr>
      <w:r>
        <w:lastRenderedPageBreak/>
        <w:tab/>
      </w:r>
      <w:r>
        <w:rPr>
          <w:rStyle w:val="CharDefText"/>
        </w:rPr>
        <w:t>holiday accommodation</w:t>
      </w:r>
      <w:r>
        <w:t xml:space="preserve"> means accommodation which — </w:t>
      </w:r>
    </w:p>
    <w:p w:rsidR="005435E9" w:rsidRDefault="005435E9">
      <w:pPr>
        <w:pStyle w:val="Defpara"/>
      </w:pPr>
      <w:r>
        <w:tab/>
        <w:t>(a)</w:t>
      </w:r>
      <w:r>
        <w:tab/>
        <w:t>is held out by the owner or occupier of the land on which the accommodation is situated as being available for occupation for holiday purposes by persons other than the owner or occupier; or</w:t>
      </w:r>
    </w:p>
    <w:p w:rsidR="005435E9" w:rsidRDefault="005435E9">
      <w:pPr>
        <w:pStyle w:val="Defpara"/>
      </w:pPr>
      <w:r>
        <w:tab/>
        <w:t>(b)</w:t>
      </w:r>
      <w:r>
        <w:tab/>
        <w:t>is made available by that owner or occupier for those purposes,</w:t>
      </w:r>
    </w:p>
    <w:p w:rsidR="005435E9" w:rsidRDefault="005435E9">
      <w:pPr>
        <w:pStyle w:val="Defstart"/>
      </w:pPr>
      <w:r>
        <w:tab/>
        <w:t>unless, in the opinion of the Water Corporation, the accommodation is not held out or made available for the purpose of trade or business;</w:t>
      </w:r>
    </w:p>
    <w:p w:rsidR="005435E9" w:rsidRDefault="005435E9">
      <w:pPr>
        <w:pStyle w:val="Defstart"/>
      </w:pPr>
      <w:r>
        <w:tab/>
      </w:r>
      <w:r>
        <w:rPr>
          <w:rStyle w:val="CharDefText"/>
        </w:rPr>
        <w:t>hydrant standpipe</w:t>
      </w:r>
      <w:r>
        <w:t xml:space="preserve"> means a standpipe that can be attached to a hydrant;</w:t>
      </w:r>
    </w:p>
    <w:p w:rsidR="005435E9" w:rsidRDefault="005435E9">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rsidR="005435E9" w:rsidRDefault="005435E9">
      <w:pPr>
        <w:pStyle w:val="Defstart"/>
      </w:pPr>
      <w:r>
        <w:tab/>
      </w:r>
      <w:r>
        <w:rPr>
          <w:rStyle w:val="CharDefText"/>
        </w:rPr>
        <w:t>irrigation works</w:t>
      </w:r>
      <w:r>
        <w:t>, of a person, include a dam, reservoir or other non</w:t>
      </w:r>
      <w:r>
        <w:noBreakHyphen/>
        <w:t>reticulated works of the person used in the provision of an irrigation service;</w:t>
      </w:r>
    </w:p>
    <w:p w:rsidR="005435E9" w:rsidRDefault="005435E9">
      <w:pPr>
        <w:pStyle w:val="Defstart"/>
      </w:pPr>
      <w:r>
        <w:tab/>
      </w:r>
      <w:r>
        <w:rPr>
          <w:rStyle w:val="CharDefText"/>
        </w:rPr>
        <w:t>local government standpipe</w:t>
      </w:r>
      <w:r>
        <w:t xml:space="preserve"> means a standpipe access to which is controlled by a local government;</w:t>
      </w:r>
    </w:p>
    <w:p w:rsidR="005435E9" w:rsidRDefault="005435E9">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rsidR="005E7E12" w:rsidRDefault="005E7E12" w:rsidP="005E7E12">
      <w:pPr>
        <w:pStyle w:val="Defstart"/>
      </w:pPr>
      <w:r>
        <w:tab/>
      </w:r>
      <w:r>
        <w:rPr>
          <w:rStyle w:val="CharDefText"/>
        </w:rPr>
        <w:t>lot</w:t>
      </w:r>
      <w:r>
        <w:t xml:space="preserve"> means — </w:t>
      </w:r>
    </w:p>
    <w:p w:rsidR="005E7E12" w:rsidRDefault="005E7E12" w:rsidP="005E7E12">
      <w:pPr>
        <w:pStyle w:val="Defpara"/>
      </w:pPr>
      <w:r>
        <w:tab/>
        <w:t>(a)</w:t>
      </w:r>
      <w:r>
        <w:tab/>
        <w:t>a lot in a strata scheme or a lot in a survey</w:t>
      </w:r>
      <w:r>
        <w:noBreakHyphen/>
        <w:t xml:space="preserve">strata scheme, as those terms are defined in the </w:t>
      </w:r>
      <w:r>
        <w:rPr>
          <w:i/>
        </w:rPr>
        <w:t>Strata Titles Act 1985</w:t>
      </w:r>
      <w:r>
        <w:t xml:space="preserve"> </w:t>
      </w:r>
      <w:r w:rsidRPr="0004210A">
        <w:t>section</w:t>
      </w:r>
      <w:r>
        <w:t> 3(1); or</w:t>
      </w:r>
    </w:p>
    <w:p w:rsidR="005E7E12" w:rsidRDefault="005E7E12" w:rsidP="005E7E12">
      <w:pPr>
        <w:pStyle w:val="Defpara"/>
      </w:pPr>
      <w:r>
        <w:tab/>
        <w:t>(b)</w:t>
      </w:r>
      <w:r>
        <w:tab/>
        <w:t xml:space="preserve">a lot as defined in the </w:t>
      </w:r>
      <w:r>
        <w:rPr>
          <w:i/>
        </w:rPr>
        <w:t>Community Titles Act 2018</w:t>
      </w:r>
      <w:r>
        <w:t xml:space="preserve"> </w:t>
      </w:r>
      <w:r w:rsidRPr="0004210A">
        <w:t>section</w:t>
      </w:r>
      <w:r>
        <w:t> 3(1);</w:t>
      </w:r>
    </w:p>
    <w:p w:rsidR="005435E9" w:rsidRDefault="005435E9">
      <w:pPr>
        <w:pStyle w:val="Defstart"/>
      </w:pPr>
      <w:r>
        <w:tab/>
      </w:r>
      <w:r>
        <w:rPr>
          <w:rStyle w:val="CharDefText"/>
        </w:rPr>
        <w:t>major fixture</w:t>
      </w:r>
      <w:r>
        <w:t xml:space="preserve"> means — </w:t>
      </w:r>
    </w:p>
    <w:p w:rsidR="005435E9" w:rsidRDefault="005435E9">
      <w:pPr>
        <w:pStyle w:val="Defpara"/>
      </w:pPr>
      <w:r>
        <w:tab/>
        <w:t>(a)</w:t>
      </w:r>
      <w:r>
        <w:tab/>
        <w:t>a water closet; and</w:t>
      </w:r>
    </w:p>
    <w:p w:rsidR="005435E9" w:rsidRDefault="005435E9">
      <w:pPr>
        <w:pStyle w:val="Defpara"/>
      </w:pPr>
      <w:r>
        <w:tab/>
        <w:t>(b)</w:t>
      </w:r>
      <w:r>
        <w:tab/>
        <w:t>each urinal outlet contained within a floor mounted urinal; and</w:t>
      </w:r>
    </w:p>
    <w:p w:rsidR="005435E9" w:rsidRDefault="005435E9">
      <w:pPr>
        <w:pStyle w:val="Defpara"/>
      </w:pPr>
      <w:r>
        <w:tab/>
        <w:t>(c)</w:t>
      </w:r>
      <w:r>
        <w:tab/>
        <w:t>each stand of wall hung urinals contained within a separate ablution area; and</w:t>
      </w:r>
    </w:p>
    <w:p w:rsidR="005435E9" w:rsidRDefault="005435E9">
      <w:pPr>
        <w:pStyle w:val="Defpara"/>
      </w:pPr>
      <w:r>
        <w:lastRenderedPageBreak/>
        <w:tab/>
        <w:t>(d)</w:t>
      </w:r>
      <w:r>
        <w:tab/>
        <w:t>a bedpan washer;</w:t>
      </w:r>
    </w:p>
    <w:p w:rsidR="005435E9" w:rsidRDefault="005435E9">
      <w:pPr>
        <w:pStyle w:val="Defstart"/>
      </w:pPr>
      <w:r>
        <w:tab/>
      </w:r>
      <w:r>
        <w:rPr>
          <w:rStyle w:val="CharDefText"/>
        </w:rPr>
        <w:t>non</w:t>
      </w:r>
      <w:r>
        <w:rPr>
          <w:rStyle w:val="CharDefText"/>
        </w:rPr>
        <w:noBreakHyphen/>
        <w:t>commercial government property</w:t>
      </w:r>
      <w:r>
        <w:t xml:space="preserve"> means land held by a public authority other than — </w:t>
      </w:r>
    </w:p>
    <w:p w:rsidR="005435E9" w:rsidRDefault="005435E9">
      <w:pPr>
        <w:pStyle w:val="Defpara"/>
      </w:pPr>
      <w:r>
        <w:tab/>
        <w:t>(a)</w:t>
      </w:r>
      <w:r>
        <w:tab/>
        <w:t>land held by a government trading organisation; or</w:t>
      </w:r>
    </w:p>
    <w:p w:rsidR="005435E9" w:rsidRDefault="005435E9">
      <w:pPr>
        <w:pStyle w:val="Defpara"/>
      </w:pPr>
      <w:r>
        <w:tab/>
        <w:t>(b)</w:t>
      </w:r>
      <w:r>
        <w:tab/>
        <w:t>public land; or</w:t>
      </w:r>
    </w:p>
    <w:p w:rsidR="005435E9" w:rsidRDefault="005435E9">
      <w:pPr>
        <w:pStyle w:val="Defpara"/>
      </w:pPr>
      <w:r>
        <w:tab/>
        <w:t>(c)</w:t>
      </w:r>
      <w:r>
        <w:tab/>
        <w:t>vacant land;</w:t>
      </w:r>
    </w:p>
    <w:p w:rsidR="005435E9" w:rsidRDefault="005435E9">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rsidR="005435E9" w:rsidRDefault="005435E9">
      <w:pPr>
        <w:pStyle w:val="Defstart"/>
      </w:pPr>
      <w:r>
        <w:tab/>
      </w:r>
      <w:r>
        <w:rPr>
          <w:rStyle w:val="CharDefText"/>
        </w:rPr>
        <w:t>nursing home</w:t>
      </w:r>
      <w:r>
        <w:t xml:space="preserve"> means a facility licensed by the Commonwealth to provide nursing home facilities;</w:t>
      </w:r>
    </w:p>
    <w:p w:rsidR="005435E9" w:rsidRDefault="005435E9">
      <w:pPr>
        <w:pStyle w:val="Defstart"/>
      </w:pPr>
      <w:r>
        <w:tab/>
      </w:r>
      <w:r>
        <w:rPr>
          <w:rStyle w:val="CharDefText"/>
        </w:rPr>
        <w:t>park home</w:t>
      </w:r>
      <w:r>
        <w:t xml:space="preserve"> means a park home as defined in the </w:t>
      </w:r>
      <w:r>
        <w:rPr>
          <w:i/>
        </w:rPr>
        <w:t>Caravan Parks and Camping Grounds Act 1995</w:t>
      </w:r>
      <w:r>
        <w:t xml:space="preserve"> section 5(1);</w:t>
      </w:r>
    </w:p>
    <w:p w:rsidR="005435E9" w:rsidRDefault="005435E9">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rsidR="005435E9" w:rsidRDefault="005435E9">
      <w:pPr>
        <w:pStyle w:val="Defstart"/>
      </w:pPr>
      <w:r>
        <w:tab/>
      </w:r>
      <w:r>
        <w:rPr>
          <w:rStyle w:val="CharDefText"/>
        </w:rPr>
        <w:t>residential property</w:t>
      </w:r>
      <w:r>
        <w:t xml:space="preserve">, in relation to a water service charge, means land that — </w:t>
      </w:r>
    </w:p>
    <w:p w:rsidR="005435E9" w:rsidRDefault="005435E9">
      <w:pPr>
        <w:pStyle w:val="Defpara"/>
      </w:pPr>
      <w:r>
        <w:tab/>
        <w:t>(a)</w:t>
      </w:r>
      <w:r>
        <w:tab/>
        <w:t>is or could be classified as residential for the purposes of the Division under which the charge applies; and</w:t>
      </w:r>
    </w:p>
    <w:p w:rsidR="005435E9" w:rsidRDefault="005435E9">
      <w:pPr>
        <w:pStyle w:val="Defpara"/>
      </w:pPr>
      <w:r>
        <w:tab/>
        <w:t>(b)</w:t>
      </w:r>
      <w:r>
        <w:tab/>
        <w:t>is used as a dwelling;</w:t>
      </w:r>
    </w:p>
    <w:p w:rsidR="005435E9" w:rsidRDefault="005435E9">
      <w:pPr>
        <w:pStyle w:val="Defstart"/>
      </w:pPr>
      <w:r>
        <w:tab/>
      </w:r>
      <w:r>
        <w:rPr>
          <w:rStyle w:val="CharDefText"/>
        </w:rPr>
        <w:t>retirement village</w:t>
      </w:r>
      <w:r>
        <w:t xml:space="preserve"> means a number of units, the residents of which have a right to life tenancy under a lease arrangement and are predominantly — </w:t>
      </w:r>
    </w:p>
    <w:p w:rsidR="005435E9" w:rsidRDefault="005435E9">
      <w:pPr>
        <w:pStyle w:val="Defpara"/>
      </w:pPr>
      <w:r>
        <w:tab/>
        <w:t>(a)</w:t>
      </w:r>
      <w:r>
        <w:tab/>
        <w:t>over 55 years old and not in full</w:t>
      </w:r>
      <w:r>
        <w:noBreakHyphen/>
        <w:t>time employment; or</w:t>
      </w:r>
    </w:p>
    <w:p w:rsidR="005435E9" w:rsidRDefault="005435E9">
      <w:pPr>
        <w:pStyle w:val="Defpara"/>
      </w:pPr>
      <w:r>
        <w:tab/>
        <w:t>(b)</w:t>
      </w:r>
      <w:r>
        <w:tab/>
        <w:t>retired;</w:t>
      </w:r>
    </w:p>
    <w:p w:rsidR="006C203B" w:rsidRDefault="006C203B" w:rsidP="006C203B">
      <w:pPr>
        <w:pStyle w:val="Defstart"/>
      </w:pPr>
      <w:r>
        <w:tab/>
      </w:r>
      <w:r>
        <w:rPr>
          <w:rStyle w:val="CharDefText"/>
        </w:rPr>
        <w:t>scheme plan</w:t>
      </w:r>
      <w:r>
        <w:t xml:space="preserve"> — </w:t>
      </w:r>
    </w:p>
    <w:p w:rsidR="006C203B" w:rsidRDefault="006C203B" w:rsidP="006C203B">
      <w:pPr>
        <w:pStyle w:val="Defpara"/>
      </w:pPr>
      <w:r>
        <w:tab/>
        <w:t>(a)</w:t>
      </w:r>
      <w:r>
        <w:tab/>
        <w:t xml:space="preserve">for a strata titles scheme — has the meaning given in the </w:t>
      </w:r>
      <w:r>
        <w:rPr>
          <w:i/>
        </w:rPr>
        <w:t>Strata Titles Act 1985</w:t>
      </w:r>
      <w:r>
        <w:t xml:space="preserve"> </w:t>
      </w:r>
      <w:r w:rsidRPr="0004210A">
        <w:t>section</w:t>
      </w:r>
      <w:r>
        <w:t> 3(1); or</w:t>
      </w:r>
    </w:p>
    <w:p w:rsidR="006C203B" w:rsidRDefault="006C203B" w:rsidP="006C203B">
      <w:pPr>
        <w:pStyle w:val="Defpara"/>
      </w:pPr>
      <w:r>
        <w:tab/>
        <w:t>(b)</w:t>
      </w:r>
      <w:r>
        <w:tab/>
        <w:t xml:space="preserve">for a community titles scheme — has the meaning given in the </w:t>
      </w:r>
      <w:r>
        <w:rPr>
          <w:i/>
        </w:rPr>
        <w:t>Community Titles Act 2018</w:t>
      </w:r>
      <w:r>
        <w:t xml:space="preserve"> </w:t>
      </w:r>
      <w:r w:rsidRPr="0004210A">
        <w:t>section</w:t>
      </w:r>
      <w:r>
        <w:t> 3(1);</w:t>
      </w:r>
    </w:p>
    <w:p w:rsidR="005435E9" w:rsidRDefault="005435E9">
      <w:pPr>
        <w:pStyle w:val="Defstart"/>
      </w:pPr>
      <w:r>
        <w:lastRenderedPageBreak/>
        <w:tab/>
      </w:r>
      <w:r>
        <w:rPr>
          <w:rStyle w:val="CharDefText"/>
        </w:rPr>
        <w:t>semi</w:t>
      </w:r>
      <w:r>
        <w:rPr>
          <w:rStyle w:val="CharDefText"/>
        </w:rPr>
        <w:noBreakHyphen/>
        <w:t>rural residential property</w:t>
      </w:r>
      <w:r>
        <w:t xml:space="preserve">, in relation to a water service charge, means land that — </w:t>
      </w:r>
    </w:p>
    <w:p w:rsidR="005435E9" w:rsidRDefault="005435E9">
      <w:pPr>
        <w:pStyle w:val="Defpara"/>
      </w:pPr>
      <w:r>
        <w:tab/>
        <w:t>(a)</w:t>
      </w:r>
      <w:r>
        <w:tab/>
        <w:t>is classified as semi</w:t>
      </w:r>
      <w:r>
        <w:noBreakHyphen/>
        <w:t>rural residential for the purposes of the Division under which the charge applies; and</w:t>
      </w:r>
    </w:p>
    <w:p w:rsidR="005435E9" w:rsidRDefault="005435E9">
      <w:pPr>
        <w:pStyle w:val="Defpara"/>
      </w:pPr>
      <w:r>
        <w:tab/>
        <w:t>(b)</w:t>
      </w:r>
      <w:r>
        <w:tab/>
        <w:t>is used as a dwelling;</w:t>
      </w:r>
    </w:p>
    <w:p w:rsidR="005435E9" w:rsidRDefault="005435E9">
      <w:pPr>
        <w:pStyle w:val="Defstart"/>
      </w:pPr>
      <w:r>
        <w:tab/>
      </w:r>
      <w:r>
        <w:rPr>
          <w:rStyle w:val="CharDefText"/>
        </w:rPr>
        <w:t>sewerage area</w:t>
      </w:r>
      <w:r>
        <w:t xml:space="preserve"> means an area designated as a sewerage area under regulation 38;</w:t>
      </w:r>
    </w:p>
    <w:p w:rsidR="005435E9" w:rsidRDefault="005435E9">
      <w:pPr>
        <w:pStyle w:val="Defstart"/>
      </w:pPr>
      <w:r>
        <w:tab/>
      </w:r>
      <w:r>
        <w:rPr>
          <w:rStyle w:val="CharDefText"/>
        </w:rPr>
        <w:t>sewerage charge</w:t>
      </w:r>
      <w:r>
        <w:t xml:space="preserve"> means a water service charge set out in Schedule 4;</w:t>
      </w:r>
    </w:p>
    <w:p w:rsidR="005435E9" w:rsidRDefault="005435E9">
      <w:pPr>
        <w:pStyle w:val="Defstart"/>
      </w:pPr>
      <w:r>
        <w:tab/>
      </w:r>
      <w:r>
        <w:rPr>
          <w:rStyle w:val="CharDefText"/>
        </w:rPr>
        <w:t>single capital infrastructure charge</w:t>
      </w:r>
      <w:r>
        <w:t xml:space="preserve"> means a water service charge set out in Schedule 3 item 18(3);</w:t>
      </w:r>
    </w:p>
    <w:p w:rsidR="005435E9" w:rsidRDefault="005435E9">
      <w:pPr>
        <w:pStyle w:val="Defstart"/>
      </w:pPr>
      <w:r>
        <w:tab/>
      </w:r>
      <w:r>
        <w:rPr>
          <w:rStyle w:val="CharDefText"/>
        </w:rPr>
        <w:t>special meter reading</w:t>
      </w:r>
      <w:r>
        <w:t xml:space="preserve"> means a meter reading that is not a routine meter reading;</w:t>
      </w:r>
    </w:p>
    <w:p w:rsidR="005435E9" w:rsidRDefault="005435E9">
      <w:pPr>
        <w:pStyle w:val="Defstart"/>
      </w:pPr>
      <w:r>
        <w:tab/>
      </w:r>
      <w:r>
        <w:rPr>
          <w:rStyle w:val="CharDefText"/>
        </w:rPr>
        <w:t>strata</w:t>
      </w:r>
      <w:r>
        <w:rPr>
          <w:rStyle w:val="CharDefText"/>
        </w:rPr>
        <w:noBreakHyphen/>
        <w:t>titled caravan bay</w:t>
      </w:r>
      <w:r>
        <w:t xml:space="preserve"> means a caravan bay that is a lot and a residential property;</w:t>
      </w:r>
    </w:p>
    <w:p w:rsidR="00F93860" w:rsidRDefault="00F93860" w:rsidP="00F93860">
      <w:pPr>
        <w:pStyle w:val="Defstart"/>
      </w:pPr>
      <w:r>
        <w:tab/>
      </w:r>
      <w:r>
        <w:rPr>
          <w:rStyle w:val="CharDefText"/>
        </w:rPr>
        <w:t>strata titles scheme</w:t>
      </w:r>
      <w:r>
        <w:t xml:space="preserve"> has the meaning given in the </w:t>
      </w:r>
      <w:r>
        <w:rPr>
          <w:i/>
        </w:rPr>
        <w:t>Strata Titles Act 1985</w:t>
      </w:r>
      <w:r>
        <w:t xml:space="preserve"> </w:t>
      </w:r>
      <w:r w:rsidRPr="0004210A">
        <w:t>section</w:t>
      </w:r>
      <w:r>
        <w:t> 3(1);</w:t>
      </w:r>
    </w:p>
    <w:p w:rsidR="005435E9" w:rsidRDefault="005435E9">
      <w:pPr>
        <w:pStyle w:val="Defstart"/>
      </w:pPr>
      <w:r>
        <w:tab/>
      </w:r>
      <w:r>
        <w:rPr>
          <w:rStyle w:val="CharDefText"/>
        </w:rPr>
        <w:t>water supply charge</w:t>
      </w:r>
      <w:r>
        <w:t xml:space="preserve"> means a water service charge set out in Schedule 3.</w:t>
      </w:r>
    </w:p>
    <w:p w:rsidR="005435E9" w:rsidRDefault="005435E9">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rsidR="005435E9" w:rsidRDefault="005435E9">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rsidR="005435E9" w:rsidRDefault="005435E9" w:rsidP="00D727DC">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rsidR="005435E9" w:rsidRDefault="005435E9">
      <w:pPr>
        <w:pStyle w:val="Footnotesection"/>
      </w:pPr>
      <w:r>
        <w:tab/>
        <w:t>[Regulation 16 amended: Gazette 13 Dec 2016 p. 5690; 14 Jun 2019 p. 1930; 31 Dec 2019 p. 4665</w:t>
      </w:r>
      <w:r w:rsidR="005E32D0">
        <w:t>; SL 2021/79 r. 10</w:t>
      </w:r>
      <w:r>
        <w:t>.]</w:t>
      </w:r>
    </w:p>
    <w:p w:rsidR="005435E9" w:rsidRDefault="005435E9">
      <w:pPr>
        <w:pStyle w:val="Heading5"/>
      </w:pPr>
      <w:bookmarkStart w:id="43" w:name="_Toc75519616"/>
      <w:r>
        <w:rPr>
          <w:rStyle w:val="CharSectno"/>
        </w:rPr>
        <w:t>17</w:t>
      </w:r>
      <w:r>
        <w:t>.</w:t>
      </w:r>
      <w:r>
        <w:tab/>
        <w:t>Concessional land</w:t>
      </w:r>
      <w:bookmarkEnd w:id="43"/>
    </w:p>
    <w:p w:rsidR="005435E9" w:rsidRDefault="005435E9">
      <w:pPr>
        <w:pStyle w:val="Subsection"/>
      </w:pPr>
      <w:r>
        <w:tab/>
        <w:t>(1)</w:t>
      </w:r>
      <w:r>
        <w:tab/>
        <w:t xml:space="preserve">For the purposes of this Part, the following land is concessional land — </w:t>
      </w:r>
    </w:p>
    <w:p w:rsidR="005435E9" w:rsidRDefault="005435E9">
      <w:pPr>
        <w:pStyle w:val="Indenta"/>
      </w:pPr>
      <w:r>
        <w:tab/>
        <w:t>(a)</w:t>
      </w:r>
      <w:r>
        <w:tab/>
        <w:t>land held by the State;</w:t>
      </w:r>
    </w:p>
    <w:p w:rsidR="005435E9" w:rsidRDefault="005435E9">
      <w:pPr>
        <w:pStyle w:val="Indenta"/>
      </w:pPr>
      <w:r>
        <w:tab/>
        <w:t>(b)</w:t>
      </w:r>
      <w:r>
        <w:tab/>
        <w:t>land held by a government trading organisation;</w:t>
      </w:r>
    </w:p>
    <w:p w:rsidR="005435E9" w:rsidRDefault="005435E9">
      <w:pPr>
        <w:pStyle w:val="Indenta"/>
      </w:pPr>
      <w:r>
        <w:tab/>
        <w:t>(c)</w:t>
      </w:r>
      <w:r>
        <w:tab/>
        <w:t xml:space="preserve">land vested in, held by or used or occupied by, a local government, other than — </w:t>
      </w:r>
    </w:p>
    <w:p w:rsidR="005435E9" w:rsidRDefault="005435E9">
      <w:pPr>
        <w:pStyle w:val="Indenti"/>
      </w:pPr>
      <w:r>
        <w:tab/>
        <w:t>(i)</w:t>
      </w:r>
      <w:r>
        <w:tab/>
        <w:t>alienated land held by the local government as a tenant or otherwise used or occupied by the local government with the authority of the owner of the land; or</w:t>
      </w:r>
    </w:p>
    <w:p w:rsidR="005435E9" w:rsidRDefault="005435E9">
      <w:pPr>
        <w:pStyle w:val="Indenti"/>
      </w:pPr>
      <w:r>
        <w:tab/>
        <w:t>(ii)</w:t>
      </w:r>
      <w:r>
        <w:tab/>
        <w:t>land used for business purposes; or</w:t>
      </w:r>
    </w:p>
    <w:p w:rsidR="005435E9" w:rsidRDefault="005435E9">
      <w:pPr>
        <w:pStyle w:val="Indenti"/>
      </w:pPr>
      <w:r>
        <w:tab/>
        <w:t>(iii)</w:t>
      </w:r>
      <w:r>
        <w:tab/>
        <w:t>land held or occupied by a tenant of the local government;</w:t>
      </w:r>
    </w:p>
    <w:p w:rsidR="005435E9" w:rsidRDefault="005435E9">
      <w:pPr>
        <w:pStyle w:val="Indenta"/>
      </w:pPr>
      <w:r>
        <w:tab/>
        <w:t>(d)</w:t>
      </w:r>
      <w:r>
        <w:tab/>
        <w:t>land belonging to or leased by a religious body and used or held exclusively for public worship, as a dwelling for a priest, minister, monk, nun or similar person, or for monastic purposes;</w:t>
      </w:r>
    </w:p>
    <w:p w:rsidR="005435E9" w:rsidRDefault="005435E9">
      <w:pPr>
        <w:pStyle w:val="Indenta"/>
      </w:pPr>
      <w:r>
        <w:tab/>
        <w:t>(e)</w:t>
      </w:r>
      <w:r>
        <w:tab/>
        <w:t>land used or held exclusively as a public hospital, public or private school, public library, public museum or public art gallery or for a similar purpose;</w:t>
      </w:r>
    </w:p>
    <w:p w:rsidR="005435E9" w:rsidRDefault="005435E9">
      <w:pPr>
        <w:pStyle w:val="Indenta"/>
      </w:pPr>
      <w:r>
        <w:tab/>
        <w:t>(f)</w:t>
      </w:r>
      <w:r>
        <w:tab/>
        <w:t>land used or held exclusively for charitable purposes;</w:t>
      </w:r>
    </w:p>
    <w:p w:rsidR="005435E9" w:rsidRDefault="005435E9">
      <w:pPr>
        <w:pStyle w:val="Indenta"/>
      </w:pPr>
      <w:r>
        <w:tab/>
        <w:t>(g)</w:t>
      </w:r>
      <w:r>
        <w:tab/>
        <w:t xml:space="preserve">land vested in any of the following — </w:t>
      </w:r>
    </w:p>
    <w:p w:rsidR="005435E9" w:rsidRDefault="005435E9">
      <w:pPr>
        <w:pStyle w:val="Indenti"/>
      </w:pPr>
      <w:r>
        <w:tab/>
        <w:t>(i)</w:t>
      </w:r>
      <w:r>
        <w:tab/>
        <w:t xml:space="preserve">a board under the </w:t>
      </w:r>
      <w:r>
        <w:rPr>
          <w:i/>
        </w:rPr>
        <w:t>Parks and Reserves Act 1895</w:t>
      </w:r>
      <w:r>
        <w:t>;</w:t>
      </w:r>
    </w:p>
    <w:p w:rsidR="005435E9" w:rsidRDefault="005435E9">
      <w:pPr>
        <w:pStyle w:val="Indenti"/>
      </w:pPr>
      <w:r>
        <w:tab/>
        <w:t>(ii)</w:t>
      </w:r>
      <w:r>
        <w:tab/>
        <w:t xml:space="preserve">the Authority under the </w:t>
      </w:r>
      <w:r>
        <w:rPr>
          <w:i/>
        </w:rPr>
        <w:t>Botanic Gardens and Parks Authority Act 1998</w:t>
      </w:r>
      <w:r>
        <w:t>;</w:t>
      </w:r>
    </w:p>
    <w:p w:rsidR="005435E9" w:rsidRDefault="005435E9">
      <w:pPr>
        <w:pStyle w:val="Indenti"/>
      </w:pPr>
      <w:r>
        <w:tab/>
        <w:t>(iii)</w:t>
      </w:r>
      <w:r>
        <w:tab/>
        <w:t xml:space="preserve">the Authority under the </w:t>
      </w:r>
      <w:r>
        <w:rPr>
          <w:i/>
        </w:rPr>
        <w:t>Zoological Parks Authority Act 2001</w:t>
      </w:r>
      <w:r>
        <w:t>;</w:t>
      </w:r>
    </w:p>
    <w:p w:rsidR="005435E9" w:rsidRDefault="005435E9">
      <w:pPr>
        <w:pStyle w:val="Indenti"/>
      </w:pPr>
      <w:r>
        <w:lastRenderedPageBreak/>
        <w:tab/>
        <w:t>(iv)</w:t>
      </w:r>
      <w:r>
        <w:tab/>
        <w:t>the Royal Agricultural Society of Western Australia Inc.;</w:t>
      </w:r>
    </w:p>
    <w:p w:rsidR="005435E9" w:rsidRDefault="005435E9">
      <w:pPr>
        <w:pStyle w:val="Indenti"/>
      </w:pPr>
      <w:r>
        <w:tab/>
        <w:t>(v)</w:t>
      </w:r>
      <w:r>
        <w:tab/>
        <w:t xml:space="preserve">an agricultural society registered under the </w:t>
      </w:r>
      <w:r>
        <w:rPr>
          <w:i/>
        </w:rPr>
        <w:t>Royal Agricultural Society Act 1926</w:t>
      </w:r>
      <w:r>
        <w:t>;</w:t>
      </w:r>
    </w:p>
    <w:p w:rsidR="005435E9" w:rsidRDefault="005435E9">
      <w:pPr>
        <w:pStyle w:val="Indenta"/>
      </w:pPr>
      <w:r>
        <w:tab/>
        <w:t>(h)</w:t>
      </w:r>
      <w:r>
        <w:tab/>
        <w:t xml:space="preserve">land used, occupied or held exclusively for the purposes of a society, club, association or other body that — </w:t>
      </w:r>
    </w:p>
    <w:p w:rsidR="005435E9" w:rsidRDefault="005435E9">
      <w:pPr>
        <w:pStyle w:val="Indenti"/>
      </w:pPr>
      <w:r>
        <w:tab/>
        <w:t>(i)</w:t>
      </w:r>
      <w:r>
        <w:tab/>
        <w:t>conducts sporting, hobby or like activities as its sole or principal activities; and</w:t>
      </w:r>
    </w:p>
    <w:p w:rsidR="005435E9" w:rsidRDefault="005435E9">
      <w:pPr>
        <w:pStyle w:val="Indenti"/>
      </w:pPr>
      <w:r>
        <w:tab/>
        <w:t>(ii)</w:t>
      </w:r>
      <w:r>
        <w:tab/>
        <w:t>in the opinion of the Water Corporation, is not operated for the purpose of profit or gain to individual members, shareholders or owners; and</w:t>
      </w:r>
    </w:p>
    <w:p w:rsidR="005435E9" w:rsidRDefault="005435E9">
      <w:pPr>
        <w:pStyle w:val="Indenti"/>
      </w:pPr>
      <w:r>
        <w:tab/>
        <w:t>(iii)</w:t>
      </w:r>
      <w:r>
        <w:tab/>
        <w:t>is not listed in subregulation (2);</w:t>
      </w:r>
    </w:p>
    <w:p w:rsidR="005435E9" w:rsidRDefault="005435E9">
      <w:pPr>
        <w:pStyle w:val="Indenta"/>
      </w:pPr>
      <w:r>
        <w:tab/>
        <w:t>(i)</w:t>
      </w:r>
      <w:r>
        <w:tab/>
        <w:t>land used on occasion for horse or greyhound racing if the land is used principally by societies, clubs, associations and other bodies described in paragraph (h);</w:t>
      </w:r>
    </w:p>
    <w:p w:rsidR="005435E9" w:rsidRDefault="005435E9">
      <w:pPr>
        <w:pStyle w:val="Indenta"/>
        <w:keepNext/>
      </w:pPr>
      <w:r>
        <w:tab/>
        <w:t>(j)</w:t>
      </w:r>
      <w:r>
        <w:tab/>
        <w:t>land used, occupied or held exclusively for the purposes of a club or association listed in subregulation (2) if —</w:t>
      </w:r>
    </w:p>
    <w:p w:rsidR="005435E9" w:rsidRDefault="005435E9">
      <w:pPr>
        <w:pStyle w:val="Indenti"/>
      </w:pPr>
      <w:r>
        <w:tab/>
        <w:t>(i)</w:t>
      </w:r>
      <w:r>
        <w:tab/>
        <w:t>the land is used principally for horse or greyhound racing; and</w:t>
      </w:r>
    </w:p>
    <w:p w:rsidR="005435E9" w:rsidRDefault="005435E9">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rsidR="005435E9" w:rsidRDefault="005435E9">
      <w:pPr>
        <w:pStyle w:val="Indenta"/>
      </w:pPr>
      <w:r>
        <w:tab/>
        <w:t>(k)</w:t>
      </w:r>
      <w:r>
        <w:tab/>
        <w:t>land used or held as a cemetery;</w:t>
      </w:r>
    </w:p>
    <w:p w:rsidR="005435E9" w:rsidRDefault="005435E9">
      <w:pPr>
        <w:pStyle w:val="Indenta"/>
      </w:pPr>
      <w:r>
        <w:tab/>
        <w:t>(l)</w:t>
      </w:r>
      <w:r>
        <w:tab/>
        <w:t>land that the Water Corporation declares, under this paragraph, to be concessional land for the purposes of this Part.</w:t>
      </w:r>
    </w:p>
    <w:p w:rsidR="005435E9" w:rsidRDefault="005435E9">
      <w:pPr>
        <w:pStyle w:val="Subsection"/>
      </w:pPr>
      <w:r>
        <w:tab/>
        <w:t>(2)</w:t>
      </w:r>
      <w:r>
        <w:tab/>
        <w:t xml:space="preserve">For the purposes of subregulation (1)(h) and (j), the following bodies are listed — </w:t>
      </w:r>
    </w:p>
    <w:p w:rsidR="005435E9" w:rsidRDefault="005435E9">
      <w:pPr>
        <w:pStyle w:val="Indenta"/>
      </w:pPr>
      <w:r>
        <w:tab/>
        <w:t>(a)</w:t>
      </w:r>
      <w:r>
        <w:tab/>
        <w:t>The Western Australian Turf Club and any club or association formed for the conduct or promotion of galloping horse races in Western Australia;</w:t>
      </w:r>
    </w:p>
    <w:p w:rsidR="005435E9" w:rsidRDefault="005435E9">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rsidR="005435E9" w:rsidRDefault="005435E9">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rsidR="005435E9" w:rsidRDefault="005435E9">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rsidR="005435E9" w:rsidRDefault="005435E9">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rsidR="005435E9" w:rsidRDefault="005435E9">
      <w:pPr>
        <w:pStyle w:val="Heading3"/>
      </w:pPr>
      <w:bookmarkStart w:id="44" w:name="_Toc75266168"/>
      <w:bookmarkStart w:id="45" w:name="_Toc75269449"/>
      <w:bookmarkStart w:id="46" w:name="_Toc75350948"/>
      <w:bookmarkStart w:id="47" w:name="_Toc75519617"/>
      <w:r>
        <w:rPr>
          <w:rStyle w:val="CharDivNo"/>
        </w:rPr>
        <w:t>Division 2</w:t>
      </w:r>
      <w:r>
        <w:t> — </w:t>
      </w:r>
      <w:r>
        <w:rPr>
          <w:rStyle w:val="CharDivText"/>
        </w:rPr>
        <w:t>Provisions of general application</w:t>
      </w:r>
      <w:bookmarkEnd w:id="44"/>
      <w:bookmarkEnd w:id="45"/>
      <w:bookmarkEnd w:id="46"/>
      <w:bookmarkEnd w:id="47"/>
    </w:p>
    <w:p w:rsidR="005435E9" w:rsidRDefault="005435E9">
      <w:pPr>
        <w:pStyle w:val="Heading5"/>
      </w:pPr>
      <w:bookmarkStart w:id="48" w:name="_Toc75519618"/>
      <w:r>
        <w:rPr>
          <w:rStyle w:val="CharSectno"/>
        </w:rPr>
        <w:t>18</w:t>
      </w:r>
      <w:r>
        <w:t>.</w:t>
      </w:r>
      <w:r>
        <w:tab/>
        <w:t>Application of this Division</w:t>
      </w:r>
      <w:bookmarkEnd w:id="48"/>
    </w:p>
    <w:p w:rsidR="005435E9" w:rsidRDefault="005435E9">
      <w:pPr>
        <w:pStyle w:val="Subsection"/>
      </w:pPr>
      <w:r>
        <w:tab/>
      </w:r>
      <w:r>
        <w:tab/>
        <w:t>This Division applies to water service charges applicable under Divisions 3, 4, 5 and 6.</w:t>
      </w:r>
    </w:p>
    <w:p w:rsidR="005435E9" w:rsidRDefault="005435E9">
      <w:pPr>
        <w:pStyle w:val="Heading5"/>
      </w:pPr>
      <w:bookmarkStart w:id="49" w:name="_Toc75519619"/>
      <w:r>
        <w:rPr>
          <w:rStyle w:val="CharSectno"/>
        </w:rPr>
        <w:t>19</w:t>
      </w:r>
      <w:r>
        <w:t>.</w:t>
      </w:r>
      <w:r>
        <w:tab/>
        <w:t>Payment of charges</w:t>
      </w:r>
      <w:bookmarkEnd w:id="49"/>
    </w:p>
    <w:p w:rsidR="005435E9" w:rsidRDefault="005435E9">
      <w:pPr>
        <w:pStyle w:val="Subsection"/>
      </w:pPr>
      <w:r>
        <w:tab/>
        <w:t>(1)</w:t>
      </w:r>
      <w:r>
        <w:tab/>
        <w:t xml:space="preserve">In this regulation — </w:t>
      </w:r>
    </w:p>
    <w:p w:rsidR="005435E9" w:rsidRDefault="005435E9">
      <w:pPr>
        <w:pStyle w:val="Defstart"/>
      </w:pPr>
      <w:r>
        <w:tab/>
      </w:r>
      <w:r>
        <w:rPr>
          <w:rStyle w:val="CharDefText"/>
        </w:rPr>
        <w:t>trade waste charge</w:t>
      </w:r>
      <w:r>
        <w:t xml:space="preserve"> means a water service charge set out in Schedule 4 item 7, 8, 9 or 30 or Schedule 7 item 12, 13 or 14.</w:t>
      </w:r>
    </w:p>
    <w:p w:rsidR="005435E9" w:rsidRDefault="005435E9">
      <w:pPr>
        <w:pStyle w:val="Subsection"/>
      </w:pPr>
      <w:r>
        <w:tab/>
        <w:t>(2)</w:t>
      </w:r>
      <w:r>
        <w:tab/>
        <w:t>A water service charge, or a portion of a water service charge, that is payable is due for payment to the Water Corporation on the day specified in an invoice for the charge or the portion.</w:t>
      </w:r>
    </w:p>
    <w:p w:rsidR="005435E9" w:rsidRDefault="005435E9">
      <w:pPr>
        <w:pStyle w:val="Subsection"/>
      </w:pPr>
      <w:r>
        <w:lastRenderedPageBreak/>
        <w:tab/>
        <w:t>(3)</w:t>
      </w:r>
      <w:r>
        <w:tab/>
        <w:t xml:space="preserve">The day specified must be — </w:t>
      </w:r>
    </w:p>
    <w:p w:rsidR="005435E9" w:rsidRDefault="005435E9">
      <w:pPr>
        <w:pStyle w:val="Indenta"/>
      </w:pPr>
      <w:r>
        <w:tab/>
        <w:t>(a)</w:t>
      </w:r>
      <w:r>
        <w:tab/>
        <w:t>for a trade waste charge or a single capital infrastructure charge — at least 28 days after the day on which the invoice is issued; or</w:t>
      </w:r>
    </w:p>
    <w:p w:rsidR="005435E9" w:rsidRDefault="005435E9">
      <w:pPr>
        <w:pStyle w:val="Indenta"/>
      </w:pPr>
      <w:r>
        <w:tab/>
        <w:t>(b)</w:t>
      </w:r>
      <w:r>
        <w:tab/>
        <w:t>for all other charges — at least 14 days after the day on which the invoice is issued.</w:t>
      </w:r>
    </w:p>
    <w:p w:rsidR="005435E9" w:rsidRDefault="005435E9">
      <w:pPr>
        <w:pStyle w:val="Subsection"/>
      </w:pPr>
      <w:r>
        <w:tab/>
        <w:t>(4)</w:t>
      </w:r>
      <w:r>
        <w:tab/>
        <w:t>A water service charge, other than a quality/quantity charge, may be due for payment, in whole or in part, in advance, but not before the beginning of the year for which the charge applies.</w:t>
      </w:r>
    </w:p>
    <w:p w:rsidR="005435E9" w:rsidRDefault="005435E9">
      <w:pPr>
        <w:pStyle w:val="Subsection"/>
        <w:keepNext/>
      </w:pPr>
      <w:r>
        <w:tab/>
        <w:t>(5)</w:t>
      </w:r>
      <w:r>
        <w:tab/>
        <w:t xml:space="preserve">This regulation — </w:t>
      </w:r>
    </w:p>
    <w:p w:rsidR="005435E9" w:rsidRDefault="005435E9">
      <w:pPr>
        <w:pStyle w:val="Indenta"/>
      </w:pPr>
      <w:r>
        <w:tab/>
        <w:t>(a)</w:t>
      </w:r>
      <w:r>
        <w:tab/>
        <w:t>is subject to a special payment arrangement under regulation 21; and</w:t>
      </w:r>
    </w:p>
    <w:p w:rsidR="005435E9" w:rsidRDefault="005435E9">
      <w:pPr>
        <w:pStyle w:val="Indenta"/>
      </w:pPr>
      <w:r>
        <w:tab/>
        <w:t>(b)</w:t>
      </w:r>
      <w:r>
        <w:tab/>
        <w:t>does not apply to a charge set out in Schedule 7 other than in item 12, 13 or 14.</w:t>
      </w:r>
    </w:p>
    <w:p w:rsidR="005435E9" w:rsidRDefault="005435E9">
      <w:pPr>
        <w:pStyle w:val="Heading5"/>
      </w:pPr>
      <w:bookmarkStart w:id="50" w:name="_Toc75519620"/>
      <w:r>
        <w:rPr>
          <w:rStyle w:val="CharSectno"/>
        </w:rPr>
        <w:t>20</w:t>
      </w:r>
      <w:r>
        <w:t>.</w:t>
      </w:r>
      <w:r>
        <w:tab/>
        <w:t>Permitted surcharge for using credit card or debit card</w:t>
      </w:r>
      <w:bookmarkEnd w:id="50"/>
    </w:p>
    <w:p w:rsidR="005435E9" w:rsidRDefault="005435E9">
      <w:pPr>
        <w:pStyle w:val="Subsection"/>
      </w:pPr>
      <w:r>
        <w:tab/>
        <w:t>(1)</w:t>
      </w:r>
      <w:r>
        <w:tab/>
        <w:t xml:space="preserve">In this regulation — </w:t>
      </w:r>
    </w:p>
    <w:p w:rsidR="005435E9" w:rsidRDefault="005435E9">
      <w:pPr>
        <w:pStyle w:val="Defstart"/>
      </w:pPr>
      <w:r>
        <w:tab/>
      </w:r>
      <w:r>
        <w:rPr>
          <w:rStyle w:val="CharDefText"/>
        </w:rPr>
        <w:t>permitted surcharge</w:t>
      </w:r>
      <w:r>
        <w:t xml:space="preserve"> has the meaning given in RBA Standard No. 3 of 2016;</w:t>
      </w:r>
    </w:p>
    <w:p w:rsidR="005435E9" w:rsidRDefault="005435E9">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5435E9" w:rsidRDefault="005435E9">
      <w:pPr>
        <w:pStyle w:val="Subsection"/>
      </w:pPr>
      <w:r>
        <w:tab/>
        <w:t>(2)</w:t>
      </w:r>
      <w:r>
        <w:tab/>
        <w:t>An invoice for a statutory water service charge, or a portion of a statutory water service charge, may include a permitted surcharge for payments made using a credit card or debit card.</w:t>
      </w:r>
    </w:p>
    <w:p w:rsidR="005435E9" w:rsidRDefault="005435E9">
      <w:pPr>
        <w:pStyle w:val="Subsection"/>
      </w:pPr>
      <w:r>
        <w:tab/>
        <w:t>(3)</w:t>
      </w:r>
      <w:r>
        <w:tab/>
        <w:t>The permitted surcharge is payable if the amount in the invoice is paid, in whole or in part, using a credit card or debit card.</w:t>
      </w:r>
    </w:p>
    <w:p w:rsidR="005435E9" w:rsidRDefault="005435E9">
      <w:pPr>
        <w:pStyle w:val="Footnotesection"/>
      </w:pPr>
      <w:r>
        <w:tab/>
        <w:t>[Regulation 20 inserted: Gazette 22 Jun 2018 p. 2213.]</w:t>
      </w:r>
    </w:p>
    <w:p w:rsidR="005435E9" w:rsidRDefault="005435E9">
      <w:pPr>
        <w:pStyle w:val="Heading5"/>
      </w:pPr>
      <w:bookmarkStart w:id="51" w:name="_Toc75519621"/>
      <w:r>
        <w:rPr>
          <w:rStyle w:val="CharSectno"/>
        </w:rPr>
        <w:lastRenderedPageBreak/>
        <w:t>21</w:t>
      </w:r>
      <w:r>
        <w:t>.</w:t>
      </w:r>
      <w:r>
        <w:tab/>
        <w:t>Special payment arrangements</w:t>
      </w:r>
      <w:bookmarkEnd w:id="51"/>
    </w:p>
    <w:p w:rsidR="005435E9" w:rsidRDefault="005435E9">
      <w:pPr>
        <w:pStyle w:val="Subsection"/>
      </w:pPr>
      <w:r>
        <w:tab/>
        <w:t>(1)</w:t>
      </w:r>
      <w:r>
        <w:tab/>
        <w:t>This regulation does not apply to a single capital infrastructure charge.</w:t>
      </w:r>
    </w:p>
    <w:p w:rsidR="005435E9" w:rsidRDefault="005435E9">
      <w:pPr>
        <w:pStyle w:val="Subsection"/>
      </w:pPr>
      <w:r>
        <w:tab/>
        <w:t>(2)</w:t>
      </w:r>
      <w:r>
        <w:tab/>
        <w:t>The Water Corporation may enter into a special payment arrangement with a person for the payment of water service charges payable under this Part.</w:t>
      </w:r>
    </w:p>
    <w:p w:rsidR="005435E9" w:rsidRDefault="005435E9">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rsidR="005435E9" w:rsidRDefault="005435E9">
      <w:pPr>
        <w:pStyle w:val="Subsection"/>
      </w:pPr>
      <w:r>
        <w:tab/>
        <w:t>(4)</w:t>
      </w:r>
      <w:r>
        <w:tab/>
        <w:t xml:space="preserve">However — </w:t>
      </w:r>
    </w:p>
    <w:p w:rsidR="005435E9" w:rsidRDefault="005435E9">
      <w:pPr>
        <w:pStyle w:val="Indenta"/>
      </w:pPr>
      <w:r>
        <w:tab/>
        <w:t>(a)</w:t>
      </w:r>
      <w:r>
        <w:tab/>
        <w:t>the arrangement must provide for payment by regular instalments; and</w:t>
      </w:r>
    </w:p>
    <w:p w:rsidR="005435E9" w:rsidRDefault="005435E9">
      <w:pPr>
        <w:pStyle w:val="Indenta"/>
      </w:pPr>
      <w:r>
        <w:tab/>
        <w:t>(b)</w:t>
      </w:r>
      <w:r>
        <w:tab/>
        <w:t>if additional charges are payable under the arrangement — the amount of each additional charge cannot exceed $3.00; and</w:t>
      </w:r>
    </w:p>
    <w:p w:rsidR="005435E9" w:rsidRDefault="005435E9">
      <w:pPr>
        <w:pStyle w:val="Indenta"/>
      </w:pPr>
      <w:r>
        <w:tab/>
        <w:t>(c)</w:t>
      </w:r>
      <w:r>
        <w:tab/>
        <w:t>if interest is payable under the arrangement — the rate at which the interest is calculated cannot exceed the rate in regulation 29.</w:t>
      </w:r>
    </w:p>
    <w:p w:rsidR="005435E9" w:rsidRDefault="005435E9">
      <w:pPr>
        <w:pStyle w:val="Heading5"/>
      </w:pPr>
      <w:bookmarkStart w:id="52" w:name="_Toc75519622"/>
      <w:r>
        <w:rPr>
          <w:rStyle w:val="CharSectno"/>
        </w:rPr>
        <w:t>22</w:t>
      </w:r>
      <w:r>
        <w:t>.</w:t>
      </w:r>
      <w:r>
        <w:tab/>
        <w:t>Estimating quantity of water or wastewater supplied, discharged or drained</w:t>
      </w:r>
      <w:bookmarkEnd w:id="52"/>
    </w:p>
    <w:p w:rsidR="005435E9" w:rsidRDefault="005435E9">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rsidR="005435E9" w:rsidRDefault="005435E9">
      <w:pPr>
        <w:pStyle w:val="Indenta"/>
      </w:pPr>
      <w:r>
        <w:tab/>
        <w:t>(a)</w:t>
      </w:r>
      <w:r>
        <w:tab/>
        <w:t>the meter is not functioning properly;</w:t>
      </w:r>
    </w:p>
    <w:p w:rsidR="005435E9" w:rsidRDefault="005435E9">
      <w:pPr>
        <w:pStyle w:val="Indenta"/>
      </w:pPr>
      <w:r>
        <w:tab/>
        <w:t>(b)</w:t>
      </w:r>
      <w:r>
        <w:tab/>
        <w:t>the meter has been removed, for whatever reason;</w:t>
      </w:r>
    </w:p>
    <w:p w:rsidR="005435E9" w:rsidRDefault="005435E9">
      <w:pPr>
        <w:pStyle w:val="Indenta"/>
      </w:pPr>
      <w:r>
        <w:tab/>
        <w:t>(c)</w:t>
      </w:r>
      <w:r>
        <w:tab/>
        <w:t>the meter cannot be read because a physical obstruction, adverse weather or other unforeseen circumstance prevents access to the meter.</w:t>
      </w:r>
    </w:p>
    <w:p w:rsidR="005435E9" w:rsidRDefault="005435E9">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rsidR="005435E9" w:rsidRDefault="005435E9">
      <w:pPr>
        <w:pStyle w:val="Indenta"/>
      </w:pPr>
      <w:r>
        <w:tab/>
        <w:t>(a)</w:t>
      </w:r>
      <w:r>
        <w:tab/>
        <w:t>by adjusting the quantity registered by the meter to take account of an error found on testing the meter;</w:t>
      </w:r>
    </w:p>
    <w:p w:rsidR="005435E9" w:rsidRDefault="005435E9">
      <w:pPr>
        <w:pStyle w:val="Indenta"/>
      </w:pPr>
      <w:r>
        <w:tab/>
        <w:t>(b)</w:t>
      </w:r>
      <w:r>
        <w:tab/>
        <w:t>by deducting from the volume of water supplied to the land, or a particular part of the land, an allowance for the volume of water supplied that was not discharged;</w:t>
      </w:r>
    </w:p>
    <w:p w:rsidR="005435E9" w:rsidRDefault="005435E9">
      <w:pPr>
        <w:pStyle w:val="Indenta"/>
      </w:pPr>
      <w:r>
        <w:tab/>
        <w:t>(c)</w:t>
      </w:r>
      <w:r>
        <w:tab/>
        <w:t>in the case of water supplied for irrigation — by reference to the rate of flow and the period of supply;</w:t>
      </w:r>
    </w:p>
    <w:p w:rsidR="005435E9" w:rsidRDefault="005435E9">
      <w:pPr>
        <w:pStyle w:val="Indenta"/>
      </w:pPr>
      <w:r>
        <w:tab/>
        <w:t>(d)</w:t>
      </w:r>
      <w:r>
        <w:tab/>
        <w:t>by reference to historical data relating to the quantity of water supplied to the land;</w:t>
      </w:r>
    </w:p>
    <w:p w:rsidR="005435E9" w:rsidRDefault="005435E9">
      <w:pPr>
        <w:pStyle w:val="Indenta"/>
      </w:pPr>
      <w:r>
        <w:tab/>
        <w:t>(e)</w:t>
      </w:r>
      <w:r>
        <w:tab/>
        <w:t>by reference to historical data relating to the discharge of wastewater from the land;</w:t>
      </w:r>
    </w:p>
    <w:p w:rsidR="005435E9" w:rsidRDefault="005435E9">
      <w:pPr>
        <w:pStyle w:val="Indenta"/>
      </w:pPr>
      <w:r>
        <w:tab/>
        <w:t>(f)</w:t>
      </w:r>
      <w:r>
        <w:tab/>
        <w:t>by reference to typical quantities of water or wastewater supplied to, or discharged or drained from, land of that type.</w:t>
      </w:r>
    </w:p>
    <w:p w:rsidR="005435E9" w:rsidRDefault="005435E9">
      <w:pPr>
        <w:pStyle w:val="Subsection"/>
      </w:pPr>
      <w:r>
        <w:tab/>
        <w:t>(3)</w:t>
      </w:r>
      <w:r>
        <w:tab/>
        <w:t>Subregulations (1) and (2) also apply to a supply of water made other than in respect of land, to the extent to which they are relevant.</w:t>
      </w:r>
    </w:p>
    <w:p w:rsidR="005435E9" w:rsidRDefault="005435E9">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rsidR="005435E9" w:rsidRDefault="005435E9">
      <w:pPr>
        <w:pStyle w:val="Subsection"/>
      </w:pPr>
      <w:r>
        <w:tab/>
        <w:t>(5)</w:t>
      </w:r>
      <w:r>
        <w:tab/>
        <w:t>This regulation does not apply in relation to the calculation of water service charges for the discharge of trade waste.</w:t>
      </w:r>
    </w:p>
    <w:p w:rsidR="005435E9" w:rsidRDefault="005435E9">
      <w:pPr>
        <w:pStyle w:val="Heading5"/>
      </w:pPr>
      <w:bookmarkStart w:id="53" w:name="_Toc75519623"/>
      <w:r>
        <w:rPr>
          <w:rStyle w:val="CharSectno"/>
        </w:rPr>
        <w:lastRenderedPageBreak/>
        <w:t>23</w:t>
      </w:r>
      <w:r>
        <w:t>.</w:t>
      </w:r>
      <w:r>
        <w:tab/>
        <w:t>Determining quality and quantity of trade waste discharged</w:t>
      </w:r>
      <w:bookmarkEnd w:id="53"/>
    </w:p>
    <w:p w:rsidR="005435E9" w:rsidRDefault="005435E9" w:rsidP="00D727DC">
      <w:pPr>
        <w:pStyle w:val="Subsection"/>
        <w:keepNext/>
      </w:pPr>
      <w:r>
        <w:tab/>
        <w:t>(1)</w:t>
      </w:r>
      <w:r>
        <w:tab/>
        <w:t xml:space="preserve">In this regulation — </w:t>
      </w:r>
    </w:p>
    <w:p w:rsidR="005435E9" w:rsidRDefault="005435E9">
      <w:pPr>
        <w:pStyle w:val="Defstart"/>
      </w:pPr>
      <w:r>
        <w:tab/>
      </w:r>
      <w:r>
        <w:rPr>
          <w:rStyle w:val="CharDefText"/>
        </w:rPr>
        <w:t>approved meter</w:t>
      </w:r>
      <w:r>
        <w:t xml:space="preserve"> means a meter approved by the Water Corporation.</w:t>
      </w:r>
    </w:p>
    <w:p w:rsidR="005435E9" w:rsidRDefault="005435E9">
      <w:pPr>
        <w:pStyle w:val="Subsection"/>
      </w:pPr>
      <w:r>
        <w:tab/>
        <w:t>(2)</w:t>
      </w:r>
      <w:r>
        <w:tab/>
        <w:t>Subregulation (3) applies to the extent to which the quantity of trade waste discharged from land into a sewer of the Water Corporation is not accurately measured by an approved meter.</w:t>
      </w:r>
    </w:p>
    <w:p w:rsidR="005435E9" w:rsidRDefault="005435E9">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rsidR="005435E9" w:rsidRDefault="005435E9">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rsidR="005435E9" w:rsidRDefault="005435E9">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rsidR="005435E9" w:rsidRDefault="005435E9">
      <w:pPr>
        <w:pStyle w:val="Indenta"/>
      </w:pPr>
      <w:r>
        <w:tab/>
        <w:t>(c)</w:t>
      </w:r>
      <w:r>
        <w:tab/>
        <w:t>by reference to a waste discharge profile determined by the Water Corporation to be applicable to the type of trade, industry, business or calling from which the trade waste is discharged;</w:t>
      </w:r>
    </w:p>
    <w:p w:rsidR="005435E9" w:rsidRDefault="005435E9">
      <w:pPr>
        <w:pStyle w:val="Indenta"/>
      </w:pPr>
      <w:r>
        <w:tab/>
        <w:t>(d)</w:t>
      </w:r>
      <w:r>
        <w:tab/>
        <w:t>by reference to historical data relating to the discharge of wastewater or trade waste from the land;</w:t>
      </w:r>
    </w:p>
    <w:p w:rsidR="005435E9" w:rsidRDefault="005435E9">
      <w:pPr>
        <w:pStyle w:val="Indenta"/>
      </w:pPr>
      <w:r>
        <w:tab/>
        <w:t>(e)</w:t>
      </w:r>
      <w:r>
        <w:tab/>
        <w:t xml:space="preserve">by reference to information given to the Water Corporation in relation to — </w:t>
      </w:r>
    </w:p>
    <w:p w:rsidR="005435E9" w:rsidRDefault="005435E9">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rsidR="005435E9" w:rsidRDefault="005435E9">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5435E9" w:rsidRDefault="005435E9">
      <w:pPr>
        <w:pStyle w:val="Subsection"/>
      </w:pPr>
      <w:r>
        <w:tab/>
        <w:t>(4)</w:t>
      </w:r>
      <w:r>
        <w:tab/>
        <w:t>Subregulation (5) applies to the extent to which the quality of trade waste discharged from land into a sewer of the Water Corporation is not accurately measured.</w:t>
      </w:r>
    </w:p>
    <w:p w:rsidR="005435E9" w:rsidRDefault="005435E9">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rsidR="005435E9" w:rsidRDefault="005435E9">
      <w:pPr>
        <w:pStyle w:val="Indenta"/>
      </w:pPr>
      <w:r>
        <w:tab/>
        <w:t>(a)</w:t>
      </w:r>
      <w:r>
        <w:tab/>
        <w:t>by reference to a waste discharge profile determined by the Water Corporation to be applicable to the type of trade, industry, business or calling from which the trade waste is discharged;</w:t>
      </w:r>
    </w:p>
    <w:p w:rsidR="005435E9" w:rsidRDefault="005435E9">
      <w:pPr>
        <w:pStyle w:val="Indenta"/>
      </w:pPr>
      <w:r>
        <w:tab/>
        <w:t>(b)</w:t>
      </w:r>
      <w:r>
        <w:tab/>
        <w:t>by reference to historical data relating to the discharge of wastewater or trade waste from the land;</w:t>
      </w:r>
    </w:p>
    <w:p w:rsidR="005435E9" w:rsidRDefault="005435E9">
      <w:pPr>
        <w:pStyle w:val="Indenta"/>
      </w:pPr>
      <w:r>
        <w:tab/>
        <w:t>(c)</w:t>
      </w:r>
      <w:r>
        <w:tab/>
        <w:t xml:space="preserve">by reference to information given to the Water Corporation in relation to — </w:t>
      </w:r>
    </w:p>
    <w:p w:rsidR="005435E9" w:rsidRDefault="005435E9">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rsidR="005435E9" w:rsidRDefault="005435E9">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5435E9" w:rsidRDefault="005435E9">
      <w:pPr>
        <w:pStyle w:val="Heading5"/>
      </w:pPr>
      <w:bookmarkStart w:id="54" w:name="_Toc75519624"/>
      <w:r>
        <w:rPr>
          <w:rStyle w:val="CharSectno"/>
        </w:rPr>
        <w:lastRenderedPageBreak/>
        <w:t>24</w:t>
      </w:r>
      <w:r>
        <w:t>.</w:t>
      </w:r>
      <w:r>
        <w:tab/>
        <w:t>Vacant land: minimum charges before revaluation</w:t>
      </w:r>
      <w:bookmarkEnd w:id="54"/>
    </w:p>
    <w:p w:rsidR="005435E9" w:rsidRDefault="005435E9" w:rsidP="00D727DC">
      <w:pPr>
        <w:pStyle w:val="Subsection"/>
        <w:keepNext/>
      </w:pPr>
      <w:r>
        <w:tab/>
        <w:t>(1)</w:t>
      </w:r>
      <w:r>
        <w:tab/>
        <w:t xml:space="preserve">If — </w:t>
      </w:r>
    </w:p>
    <w:p w:rsidR="005435E9" w:rsidRDefault="005435E9" w:rsidP="00D727DC">
      <w:pPr>
        <w:pStyle w:val="Indenta"/>
        <w:keepNext/>
      </w:pPr>
      <w:r>
        <w:tab/>
        <w:t>(a)</w:t>
      </w:r>
      <w:r>
        <w:tab/>
        <w:t>land becomes vacant; and</w:t>
      </w:r>
    </w:p>
    <w:p w:rsidR="005435E9" w:rsidRDefault="005435E9">
      <w:pPr>
        <w:pStyle w:val="Indenta"/>
      </w:pPr>
      <w:r>
        <w:tab/>
        <w:t>(b)</w:t>
      </w:r>
      <w:r>
        <w:tab/>
        <w:t>the Water Corporation is satisfied that the land is intended for residential purposes; and</w:t>
      </w:r>
    </w:p>
    <w:p w:rsidR="005435E9" w:rsidRDefault="005435E9">
      <w:pPr>
        <w:pStyle w:val="Indenta"/>
      </w:pPr>
      <w:r>
        <w:tab/>
        <w:t>(c)</w:t>
      </w:r>
      <w:r>
        <w:tab/>
        <w:t>the area of land does not exceed 1 200 m</w:t>
      </w:r>
      <w:r>
        <w:rPr>
          <w:vertAlign w:val="superscript"/>
        </w:rPr>
        <w:t>2</w:t>
      </w:r>
      <w:r>
        <w:t>,</w:t>
      </w:r>
    </w:p>
    <w:p w:rsidR="005435E9" w:rsidRDefault="005435E9">
      <w:pPr>
        <w:pStyle w:val="Subsection"/>
      </w:pPr>
      <w:r>
        <w:tab/>
      </w:r>
      <w:r>
        <w:tab/>
        <w:t>the water service charges applicable under Divisions 3, 4 and 5 are, until the commencement of the next financial year, the minimum charges for vacant land.</w:t>
      </w:r>
    </w:p>
    <w:p w:rsidR="005435E9" w:rsidRDefault="005435E9">
      <w:pPr>
        <w:pStyle w:val="Subsection"/>
      </w:pPr>
      <w:r>
        <w:tab/>
        <w:t>(2)</w:t>
      </w:r>
      <w:r>
        <w:tab/>
        <w:t xml:space="preserve">The minimum charges for vacant land are — </w:t>
      </w:r>
    </w:p>
    <w:p w:rsidR="005435E9" w:rsidRDefault="005435E9">
      <w:pPr>
        <w:pStyle w:val="Indenta"/>
      </w:pPr>
      <w:r>
        <w:tab/>
        <w:t>(a)</w:t>
      </w:r>
      <w:r>
        <w:tab/>
        <w:t>for a water supply service — the charge set out in Schedule 3 item 14;</w:t>
      </w:r>
    </w:p>
    <w:p w:rsidR="005435E9" w:rsidRDefault="005435E9">
      <w:pPr>
        <w:pStyle w:val="Indenta"/>
      </w:pPr>
      <w:r>
        <w:tab/>
        <w:t>(b)</w:t>
      </w:r>
      <w:r>
        <w:tab/>
        <w:t>for a sewerage service — the applicable charge set out in Schedule 4 item 3 or 11(3)(b);</w:t>
      </w:r>
    </w:p>
    <w:p w:rsidR="005435E9" w:rsidRDefault="005435E9">
      <w:pPr>
        <w:pStyle w:val="Indenta"/>
      </w:pPr>
      <w:r>
        <w:tab/>
        <w:t>(c)</w:t>
      </w:r>
      <w:r>
        <w:tab/>
        <w:t>for a drainage service — the charge set out in Schedule 5 item 5.</w:t>
      </w:r>
    </w:p>
    <w:p w:rsidR="005435E9" w:rsidRDefault="005435E9">
      <w:pPr>
        <w:pStyle w:val="Heading5"/>
      </w:pPr>
      <w:bookmarkStart w:id="55" w:name="_Toc75519625"/>
      <w:r>
        <w:rPr>
          <w:rStyle w:val="CharSectno"/>
        </w:rPr>
        <w:t>25</w:t>
      </w:r>
      <w:r>
        <w:t>.</w:t>
      </w:r>
      <w:r>
        <w:tab/>
        <w:t>Classification of land</w:t>
      </w:r>
      <w:bookmarkEnd w:id="55"/>
    </w:p>
    <w:p w:rsidR="005435E9" w:rsidRDefault="005435E9">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rsidR="005435E9" w:rsidRDefault="005435E9">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rsidR="005435E9" w:rsidRDefault="005435E9">
      <w:pPr>
        <w:pStyle w:val="Subsection"/>
      </w:pPr>
      <w:r>
        <w:tab/>
        <w:t>(3)</w:t>
      </w:r>
      <w:r>
        <w:tab/>
        <w:t>This regulation does not apply in relation to the residential or non</w:t>
      </w:r>
      <w:r>
        <w:noBreakHyphen/>
        <w:t>residential class of a town or area as set out in Schedule 10 or 11.</w:t>
      </w:r>
    </w:p>
    <w:p w:rsidR="005435E9" w:rsidRDefault="005435E9">
      <w:pPr>
        <w:pStyle w:val="Heading5"/>
        <w:spacing w:before="240"/>
      </w:pPr>
      <w:bookmarkStart w:id="56" w:name="_Toc75519626"/>
      <w:r>
        <w:rPr>
          <w:rStyle w:val="CharSectno"/>
        </w:rPr>
        <w:lastRenderedPageBreak/>
        <w:t>26</w:t>
      </w:r>
      <w:r>
        <w:t>.</w:t>
      </w:r>
      <w:r>
        <w:tab/>
        <w:t>Classification of land: holiday accommodation</w:t>
      </w:r>
      <w:bookmarkEnd w:id="56"/>
    </w:p>
    <w:p w:rsidR="005435E9" w:rsidRDefault="005435E9">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rsidR="005435E9" w:rsidRDefault="005435E9">
      <w:pPr>
        <w:pStyle w:val="Indenta"/>
        <w:rPr>
          <w:snapToGrid w:val="0"/>
        </w:rPr>
      </w:pPr>
      <w:r>
        <w:rPr>
          <w:snapToGrid w:val="0"/>
        </w:rPr>
        <w:tab/>
        <w:t>(a)</w:t>
      </w:r>
      <w:r>
        <w:rPr>
          <w:snapToGrid w:val="0"/>
        </w:rPr>
        <w:tab/>
        <w:t>the ownership or occupation of the land changes; and</w:t>
      </w:r>
    </w:p>
    <w:p w:rsidR="005435E9" w:rsidRDefault="005435E9">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rsidR="005435E9" w:rsidRDefault="005435E9">
      <w:pPr>
        <w:pStyle w:val="Heading5"/>
        <w:spacing w:before="240"/>
      </w:pPr>
      <w:bookmarkStart w:id="57" w:name="_Toc75519627"/>
      <w:r>
        <w:rPr>
          <w:rStyle w:val="CharSectno"/>
        </w:rPr>
        <w:t>27</w:t>
      </w:r>
      <w:r>
        <w:t>.</w:t>
      </w:r>
      <w:r>
        <w:tab/>
        <w:t>Commercial caravan parks</w:t>
      </w:r>
      <w:bookmarkEnd w:id="57"/>
    </w:p>
    <w:p w:rsidR="005435E9" w:rsidRDefault="005435E9">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rsidR="005435E9" w:rsidRDefault="005435E9">
      <w:pPr>
        <w:pStyle w:val="Subsection"/>
      </w:pPr>
      <w:r>
        <w:tab/>
        <w:t>(2)</w:t>
      </w:r>
      <w:r>
        <w:tab/>
        <w:t>The operator of a commercial caravan park may nominate one or more caravan bays as long</w:t>
      </w:r>
      <w:r>
        <w:noBreakHyphen/>
        <w:t xml:space="preserve">term residential caravan bays, in which case — </w:t>
      </w:r>
    </w:p>
    <w:p w:rsidR="005435E9" w:rsidRDefault="005435E9">
      <w:pPr>
        <w:pStyle w:val="Indenta"/>
      </w:pPr>
      <w:r>
        <w:tab/>
        <w:t>(a)</w:t>
      </w:r>
      <w:r>
        <w:tab/>
        <w:t>the nominated caravan bays are long</w:t>
      </w:r>
      <w:r>
        <w:noBreakHyphen/>
        <w:t>term residential caravan bays for the purposes of Schedules 3 and 4; and</w:t>
      </w:r>
    </w:p>
    <w:p w:rsidR="005435E9" w:rsidRDefault="005435E9">
      <w:pPr>
        <w:pStyle w:val="Indenta"/>
      </w:pPr>
      <w:r>
        <w:tab/>
        <w:t>(b)</w:t>
      </w:r>
      <w:r>
        <w:tab/>
        <w:t xml:space="preserve">the water supply charges set out in Schedule 3 Division 1 apply to the caravan park as a whole, except that the amount payable is to be reduced by multiplying it by the following proportion — </w:t>
      </w:r>
    </w:p>
    <w:p w:rsidR="005435E9" w:rsidRDefault="005435E9">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5435E9" w:rsidRDefault="005435E9">
      <w:pPr>
        <w:pStyle w:val="Indenta"/>
      </w:pPr>
      <w:r>
        <w:tab/>
      </w:r>
      <w:r>
        <w:tab/>
        <w:t xml:space="preserve">where — </w:t>
      </w:r>
    </w:p>
    <w:p w:rsidR="005435E9" w:rsidRDefault="005435E9">
      <w:pPr>
        <w:pStyle w:val="MiscellaneousBody"/>
        <w:tabs>
          <w:tab w:val="left" w:pos="1616"/>
        </w:tabs>
        <w:ind w:left="2126" w:hanging="1559"/>
      </w:pPr>
      <w:r>
        <w:rPr>
          <w:b/>
        </w:rPr>
        <w:tab/>
      </w:r>
      <w:r>
        <w:t>N</w:t>
      </w:r>
      <w:r>
        <w:tab/>
        <w:t>is the number of long</w:t>
      </w:r>
      <w:r>
        <w:noBreakHyphen/>
        <w:t>term residential caravan bays in the caravan park;</w:t>
      </w:r>
    </w:p>
    <w:p w:rsidR="005435E9" w:rsidRDefault="005435E9">
      <w:pPr>
        <w:pStyle w:val="MiscellaneousBody"/>
        <w:tabs>
          <w:tab w:val="left" w:pos="1616"/>
        </w:tabs>
        <w:ind w:left="2126" w:hanging="1559"/>
      </w:pPr>
      <w:r>
        <w:rPr>
          <w:b/>
        </w:rPr>
        <w:tab/>
      </w:r>
      <w:r>
        <w:t>T</w:t>
      </w:r>
      <w:r>
        <w:tab/>
        <w:t>is the total number of caravan bays in the caravan park;</w:t>
      </w:r>
    </w:p>
    <w:p w:rsidR="005435E9" w:rsidRDefault="005435E9">
      <w:pPr>
        <w:pStyle w:val="Indenta"/>
      </w:pPr>
      <w:r>
        <w:tab/>
      </w:r>
      <w:r>
        <w:tab/>
        <w:t>and</w:t>
      </w:r>
    </w:p>
    <w:p w:rsidR="005435E9" w:rsidRDefault="005435E9">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rsidR="005435E9" w:rsidRDefault="005435E9">
      <w:pPr>
        <w:pStyle w:val="MiscellaneousBody"/>
        <w:tabs>
          <w:tab w:val="left" w:pos="1616"/>
        </w:tabs>
        <w:ind w:left="2126" w:hanging="1559"/>
      </w:pPr>
      <w:r>
        <w:rPr>
          <w:b/>
        </w:rPr>
        <w:tab/>
      </w:r>
      <w:r>
        <w:t>V</w:t>
      </w:r>
      <w:r>
        <w:tab/>
        <w:t>is 150 kL × the number of long</w:t>
      </w:r>
      <w:r>
        <w:noBreakHyphen/>
        <w:t>term residential caravan bays in the caravan park.</w:t>
      </w:r>
    </w:p>
    <w:p w:rsidR="005435E9" w:rsidRDefault="005435E9">
      <w:pPr>
        <w:pStyle w:val="PermNoteHeading"/>
      </w:pPr>
      <w:r>
        <w:tab/>
        <w:t>Note for this subregulation:</w:t>
      </w:r>
    </w:p>
    <w:p w:rsidR="005435E9" w:rsidRDefault="005435E9">
      <w:pPr>
        <w:pStyle w:val="PermNoteText"/>
      </w:pPr>
      <w:r>
        <w:tab/>
      </w:r>
      <w:r>
        <w:tab/>
        <w:t>See Schedule 4 items 15 and 22 for sewerage charges for caravan parks with long</w:t>
      </w:r>
      <w:r>
        <w:noBreakHyphen/>
        <w:t>term residential caravan bays.</w:t>
      </w:r>
    </w:p>
    <w:p w:rsidR="005435E9" w:rsidRDefault="005435E9">
      <w:pPr>
        <w:pStyle w:val="Subsection"/>
      </w:pPr>
      <w:r>
        <w:tab/>
        <w:t>(3)</w:t>
      </w:r>
      <w:r>
        <w:tab/>
        <w:t xml:space="preserve">In subregulation (2)(c) — </w:t>
      </w:r>
    </w:p>
    <w:p w:rsidR="005435E9" w:rsidRDefault="005435E9">
      <w:pPr>
        <w:pStyle w:val="Defstart"/>
      </w:pPr>
      <w:r>
        <w:tab/>
      </w:r>
      <w:r>
        <w:rPr>
          <w:rStyle w:val="CharDefText"/>
        </w:rPr>
        <w:t>residential rate</w:t>
      </w:r>
      <w:r>
        <w:t xml:space="preserve"> means the rate for the supply of up to 150 kL of water to a residential property according to the location of the caravan park.</w:t>
      </w:r>
    </w:p>
    <w:p w:rsidR="005435E9" w:rsidRDefault="005435E9">
      <w:pPr>
        <w:pStyle w:val="Subsection"/>
      </w:pPr>
      <w:r>
        <w:tab/>
        <w:t>(4)</w:t>
      </w:r>
      <w:r>
        <w:tab/>
        <w:t>Water service charges that apply because of subregulation (2)(a) are in addition to the water service charges that apply to the caravan park as a whole.</w:t>
      </w:r>
    </w:p>
    <w:p w:rsidR="005435E9" w:rsidRDefault="005435E9">
      <w:pPr>
        <w:pStyle w:val="Heading5"/>
      </w:pPr>
      <w:bookmarkStart w:id="58" w:name="_Toc75519628"/>
      <w:r>
        <w:rPr>
          <w:rStyle w:val="CharSectno"/>
        </w:rPr>
        <w:t>28</w:t>
      </w:r>
      <w:r>
        <w:t>.</w:t>
      </w:r>
      <w:r>
        <w:tab/>
        <w:t>Maximum increases for various GRV based charges</w:t>
      </w:r>
      <w:bookmarkEnd w:id="58"/>
    </w:p>
    <w:p w:rsidR="005435E9" w:rsidRDefault="005435E9">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rsidR="005435E9" w:rsidRDefault="005435E9">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rsidR="005435E9" w:rsidRDefault="005435E9">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rsidR="005435E9" w:rsidRDefault="005435E9">
      <w:pPr>
        <w:pStyle w:val="Indenta"/>
      </w:pPr>
      <w:r>
        <w:tab/>
        <w:t>(a)</w:t>
      </w:r>
      <w:r>
        <w:tab/>
        <w:t>the charge is to be calculated for the whole of the year on the basis of the new circumstances;</w:t>
      </w:r>
    </w:p>
    <w:p w:rsidR="005435E9" w:rsidRDefault="005435E9">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rsidR="005435E9" w:rsidRDefault="005435E9">
      <w:pPr>
        <w:pStyle w:val="Indenta"/>
      </w:pPr>
      <w:r>
        <w:tab/>
        <w:t>(c)</w:t>
      </w:r>
      <w:r>
        <w:tab/>
        <w:t>the charge calculated in accordance with paragraph (a) is to be limited in accordance with subregulation (1) or (2) (where relevant), using the notional charge estimated in accordance with paragraph (b);</w:t>
      </w:r>
    </w:p>
    <w:p w:rsidR="005435E9" w:rsidRDefault="005435E9">
      <w:pPr>
        <w:pStyle w:val="Indenta"/>
      </w:pPr>
      <w:r>
        <w:tab/>
        <w:t>(d)</w:t>
      </w:r>
      <w:r>
        <w:tab/>
        <w:t>the charge calculated in accordance with paragraph (a), as limited in accordance with paragraph (c) (where relevant), is to be reduced pro rata.</w:t>
      </w:r>
    </w:p>
    <w:p w:rsidR="005435E9" w:rsidRDefault="005435E9">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rsidR="005435E9" w:rsidRDefault="005435E9">
      <w:pPr>
        <w:pStyle w:val="Footnotesection"/>
      </w:pPr>
      <w:r>
        <w:tab/>
        <w:t>[Regulation 28 amended: Gazette 30 Jun 2015 p. 2364; 27 Jun 2016 p. 2538; 15 Sep 2017 p. 4796; 22 Jun 2018 p. 2213; 14 Jun 2019 p. 1930.]</w:t>
      </w:r>
    </w:p>
    <w:p w:rsidR="005435E9" w:rsidRDefault="005435E9">
      <w:pPr>
        <w:pStyle w:val="Heading5"/>
      </w:pPr>
      <w:bookmarkStart w:id="59" w:name="_Toc75519629"/>
      <w:r>
        <w:rPr>
          <w:rStyle w:val="CharSectno"/>
        </w:rPr>
        <w:t>28A</w:t>
      </w:r>
      <w:r>
        <w:t>.</w:t>
      </w:r>
      <w:r>
        <w:tab/>
        <w:t>Maximum increases for various GRV based charges in financial year commencing on 1 July 2020</w:t>
      </w:r>
      <w:bookmarkEnd w:id="59"/>
    </w:p>
    <w:p w:rsidR="005435E9" w:rsidRDefault="005435E9">
      <w:pPr>
        <w:pStyle w:val="Subsection"/>
      </w:pPr>
      <w:r>
        <w:tab/>
        <w:t>(1)</w:t>
      </w:r>
      <w:r>
        <w:tab/>
        <w:t>This regulation applies despite regulation 28.</w:t>
      </w:r>
    </w:p>
    <w:p w:rsidR="005435E9" w:rsidRDefault="005435E9">
      <w:pPr>
        <w:pStyle w:val="Subsection"/>
      </w:pPr>
      <w:r>
        <w:lastRenderedPageBreak/>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rsidR="005435E9" w:rsidRDefault="005435E9">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rsidR="005435E9" w:rsidRDefault="005435E9">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rsidR="005435E9" w:rsidRDefault="005435E9">
      <w:pPr>
        <w:pStyle w:val="Indenta"/>
      </w:pPr>
      <w:r>
        <w:tab/>
        <w:t>(a)</w:t>
      </w:r>
      <w:r>
        <w:tab/>
        <w:t>the charge is to be calculated for the whole of the year on the basis of the new circumstances;</w:t>
      </w:r>
    </w:p>
    <w:p w:rsidR="005435E9" w:rsidRDefault="005435E9">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rsidR="005435E9" w:rsidRDefault="005435E9">
      <w:pPr>
        <w:pStyle w:val="Indenta"/>
      </w:pPr>
      <w:r>
        <w:tab/>
        <w:t>(c)</w:t>
      </w:r>
      <w:r>
        <w:tab/>
        <w:t>the charge calculated in accordance with paragraph (a) is to be limited in accordance with subregulation (2) or (3) (where relevant), using the notional charge estimated in accordance with paragraph (b);</w:t>
      </w:r>
    </w:p>
    <w:p w:rsidR="005435E9" w:rsidRDefault="005435E9">
      <w:pPr>
        <w:pStyle w:val="Indenta"/>
      </w:pPr>
      <w:r>
        <w:tab/>
        <w:t>(d)</w:t>
      </w:r>
      <w:r>
        <w:tab/>
        <w:t>the charge calculated in accordance with paragraph (a), as limited in accordance with paragraph (c) (where relevant), is to be reduced pro rata.</w:t>
      </w:r>
    </w:p>
    <w:p w:rsidR="005435E9" w:rsidRDefault="005435E9">
      <w:pPr>
        <w:pStyle w:val="Subsection"/>
      </w:pPr>
      <w:r>
        <w:lastRenderedPageBreak/>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rsidR="005435E9" w:rsidRDefault="005435E9">
      <w:pPr>
        <w:pStyle w:val="Footnotesection"/>
      </w:pPr>
      <w:r>
        <w:tab/>
        <w:t>[Regulation 28A inserted: SL 2020/95 r. 6.]</w:t>
      </w:r>
    </w:p>
    <w:p w:rsidR="005435E9" w:rsidRDefault="005435E9">
      <w:pPr>
        <w:pStyle w:val="Heading5"/>
      </w:pPr>
      <w:bookmarkStart w:id="60" w:name="_Toc75519630"/>
      <w:r>
        <w:rPr>
          <w:rStyle w:val="CharSectno"/>
        </w:rPr>
        <w:t>29</w:t>
      </w:r>
      <w:r>
        <w:t>.</w:t>
      </w:r>
      <w:r>
        <w:tab/>
        <w:t>Interest accruing on overdue amounts</w:t>
      </w:r>
      <w:bookmarkEnd w:id="60"/>
    </w:p>
    <w:p w:rsidR="005435E9" w:rsidRDefault="005435E9">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rsidR="005435E9" w:rsidRDefault="005435E9">
      <w:pPr>
        <w:pStyle w:val="Footnotesection"/>
      </w:pPr>
      <w:r>
        <w:tab/>
        <w:t>[Regulation 29 amended: Gazette 27 Jun 2016 p. 2538; 13 Dec 2016 p. 5690.]</w:t>
      </w:r>
    </w:p>
    <w:p w:rsidR="005435E9" w:rsidRDefault="005435E9">
      <w:pPr>
        <w:pStyle w:val="Heading3"/>
      </w:pPr>
      <w:bookmarkStart w:id="61" w:name="_Toc75266182"/>
      <w:bookmarkStart w:id="62" w:name="_Toc75269463"/>
      <w:bookmarkStart w:id="63" w:name="_Toc75350962"/>
      <w:bookmarkStart w:id="64" w:name="_Toc75519631"/>
      <w:r>
        <w:rPr>
          <w:rStyle w:val="CharDivNo"/>
        </w:rPr>
        <w:t>Division 3</w:t>
      </w:r>
      <w:r>
        <w:t> — </w:t>
      </w:r>
      <w:r>
        <w:rPr>
          <w:rStyle w:val="CharDivText"/>
        </w:rPr>
        <w:t>Water supply charges</w:t>
      </w:r>
      <w:bookmarkEnd w:id="61"/>
      <w:bookmarkEnd w:id="62"/>
      <w:bookmarkEnd w:id="63"/>
      <w:bookmarkEnd w:id="64"/>
    </w:p>
    <w:p w:rsidR="005435E9" w:rsidRDefault="005435E9">
      <w:pPr>
        <w:pStyle w:val="Heading5"/>
      </w:pPr>
      <w:bookmarkStart w:id="65" w:name="_Toc75519632"/>
      <w:r>
        <w:rPr>
          <w:rStyle w:val="CharSectno"/>
        </w:rPr>
        <w:t>30</w:t>
      </w:r>
      <w:r>
        <w:t>.</w:t>
      </w:r>
      <w:r>
        <w:tab/>
        <w:t>Land connected to water supply works</w:t>
      </w:r>
      <w:bookmarkEnd w:id="65"/>
    </w:p>
    <w:p w:rsidR="005435E9" w:rsidRDefault="005435E9">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rsidR="005435E9" w:rsidRDefault="005435E9" w:rsidP="00D727DC">
      <w:pPr>
        <w:pStyle w:val="Heading5"/>
        <w:keepNext w:val="0"/>
      </w:pPr>
      <w:bookmarkStart w:id="66" w:name="_Toc75519633"/>
      <w:r>
        <w:rPr>
          <w:rStyle w:val="CharSectno"/>
        </w:rPr>
        <w:t>31</w:t>
      </w:r>
      <w:r>
        <w:t>.</w:t>
      </w:r>
      <w:r>
        <w:tab/>
        <w:t>Water supply charges</w:t>
      </w:r>
      <w:bookmarkEnd w:id="66"/>
    </w:p>
    <w:p w:rsidR="005435E9" w:rsidRDefault="005435E9" w:rsidP="00D727DC">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rsidR="005435E9" w:rsidRDefault="005435E9">
      <w:pPr>
        <w:pStyle w:val="Subsection"/>
      </w:pPr>
      <w:r>
        <w:lastRenderedPageBreak/>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rsidR="005435E9" w:rsidRDefault="005435E9">
      <w:pPr>
        <w:pStyle w:val="Subsection"/>
      </w:pPr>
      <w:r>
        <w:tab/>
        <w:t>(3)</w:t>
      </w:r>
      <w:r>
        <w:tab/>
        <w:t>A water service charge set out in Schedule 3 Division 1 Subdivision 3 or Division 2 Subdivision 3 applies, in accordance with the Schedule, in respect of the service described.</w:t>
      </w:r>
    </w:p>
    <w:p w:rsidR="005435E9" w:rsidRDefault="005435E9">
      <w:pPr>
        <w:pStyle w:val="Subsection"/>
      </w:pPr>
      <w:r>
        <w:tab/>
        <w:t>(4)</w:t>
      </w:r>
      <w:r>
        <w:tab/>
        <w:t xml:space="preserve">If the service referred to in subregulation (3) — </w:t>
      </w:r>
    </w:p>
    <w:p w:rsidR="005435E9" w:rsidRDefault="005435E9">
      <w:pPr>
        <w:pStyle w:val="Indenta"/>
      </w:pPr>
      <w:r>
        <w:tab/>
        <w:t>(a)</w:t>
      </w:r>
      <w:r>
        <w:tab/>
        <w:t>is provided in respect of land — the charge applies in respect of the land; or</w:t>
      </w:r>
    </w:p>
    <w:p w:rsidR="005435E9" w:rsidRDefault="005435E9">
      <w:pPr>
        <w:pStyle w:val="Indenta"/>
      </w:pPr>
      <w:r>
        <w:tab/>
        <w:t>(b)</w:t>
      </w:r>
      <w:r>
        <w:tab/>
        <w:t>is not provided in respect of land — the recipient of the service is liable for the charge.</w:t>
      </w:r>
    </w:p>
    <w:p w:rsidR="005435E9" w:rsidRDefault="005435E9">
      <w:pPr>
        <w:pStyle w:val="Subsection"/>
        <w:keepNext/>
      </w:pPr>
      <w:r>
        <w:tab/>
        <w:t>(5)</w:t>
      </w:r>
      <w:r>
        <w:tab/>
        <w:t xml:space="preserve">A water supply charge is not payable if land in respect of which it applies — </w:t>
      </w:r>
    </w:p>
    <w:p w:rsidR="005435E9" w:rsidRDefault="005435E9">
      <w:pPr>
        <w:pStyle w:val="Indenta"/>
      </w:pPr>
      <w:r>
        <w:tab/>
        <w:t>(a)</w:t>
      </w:r>
      <w:r>
        <w:tab/>
        <w:t>is not connected to water supply works of the Water Corporation; and</w:t>
      </w:r>
    </w:p>
    <w:p w:rsidR="005435E9" w:rsidRDefault="005435E9">
      <w:pPr>
        <w:pStyle w:val="Indenta"/>
      </w:pPr>
      <w:r>
        <w:tab/>
        <w:t>(b)</w:t>
      </w:r>
      <w:r>
        <w:tab/>
        <w:t xml:space="preserve">is either — </w:t>
      </w:r>
    </w:p>
    <w:p w:rsidR="005435E9" w:rsidRDefault="005435E9">
      <w:pPr>
        <w:pStyle w:val="Indenti"/>
      </w:pPr>
      <w:r>
        <w:tab/>
        <w:t>(i)</w:t>
      </w:r>
      <w:r>
        <w:tab/>
        <w:t>concessional land; or</w:t>
      </w:r>
    </w:p>
    <w:p w:rsidR="005435E9" w:rsidRDefault="005435E9">
      <w:pPr>
        <w:pStyle w:val="Indenti"/>
      </w:pPr>
      <w:r>
        <w:tab/>
        <w:t>(ii)</w:t>
      </w:r>
      <w:r>
        <w:tab/>
        <w:t>land that is not classified capital infrastructure but is reasonably capable of being supplied by the Water Corporation with water from works provided in relation to land that is so classified.</w:t>
      </w:r>
    </w:p>
    <w:p w:rsidR="005435E9" w:rsidRDefault="005435E9">
      <w:pPr>
        <w:pStyle w:val="Heading5"/>
        <w:spacing w:before="180"/>
      </w:pPr>
      <w:bookmarkStart w:id="67" w:name="_Toc75519634"/>
      <w:r>
        <w:rPr>
          <w:rStyle w:val="CharSectno"/>
        </w:rPr>
        <w:t>32</w:t>
      </w:r>
      <w:r>
        <w:t>.</w:t>
      </w:r>
      <w:r>
        <w:tab/>
        <w:t>Classification of land</w:t>
      </w:r>
      <w:bookmarkEnd w:id="67"/>
    </w:p>
    <w:p w:rsidR="005435E9" w:rsidRDefault="005435E9">
      <w:pPr>
        <w:pStyle w:val="Subsection"/>
      </w:pPr>
      <w:r>
        <w:tab/>
        <w:t>(1)</w:t>
      </w:r>
      <w:r>
        <w:tab/>
        <w:t xml:space="preserve">For the purposes of this Division, land may be classified by the Water Corporation as follows — </w:t>
      </w:r>
    </w:p>
    <w:p w:rsidR="005435E9" w:rsidRDefault="005435E9">
      <w:pPr>
        <w:pStyle w:val="Indenta"/>
      </w:pPr>
      <w:r>
        <w:tab/>
        <w:t>(a)</w:t>
      </w:r>
      <w:r>
        <w:tab/>
        <w:t xml:space="preserve">residential — if the Water Corporation is satisfied that the land — </w:t>
      </w:r>
    </w:p>
    <w:p w:rsidR="005435E9" w:rsidRDefault="005435E9">
      <w:pPr>
        <w:pStyle w:val="Indenti"/>
      </w:pPr>
      <w:r>
        <w:lastRenderedPageBreak/>
        <w:tab/>
        <w:t>(i)</w:t>
      </w:r>
      <w:r>
        <w:tab/>
        <w:t>is used, or is capable of being used, wholly or primarily for the purpose of providing residential accommodation to the owner or occupier of the land; and</w:t>
      </w:r>
    </w:p>
    <w:p w:rsidR="005435E9" w:rsidRDefault="005435E9">
      <w:pPr>
        <w:pStyle w:val="Indenti"/>
      </w:pPr>
      <w:r>
        <w:tab/>
        <w:t>(ii)</w:t>
      </w:r>
      <w:r>
        <w:tab/>
        <w:t>is not used in whole or in part for the purpose of providing holiday accommodation;</w:t>
      </w:r>
    </w:p>
    <w:p w:rsidR="005435E9" w:rsidRDefault="005435E9">
      <w:pPr>
        <w:pStyle w:val="Indenta"/>
      </w:pPr>
      <w:r>
        <w:tab/>
        <w:t>(b)</w:t>
      </w:r>
      <w:r>
        <w:tab/>
        <w:t xml:space="preserve">commercial residential — if the Water Corporation is satisfied that — </w:t>
      </w:r>
    </w:p>
    <w:p w:rsidR="005435E9" w:rsidRDefault="005435E9">
      <w:pPr>
        <w:pStyle w:val="Indenti"/>
      </w:pPr>
      <w:r>
        <w:tab/>
        <w:t>(i)</w:t>
      </w:r>
      <w:r>
        <w:tab/>
        <w:t>the land is used as described in paragraph (a); and</w:t>
      </w:r>
    </w:p>
    <w:p w:rsidR="005435E9" w:rsidRDefault="005435E9">
      <w:pPr>
        <w:pStyle w:val="Indenti"/>
        <w:spacing w:before="60"/>
      </w:pPr>
      <w:r>
        <w:tab/>
        <w:t>(ii)</w:t>
      </w:r>
      <w:r>
        <w:tab/>
        <w:t>the land is also used for the purpose of a shop, workshop, office, bakery, surgery or another similar business purpose;</w:t>
      </w:r>
    </w:p>
    <w:p w:rsidR="005435E9" w:rsidRDefault="005435E9">
      <w:pPr>
        <w:pStyle w:val="Indenta"/>
      </w:pPr>
      <w:r>
        <w:tab/>
        <w:t>(c)</w:t>
      </w:r>
      <w:r>
        <w:tab/>
        <w:t>semi</w:t>
      </w:r>
      <w:r>
        <w:noBreakHyphen/>
        <w:t xml:space="preserve">rural residential — if the land is in the metropolitan area and the Water Corporation is satisfied that — </w:t>
      </w:r>
    </w:p>
    <w:p w:rsidR="005435E9" w:rsidRDefault="005435E9">
      <w:pPr>
        <w:pStyle w:val="Indenti"/>
      </w:pPr>
      <w:r>
        <w:tab/>
        <w:t>(i)</w:t>
      </w:r>
      <w:r>
        <w:tab/>
        <w:t>the land is used as described in paragraph (a); and</w:t>
      </w:r>
    </w:p>
    <w:p w:rsidR="005435E9" w:rsidRDefault="005435E9">
      <w:pPr>
        <w:pStyle w:val="Indenti"/>
      </w:pPr>
      <w:r>
        <w:tab/>
        <w:t>(ii)</w:t>
      </w:r>
      <w:r>
        <w:tab/>
        <w:t>the land is also used for the purpose of primary production, which includes use for the purpose of a farm, market garden, kennel, plant nursery, orchard, stable, vineyard or another similar purpose; and</w:t>
      </w:r>
    </w:p>
    <w:p w:rsidR="005435E9" w:rsidRDefault="005435E9">
      <w:pPr>
        <w:pStyle w:val="Indenti"/>
      </w:pPr>
      <w:r>
        <w:tab/>
        <w:t>(iii)</w:t>
      </w:r>
      <w:r>
        <w:tab/>
        <w:t>water supplied to the land by the Water Corporation is used wholly or primarily for the purposes of the use referred to in subparagraph (i);</w:t>
      </w:r>
    </w:p>
    <w:p w:rsidR="005435E9" w:rsidRDefault="005435E9">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rsidR="005435E9" w:rsidRDefault="005435E9" w:rsidP="00D727DC">
      <w:pPr>
        <w:pStyle w:val="Indenta"/>
        <w:keepNext/>
      </w:pPr>
      <w:r>
        <w:lastRenderedPageBreak/>
        <w:tab/>
        <w:t>(e)</w:t>
      </w:r>
      <w:r>
        <w:tab/>
        <w:t>farmland — if the Water Corporation is satisfied that the land is farmland and supplies water to the land;</w:t>
      </w:r>
    </w:p>
    <w:p w:rsidR="005435E9" w:rsidRDefault="005435E9">
      <w:pPr>
        <w:pStyle w:val="Indenta"/>
      </w:pPr>
      <w:r>
        <w:tab/>
        <w:t>(f)</w:t>
      </w:r>
      <w:r>
        <w:tab/>
        <w:t>mining — if the land is in the non</w:t>
      </w:r>
      <w:r>
        <w:noBreakHyphen/>
        <w:t>metropolitan area and the Water Corporation is satisfied that it is used for the purposes of mining;</w:t>
      </w:r>
    </w:p>
    <w:p w:rsidR="005435E9" w:rsidRDefault="005435E9">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rsidR="005435E9" w:rsidRDefault="005435E9">
      <w:pPr>
        <w:pStyle w:val="Indenta"/>
        <w:keepNext/>
      </w:pPr>
      <w:r>
        <w:tab/>
        <w:t>(h)</w:t>
      </w:r>
      <w:r>
        <w:tab/>
        <w:t>charitable purposes — if the Water Corporation is satisfied that the land is used for charitable purposes;</w:t>
      </w:r>
    </w:p>
    <w:p w:rsidR="005435E9" w:rsidRDefault="005435E9">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rsidR="005435E9" w:rsidRDefault="005435E9">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rsidR="005435E9" w:rsidRDefault="005435E9">
      <w:pPr>
        <w:pStyle w:val="Indenta"/>
      </w:pPr>
      <w:r>
        <w:tab/>
        <w:t>(k)</w:t>
      </w:r>
      <w:r>
        <w:tab/>
        <w:t>aged home — if the land is in the metropolitan area and the Water Corporation is satisfied that it is used as an aged home;</w:t>
      </w:r>
    </w:p>
    <w:p w:rsidR="005435E9" w:rsidRDefault="005435E9">
      <w:pPr>
        <w:pStyle w:val="Indenta"/>
      </w:pPr>
      <w:r>
        <w:tab/>
        <w:t>(l)</w:t>
      </w:r>
      <w:r>
        <w:tab/>
        <w:t xml:space="preserve">vacant land — if the Water Corporation is satisfied that — </w:t>
      </w:r>
    </w:p>
    <w:p w:rsidR="005435E9" w:rsidRDefault="005435E9">
      <w:pPr>
        <w:pStyle w:val="Indenti"/>
      </w:pPr>
      <w:r>
        <w:tab/>
        <w:t>(i)</w:t>
      </w:r>
      <w:r>
        <w:tab/>
        <w:t>there is no building on the land; or</w:t>
      </w:r>
    </w:p>
    <w:p w:rsidR="005435E9" w:rsidRDefault="005435E9">
      <w:pPr>
        <w:pStyle w:val="Indenti"/>
      </w:pPr>
      <w:r>
        <w:tab/>
        <w:t>(ii)</w:t>
      </w:r>
      <w:r>
        <w:tab/>
        <w:t>if there is, the building is not fit for its intended purpose and there is no other appropriate classification for the land under this regulation.</w:t>
      </w:r>
    </w:p>
    <w:p w:rsidR="005435E9" w:rsidRDefault="005435E9">
      <w:pPr>
        <w:pStyle w:val="Subsection"/>
      </w:pPr>
      <w:r>
        <w:tab/>
        <w:t>(2)</w:t>
      </w:r>
      <w:r>
        <w:tab/>
        <w:t>Subject to subregulations (3), (4) and (5), if land can be given more than one classification under subregulation (1), the more specific classification applies to the land to the exclusion of any other.</w:t>
      </w:r>
    </w:p>
    <w:p w:rsidR="005435E9" w:rsidRDefault="005435E9">
      <w:pPr>
        <w:pStyle w:val="Subsection"/>
      </w:pPr>
      <w:r>
        <w:lastRenderedPageBreak/>
        <w:tab/>
        <w:t>(3)</w:t>
      </w:r>
      <w:r>
        <w:tab/>
        <w:t>If land satisfies the criteria set out in subregulation (1)(a) and (h), the Water Corporation may classify the land as residential for the purposes of Schedule 3 Division 2.</w:t>
      </w:r>
    </w:p>
    <w:p w:rsidR="005435E9" w:rsidRDefault="005435E9">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rsidR="005435E9" w:rsidRDefault="005435E9">
      <w:pPr>
        <w:pStyle w:val="Indenta"/>
      </w:pPr>
      <w:r>
        <w:tab/>
        <w:t>(a)</w:t>
      </w:r>
      <w:r>
        <w:tab/>
        <w:t>the land is in the locality of Nilgen; and</w:t>
      </w:r>
    </w:p>
    <w:p w:rsidR="005435E9" w:rsidRDefault="005435E9">
      <w:pPr>
        <w:pStyle w:val="Indenta"/>
      </w:pPr>
      <w:r>
        <w:tab/>
        <w:t>(b)</w:t>
      </w:r>
      <w:r>
        <w:tab/>
        <w:t>the Water Corporation provides or is to provide water service works to supply water to the land.</w:t>
      </w:r>
    </w:p>
    <w:p w:rsidR="005435E9" w:rsidRDefault="005435E9">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rsidR="005435E9" w:rsidRDefault="005435E9">
      <w:pPr>
        <w:pStyle w:val="Footnotesection"/>
      </w:pPr>
      <w:r>
        <w:tab/>
        <w:t>[Regulation 32 amended: Gazette 14 Jun 2019 p. 1930.]</w:t>
      </w:r>
    </w:p>
    <w:p w:rsidR="005435E9" w:rsidRDefault="005435E9">
      <w:pPr>
        <w:pStyle w:val="Heading5"/>
        <w:keepLines w:val="0"/>
        <w:widowControl w:val="0"/>
      </w:pPr>
      <w:bookmarkStart w:id="68" w:name="_Toc75519635"/>
      <w:r>
        <w:rPr>
          <w:rStyle w:val="CharSectno"/>
        </w:rPr>
        <w:t>33</w:t>
      </w:r>
      <w:r>
        <w:t>.</w:t>
      </w:r>
      <w:r>
        <w:tab/>
        <w:t>Change of occupancy during year</w:t>
      </w:r>
      <w:bookmarkEnd w:id="68"/>
    </w:p>
    <w:p w:rsidR="005435E9" w:rsidRDefault="005435E9">
      <w:pPr>
        <w:pStyle w:val="Subsection"/>
        <w:keepNext/>
      </w:pPr>
      <w:r>
        <w:tab/>
        <w:t>(1)</w:t>
      </w:r>
      <w:r>
        <w:tab/>
        <w:t xml:space="preserve">If — </w:t>
      </w:r>
    </w:p>
    <w:p w:rsidR="005435E9" w:rsidRDefault="005435E9">
      <w:pPr>
        <w:pStyle w:val="Indenta"/>
      </w:pPr>
      <w:r>
        <w:tab/>
        <w:t>(a)</w:t>
      </w:r>
      <w:r>
        <w:tab/>
        <w:t>there is a change in the occupation of a land to which a water service charge set out in Schedule 3 item 26 or 30 applies; and</w:t>
      </w:r>
    </w:p>
    <w:p w:rsidR="005435E9" w:rsidRDefault="005435E9">
      <w:pPr>
        <w:pStyle w:val="Indenta"/>
      </w:pPr>
      <w:r>
        <w:tab/>
        <w:t>(b)</w:t>
      </w:r>
      <w:r>
        <w:tab/>
        <w:t>within 10 days before or after the change in occupation the new occupier obtains a special meter reading from the Water Corporation,</w:t>
      </w:r>
    </w:p>
    <w:p w:rsidR="005435E9" w:rsidRDefault="005435E9" w:rsidP="00D727DC">
      <w:pPr>
        <w:pStyle w:val="Subsection"/>
        <w:keepNext/>
      </w:pPr>
      <w:r>
        <w:tab/>
      </w:r>
      <w:r>
        <w:tab/>
        <w:t xml:space="preserve">the charge payable for the supply of water to the land from the day on which the meter was read until the end of the current consumption year is worked out as if the volumetric ranges in </w:t>
      </w:r>
      <w:r>
        <w:lastRenderedPageBreak/>
        <w:t xml:space="preserve">the item were reduced by multiplying each boundary volume for the first 2 volumetric ranges by the following fraction — </w:t>
      </w:r>
    </w:p>
    <w:p w:rsidR="005435E9" w:rsidRDefault="005435E9" w:rsidP="00D727DC">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5435E9" w:rsidRDefault="005435E9">
      <w:pPr>
        <w:pStyle w:val="Subsection"/>
      </w:pPr>
      <w:r>
        <w:tab/>
      </w:r>
      <w:r>
        <w:tab/>
        <w:t xml:space="preserve">where — </w:t>
      </w:r>
    </w:p>
    <w:p w:rsidR="005435E9" w:rsidRDefault="005435E9">
      <w:pPr>
        <w:pStyle w:val="MiscellaneousBody"/>
        <w:tabs>
          <w:tab w:val="left" w:pos="1134"/>
        </w:tabs>
        <w:ind w:left="1560" w:hanging="1560"/>
      </w:pPr>
      <w:r>
        <w:rPr>
          <w:b/>
        </w:rPr>
        <w:tab/>
      </w:r>
      <w:r>
        <w:t>N</w:t>
      </w:r>
      <w:r>
        <w:tab/>
        <w:t>is the number of whole or part months before the end of the current consumption year.</w:t>
      </w:r>
    </w:p>
    <w:p w:rsidR="005435E9" w:rsidRDefault="005435E9">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rsidR="005435E9" w:rsidRDefault="005435E9">
      <w:pPr>
        <w:pStyle w:val="Footnotesection"/>
      </w:pPr>
      <w:r>
        <w:tab/>
        <w:t>[Regulation 33 amended: Gazette 27 Jun 2016 p. 2539.]</w:t>
      </w:r>
    </w:p>
    <w:p w:rsidR="005435E9" w:rsidRDefault="005435E9">
      <w:pPr>
        <w:pStyle w:val="Heading5"/>
        <w:keepNext w:val="0"/>
        <w:keepLines w:val="0"/>
        <w:spacing w:before="160"/>
      </w:pPr>
      <w:bookmarkStart w:id="69" w:name="_Toc75519636"/>
      <w:r>
        <w:rPr>
          <w:rStyle w:val="CharSectno"/>
        </w:rPr>
        <w:t>34</w:t>
      </w:r>
      <w:r>
        <w:t>.</w:t>
      </w:r>
      <w:r>
        <w:tab/>
        <w:t>Concessions: consumption charges</w:t>
      </w:r>
      <w:bookmarkEnd w:id="69"/>
    </w:p>
    <w:p w:rsidR="005435E9" w:rsidRDefault="005435E9">
      <w:pPr>
        <w:pStyle w:val="Subsection"/>
      </w:pPr>
      <w:r>
        <w:tab/>
        <w:t>(1)</w:t>
      </w:r>
      <w:r>
        <w:tab/>
        <w:t xml:space="preserve">A person who is liable to pay a water supply charge set out in Schedule 3 item 25, 29 or 31 for water supplied to land in a charge period is entitled to a discount of 50% of the charge if — </w:t>
      </w:r>
    </w:p>
    <w:p w:rsidR="005435E9" w:rsidRDefault="005435E9">
      <w:pPr>
        <w:pStyle w:val="Indenta"/>
        <w:rPr>
          <w:snapToGrid w:val="0"/>
        </w:rPr>
      </w:pPr>
      <w:r>
        <w:rPr>
          <w:snapToGrid w:val="0"/>
        </w:rPr>
        <w:tab/>
        <w:t>(a)</w:t>
      </w:r>
      <w:r>
        <w:rPr>
          <w:snapToGrid w:val="0"/>
        </w:rPr>
        <w:tab/>
        <w:t>the person satisfies the Water Corporation that he or she was an eligible pensioner at any time during the charge period; and</w:t>
      </w:r>
    </w:p>
    <w:p w:rsidR="005435E9" w:rsidRDefault="005435E9">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rsidR="005435E9" w:rsidRDefault="005435E9">
      <w:pPr>
        <w:pStyle w:val="Indenta"/>
        <w:rPr>
          <w:snapToGrid w:val="0"/>
        </w:rPr>
      </w:pPr>
      <w:r>
        <w:tab/>
        <w:t>(c)</w:t>
      </w:r>
      <w:r>
        <w:tab/>
        <w:t>no water supply charges set out in Schedule 3 Division 2 for which the person was liable are in arrears</w:t>
      </w:r>
      <w:r>
        <w:rPr>
          <w:snapToGrid w:val="0"/>
        </w:rPr>
        <w:t>; and</w:t>
      </w:r>
    </w:p>
    <w:p w:rsidR="005435E9" w:rsidRDefault="005435E9">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rsidR="005435E9" w:rsidRDefault="005435E9">
      <w:pPr>
        <w:pStyle w:val="Subsection"/>
      </w:pPr>
      <w:r>
        <w:tab/>
        <w:t>(2)</w:t>
      </w:r>
      <w:r>
        <w:tab/>
        <w:t xml:space="preserve">However, if the person commences or ceases to occupy the land during the charge period — </w:t>
      </w:r>
    </w:p>
    <w:p w:rsidR="005435E9" w:rsidRDefault="005435E9">
      <w:pPr>
        <w:pStyle w:val="Indenta"/>
      </w:pPr>
      <w:r>
        <w:tab/>
        <w:t>(a)</w:t>
      </w:r>
      <w:r>
        <w:tab/>
        <w:t xml:space="preserve">subregulation (1)(b) does not apply to any part of the period before the person commenced to occupy the land, </w:t>
      </w:r>
      <w:r>
        <w:lastRenderedPageBreak/>
        <w:t>or after the person ceased to occupy the land, whichever is relevant; and</w:t>
      </w:r>
    </w:p>
    <w:p w:rsidR="005435E9" w:rsidRDefault="005435E9">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rsidR="005435E9" w:rsidRDefault="005435E9">
      <w:pPr>
        <w:pStyle w:val="Subsection"/>
      </w:pPr>
      <w:r>
        <w:tab/>
        <w:t>(3)</w:t>
      </w:r>
      <w:r>
        <w:tab/>
        <w:t xml:space="preserve">Despite subregulation (1), the discount for charges payable for water supplied to land during the current consumption year cannot exceed 50% of the charge — </w:t>
      </w:r>
    </w:p>
    <w:p w:rsidR="005435E9" w:rsidRDefault="005435E9">
      <w:pPr>
        <w:pStyle w:val="Indenta"/>
      </w:pPr>
      <w:r>
        <w:tab/>
        <w:t>(a)</w:t>
      </w:r>
      <w:r>
        <w:tab/>
        <w:t>for land in the metropolitan area — for the first 150 kL of water supplied to the land in the consumption year;</w:t>
      </w:r>
    </w:p>
    <w:p w:rsidR="005435E9" w:rsidRDefault="005435E9">
      <w:pPr>
        <w:pStyle w:val="Indenta"/>
      </w:pPr>
      <w:r>
        <w:tab/>
        <w:t>(b)</w:t>
      </w:r>
      <w:r>
        <w:tab/>
        <w:t>for land in the town of Cue, Laverton, Leonora, Meekatharra, Menzies, Mount Magnet, Mullewa, Sandstone, Wiluna or Yalgoo — for the first 600 kL of water supplied to the land in the consumption year;</w:t>
      </w:r>
    </w:p>
    <w:p w:rsidR="005435E9" w:rsidRDefault="005435E9">
      <w:pPr>
        <w:pStyle w:val="Indenta"/>
      </w:pPr>
      <w:r>
        <w:tab/>
        <w:t>(c)</w:t>
      </w:r>
      <w:r>
        <w:tab/>
        <w:t>for land south of 26° South Latitude, other than land covered by paragraph (a) or (b) — for the first 400 kL of water supplied to the land in the consumption year;</w:t>
      </w:r>
    </w:p>
    <w:p w:rsidR="005435E9" w:rsidRDefault="005435E9">
      <w:pPr>
        <w:pStyle w:val="Indenta"/>
      </w:pPr>
      <w:r>
        <w:tab/>
        <w:t>(d)</w:t>
      </w:r>
      <w:r>
        <w:tab/>
        <w:t>for land north of 26° South Latitude — for the first 600 kL of water supplied to the land in the consumption year.</w:t>
      </w:r>
    </w:p>
    <w:p w:rsidR="005435E9" w:rsidRDefault="005435E9">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rsidR="005435E9" w:rsidRDefault="005435E9">
      <w:pPr>
        <w:pStyle w:val="Subsection"/>
      </w:pPr>
      <w:r>
        <w:tab/>
        <w:t>(5)</w:t>
      </w:r>
      <w:r>
        <w:tab/>
        <w:t>This regulation does not apply to a person entitled to a rebate under regulation 35.</w:t>
      </w:r>
    </w:p>
    <w:p w:rsidR="005435E9" w:rsidRDefault="005435E9">
      <w:pPr>
        <w:pStyle w:val="Footnotesection"/>
      </w:pPr>
      <w:r>
        <w:tab/>
        <w:t>[Regulation 34 amended: SL 2020/95 r. 7.]</w:t>
      </w:r>
    </w:p>
    <w:p w:rsidR="005435E9" w:rsidRDefault="005435E9">
      <w:pPr>
        <w:pStyle w:val="Heading5"/>
        <w:spacing w:before="180"/>
      </w:pPr>
      <w:bookmarkStart w:id="70" w:name="_Toc75519637"/>
      <w:r>
        <w:rPr>
          <w:rStyle w:val="CharSectno"/>
        </w:rPr>
        <w:lastRenderedPageBreak/>
        <w:t>35</w:t>
      </w:r>
      <w:r>
        <w:t>.</w:t>
      </w:r>
      <w:r>
        <w:tab/>
        <w:t>Concessions: certain occupiers of multi</w:t>
      </w:r>
      <w:r>
        <w:noBreakHyphen/>
        <w:t>unit developments</w:t>
      </w:r>
      <w:bookmarkEnd w:id="70"/>
    </w:p>
    <w:p w:rsidR="005435E9" w:rsidRDefault="005435E9" w:rsidP="00D727DC">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rsidR="005435E9" w:rsidRDefault="005435E9">
      <w:pPr>
        <w:pStyle w:val="Indenta"/>
      </w:pPr>
      <w:r>
        <w:tab/>
        <w:t>(a)</w:t>
      </w:r>
      <w:r>
        <w:tab/>
        <w:t xml:space="preserve">the person is — </w:t>
      </w:r>
    </w:p>
    <w:p w:rsidR="005435E9" w:rsidRDefault="005435E9">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rsidR="005435E9" w:rsidRDefault="005435E9">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rsidR="005435E9" w:rsidRDefault="005435E9">
      <w:pPr>
        <w:pStyle w:val="Indenta"/>
      </w:pPr>
      <w:r>
        <w:tab/>
      </w:r>
      <w:r>
        <w:tab/>
        <w:t>and</w:t>
      </w:r>
    </w:p>
    <w:p w:rsidR="005435E9" w:rsidRDefault="005435E9">
      <w:pPr>
        <w:pStyle w:val="Indenta"/>
      </w:pPr>
      <w:r>
        <w:tab/>
        <w:t>(b)</w:t>
      </w:r>
      <w:r>
        <w:tab/>
        <w:t>in respect of the water supply to the multi</w:t>
      </w:r>
      <w:r>
        <w:noBreakHyphen/>
        <w:t>unit development, the units are not individually metered; and</w:t>
      </w:r>
    </w:p>
    <w:p w:rsidR="005435E9" w:rsidRDefault="005435E9">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rsidR="005435E9" w:rsidRDefault="005435E9">
      <w:pPr>
        <w:pStyle w:val="Subsection"/>
        <w:rPr>
          <w:snapToGrid w:val="0"/>
        </w:rPr>
      </w:pPr>
      <w:r>
        <w:tab/>
        <w:t>(2)</w:t>
      </w:r>
      <w:r>
        <w:tab/>
        <w:t xml:space="preserve">The rebate is 50% of the charge for the average unit consumption for </w:t>
      </w:r>
      <w:r>
        <w:rPr>
          <w:snapToGrid w:val="0"/>
        </w:rPr>
        <w:t>the charge period.</w:t>
      </w:r>
    </w:p>
    <w:p w:rsidR="005435E9" w:rsidRDefault="005435E9">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rsidR="005435E9" w:rsidRDefault="005435E9">
      <w:pPr>
        <w:pStyle w:val="Indenta"/>
      </w:pPr>
      <w:r>
        <w:tab/>
        <w:t>(a)</w:t>
      </w:r>
      <w:r>
        <w:tab/>
        <w:t>for a unit in the metropolitan area — for the first 150 kL of water supplied to the multi</w:t>
      </w:r>
      <w:r>
        <w:noBreakHyphen/>
        <w:t>unit development in the consumption year;</w:t>
      </w:r>
    </w:p>
    <w:p w:rsidR="005435E9" w:rsidRDefault="005435E9">
      <w:pPr>
        <w:pStyle w:val="Indenta"/>
      </w:pPr>
      <w:r>
        <w:tab/>
        <w:t>(b)</w:t>
      </w:r>
      <w:r>
        <w:tab/>
        <w:t xml:space="preserve">for a unit in the town of Cue, Laverton, Leonora, Meekatharra, Menzies, Mount Magnet, Mullewa, Sandstone, Wiluna or Yalgoo — for the first 600 kL of </w:t>
      </w:r>
      <w:r>
        <w:lastRenderedPageBreak/>
        <w:t>water supplied to the multi</w:t>
      </w:r>
      <w:r>
        <w:noBreakHyphen/>
        <w:t>unit development in the consumption year;</w:t>
      </w:r>
    </w:p>
    <w:p w:rsidR="005435E9" w:rsidRDefault="005435E9">
      <w:pPr>
        <w:pStyle w:val="Indenta"/>
      </w:pPr>
      <w:r>
        <w:tab/>
        <w:t>(c)</w:t>
      </w:r>
      <w:r>
        <w:tab/>
        <w:t>for a unit south of 26° South Latitude, other than land covered by paragraph (a) or (b) — for the first 400 kL of water supplied to the multi</w:t>
      </w:r>
      <w:r>
        <w:noBreakHyphen/>
        <w:t>unit development in the consumption year;</w:t>
      </w:r>
    </w:p>
    <w:p w:rsidR="005435E9" w:rsidRDefault="005435E9">
      <w:pPr>
        <w:pStyle w:val="Indenta"/>
      </w:pPr>
      <w:r>
        <w:tab/>
        <w:t>(d)</w:t>
      </w:r>
      <w:r>
        <w:tab/>
        <w:t>for a unit north of 26° South Latitude — for the first 600 kL of water supplied to the multi</w:t>
      </w:r>
      <w:r>
        <w:noBreakHyphen/>
        <w:t>unit development in the consumption year.</w:t>
      </w:r>
    </w:p>
    <w:p w:rsidR="005435E9" w:rsidRDefault="005435E9">
      <w:pPr>
        <w:pStyle w:val="Subsection"/>
      </w:pPr>
      <w:r>
        <w:tab/>
        <w:t>(4)</w:t>
      </w:r>
      <w:r>
        <w:tab/>
        <w:t>In subregulation (1), a reference to a multi</w:t>
      </w:r>
      <w:r>
        <w:noBreakHyphen/>
        <w:t>unit residential development includes a reference to a caravan park.</w:t>
      </w:r>
    </w:p>
    <w:p w:rsidR="005435E9" w:rsidRDefault="005435E9">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rsidR="005435E9" w:rsidRDefault="005435E9">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rsidR="005435E9" w:rsidRDefault="005435E9">
      <w:pPr>
        <w:pStyle w:val="Subsection"/>
      </w:pPr>
      <w:r>
        <w:tab/>
        <w:t>(7)</w:t>
      </w:r>
      <w:r>
        <w:tab/>
        <w:t xml:space="preserve">A rebate must be — </w:t>
      </w:r>
    </w:p>
    <w:p w:rsidR="005435E9" w:rsidRDefault="005435E9">
      <w:pPr>
        <w:pStyle w:val="Indenta"/>
      </w:pPr>
      <w:r>
        <w:tab/>
        <w:t>(a)</w:t>
      </w:r>
      <w:r>
        <w:tab/>
        <w:t>paid to the person entitled to it; or</w:t>
      </w:r>
    </w:p>
    <w:p w:rsidR="005435E9" w:rsidRDefault="005435E9">
      <w:pPr>
        <w:pStyle w:val="Indenta"/>
      </w:pPr>
      <w:r>
        <w:tab/>
        <w:t>(b)</w:t>
      </w:r>
      <w:r>
        <w:tab/>
        <w:t>credited against any other liability the person may have to pay water service charges to the Water Corporation.</w:t>
      </w:r>
    </w:p>
    <w:p w:rsidR="005435E9" w:rsidRDefault="005435E9">
      <w:pPr>
        <w:pStyle w:val="Subsection"/>
      </w:pPr>
      <w:r>
        <w:tab/>
        <w:t>(8)</w:t>
      </w:r>
      <w:r>
        <w:tab/>
        <w:t xml:space="preserve">A person registered with the Water Corporation for the purposes of this regulation must, within 21 days, advise the Water Corporation in writing of the person — </w:t>
      </w:r>
    </w:p>
    <w:p w:rsidR="005435E9" w:rsidRDefault="005435E9">
      <w:pPr>
        <w:pStyle w:val="Indenta"/>
      </w:pPr>
      <w:r>
        <w:tab/>
        <w:t>(a)</w:t>
      </w:r>
      <w:r>
        <w:tab/>
        <w:t>ceasing to be an eligible pensioner; or</w:t>
      </w:r>
    </w:p>
    <w:p w:rsidR="005435E9" w:rsidRDefault="005435E9">
      <w:pPr>
        <w:pStyle w:val="Indenta"/>
      </w:pPr>
      <w:r>
        <w:tab/>
        <w:t>(b)</w:t>
      </w:r>
      <w:r>
        <w:tab/>
        <w:t>ceasing to occupy the unit the subject of the registration with the Water Corporation.</w:t>
      </w:r>
    </w:p>
    <w:p w:rsidR="005435E9" w:rsidRDefault="005435E9">
      <w:pPr>
        <w:pStyle w:val="Heading5"/>
      </w:pPr>
      <w:bookmarkStart w:id="71" w:name="_Toc75519638"/>
      <w:r>
        <w:rPr>
          <w:rStyle w:val="CharSectno"/>
        </w:rPr>
        <w:lastRenderedPageBreak/>
        <w:t>36</w:t>
      </w:r>
      <w:r>
        <w:t>.</w:t>
      </w:r>
      <w:r>
        <w:tab/>
        <w:t>Concessions: certain retirement village residents</w:t>
      </w:r>
      <w:bookmarkEnd w:id="71"/>
    </w:p>
    <w:p w:rsidR="005435E9" w:rsidRDefault="005435E9" w:rsidP="00D727DC">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rsidR="005435E9" w:rsidRDefault="005435E9">
      <w:pPr>
        <w:pStyle w:val="Indenta"/>
      </w:pPr>
      <w:r>
        <w:tab/>
        <w:t>(a)</w:t>
      </w:r>
      <w:r>
        <w:tab/>
        <w:t>25% of the charge; and</w:t>
      </w:r>
    </w:p>
    <w:p w:rsidR="005435E9" w:rsidRDefault="005435E9">
      <w:pPr>
        <w:pStyle w:val="Indenta"/>
      </w:pPr>
      <w:r>
        <w:tab/>
        <w:t>(b)</w:t>
      </w:r>
      <w:r>
        <w:tab/>
        <w:t>$18.14.</w:t>
      </w:r>
    </w:p>
    <w:p w:rsidR="005435E9" w:rsidRDefault="005435E9">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5435E9" w:rsidRDefault="005435E9">
      <w:pPr>
        <w:pStyle w:val="Footnotesection"/>
      </w:pPr>
      <w:r>
        <w:tab/>
        <w:t>[Regulation 36 amended: Gazette 30 Jun 2015 p. 2364; 27 Jun 2016 p. 2539; 23 Jun 2017 p. 3324.]</w:t>
      </w:r>
    </w:p>
    <w:p w:rsidR="005435E9" w:rsidRDefault="005435E9">
      <w:pPr>
        <w:pStyle w:val="Heading5"/>
      </w:pPr>
      <w:bookmarkStart w:id="72" w:name="_Toc75519639"/>
      <w:r>
        <w:rPr>
          <w:rStyle w:val="CharSectno"/>
        </w:rPr>
        <w:t>36A</w:t>
      </w:r>
      <w:r>
        <w:t>.</w:t>
      </w:r>
      <w:r>
        <w:tab/>
        <w:t>Water supplied through commercial standpipes within areas over which a water deficiency declaration applies</w:t>
      </w:r>
      <w:bookmarkEnd w:id="72"/>
    </w:p>
    <w:p w:rsidR="005435E9" w:rsidRDefault="005435E9">
      <w:pPr>
        <w:pStyle w:val="Subsection"/>
      </w:pPr>
      <w:r>
        <w:tab/>
        <w:t>(1)</w:t>
      </w:r>
      <w:r>
        <w:tab/>
        <w:t xml:space="preserve">In this regulation — </w:t>
      </w:r>
    </w:p>
    <w:p w:rsidR="005435E9" w:rsidRDefault="005435E9">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rsidR="005435E9" w:rsidRDefault="005435E9">
      <w:pPr>
        <w:pStyle w:val="Defpara"/>
      </w:pPr>
      <w:r>
        <w:tab/>
        <w:t>(a)</w:t>
      </w:r>
      <w:r>
        <w:tab/>
        <w:t>of a meter size greater than 25 mm; and</w:t>
      </w:r>
    </w:p>
    <w:p w:rsidR="005435E9" w:rsidRDefault="005435E9">
      <w:pPr>
        <w:pStyle w:val="Defpara"/>
        <w:rPr>
          <w:sz w:val="20"/>
        </w:rPr>
      </w:pPr>
      <w:r>
        <w:tab/>
        <w:t>(b)</w:t>
      </w:r>
      <w:r>
        <w:tab/>
        <w:t>available for public use;</w:t>
      </w:r>
    </w:p>
    <w:p w:rsidR="005435E9" w:rsidRDefault="005435E9">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rsidR="005435E9" w:rsidRDefault="005435E9" w:rsidP="00FA1C7C">
      <w:pPr>
        <w:pStyle w:val="Subsection"/>
        <w:keepNext/>
      </w:pPr>
      <w:r>
        <w:lastRenderedPageBreak/>
        <w:tab/>
        <w:t>(2)</w:t>
      </w:r>
      <w:r>
        <w:tab/>
        <w:t xml:space="preserve">If water is supplied to a person through a commercial standpipe that is located within an area specified or described in a water deficiency declaration — </w:t>
      </w:r>
    </w:p>
    <w:p w:rsidR="005435E9" w:rsidRDefault="005435E9">
      <w:pPr>
        <w:pStyle w:val="Indenta"/>
      </w:pPr>
      <w:r>
        <w:tab/>
        <w:t>(a)</w:t>
      </w:r>
      <w:r>
        <w:tab/>
        <w:t>if the person is liable to pay a service charge pursuant to Schedule 3 item 11(1) — the person is liable to pay a service charge under Schedule 3 item 20 instead; and</w:t>
      </w:r>
    </w:p>
    <w:p w:rsidR="005435E9" w:rsidRDefault="005435E9">
      <w:pPr>
        <w:pStyle w:val="Indenta"/>
      </w:pPr>
      <w:r>
        <w:tab/>
        <w:t>(b)</w:t>
      </w:r>
      <w:r>
        <w:tab/>
        <w:t>if the person is liable to pay a consumption charge pursuant to Schedule 3 item 30(1)(d) — the person is liable to pay a consumption charge under Schedule 3 item 37 instead.</w:t>
      </w:r>
    </w:p>
    <w:p w:rsidR="005435E9" w:rsidRDefault="005435E9">
      <w:pPr>
        <w:pStyle w:val="Subsection"/>
      </w:pPr>
      <w:r>
        <w:tab/>
        <w:t>(3)</w:t>
      </w:r>
      <w:r>
        <w:tab/>
        <w:t>Subregulation (2) ceases to apply if the Minister notifies the Water Corporation that the water deficiency declaration is revoked.</w:t>
      </w:r>
    </w:p>
    <w:p w:rsidR="005435E9" w:rsidRDefault="005435E9">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rsidR="005435E9" w:rsidRDefault="005435E9">
      <w:pPr>
        <w:pStyle w:val="Footnotesection"/>
      </w:pPr>
      <w:r>
        <w:tab/>
        <w:t>[Regulation 36A inserted: SL 2020/95 r. 8.]</w:t>
      </w:r>
    </w:p>
    <w:p w:rsidR="005435E9" w:rsidRDefault="005435E9">
      <w:pPr>
        <w:pStyle w:val="Heading3"/>
        <w:keepNext w:val="0"/>
        <w:widowControl w:val="0"/>
      </w:pPr>
      <w:bookmarkStart w:id="73" w:name="_Toc75266191"/>
      <w:bookmarkStart w:id="74" w:name="_Toc75269472"/>
      <w:bookmarkStart w:id="75" w:name="_Toc75350971"/>
      <w:bookmarkStart w:id="76" w:name="_Toc75519640"/>
      <w:r>
        <w:rPr>
          <w:rStyle w:val="CharDivNo"/>
        </w:rPr>
        <w:t>Division 4</w:t>
      </w:r>
      <w:r>
        <w:t> — </w:t>
      </w:r>
      <w:r>
        <w:rPr>
          <w:rStyle w:val="CharDivText"/>
        </w:rPr>
        <w:t>Sewerage charges</w:t>
      </w:r>
      <w:bookmarkEnd w:id="73"/>
      <w:bookmarkEnd w:id="74"/>
      <w:bookmarkEnd w:id="75"/>
      <w:bookmarkEnd w:id="76"/>
    </w:p>
    <w:p w:rsidR="005435E9" w:rsidRDefault="005435E9">
      <w:pPr>
        <w:pStyle w:val="Heading5"/>
      </w:pPr>
      <w:bookmarkStart w:id="77" w:name="_Toc75519641"/>
      <w:r>
        <w:rPr>
          <w:rStyle w:val="CharSectno"/>
        </w:rPr>
        <w:t>37</w:t>
      </w:r>
      <w:r>
        <w:t>.</w:t>
      </w:r>
      <w:r>
        <w:tab/>
        <w:t>Land connected to sewerage works</w:t>
      </w:r>
      <w:bookmarkEnd w:id="77"/>
    </w:p>
    <w:p w:rsidR="005435E9" w:rsidRDefault="005435E9">
      <w:pPr>
        <w:pStyle w:val="Subsection"/>
      </w:pPr>
      <w:r>
        <w:tab/>
      </w:r>
      <w:r>
        <w:tab/>
        <w:t>In this Division, a reference to land connected to sewerage works of the Water Corporation is a reference to land on which there is a wastewater inlet that is connected to sewerage works of the Water Corporation.</w:t>
      </w:r>
    </w:p>
    <w:p w:rsidR="005435E9" w:rsidRDefault="005435E9">
      <w:pPr>
        <w:pStyle w:val="Heading5"/>
      </w:pPr>
      <w:bookmarkStart w:id="78" w:name="_Toc75519642"/>
      <w:r>
        <w:rPr>
          <w:rStyle w:val="CharSectno"/>
        </w:rPr>
        <w:t>38</w:t>
      </w:r>
      <w:r>
        <w:t>.</w:t>
      </w:r>
      <w:r>
        <w:tab/>
        <w:t>Sewerage areas</w:t>
      </w:r>
      <w:bookmarkEnd w:id="78"/>
    </w:p>
    <w:p w:rsidR="005435E9" w:rsidRDefault="005435E9">
      <w:pPr>
        <w:pStyle w:val="Subsection"/>
      </w:pPr>
      <w:r>
        <w:tab/>
        <w:t>(1)</w:t>
      </w:r>
      <w:r>
        <w:tab/>
        <w:t>The Water Corporation may designate an area as a sewerage area.</w:t>
      </w:r>
    </w:p>
    <w:p w:rsidR="005435E9" w:rsidRDefault="005435E9">
      <w:pPr>
        <w:pStyle w:val="Subsection"/>
      </w:pPr>
      <w:r>
        <w:tab/>
        <w:t>(2)</w:t>
      </w:r>
      <w:r>
        <w:tab/>
        <w:t>An area cannot be designated as a sewerage area unless it is within the operating area of the Water Corporation’s licence for sewerage services.</w:t>
      </w:r>
    </w:p>
    <w:p w:rsidR="005435E9" w:rsidRDefault="005435E9">
      <w:pPr>
        <w:pStyle w:val="Subsection"/>
      </w:pPr>
      <w:r>
        <w:lastRenderedPageBreak/>
        <w:tab/>
        <w:t>(3)</w:t>
      </w:r>
      <w:r>
        <w:tab/>
        <w:t>The Water Corporation may amend or revoke a designation.</w:t>
      </w:r>
    </w:p>
    <w:p w:rsidR="005435E9" w:rsidRDefault="005435E9">
      <w:pPr>
        <w:pStyle w:val="Subsection"/>
      </w:pPr>
      <w:r>
        <w:tab/>
        <w:t>(4)</w:t>
      </w:r>
      <w:r>
        <w:tab/>
        <w:t>The Water Corporation must publish, and keep up</w:t>
      </w:r>
      <w:r>
        <w:noBreakHyphen/>
        <w:t>to</w:t>
      </w:r>
      <w:r>
        <w:noBreakHyphen/>
        <w:t>date, each designation on a website of the Water Corporation.</w:t>
      </w:r>
    </w:p>
    <w:p w:rsidR="005435E9" w:rsidRDefault="005435E9">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rsidR="005435E9" w:rsidRDefault="005435E9">
      <w:pPr>
        <w:pStyle w:val="Subsection"/>
      </w:pPr>
      <w:r>
        <w:tab/>
        <w:t>(6)</w:t>
      </w:r>
      <w:r>
        <w:tab/>
        <w:t>Subregulation (4) does not apply in relation to a sewerage area taken to have been designated as a sewerage area under subregulation (5) until 1 July 2015.</w:t>
      </w:r>
    </w:p>
    <w:p w:rsidR="005435E9" w:rsidRDefault="005435E9">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rsidR="005435E9" w:rsidRDefault="005435E9">
      <w:pPr>
        <w:pStyle w:val="Heading5"/>
        <w:spacing w:before="180"/>
      </w:pPr>
      <w:bookmarkStart w:id="79" w:name="_Toc75519643"/>
      <w:r>
        <w:rPr>
          <w:rStyle w:val="CharSectno"/>
        </w:rPr>
        <w:t>39</w:t>
      </w:r>
      <w:r>
        <w:t>.</w:t>
      </w:r>
      <w:r>
        <w:tab/>
        <w:t>Sewerage charges</w:t>
      </w:r>
      <w:bookmarkEnd w:id="79"/>
    </w:p>
    <w:p w:rsidR="005435E9" w:rsidRDefault="005435E9">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rsidR="005435E9" w:rsidRDefault="005435E9">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rsidR="005435E9" w:rsidRDefault="005435E9">
      <w:pPr>
        <w:pStyle w:val="Subsection"/>
      </w:pPr>
      <w:r>
        <w:tab/>
        <w:t>(3)</w:t>
      </w:r>
      <w:r>
        <w:tab/>
        <w:t xml:space="preserve">A water service charge set out in Schedule 4 Division 3 applies, in accordance with the Schedule, in respect of the discharge </w:t>
      </w:r>
      <w:r>
        <w:lastRenderedPageBreak/>
        <w:t>described and the holder of the approval under which the discharge takes place is liable for the charge.</w:t>
      </w:r>
    </w:p>
    <w:p w:rsidR="005435E9" w:rsidRDefault="005435E9">
      <w:pPr>
        <w:pStyle w:val="Subsection"/>
      </w:pPr>
      <w:r>
        <w:tab/>
        <w:t>(4)</w:t>
      </w:r>
      <w:r>
        <w:tab/>
        <w:t xml:space="preserve">A sewerage charge is not payable if land in respect of which it applies is — </w:t>
      </w:r>
    </w:p>
    <w:p w:rsidR="005435E9" w:rsidRDefault="005435E9">
      <w:pPr>
        <w:pStyle w:val="Indenta"/>
      </w:pPr>
      <w:r>
        <w:tab/>
        <w:t>(a)</w:t>
      </w:r>
      <w:r>
        <w:tab/>
        <w:t>concessional land; and</w:t>
      </w:r>
    </w:p>
    <w:p w:rsidR="005435E9" w:rsidRDefault="005435E9">
      <w:pPr>
        <w:pStyle w:val="Indenta"/>
      </w:pPr>
      <w:r>
        <w:tab/>
        <w:t>(b)</w:t>
      </w:r>
      <w:r>
        <w:tab/>
        <w:t>not connected to sewerage works of the Water Corporation.</w:t>
      </w:r>
    </w:p>
    <w:p w:rsidR="005435E9" w:rsidRDefault="005435E9">
      <w:pPr>
        <w:pStyle w:val="Heading5"/>
      </w:pPr>
      <w:bookmarkStart w:id="80" w:name="_Toc75519644"/>
      <w:r>
        <w:rPr>
          <w:rStyle w:val="CharSectno"/>
        </w:rPr>
        <w:t>40</w:t>
      </w:r>
      <w:r>
        <w:t>.</w:t>
      </w:r>
      <w:r>
        <w:tab/>
        <w:t>Classification of land</w:t>
      </w:r>
      <w:bookmarkEnd w:id="80"/>
    </w:p>
    <w:p w:rsidR="005435E9" w:rsidRDefault="005435E9">
      <w:pPr>
        <w:pStyle w:val="Subsection"/>
        <w:keepNext/>
      </w:pPr>
      <w:r>
        <w:tab/>
        <w:t>(1)</w:t>
      </w:r>
      <w:r>
        <w:tab/>
        <w:t xml:space="preserve">For the purposes of this Division, land that is not concessional land may be classified by the Water Corporation as follows — </w:t>
      </w:r>
    </w:p>
    <w:p w:rsidR="005435E9" w:rsidRDefault="005435E9">
      <w:pPr>
        <w:pStyle w:val="Indenta"/>
        <w:keepNext/>
      </w:pPr>
      <w:r>
        <w:tab/>
        <w:t>(a)</w:t>
      </w:r>
      <w:r>
        <w:tab/>
        <w:t xml:space="preserve">residential — if the Water Corporation is satisfied that the land — </w:t>
      </w:r>
    </w:p>
    <w:p w:rsidR="005435E9" w:rsidRDefault="005435E9">
      <w:pPr>
        <w:pStyle w:val="Indenti"/>
      </w:pPr>
      <w:r>
        <w:tab/>
        <w:t>(i)</w:t>
      </w:r>
      <w:r>
        <w:tab/>
        <w:t>is used, or is capable of being used, wholly or primarily for the purpose of providing residential accommodation to the owner or occupier of the land; and</w:t>
      </w:r>
    </w:p>
    <w:p w:rsidR="005435E9" w:rsidRDefault="005435E9">
      <w:pPr>
        <w:pStyle w:val="Indenti"/>
      </w:pPr>
      <w:r>
        <w:tab/>
        <w:t>(ii)</w:t>
      </w:r>
      <w:r>
        <w:tab/>
        <w:t>is not used in whole or in part for the purpose of providing holiday accommodation;</w:t>
      </w:r>
    </w:p>
    <w:p w:rsidR="005435E9" w:rsidRDefault="005435E9">
      <w:pPr>
        <w:pStyle w:val="Indenta"/>
      </w:pPr>
      <w:r>
        <w:tab/>
        <w:t>(b)</w:t>
      </w:r>
      <w:r>
        <w:tab/>
        <w:t>semi</w:t>
      </w:r>
      <w:r>
        <w:noBreakHyphen/>
        <w:t xml:space="preserve">rural residential — if the land is in the metropolitan area and the Water Corporation is satisfied that — </w:t>
      </w:r>
    </w:p>
    <w:p w:rsidR="005435E9" w:rsidRDefault="005435E9">
      <w:pPr>
        <w:pStyle w:val="Indenti"/>
      </w:pPr>
      <w:r>
        <w:tab/>
        <w:t>(i)</w:t>
      </w:r>
      <w:r>
        <w:tab/>
        <w:t>the land is used as described in paragraph (a); and</w:t>
      </w:r>
    </w:p>
    <w:p w:rsidR="005435E9" w:rsidRDefault="005435E9">
      <w:pPr>
        <w:pStyle w:val="Indenti"/>
      </w:pPr>
      <w:r>
        <w:tab/>
        <w:t>(ii)</w:t>
      </w:r>
      <w:r>
        <w:tab/>
        <w:t>the land is also used for the purpose of primary production, which includes use for the purpose of a farm, market garden, kennel, plant nursery, orchard, stable, vineyard or another similar purpose; and</w:t>
      </w:r>
    </w:p>
    <w:p w:rsidR="005435E9" w:rsidRDefault="005435E9">
      <w:pPr>
        <w:pStyle w:val="Indenti"/>
      </w:pPr>
      <w:r>
        <w:tab/>
        <w:t>(iii)</w:t>
      </w:r>
      <w:r>
        <w:tab/>
        <w:t>water supplied to the land by the Water Corporation is used wholly or primarily for the purposes of the use referred to in subparagraph (i);</w:t>
      </w:r>
    </w:p>
    <w:p w:rsidR="005435E9" w:rsidRDefault="005435E9">
      <w:pPr>
        <w:pStyle w:val="Indenta"/>
        <w:rPr>
          <w:szCs w:val="24"/>
        </w:rPr>
      </w:pPr>
      <w:r>
        <w:lastRenderedPageBreak/>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5435E9" w:rsidRDefault="005435E9">
      <w:pPr>
        <w:pStyle w:val="Indenta"/>
      </w:pPr>
      <w:r>
        <w:tab/>
        <w:t>(d)</w:t>
      </w:r>
      <w:r>
        <w:tab/>
        <w:t xml:space="preserve">vacant land — if the Water Corporation is satisfied that — </w:t>
      </w:r>
    </w:p>
    <w:p w:rsidR="005435E9" w:rsidRDefault="005435E9">
      <w:pPr>
        <w:pStyle w:val="Indenti"/>
      </w:pPr>
      <w:r>
        <w:tab/>
        <w:t>(i)</w:t>
      </w:r>
      <w:r>
        <w:tab/>
        <w:t>there is no building on the land; or</w:t>
      </w:r>
    </w:p>
    <w:p w:rsidR="005435E9" w:rsidRDefault="005435E9">
      <w:pPr>
        <w:pStyle w:val="Indenti"/>
      </w:pPr>
      <w:r>
        <w:tab/>
        <w:t>(ii)</w:t>
      </w:r>
      <w:r>
        <w:tab/>
        <w:t>if there is, the building is not fit for its intended purpose and there is no other appropriate classification for the land under this regulation.</w:t>
      </w:r>
    </w:p>
    <w:p w:rsidR="005435E9" w:rsidRDefault="005435E9">
      <w:pPr>
        <w:pStyle w:val="Subsection"/>
      </w:pPr>
      <w:r>
        <w:tab/>
        <w:t>(2)</w:t>
      </w:r>
      <w:r>
        <w:tab/>
        <w:t xml:space="preserve">For the purposes of this Division, concessional land may be classified by the Water Corporation as follows — </w:t>
      </w:r>
    </w:p>
    <w:p w:rsidR="005435E9" w:rsidRDefault="005435E9">
      <w:pPr>
        <w:pStyle w:val="Indenta"/>
      </w:pPr>
      <w:r>
        <w:tab/>
        <w:t>(a)</w:t>
      </w:r>
      <w:r>
        <w:tab/>
        <w:t>charitable purposes — if the Water Corporation is satisfied that the land is used for charitable purposes;</w:t>
      </w:r>
    </w:p>
    <w:p w:rsidR="005435E9" w:rsidRDefault="005435E9">
      <w:pPr>
        <w:pStyle w:val="Indenta"/>
      </w:pPr>
      <w:r>
        <w:tab/>
        <w:t>(b)</w:t>
      </w:r>
      <w:r>
        <w:tab/>
        <w:t>institutional public — if the Water Corporation is satisfied that the land is used by a club or association, or for some other public purpose, approved by the Water Corporation;</w:t>
      </w:r>
    </w:p>
    <w:p w:rsidR="005435E9" w:rsidRDefault="005435E9">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rsidR="005435E9" w:rsidRDefault="005435E9">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rsidR="005435E9" w:rsidRDefault="005435E9">
      <w:pPr>
        <w:pStyle w:val="Indenta"/>
      </w:pPr>
      <w:r>
        <w:tab/>
        <w:t>(e)</w:t>
      </w:r>
      <w:r>
        <w:tab/>
        <w:t>aged home — if the Water Corporation is satisfied that the land is used as an aged home;</w:t>
      </w:r>
    </w:p>
    <w:p w:rsidR="005435E9" w:rsidRDefault="005435E9">
      <w:pPr>
        <w:pStyle w:val="Indenta"/>
      </w:pPr>
      <w:r>
        <w:tab/>
        <w:t>(f)</w:t>
      </w:r>
      <w:r>
        <w:tab/>
        <w:t>community purpose — if the Water Corporation is satisfied that the land cannot be classified under another paragraph of this subregulation.</w:t>
      </w:r>
    </w:p>
    <w:p w:rsidR="005435E9" w:rsidRDefault="005435E9">
      <w:pPr>
        <w:pStyle w:val="Subsection"/>
      </w:pPr>
      <w:r>
        <w:lastRenderedPageBreak/>
        <w:tab/>
        <w:t>(3)</w:t>
      </w:r>
      <w:r>
        <w:tab/>
        <w:t>If land can be given more than one classification under subregulation (1) or (2), the more specific classification within the subregulation applies to the land to the exclusion of any other.</w:t>
      </w:r>
    </w:p>
    <w:p w:rsidR="005435E9" w:rsidRDefault="005435E9">
      <w:pPr>
        <w:pStyle w:val="Heading5"/>
      </w:pPr>
      <w:bookmarkStart w:id="81" w:name="_Toc75519645"/>
      <w:r>
        <w:rPr>
          <w:rStyle w:val="CharSectno"/>
        </w:rPr>
        <w:t>41</w:t>
      </w:r>
      <w:r>
        <w:t>.</w:t>
      </w:r>
      <w:r>
        <w:tab/>
        <w:t>Minimum charges: Schedule 4 Division 2</w:t>
      </w:r>
      <w:bookmarkEnd w:id="81"/>
    </w:p>
    <w:p w:rsidR="005435E9" w:rsidRDefault="005435E9">
      <w:pPr>
        <w:pStyle w:val="Subsection"/>
        <w:keepNext/>
      </w:pPr>
      <w:r>
        <w:tab/>
        <w:t>(1)</w:t>
      </w:r>
      <w:r>
        <w:tab/>
        <w:t xml:space="preserve">The minimum charge, under Schedule 4 Division 2, in respect of land that has a metered supply of water is the greater of — </w:t>
      </w:r>
    </w:p>
    <w:p w:rsidR="005435E9" w:rsidRDefault="005435E9">
      <w:pPr>
        <w:pStyle w:val="Indenta"/>
      </w:pPr>
      <w:r>
        <w:tab/>
        <w:t>(a)</w:t>
      </w:r>
      <w:r>
        <w:tab/>
        <w:t>the service charge for the land calculated in accordance with Schedule 4 item 18 or 25 (whichever is relevant); and</w:t>
      </w:r>
    </w:p>
    <w:p w:rsidR="005435E9" w:rsidRDefault="005435E9">
      <w:pPr>
        <w:pStyle w:val="Indenta"/>
      </w:pPr>
      <w:r>
        <w:tab/>
        <w:t>(b)</w:t>
      </w:r>
      <w:r>
        <w:tab/>
        <w:t>the charge according to the number of major fixtures for the land, that is, “</w:t>
      </w:r>
      <w:r>
        <w:rPr>
          <w:b/>
        </w:rPr>
        <w:t>C</w:t>
      </w:r>
      <w:r>
        <w:t>” in Schedule 4 item 18 or 25 (whichever is relevant).</w:t>
      </w:r>
    </w:p>
    <w:p w:rsidR="005435E9" w:rsidRDefault="005435E9">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rsidR="005435E9" w:rsidRDefault="005435E9">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rsidR="005435E9" w:rsidRDefault="005435E9">
      <w:pPr>
        <w:pStyle w:val="Heading5"/>
        <w:keepNext w:val="0"/>
        <w:keepLines w:val="0"/>
      </w:pPr>
      <w:bookmarkStart w:id="82" w:name="_Toc75519646"/>
      <w:r>
        <w:rPr>
          <w:rStyle w:val="CharSectno"/>
        </w:rPr>
        <w:t>42</w:t>
      </w:r>
      <w:r>
        <w:t>.</w:t>
      </w:r>
      <w:r>
        <w:tab/>
        <w:t>Estimating charge, or volume discharged, for previous year: Schedule 4 Division 2</w:t>
      </w:r>
      <w:bookmarkEnd w:id="82"/>
    </w:p>
    <w:p w:rsidR="005435E9" w:rsidRDefault="005435E9">
      <w:pPr>
        <w:pStyle w:val="Subsection"/>
      </w:pPr>
      <w:r>
        <w:tab/>
        <w:t>(1)</w:t>
      </w:r>
      <w:r>
        <w:tab/>
        <w:t xml:space="preserve">In this regulation — </w:t>
      </w:r>
    </w:p>
    <w:p w:rsidR="005435E9" w:rsidRDefault="005435E9">
      <w:pPr>
        <w:pStyle w:val="Defstart"/>
      </w:pPr>
      <w:r>
        <w:tab/>
      </w:r>
      <w:r>
        <w:rPr>
          <w:rStyle w:val="CharDefText"/>
        </w:rPr>
        <w:t>combined charge</w:t>
      </w:r>
      <w:r>
        <w:t xml:space="preserve"> means a water service charge set out in Schedule 4 Division 2.</w:t>
      </w:r>
    </w:p>
    <w:p w:rsidR="005435E9" w:rsidRDefault="005435E9">
      <w:pPr>
        <w:pStyle w:val="Subsection"/>
      </w:pPr>
      <w:r>
        <w:tab/>
        <w:t>(2)</w:t>
      </w:r>
      <w:r>
        <w:tab/>
        <w:t xml:space="preserve">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w:t>
      </w:r>
      <w:r>
        <w:lastRenderedPageBreak/>
        <w:t>land, that is, the charge that would have been payable for the year if the circumstances currently prevailing had applied to the land for the whole of the year.</w:t>
      </w:r>
    </w:p>
    <w:p w:rsidR="005435E9" w:rsidRDefault="005435E9">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rsidR="005435E9" w:rsidRDefault="005435E9">
      <w:pPr>
        <w:pStyle w:val="Subsection"/>
      </w:pPr>
      <w:r>
        <w:tab/>
        <w:t>(4)</w:t>
      </w:r>
      <w:r>
        <w:tab/>
        <w:t xml:space="preserve">If — </w:t>
      </w:r>
    </w:p>
    <w:p w:rsidR="005435E9" w:rsidRDefault="005435E9">
      <w:pPr>
        <w:pStyle w:val="Indenta"/>
      </w:pPr>
      <w:r>
        <w:tab/>
        <w:t>(a)</w:t>
      </w:r>
      <w:r>
        <w:tab/>
        <w:t>because of a change of circumstances during a financial year there is a change in the amount of a combined charge that applies to land; and</w:t>
      </w:r>
    </w:p>
    <w:p w:rsidR="005435E9" w:rsidRDefault="005435E9">
      <w:pPr>
        <w:pStyle w:val="Indenta"/>
      </w:pPr>
      <w:r>
        <w:tab/>
        <w:t>(b)</w:t>
      </w:r>
      <w:r>
        <w:tab/>
        <w:t>the Water Corporation, in calculating the charge in respect of the land, is required to take into account a charge payable for the previous financial year for the land,</w:t>
      </w:r>
    </w:p>
    <w:p w:rsidR="005435E9" w:rsidRDefault="005435E9">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rsidR="005435E9" w:rsidRDefault="005435E9">
      <w:pPr>
        <w:pStyle w:val="Heading5"/>
      </w:pPr>
      <w:bookmarkStart w:id="83" w:name="_Toc75519647"/>
      <w:r>
        <w:rPr>
          <w:rStyle w:val="CharSectno"/>
        </w:rPr>
        <w:t>43</w:t>
      </w:r>
      <w:r>
        <w:t>.</w:t>
      </w:r>
      <w:r>
        <w:tab/>
        <w:t>Determining number of major fixtures: Schedule 4 Division 2</w:t>
      </w:r>
      <w:bookmarkEnd w:id="83"/>
    </w:p>
    <w:p w:rsidR="005435E9" w:rsidRDefault="005435E9">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rsidR="005435E9" w:rsidRDefault="005435E9">
      <w:pPr>
        <w:pStyle w:val="Subsection"/>
      </w:pPr>
      <w:r>
        <w:lastRenderedPageBreak/>
        <w:tab/>
        <w:t>(2)</w:t>
      </w:r>
      <w:r>
        <w:tab/>
        <w:t>If the land does not have the benefit of any major fixtures that are shared with other land, the number of major fixtures for the land is the number on the land.</w:t>
      </w:r>
    </w:p>
    <w:p w:rsidR="005435E9" w:rsidRDefault="005435E9">
      <w:pPr>
        <w:pStyle w:val="Subsection"/>
      </w:pPr>
      <w:r>
        <w:tab/>
        <w:t>(3)</w:t>
      </w:r>
      <w:r>
        <w:tab/>
        <w:t xml:space="preserve">If the land has the benefit of one or more major fixtures that are shared with other land, the number of major fixtures for the land is — </w:t>
      </w:r>
    </w:p>
    <w:p w:rsidR="005435E9" w:rsidRDefault="005435E9">
      <w:pPr>
        <w:pStyle w:val="Indenta"/>
      </w:pPr>
      <w:r>
        <w:tab/>
        <w:t>(a)</w:t>
      </w:r>
      <w:r>
        <w:tab/>
        <w:t>the number of major fixtures on the land that are not shared with other land (if any); plus</w:t>
      </w:r>
    </w:p>
    <w:p w:rsidR="005435E9" w:rsidRDefault="005435E9">
      <w:pPr>
        <w:pStyle w:val="Indenta"/>
      </w:pPr>
      <w:r>
        <w:tab/>
        <w:t>(b)</w:t>
      </w:r>
      <w:r>
        <w:tab/>
        <w:t>the number of major fixtures shared with other land divided by the number of properties sharing those fixtures, rounded down to the nearest whole number.</w:t>
      </w:r>
    </w:p>
    <w:p w:rsidR="005435E9" w:rsidRDefault="005435E9">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rsidR="005435E9" w:rsidRDefault="005435E9">
      <w:pPr>
        <w:pStyle w:val="Heading5"/>
      </w:pPr>
      <w:bookmarkStart w:id="84" w:name="_Toc75519648"/>
      <w:r>
        <w:rPr>
          <w:rStyle w:val="CharSectno"/>
        </w:rPr>
        <w:t>44</w:t>
      </w:r>
      <w:r>
        <w:t>.</w:t>
      </w:r>
      <w:r>
        <w:tab/>
        <w:t>Concessions: certain retirement village residents</w:t>
      </w:r>
      <w:bookmarkEnd w:id="84"/>
    </w:p>
    <w:p w:rsidR="005435E9" w:rsidRDefault="005435E9">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rsidR="005435E9" w:rsidRDefault="005435E9">
      <w:pPr>
        <w:pStyle w:val="Indenta"/>
      </w:pPr>
      <w:r>
        <w:tab/>
        <w:t>(a)</w:t>
      </w:r>
      <w:r>
        <w:tab/>
        <w:t>25% of the charge; and</w:t>
      </w:r>
    </w:p>
    <w:p w:rsidR="005435E9" w:rsidRDefault="005435E9">
      <w:pPr>
        <w:pStyle w:val="Indenta"/>
      </w:pPr>
      <w:r>
        <w:tab/>
        <w:t>(b)</w:t>
      </w:r>
      <w:r>
        <w:tab/>
        <w:t>$72.69.</w:t>
      </w:r>
    </w:p>
    <w:p w:rsidR="005435E9" w:rsidRDefault="005435E9">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5435E9" w:rsidRDefault="005435E9">
      <w:pPr>
        <w:pStyle w:val="Footnotesection"/>
      </w:pPr>
      <w:r>
        <w:tab/>
        <w:t>[Regulation 44 amended: Gazette 30 Jun 2015 p. 2364; 27 Jun 2016 p. 2539; 23 Jun 2017 p. 3325.]</w:t>
      </w:r>
    </w:p>
    <w:p w:rsidR="005435E9" w:rsidRDefault="005435E9" w:rsidP="00FA1C7C">
      <w:pPr>
        <w:pStyle w:val="Heading3"/>
        <w:spacing w:before="180"/>
      </w:pPr>
      <w:bookmarkStart w:id="85" w:name="_Toc75266200"/>
      <w:bookmarkStart w:id="86" w:name="_Toc75269481"/>
      <w:bookmarkStart w:id="87" w:name="_Toc75350980"/>
      <w:bookmarkStart w:id="88" w:name="_Toc75519649"/>
      <w:r>
        <w:rPr>
          <w:rStyle w:val="CharDivNo"/>
        </w:rPr>
        <w:lastRenderedPageBreak/>
        <w:t>Division 5</w:t>
      </w:r>
      <w:r>
        <w:t> — </w:t>
      </w:r>
      <w:r>
        <w:rPr>
          <w:rStyle w:val="CharDivText"/>
        </w:rPr>
        <w:t>Drainage charges</w:t>
      </w:r>
      <w:bookmarkEnd w:id="85"/>
      <w:bookmarkEnd w:id="86"/>
      <w:bookmarkEnd w:id="87"/>
      <w:bookmarkEnd w:id="88"/>
    </w:p>
    <w:p w:rsidR="005435E9" w:rsidRDefault="005435E9">
      <w:pPr>
        <w:pStyle w:val="Heading5"/>
        <w:spacing w:before="180"/>
      </w:pPr>
      <w:bookmarkStart w:id="89" w:name="_Toc75519650"/>
      <w:r>
        <w:rPr>
          <w:rStyle w:val="CharSectno"/>
        </w:rPr>
        <w:t>45</w:t>
      </w:r>
      <w:r>
        <w:t>.</w:t>
      </w:r>
      <w:r>
        <w:tab/>
        <w:t>Drainage areas</w:t>
      </w:r>
      <w:bookmarkEnd w:id="89"/>
    </w:p>
    <w:p w:rsidR="005435E9" w:rsidRDefault="005435E9">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rsidR="005435E9" w:rsidRDefault="005435E9">
      <w:pPr>
        <w:pStyle w:val="Subsection"/>
        <w:spacing w:before="140"/>
      </w:pPr>
      <w:r>
        <w:tab/>
        <w:t>(2)</w:t>
      </w:r>
      <w:r>
        <w:tab/>
        <w:t>An area cannot be designated as a drainage area unless it is within the operating area of the Water Corporation’s licence for drainage services.</w:t>
      </w:r>
    </w:p>
    <w:p w:rsidR="005435E9" w:rsidRDefault="005435E9">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rsidR="005435E9" w:rsidRDefault="005435E9">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rsidR="005435E9" w:rsidRDefault="005435E9">
      <w:pPr>
        <w:pStyle w:val="Subsection"/>
      </w:pPr>
      <w:r>
        <w:tab/>
        <w:t>(5)</w:t>
      </w:r>
      <w:r>
        <w:tab/>
        <w:t>A designation that extends an existing drainage area, and a revocation of a part of an existing drainage area, maybe by way of amendment to the current designation of the drainage area.</w:t>
      </w:r>
    </w:p>
    <w:p w:rsidR="005435E9" w:rsidRDefault="005435E9">
      <w:pPr>
        <w:pStyle w:val="Subsection"/>
      </w:pPr>
      <w:r>
        <w:tab/>
        <w:t>(6)</w:t>
      </w:r>
      <w:r>
        <w:tab/>
        <w:t>The Water Corporation must publish, and keep up</w:t>
      </w:r>
      <w:r>
        <w:noBreakHyphen/>
        <w:t>to</w:t>
      </w:r>
      <w:r>
        <w:noBreakHyphen/>
        <w:t>date, each designation on a website of the Water Corporation.</w:t>
      </w:r>
    </w:p>
    <w:p w:rsidR="005435E9" w:rsidRDefault="005435E9">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rsidR="005435E9" w:rsidRDefault="005435E9">
      <w:pPr>
        <w:pStyle w:val="Subsection"/>
      </w:pPr>
      <w:r>
        <w:lastRenderedPageBreak/>
        <w:tab/>
        <w:t>(8)</w:t>
      </w:r>
      <w:r>
        <w:tab/>
        <w:t>Subregulation (6) does not apply in relation to a drainage area taken to have been designated as a drainage area under subregulation (7) until 1 July 2015.</w:t>
      </w:r>
    </w:p>
    <w:p w:rsidR="005435E9" w:rsidRDefault="005435E9">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rsidR="005435E9" w:rsidRDefault="005435E9">
      <w:pPr>
        <w:pStyle w:val="Heading5"/>
      </w:pPr>
      <w:bookmarkStart w:id="90" w:name="_Toc75519651"/>
      <w:r>
        <w:rPr>
          <w:rStyle w:val="CharSectno"/>
        </w:rPr>
        <w:t>46</w:t>
      </w:r>
      <w:r>
        <w:t>.</w:t>
      </w:r>
      <w:r>
        <w:tab/>
        <w:t>Drainage areas: notice of and objections to proposed designation</w:t>
      </w:r>
      <w:bookmarkEnd w:id="90"/>
    </w:p>
    <w:p w:rsidR="005435E9" w:rsidRDefault="005435E9">
      <w:pPr>
        <w:pStyle w:val="Subsection"/>
      </w:pPr>
      <w:r>
        <w:tab/>
        <w:t>(1)</w:t>
      </w:r>
      <w:r>
        <w:tab/>
        <w:t xml:space="preserve">Before the Minister designates an area as a drainage area, the Minister must — </w:t>
      </w:r>
    </w:p>
    <w:p w:rsidR="005435E9" w:rsidRDefault="005435E9">
      <w:pPr>
        <w:pStyle w:val="Indenta"/>
      </w:pPr>
      <w:r>
        <w:tab/>
        <w:t>(a)</w:t>
      </w:r>
      <w:r>
        <w:tab/>
        <w:t>give 2 months’ notice of the proposed designation; and</w:t>
      </w:r>
    </w:p>
    <w:p w:rsidR="005435E9" w:rsidRDefault="005435E9">
      <w:pPr>
        <w:pStyle w:val="Indenta"/>
      </w:pPr>
      <w:r>
        <w:tab/>
        <w:t>(b)</w:t>
      </w:r>
      <w:r>
        <w:tab/>
        <w:t>take into account any objections made under subregulation (3).</w:t>
      </w:r>
    </w:p>
    <w:p w:rsidR="005435E9" w:rsidRDefault="005435E9">
      <w:pPr>
        <w:pStyle w:val="Subsection"/>
        <w:keepNext/>
      </w:pPr>
      <w:r>
        <w:tab/>
        <w:t>(2)</w:t>
      </w:r>
      <w:r>
        <w:tab/>
        <w:t xml:space="preserve">Notice of a proposal to designate an area as a drainage area must — </w:t>
      </w:r>
    </w:p>
    <w:p w:rsidR="005435E9" w:rsidRDefault="005435E9">
      <w:pPr>
        <w:pStyle w:val="Indenta"/>
      </w:pPr>
      <w:r>
        <w:tab/>
        <w:t>(a)</w:t>
      </w:r>
      <w:r>
        <w:tab/>
        <w:t xml:space="preserve">be published in the </w:t>
      </w:r>
      <w:r>
        <w:rPr>
          <w:i/>
        </w:rPr>
        <w:t>Gazette</w:t>
      </w:r>
      <w:r>
        <w:t xml:space="preserve"> and on the Department’s website; and </w:t>
      </w:r>
    </w:p>
    <w:p w:rsidR="005435E9" w:rsidRDefault="005435E9">
      <w:pPr>
        <w:pStyle w:val="Indenta"/>
        <w:keepNext/>
      </w:pPr>
      <w:r>
        <w:tab/>
        <w:t>(b)</w:t>
      </w:r>
      <w:r>
        <w:tab/>
        <w:t xml:space="preserve">include — </w:t>
      </w:r>
    </w:p>
    <w:p w:rsidR="005435E9" w:rsidRDefault="005435E9">
      <w:pPr>
        <w:pStyle w:val="Indenti"/>
      </w:pPr>
      <w:r>
        <w:tab/>
        <w:t>(i)</w:t>
      </w:r>
      <w:r>
        <w:tab/>
        <w:t>the date on or after which the Minister proposes to make the designation; and</w:t>
      </w:r>
    </w:p>
    <w:p w:rsidR="005435E9" w:rsidRDefault="005435E9">
      <w:pPr>
        <w:pStyle w:val="Indenti"/>
      </w:pPr>
      <w:r>
        <w:tab/>
        <w:t>(ii)</w:t>
      </w:r>
      <w:r>
        <w:tab/>
        <w:t>a description of the area sufficient to identify its location; and</w:t>
      </w:r>
    </w:p>
    <w:p w:rsidR="005435E9" w:rsidRDefault="005435E9">
      <w:pPr>
        <w:pStyle w:val="Indenti"/>
      </w:pPr>
      <w:r>
        <w:tab/>
        <w:t>(iii)</w:t>
      </w:r>
      <w:r>
        <w:tab/>
        <w:t>details of the plan on which the proposed drainage area is set out and how the plan can be inspected.</w:t>
      </w:r>
    </w:p>
    <w:p w:rsidR="005435E9" w:rsidRDefault="005435E9">
      <w:pPr>
        <w:pStyle w:val="Subsection"/>
        <w:keepLines/>
      </w:pPr>
      <w:r>
        <w:lastRenderedPageBreak/>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rsidR="005435E9" w:rsidRDefault="005435E9">
      <w:pPr>
        <w:pStyle w:val="Footnotesection"/>
      </w:pPr>
      <w:r>
        <w:tab/>
        <w:t>[Regulation 46 amended: Gazette 13 Dec 2016 p. 5691.]</w:t>
      </w:r>
    </w:p>
    <w:p w:rsidR="005435E9" w:rsidRDefault="005435E9">
      <w:pPr>
        <w:pStyle w:val="Heading5"/>
      </w:pPr>
      <w:bookmarkStart w:id="91" w:name="_Toc75519652"/>
      <w:r>
        <w:rPr>
          <w:rStyle w:val="CharSectno"/>
        </w:rPr>
        <w:t>47</w:t>
      </w:r>
      <w:r>
        <w:t>.</w:t>
      </w:r>
      <w:r>
        <w:tab/>
        <w:t>Drainage charges</w:t>
      </w:r>
      <w:bookmarkEnd w:id="91"/>
    </w:p>
    <w:p w:rsidR="005435E9" w:rsidRDefault="005435E9">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rsidR="005435E9" w:rsidRDefault="005435E9">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rsidR="005435E9" w:rsidRDefault="005435E9">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rsidR="005435E9" w:rsidRDefault="005435E9">
      <w:pPr>
        <w:pStyle w:val="Indenta"/>
      </w:pPr>
      <w:r>
        <w:tab/>
        <w:t>(a)</w:t>
      </w:r>
      <w:r>
        <w:tab/>
        <w:t>greater than one hectare in area; and</w:t>
      </w:r>
    </w:p>
    <w:p w:rsidR="005435E9" w:rsidRDefault="005435E9">
      <w:pPr>
        <w:pStyle w:val="Indenta"/>
      </w:pPr>
      <w:r>
        <w:tab/>
        <w:t>(b)</w:t>
      </w:r>
      <w:r>
        <w:tab/>
        <w:t xml:space="preserve">comprised wholly of — </w:t>
      </w:r>
    </w:p>
    <w:p w:rsidR="005435E9" w:rsidRDefault="005435E9">
      <w:pPr>
        <w:pStyle w:val="Indenti"/>
      </w:pPr>
      <w:r>
        <w:tab/>
        <w:t>(i)</w:t>
      </w:r>
      <w:r>
        <w:tab/>
        <w:t>rural land; or</w:t>
      </w:r>
    </w:p>
    <w:p w:rsidR="005435E9" w:rsidRDefault="005435E9">
      <w:pPr>
        <w:pStyle w:val="Indenti"/>
      </w:pPr>
      <w:r>
        <w:tab/>
        <w:t>(ii)</w:t>
      </w:r>
      <w:r>
        <w:tab/>
        <w:t>land that has not been the subject of development.</w:t>
      </w:r>
    </w:p>
    <w:p w:rsidR="005435E9" w:rsidRDefault="005435E9">
      <w:pPr>
        <w:pStyle w:val="Subsection"/>
      </w:pPr>
      <w:r>
        <w:tab/>
        <w:t>(4)</w:t>
      </w:r>
      <w:r>
        <w:tab/>
        <w:t xml:space="preserve">In subregulation (3) — </w:t>
      </w:r>
    </w:p>
    <w:p w:rsidR="005435E9" w:rsidRDefault="005435E9">
      <w:pPr>
        <w:pStyle w:val="Defstart"/>
      </w:pPr>
      <w:r>
        <w:rPr>
          <w:b/>
        </w:rPr>
        <w:tab/>
      </w:r>
      <w:r>
        <w:rPr>
          <w:rStyle w:val="CharDefText"/>
        </w:rPr>
        <w:t>development</w:t>
      </w:r>
      <w:r>
        <w:t xml:space="preserve"> has the meaning given in the </w:t>
      </w:r>
      <w:r>
        <w:rPr>
          <w:i/>
        </w:rPr>
        <w:t>Planning and Development Act 2005</w:t>
      </w:r>
      <w:r>
        <w:t xml:space="preserve"> section 4(1);</w:t>
      </w:r>
    </w:p>
    <w:p w:rsidR="005435E9" w:rsidRDefault="005435E9">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rsidR="005435E9" w:rsidRDefault="005435E9">
      <w:pPr>
        <w:pStyle w:val="Heading5"/>
      </w:pPr>
      <w:bookmarkStart w:id="92" w:name="_Toc75519653"/>
      <w:r>
        <w:rPr>
          <w:rStyle w:val="CharSectno"/>
        </w:rPr>
        <w:t>48</w:t>
      </w:r>
      <w:r>
        <w:t>.</w:t>
      </w:r>
      <w:r>
        <w:tab/>
        <w:t>Classification of land</w:t>
      </w:r>
      <w:bookmarkEnd w:id="92"/>
    </w:p>
    <w:p w:rsidR="005435E9" w:rsidRDefault="005435E9">
      <w:pPr>
        <w:pStyle w:val="Subsection"/>
        <w:keepNext/>
      </w:pPr>
      <w:r>
        <w:tab/>
      </w:r>
      <w:r>
        <w:tab/>
        <w:t xml:space="preserve">For the purposes of this Division, land may be classified by the Water Corporation as follows — </w:t>
      </w:r>
    </w:p>
    <w:p w:rsidR="005435E9" w:rsidRDefault="005435E9">
      <w:pPr>
        <w:pStyle w:val="Indenta"/>
      </w:pPr>
      <w:r>
        <w:tab/>
        <w:t>(a)</w:t>
      </w:r>
      <w:r>
        <w:tab/>
        <w:t xml:space="preserve">residential — if the Water Corporation is satisfied that the land — </w:t>
      </w:r>
    </w:p>
    <w:p w:rsidR="005435E9" w:rsidRDefault="005435E9">
      <w:pPr>
        <w:pStyle w:val="Indenti"/>
      </w:pPr>
      <w:r>
        <w:lastRenderedPageBreak/>
        <w:tab/>
        <w:t>(i)</w:t>
      </w:r>
      <w:r>
        <w:tab/>
        <w:t>is used, or is capable of being used, wholly or primarily for the purpose of providing residential accommodation to the owner or occupier of the land; and</w:t>
      </w:r>
    </w:p>
    <w:p w:rsidR="005435E9" w:rsidRDefault="005435E9">
      <w:pPr>
        <w:pStyle w:val="Indenti"/>
      </w:pPr>
      <w:r>
        <w:tab/>
        <w:t>(ii)</w:t>
      </w:r>
      <w:r>
        <w:tab/>
        <w:t>is not used in whole or in part for the purpose of providing holiday accommodation;</w:t>
      </w:r>
    </w:p>
    <w:p w:rsidR="005435E9" w:rsidRDefault="005435E9">
      <w:pPr>
        <w:pStyle w:val="Indenta"/>
      </w:pPr>
      <w:r>
        <w:tab/>
        <w:t>(b)</w:t>
      </w:r>
      <w:r>
        <w:tab/>
        <w:t>semi</w:t>
      </w:r>
      <w:r>
        <w:noBreakHyphen/>
        <w:t xml:space="preserve">rural residential — if the land is in the metropolitan area and the Water Corporation is satisfied that — </w:t>
      </w:r>
    </w:p>
    <w:p w:rsidR="005435E9" w:rsidRDefault="005435E9">
      <w:pPr>
        <w:pStyle w:val="Indenti"/>
      </w:pPr>
      <w:r>
        <w:tab/>
        <w:t>(i)</w:t>
      </w:r>
      <w:r>
        <w:tab/>
        <w:t>the land is used as described in paragraph (a); and</w:t>
      </w:r>
    </w:p>
    <w:p w:rsidR="005435E9" w:rsidRDefault="005435E9">
      <w:pPr>
        <w:pStyle w:val="Indenti"/>
      </w:pPr>
      <w:r>
        <w:tab/>
        <w:t>(ii)</w:t>
      </w:r>
      <w:r>
        <w:tab/>
        <w:t>the land is also used for the purpose of primary production, which includes use for the purpose of a farm, market garden, kennel, plant nursery, orchard, stable, vineyard or another similar purpose; and</w:t>
      </w:r>
    </w:p>
    <w:p w:rsidR="005435E9" w:rsidRDefault="005435E9">
      <w:pPr>
        <w:pStyle w:val="Indenti"/>
      </w:pPr>
      <w:r>
        <w:tab/>
        <w:t>(iii)</w:t>
      </w:r>
      <w:r>
        <w:tab/>
        <w:t>water supplied to the land by the Water Corporation is used wholly or primarily for the purposes of the use referred to in subparagraph (i);</w:t>
      </w:r>
    </w:p>
    <w:p w:rsidR="005435E9" w:rsidRDefault="005435E9">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5435E9" w:rsidRDefault="005435E9">
      <w:pPr>
        <w:pStyle w:val="Indenta"/>
      </w:pPr>
      <w:r>
        <w:tab/>
        <w:t>(d)</w:t>
      </w:r>
      <w:r>
        <w:tab/>
        <w:t xml:space="preserve">vacant land — if the Water Corporation is satisfied that — </w:t>
      </w:r>
    </w:p>
    <w:p w:rsidR="005435E9" w:rsidRDefault="005435E9">
      <w:pPr>
        <w:pStyle w:val="Indenti"/>
      </w:pPr>
      <w:r>
        <w:tab/>
        <w:t>(i)</w:t>
      </w:r>
      <w:r>
        <w:tab/>
        <w:t>there is no building on the land; or</w:t>
      </w:r>
    </w:p>
    <w:p w:rsidR="005435E9" w:rsidRDefault="005435E9">
      <w:pPr>
        <w:pStyle w:val="Indenti"/>
      </w:pPr>
      <w:r>
        <w:tab/>
        <w:t>(ii)</w:t>
      </w:r>
      <w:r>
        <w:tab/>
        <w:t>if there is, the building is not fit for its intended purpose and there is no other appropriate classification for the land under this regulation.</w:t>
      </w:r>
    </w:p>
    <w:p w:rsidR="005435E9" w:rsidRDefault="005435E9">
      <w:pPr>
        <w:pStyle w:val="Heading5"/>
      </w:pPr>
      <w:bookmarkStart w:id="93" w:name="_Toc75519654"/>
      <w:r>
        <w:rPr>
          <w:rStyle w:val="CharSectno"/>
        </w:rPr>
        <w:t>49</w:t>
      </w:r>
      <w:r>
        <w:t>.</w:t>
      </w:r>
      <w:r>
        <w:tab/>
        <w:t>Concessions: certain retirement village residents</w:t>
      </w:r>
      <w:bookmarkEnd w:id="93"/>
    </w:p>
    <w:p w:rsidR="005435E9" w:rsidRDefault="005435E9">
      <w:pPr>
        <w:pStyle w:val="Subsection"/>
      </w:pPr>
      <w:r>
        <w:tab/>
        <w:t>(1)</w:t>
      </w:r>
      <w:r>
        <w:tab/>
        <w:t xml:space="preserve">If a person was, immediately before 1 July 2005, liable to pay the charge set out in the </w:t>
      </w:r>
      <w:r>
        <w:rPr>
          <w:i/>
        </w:rPr>
        <w:t xml:space="preserve">Water Agencies (Charges) </w:t>
      </w:r>
      <w:r>
        <w:rPr>
          <w:i/>
        </w:rPr>
        <w:lastRenderedPageBreak/>
        <w:t>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rsidR="005435E9" w:rsidRDefault="005435E9">
      <w:pPr>
        <w:pStyle w:val="Indenta"/>
      </w:pPr>
      <w:r>
        <w:tab/>
        <w:t>(a)</w:t>
      </w:r>
      <w:r>
        <w:tab/>
        <w:t>25% of the charge; and</w:t>
      </w:r>
    </w:p>
    <w:p w:rsidR="005435E9" w:rsidRDefault="005435E9">
      <w:pPr>
        <w:pStyle w:val="Indenta"/>
      </w:pPr>
      <w:r>
        <w:tab/>
        <w:t>(b)</w:t>
      </w:r>
      <w:r>
        <w:tab/>
        <w:t>$9.17.</w:t>
      </w:r>
    </w:p>
    <w:p w:rsidR="005435E9" w:rsidRDefault="005435E9">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5435E9" w:rsidRDefault="005435E9">
      <w:pPr>
        <w:pStyle w:val="Footnotesection"/>
      </w:pPr>
      <w:r>
        <w:tab/>
        <w:t>[Regulation 49 amended: Gazette 30 Jun 2015 p. 2365; 27 Jun 2016 p. 2539; 23 Jun 2017 p. 3325.]</w:t>
      </w:r>
    </w:p>
    <w:p w:rsidR="005435E9" w:rsidRDefault="005435E9">
      <w:pPr>
        <w:pStyle w:val="Heading3"/>
        <w:spacing w:before="200"/>
      </w:pPr>
      <w:bookmarkStart w:id="94" w:name="_Toc75266206"/>
      <w:bookmarkStart w:id="95" w:name="_Toc75269487"/>
      <w:bookmarkStart w:id="96" w:name="_Toc75350986"/>
      <w:bookmarkStart w:id="97" w:name="_Toc75519655"/>
      <w:r>
        <w:rPr>
          <w:rStyle w:val="CharDivNo"/>
        </w:rPr>
        <w:t>Division 6</w:t>
      </w:r>
      <w:r>
        <w:t> — </w:t>
      </w:r>
      <w:r>
        <w:rPr>
          <w:rStyle w:val="CharDivText"/>
        </w:rPr>
        <w:t>Irrigation charges</w:t>
      </w:r>
      <w:bookmarkEnd w:id="94"/>
      <w:bookmarkEnd w:id="95"/>
      <w:bookmarkEnd w:id="96"/>
      <w:bookmarkEnd w:id="97"/>
    </w:p>
    <w:p w:rsidR="005435E9" w:rsidRDefault="005435E9">
      <w:pPr>
        <w:pStyle w:val="Heading5"/>
      </w:pPr>
      <w:bookmarkStart w:id="98" w:name="_Toc75519656"/>
      <w:r>
        <w:rPr>
          <w:rStyle w:val="CharSectno"/>
        </w:rPr>
        <w:t>50</w:t>
      </w:r>
      <w:r>
        <w:t>.</w:t>
      </w:r>
      <w:r>
        <w:tab/>
        <w:t>Charges for water supplied from certain irrigation works</w:t>
      </w:r>
      <w:bookmarkEnd w:id="98"/>
    </w:p>
    <w:p w:rsidR="005435E9" w:rsidRDefault="005435E9">
      <w:pPr>
        <w:pStyle w:val="Subsection"/>
      </w:pPr>
      <w:r>
        <w:tab/>
        <w:t>(1)</w:t>
      </w:r>
      <w:r>
        <w:tab/>
        <w:t>The water service charges set out in Schedule 6 apply in respect of land that is supplied with water from irrigation works of the Water Corporation in the Ord Irrigation District.</w:t>
      </w:r>
    </w:p>
    <w:p w:rsidR="005435E9" w:rsidRDefault="005435E9">
      <w:pPr>
        <w:pStyle w:val="Subsection"/>
        <w:keepNext/>
      </w:pPr>
      <w:r>
        <w:tab/>
        <w:t>(2)</w:t>
      </w:r>
      <w:r>
        <w:tab/>
        <w:t xml:space="preserve">For the purposes of this regulation — </w:t>
      </w:r>
    </w:p>
    <w:p w:rsidR="005435E9" w:rsidRDefault="005435E9">
      <w:pPr>
        <w:pStyle w:val="Indenta"/>
      </w:pPr>
      <w:r>
        <w:tab/>
        <w:t>(a)</w:t>
      </w:r>
      <w:r>
        <w:tab/>
        <w:t>the supply of water from irrigation works includes authorising a person to take water from the works; and</w:t>
      </w:r>
    </w:p>
    <w:p w:rsidR="005435E9" w:rsidRDefault="005435E9">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rsidR="005435E9" w:rsidRDefault="005435E9">
      <w:pPr>
        <w:pStyle w:val="Subsection"/>
      </w:pPr>
      <w:r>
        <w:tab/>
        <w:t>(3)</w:t>
      </w:r>
      <w:r>
        <w:tab/>
        <w:t>The water service charge set out in Schedule 6 item 2 is not payable if land in respect of which the charge applies is concessional land.</w:t>
      </w:r>
    </w:p>
    <w:p w:rsidR="005435E9" w:rsidRDefault="005435E9" w:rsidP="00FA1C7C">
      <w:pPr>
        <w:pStyle w:val="Heading3"/>
        <w:spacing w:before="200"/>
      </w:pPr>
      <w:bookmarkStart w:id="99" w:name="_Toc75266208"/>
      <w:bookmarkStart w:id="100" w:name="_Toc75269489"/>
      <w:bookmarkStart w:id="101" w:name="_Toc75350988"/>
      <w:bookmarkStart w:id="102" w:name="_Toc75519657"/>
      <w:r>
        <w:rPr>
          <w:rStyle w:val="CharDivNo"/>
        </w:rPr>
        <w:lastRenderedPageBreak/>
        <w:t>Division 7</w:t>
      </w:r>
      <w:r>
        <w:t> — </w:t>
      </w:r>
      <w:r>
        <w:rPr>
          <w:rStyle w:val="CharDivText"/>
        </w:rPr>
        <w:t>Miscellaneous charges</w:t>
      </w:r>
      <w:bookmarkEnd w:id="99"/>
      <w:bookmarkEnd w:id="100"/>
      <w:bookmarkEnd w:id="101"/>
      <w:bookmarkEnd w:id="102"/>
    </w:p>
    <w:p w:rsidR="005435E9" w:rsidRDefault="005435E9" w:rsidP="00FA1C7C">
      <w:pPr>
        <w:pStyle w:val="Heading5"/>
        <w:keepLines w:val="0"/>
        <w:spacing w:before="180"/>
      </w:pPr>
      <w:bookmarkStart w:id="103" w:name="_Toc75519658"/>
      <w:r>
        <w:rPr>
          <w:rStyle w:val="CharSectno"/>
        </w:rPr>
        <w:t>51</w:t>
      </w:r>
      <w:r>
        <w:t>.</w:t>
      </w:r>
      <w:r>
        <w:tab/>
        <w:t>Miscellaneous charges</w:t>
      </w:r>
      <w:bookmarkEnd w:id="103"/>
    </w:p>
    <w:p w:rsidR="005435E9" w:rsidRDefault="005435E9">
      <w:pPr>
        <w:pStyle w:val="Subsection"/>
        <w:spacing w:before="120"/>
      </w:pPr>
      <w:r>
        <w:tab/>
        <w:t>(1)</w:t>
      </w:r>
      <w:r>
        <w:tab/>
        <w:t>Schedule 7 sets out charges for certain things done, or goods and services provided, by the Water Corporation as part of or incidental to the provision of a water service.</w:t>
      </w:r>
    </w:p>
    <w:p w:rsidR="005435E9" w:rsidRDefault="005435E9">
      <w:pPr>
        <w:pStyle w:val="Subsection"/>
        <w:keepNext/>
      </w:pPr>
      <w:r>
        <w:tab/>
        <w:t>(2)</w:t>
      </w:r>
      <w:r>
        <w:tab/>
        <w:t xml:space="preserve">The Water Corporation may — </w:t>
      </w:r>
    </w:p>
    <w:p w:rsidR="005435E9" w:rsidRDefault="005435E9">
      <w:pPr>
        <w:pStyle w:val="Indenta"/>
      </w:pPr>
      <w:r>
        <w:tab/>
        <w:t>(a)</w:t>
      </w:r>
      <w:r>
        <w:tab/>
        <w:t>require payment of a charge, set out in Schedule 7, in advance; and</w:t>
      </w:r>
    </w:p>
    <w:p w:rsidR="005435E9" w:rsidRDefault="005435E9">
      <w:pPr>
        <w:pStyle w:val="Indenta"/>
      </w:pPr>
      <w:r>
        <w:tab/>
        <w:t>(b)</w:t>
      </w:r>
      <w:r>
        <w:tab/>
        <w:t>reduce or waive a charge in a particular case, or generally, if it considers that to be appropriate.</w:t>
      </w:r>
    </w:p>
    <w:p w:rsidR="005435E9" w:rsidRDefault="005435E9">
      <w:pPr>
        <w:pStyle w:val="Heading2"/>
      </w:pPr>
      <w:bookmarkStart w:id="104" w:name="_Toc75266210"/>
      <w:bookmarkStart w:id="105" w:name="_Toc75269491"/>
      <w:bookmarkStart w:id="106" w:name="_Toc75350990"/>
      <w:bookmarkStart w:id="107" w:name="_Toc75519659"/>
      <w:r>
        <w:rPr>
          <w:rStyle w:val="CharPartNo"/>
        </w:rPr>
        <w:lastRenderedPageBreak/>
        <w:t>Part 6</w:t>
      </w:r>
      <w:r>
        <w:t> — </w:t>
      </w:r>
      <w:r>
        <w:rPr>
          <w:rStyle w:val="CharPartText"/>
        </w:rPr>
        <w:t>Repeal of regulations and transitional provisions</w:t>
      </w:r>
      <w:bookmarkEnd w:id="104"/>
      <w:bookmarkEnd w:id="105"/>
      <w:bookmarkEnd w:id="106"/>
      <w:bookmarkEnd w:id="107"/>
    </w:p>
    <w:p w:rsidR="005435E9" w:rsidRDefault="005435E9">
      <w:pPr>
        <w:pStyle w:val="Heading3"/>
      </w:pPr>
      <w:bookmarkStart w:id="108" w:name="_Toc75266211"/>
      <w:bookmarkStart w:id="109" w:name="_Toc75269492"/>
      <w:bookmarkStart w:id="110" w:name="_Toc75350991"/>
      <w:bookmarkStart w:id="111" w:name="_Toc75519660"/>
      <w:r>
        <w:rPr>
          <w:rStyle w:val="CharDivNo"/>
        </w:rPr>
        <w:t>Division 1</w:t>
      </w:r>
      <w:r>
        <w:t> — </w:t>
      </w:r>
      <w:r>
        <w:rPr>
          <w:rStyle w:val="CharDivText"/>
          <w:i/>
        </w:rPr>
        <w:t>Water Services (Water Corporations Charges) Regulations 2013</w:t>
      </w:r>
      <w:r>
        <w:rPr>
          <w:rStyle w:val="CharDivText"/>
        </w:rPr>
        <w:t xml:space="preserve"> repealed</w:t>
      </w:r>
      <w:bookmarkEnd w:id="108"/>
      <w:bookmarkEnd w:id="109"/>
      <w:bookmarkEnd w:id="110"/>
      <w:bookmarkEnd w:id="111"/>
    </w:p>
    <w:p w:rsidR="005435E9" w:rsidRDefault="005435E9">
      <w:pPr>
        <w:pStyle w:val="Heading5"/>
        <w:rPr>
          <w:b w:val="0"/>
        </w:rPr>
      </w:pPr>
      <w:bookmarkStart w:id="112" w:name="_Toc75519661"/>
      <w:r>
        <w:rPr>
          <w:rStyle w:val="CharSectno"/>
        </w:rPr>
        <w:t>52</w:t>
      </w:r>
      <w:r>
        <w:t>.</w:t>
      </w:r>
      <w:r>
        <w:tab/>
      </w:r>
      <w:r>
        <w:rPr>
          <w:i/>
        </w:rPr>
        <w:t>Water Services (Water Corporations Charges) Regulations 2013</w:t>
      </w:r>
      <w:r>
        <w:t xml:space="preserve"> repealed</w:t>
      </w:r>
      <w:bookmarkEnd w:id="112"/>
    </w:p>
    <w:p w:rsidR="005435E9" w:rsidRDefault="005435E9">
      <w:pPr>
        <w:pStyle w:val="Subsection"/>
      </w:pPr>
      <w:r>
        <w:tab/>
      </w:r>
      <w:r>
        <w:tab/>
        <w:t xml:space="preserve">The </w:t>
      </w:r>
      <w:r>
        <w:rPr>
          <w:i/>
        </w:rPr>
        <w:t>Water Services (Water Corporations Charges) Regulations 2013</w:t>
      </w:r>
      <w:r>
        <w:t xml:space="preserve"> are repealed.</w:t>
      </w:r>
    </w:p>
    <w:p w:rsidR="005435E9" w:rsidRDefault="005435E9">
      <w:pPr>
        <w:pStyle w:val="Heading3"/>
      </w:pPr>
      <w:bookmarkStart w:id="113" w:name="_Toc75266213"/>
      <w:bookmarkStart w:id="114" w:name="_Toc75269494"/>
      <w:bookmarkStart w:id="115" w:name="_Toc75350993"/>
      <w:bookmarkStart w:id="116" w:name="_Toc75519662"/>
      <w:r>
        <w:rPr>
          <w:rStyle w:val="CharDivNo"/>
        </w:rPr>
        <w:t>Division 2</w:t>
      </w:r>
      <w:r>
        <w:t> — </w:t>
      </w:r>
      <w:r>
        <w:rPr>
          <w:rStyle w:val="CharDivText"/>
        </w:rPr>
        <w:t xml:space="preserve">Transitional provisions: </w:t>
      </w:r>
      <w:r>
        <w:rPr>
          <w:rStyle w:val="CharDivText"/>
          <w:i/>
        </w:rPr>
        <w:t>Water Services (Water Corporations Charges) Regulations 2014</w:t>
      </w:r>
      <w:bookmarkEnd w:id="113"/>
      <w:bookmarkEnd w:id="114"/>
      <w:bookmarkEnd w:id="115"/>
      <w:bookmarkEnd w:id="116"/>
    </w:p>
    <w:p w:rsidR="005435E9" w:rsidRDefault="005435E9">
      <w:pPr>
        <w:pStyle w:val="Footnoteheading"/>
      </w:pPr>
      <w:r>
        <w:tab/>
        <w:t>[Heading amended: Gazette 15 Oct 2014 p. 3943.]</w:t>
      </w:r>
    </w:p>
    <w:p w:rsidR="005435E9" w:rsidRDefault="005435E9">
      <w:pPr>
        <w:pStyle w:val="Heading4"/>
      </w:pPr>
      <w:bookmarkStart w:id="117" w:name="_Toc75266214"/>
      <w:bookmarkStart w:id="118" w:name="_Toc75269495"/>
      <w:bookmarkStart w:id="119" w:name="_Toc75350994"/>
      <w:bookmarkStart w:id="120" w:name="_Toc75519663"/>
      <w:r>
        <w:t>Subdivision 1 — General provisions</w:t>
      </w:r>
      <w:bookmarkEnd w:id="117"/>
      <w:bookmarkEnd w:id="118"/>
      <w:bookmarkEnd w:id="119"/>
      <w:bookmarkEnd w:id="120"/>
    </w:p>
    <w:p w:rsidR="005435E9" w:rsidRDefault="005435E9">
      <w:pPr>
        <w:pStyle w:val="Heading5"/>
        <w:rPr>
          <w:b w:val="0"/>
        </w:rPr>
      </w:pPr>
      <w:bookmarkStart w:id="121" w:name="_Toc75519664"/>
      <w:r>
        <w:rPr>
          <w:rStyle w:val="CharSectno"/>
        </w:rPr>
        <w:t>53</w:t>
      </w:r>
      <w:r>
        <w:t>.</w:t>
      </w:r>
      <w:r>
        <w:tab/>
        <w:t xml:space="preserve">Application of the </w:t>
      </w:r>
      <w:r>
        <w:rPr>
          <w:i/>
        </w:rPr>
        <w:t>Interpretation Act 1984</w:t>
      </w:r>
      <w:bookmarkEnd w:id="121"/>
      <w:r>
        <w:rPr>
          <w:i/>
        </w:rPr>
        <w:t xml:space="preserve"> </w:t>
      </w:r>
    </w:p>
    <w:p w:rsidR="005435E9" w:rsidRDefault="005435E9">
      <w:pPr>
        <w:pStyle w:val="Subsection"/>
      </w:pPr>
      <w:r>
        <w:tab/>
      </w:r>
      <w:r>
        <w:tab/>
        <w:t xml:space="preserve">This Division does not limit the operation of the </w:t>
      </w:r>
      <w:r>
        <w:rPr>
          <w:i/>
        </w:rPr>
        <w:t>Interpretation Act 1984</w:t>
      </w:r>
      <w:r>
        <w:t>.</w:t>
      </w:r>
    </w:p>
    <w:p w:rsidR="005435E9" w:rsidRDefault="005435E9">
      <w:pPr>
        <w:pStyle w:val="Heading5"/>
      </w:pPr>
      <w:bookmarkStart w:id="122" w:name="_Toc75519665"/>
      <w:r>
        <w:rPr>
          <w:rStyle w:val="CharSectno"/>
        </w:rPr>
        <w:t>54</w:t>
      </w:r>
      <w:r>
        <w:t>.</w:t>
      </w:r>
      <w:r>
        <w:tab/>
        <w:t>Liability to water service charges</w:t>
      </w:r>
      <w:bookmarkEnd w:id="122"/>
    </w:p>
    <w:p w:rsidR="005435E9" w:rsidRDefault="005435E9">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rsidR="005435E9" w:rsidRDefault="005435E9">
      <w:pPr>
        <w:pStyle w:val="Heading5"/>
      </w:pPr>
      <w:bookmarkStart w:id="123" w:name="_Toc75519666"/>
      <w:r>
        <w:rPr>
          <w:rStyle w:val="CharSectno"/>
        </w:rPr>
        <w:t>55</w:t>
      </w:r>
      <w:r>
        <w:t>.</w:t>
      </w:r>
      <w:r>
        <w:tab/>
        <w:t>Continuing effect of things done before 1 July 2014</w:t>
      </w:r>
      <w:bookmarkEnd w:id="123"/>
    </w:p>
    <w:p w:rsidR="005435E9" w:rsidRDefault="005435E9">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rsidR="005435E9" w:rsidRDefault="005435E9">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rsidR="005435E9" w:rsidRDefault="005435E9">
      <w:pPr>
        <w:pStyle w:val="Heading5"/>
      </w:pPr>
      <w:bookmarkStart w:id="124" w:name="_Toc75519667"/>
      <w:r>
        <w:rPr>
          <w:rStyle w:val="CharSectno"/>
        </w:rPr>
        <w:t>56</w:t>
      </w:r>
      <w:r>
        <w:t>.</w:t>
      </w:r>
      <w:r>
        <w:tab/>
        <w:t>Relationship between Subdivision 1 and Subdivision 2</w:t>
      </w:r>
      <w:bookmarkEnd w:id="124"/>
    </w:p>
    <w:p w:rsidR="005435E9" w:rsidRDefault="005435E9">
      <w:pPr>
        <w:pStyle w:val="Subsection"/>
      </w:pPr>
      <w:r>
        <w:tab/>
      </w:r>
      <w:r>
        <w:tab/>
        <w:t>The generality of the provisions in this Subdivision is not limited by the specificity of the provisions in Subdivision 2.</w:t>
      </w:r>
    </w:p>
    <w:p w:rsidR="005435E9" w:rsidRDefault="005435E9">
      <w:pPr>
        <w:pStyle w:val="Heading4"/>
      </w:pPr>
      <w:bookmarkStart w:id="125" w:name="_Toc75266219"/>
      <w:bookmarkStart w:id="126" w:name="_Toc75269500"/>
      <w:bookmarkStart w:id="127" w:name="_Toc75350999"/>
      <w:bookmarkStart w:id="128" w:name="_Toc75519668"/>
      <w:r>
        <w:t>Subdivision 2 — Specific provisions</w:t>
      </w:r>
      <w:bookmarkEnd w:id="125"/>
      <w:bookmarkEnd w:id="126"/>
      <w:bookmarkEnd w:id="127"/>
      <w:bookmarkEnd w:id="128"/>
    </w:p>
    <w:p w:rsidR="005435E9" w:rsidRDefault="005435E9">
      <w:pPr>
        <w:pStyle w:val="Heading5"/>
      </w:pPr>
      <w:bookmarkStart w:id="129" w:name="_Toc75519669"/>
      <w:r>
        <w:rPr>
          <w:rStyle w:val="CharSectno"/>
        </w:rPr>
        <w:t>57</w:t>
      </w:r>
      <w:r>
        <w:t>.</w:t>
      </w:r>
      <w:r>
        <w:tab/>
        <w:t>Commencement of these regulations during charge period</w:t>
      </w:r>
      <w:bookmarkEnd w:id="129"/>
    </w:p>
    <w:p w:rsidR="005435E9" w:rsidRDefault="005435E9">
      <w:pPr>
        <w:pStyle w:val="Subsection"/>
      </w:pPr>
      <w:r>
        <w:tab/>
        <w:t>(1)</w:t>
      </w:r>
      <w:r>
        <w:tab/>
        <w:t xml:space="preserve">This regulation applies in relation to — </w:t>
      </w:r>
    </w:p>
    <w:p w:rsidR="005435E9" w:rsidRDefault="005435E9">
      <w:pPr>
        <w:pStyle w:val="Indenta"/>
        <w:rPr>
          <w:szCs w:val="24"/>
        </w:rPr>
      </w:pPr>
      <w:r>
        <w:tab/>
        <w:t>(a)</w:t>
      </w:r>
      <w:r>
        <w:tab/>
        <w:t>a water service charge set out in Schedule 1 Division 2, Schedule 2 Division 2, Schedule 3 Division 2 or Schedule 4 Division 2 or </w:t>
      </w:r>
      <w:r>
        <w:rPr>
          <w:szCs w:val="24"/>
        </w:rPr>
        <w:t>3; and</w:t>
      </w:r>
    </w:p>
    <w:p w:rsidR="005435E9" w:rsidRDefault="005435E9">
      <w:pPr>
        <w:pStyle w:val="Indenta"/>
      </w:pPr>
      <w:r>
        <w:tab/>
        <w:t>(b)</w:t>
      </w:r>
      <w:r>
        <w:tab/>
        <w:t>a charge period that commences before 1 July 2014 and ends on or after 1 July 2014.</w:t>
      </w:r>
    </w:p>
    <w:p w:rsidR="005435E9" w:rsidRDefault="005435E9">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rsidR="005435E9" w:rsidRDefault="005435E9">
      <w:pPr>
        <w:pStyle w:val="Heading5"/>
      </w:pPr>
      <w:bookmarkStart w:id="130" w:name="_Toc75519670"/>
      <w:r>
        <w:rPr>
          <w:rStyle w:val="CharSectno"/>
        </w:rPr>
        <w:t>58</w:t>
      </w:r>
      <w:r>
        <w:t>.</w:t>
      </w:r>
      <w:r>
        <w:tab/>
        <w:t>Special payment arrangements</w:t>
      </w:r>
      <w:bookmarkEnd w:id="130"/>
    </w:p>
    <w:p w:rsidR="005435E9" w:rsidRDefault="005435E9">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rsidR="005435E9" w:rsidRDefault="005435E9">
      <w:pPr>
        <w:pStyle w:val="Indenta"/>
      </w:pPr>
      <w:r>
        <w:tab/>
        <w:t>(a)</w:t>
      </w:r>
      <w:r>
        <w:tab/>
        <w:t>for the purposes of these regulations as if entered into under regulation 21; and</w:t>
      </w:r>
    </w:p>
    <w:p w:rsidR="005435E9" w:rsidRDefault="005435E9">
      <w:pPr>
        <w:pStyle w:val="Indenta"/>
      </w:pPr>
      <w:r>
        <w:lastRenderedPageBreak/>
        <w:tab/>
        <w:t>(b)</w:t>
      </w:r>
      <w:r>
        <w:tab/>
        <w:t>in relation to the corresponding charge or charges under these regulations.</w:t>
      </w:r>
    </w:p>
    <w:p w:rsidR="005435E9" w:rsidRDefault="005435E9">
      <w:pPr>
        <w:pStyle w:val="Heading5"/>
      </w:pPr>
      <w:bookmarkStart w:id="131" w:name="_Toc75519671"/>
      <w:r>
        <w:rPr>
          <w:rStyle w:val="CharSectno"/>
        </w:rPr>
        <w:t>59</w:t>
      </w:r>
      <w:r>
        <w:t>.</w:t>
      </w:r>
      <w:r>
        <w:tab/>
        <w:t>Commercial caravan parks</w:t>
      </w:r>
      <w:bookmarkEnd w:id="131"/>
    </w:p>
    <w:p w:rsidR="005435E9" w:rsidRDefault="005435E9">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rsidR="005435E9" w:rsidRDefault="005435E9">
      <w:pPr>
        <w:pStyle w:val="Heading5"/>
      </w:pPr>
      <w:bookmarkStart w:id="132" w:name="_Toc75519672"/>
      <w:r>
        <w:rPr>
          <w:rStyle w:val="CharSectno"/>
        </w:rPr>
        <w:t>60</w:t>
      </w:r>
      <w:r>
        <w:t>.</w:t>
      </w:r>
      <w:r>
        <w:tab/>
        <w:t>Certain charges and discharge volumes before 1 July 2014</w:t>
      </w:r>
      <w:bookmarkEnd w:id="132"/>
    </w:p>
    <w:p w:rsidR="005435E9" w:rsidRDefault="005435E9">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rsidR="005435E9" w:rsidRDefault="005435E9">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rsidR="005435E9" w:rsidRDefault="005435E9">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rsidR="005435E9" w:rsidRDefault="005435E9">
      <w:pPr>
        <w:pStyle w:val="Heading5"/>
      </w:pPr>
      <w:bookmarkStart w:id="133" w:name="_Toc75519673"/>
      <w:r>
        <w:rPr>
          <w:rStyle w:val="CharSectno"/>
        </w:rPr>
        <w:t>61</w:t>
      </w:r>
      <w:r>
        <w:t>.</w:t>
      </w:r>
      <w:r>
        <w:tab/>
        <w:t>Concessions: r. 34 and 35</w:t>
      </w:r>
      <w:bookmarkEnd w:id="133"/>
    </w:p>
    <w:p w:rsidR="005435E9" w:rsidRDefault="005435E9">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rsidR="005435E9" w:rsidRDefault="005435E9">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rsidR="005435E9" w:rsidRDefault="005435E9">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rsidR="005435E9" w:rsidRDefault="005435E9">
      <w:pPr>
        <w:pStyle w:val="Heading3"/>
      </w:pPr>
      <w:bookmarkStart w:id="134" w:name="_Toc75266225"/>
      <w:bookmarkStart w:id="135" w:name="_Toc75269506"/>
      <w:bookmarkStart w:id="136" w:name="_Toc75351005"/>
      <w:bookmarkStart w:id="137" w:name="_Toc7551967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4"/>
      <w:bookmarkEnd w:id="135"/>
      <w:bookmarkEnd w:id="136"/>
      <w:bookmarkEnd w:id="137"/>
    </w:p>
    <w:p w:rsidR="005435E9" w:rsidRDefault="005435E9">
      <w:pPr>
        <w:pStyle w:val="Footnoteheading"/>
      </w:pPr>
      <w:r>
        <w:tab/>
        <w:t>[Heading inserted: Gazette 15 Oct 2014 p. 3944.]</w:t>
      </w:r>
    </w:p>
    <w:p w:rsidR="005435E9" w:rsidRDefault="005435E9">
      <w:pPr>
        <w:pStyle w:val="Heading5"/>
      </w:pPr>
      <w:bookmarkStart w:id="138" w:name="_Toc75519675"/>
      <w:r>
        <w:rPr>
          <w:rStyle w:val="CharSectno"/>
        </w:rPr>
        <w:t>62</w:t>
      </w:r>
      <w:r>
        <w:t>.</w:t>
      </w:r>
      <w:r>
        <w:tab/>
        <w:t>Application of r. 5</w:t>
      </w:r>
      <w:bookmarkEnd w:id="138"/>
    </w:p>
    <w:p w:rsidR="005435E9" w:rsidRDefault="005435E9">
      <w:pPr>
        <w:pStyle w:val="Subsection"/>
      </w:pPr>
      <w:r>
        <w:tab/>
      </w:r>
      <w:r>
        <w:tab/>
        <w:t xml:space="preserve">Regulation 5 does not apply in relation to the amendments effected by the </w:t>
      </w:r>
      <w:r>
        <w:rPr>
          <w:i/>
        </w:rPr>
        <w:t>Water Services (Water Corporations Charges) Amendment Regulations (No. 2) 2014</w:t>
      </w:r>
      <w:r>
        <w:t>.</w:t>
      </w:r>
    </w:p>
    <w:p w:rsidR="005435E9" w:rsidRDefault="005435E9">
      <w:pPr>
        <w:pStyle w:val="Footnotesection"/>
      </w:pPr>
      <w:r>
        <w:tab/>
        <w:t>[Regulation 62 inserted: Gazette 15 Oct 2014 p. 3944.]</w:t>
      </w:r>
    </w:p>
    <w:p w:rsidR="005435E9" w:rsidRDefault="005435E9">
      <w:pPr>
        <w:pStyle w:val="Heading5"/>
      </w:pPr>
      <w:bookmarkStart w:id="139" w:name="_Toc75519676"/>
      <w:r>
        <w:rPr>
          <w:rStyle w:val="CharSectno"/>
        </w:rPr>
        <w:t>63</w:t>
      </w:r>
      <w:r>
        <w:t>.</w:t>
      </w:r>
      <w:r>
        <w:tab/>
        <w:t>Reduction, waiver or refund of certain charges</w:t>
      </w:r>
      <w:bookmarkEnd w:id="139"/>
    </w:p>
    <w:p w:rsidR="005435E9" w:rsidRDefault="005435E9">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rsidR="005435E9" w:rsidRDefault="005435E9">
      <w:pPr>
        <w:pStyle w:val="Subsection"/>
      </w:pPr>
      <w:r>
        <w:tab/>
        <w:t>(2)</w:t>
      </w:r>
      <w:r>
        <w:tab/>
        <w:t>The Bunbury Water Corporation or the Busselton Water Corporation (whichever is relevant) may reduce, waive or refund an amount of a charge.</w:t>
      </w:r>
    </w:p>
    <w:p w:rsidR="005435E9" w:rsidRDefault="005435E9">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rsidR="005435E9" w:rsidRDefault="005435E9">
      <w:pPr>
        <w:pStyle w:val="Subsection"/>
      </w:pPr>
      <w:r>
        <w:lastRenderedPageBreak/>
        <w:tab/>
        <w:t>(4)</w:t>
      </w:r>
      <w:r>
        <w:tab/>
        <w:t>A refund may be provided in the form of a credit against future water service charges.</w:t>
      </w:r>
    </w:p>
    <w:p w:rsidR="005435E9" w:rsidRDefault="005435E9">
      <w:pPr>
        <w:pStyle w:val="Footnotesection"/>
      </w:pPr>
      <w:r>
        <w:tab/>
        <w:t>[Regulation 63 inserted: Gazette 15 Oct 2014 p. 3944.]</w:t>
      </w:r>
    </w:p>
    <w:p w:rsidR="005435E9" w:rsidRDefault="005435E9">
      <w:pPr>
        <w:sectPr w:rsidR="005435E9">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rsidR="005435E9" w:rsidRDefault="005435E9">
      <w:pPr>
        <w:pStyle w:val="yScheduleHeading"/>
      </w:pPr>
      <w:bookmarkStart w:id="140" w:name="_Toc75266228"/>
      <w:bookmarkStart w:id="141" w:name="_Toc75269509"/>
      <w:bookmarkStart w:id="142" w:name="_Toc75351008"/>
      <w:bookmarkStart w:id="143" w:name="_Toc75519677"/>
      <w:r>
        <w:rPr>
          <w:rStyle w:val="CharSchNo"/>
        </w:rPr>
        <w:lastRenderedPageBreak/>
        <w:t>Schedule 1</w:t>
      </w:r>
      <w:r>
        <w:t> — </w:t>
      </w:r>
      <w:r>
        <w:rPr>
          <w:rStyle w:val="CharSchText"/>
        </w:rPr>
        <w:t>Charges for Bunbury Water Corporation</w:t>
      </w:r>
      <w:bookmarkEnd w:id="140"/>
      <w:bookmarkEnd w:id="141"/>
      <w:bookmarkEnd w:id="142"/>
      <w:bookmarkEnd w:id="143"/>
    </w:p>
    <w:p w:rsidR="005435E9" w:rsidRDefault="005435E9">
      <w:pPr>
        <w:pStyle w:val="yShoulderClause"/>
      </w:pPr>
      <w:r>
        <w:t>[r. 7]</w:t>
      </w:r>
    </w:p>
    <w:p w:rsidR="005435E9" w:rsidRDefault="005435E9">
      <w:pPr>
        <w:pStyle w:val="yFootnoteheading"/>
      </w:pPr>
      <w:r>
        <w:tab/>
        <w:t>[Heading inserted: SL 2020/95 r. 9.]</w:t>
      </w:r>
    </w:p>
    <w:p w:rsidR="005435E9" w:rsidRDefault="005435E9">
      <w:pPr>
        <w:pStyle w:val="yHeading3"/>
      </w:pPr>
      <w:bookmarkStart w:id="144" w:name="_Toc75266229"/>
      <w:bookmarkStart w:id="145" w:name="_Toc75269510"/>
      <w:bookmarkStart w:id="146" w:name="_Toc75351009"/>
      <w:bookmarkStart w:id="147" w:name="_Toc75519678"/>
      <w:r>
        <w:rPr>
          <w:rStyle w:val="CharSDivNo"/>
        </w:rPr>
        <w:t>Division 1</w:t>
      </w:r>
      <w:r>
        <w:t> — </w:t>
      </w:r>
      <w:r>
        <w:rPr>
          <w:rStyle w:val="CharSDivText"/>
        </w:rPr>
        <w:t>Service charges</w:t>
      </w:r>
      <w:bookmarkEnd w:id="144"/>
      <w:bookmarkEnd w:id="145"/>
      <w:bookmarkEnd w:id="146"/>
      <w:bookmarkEnd w:id="147"/>
    </w:p>
    <w:p w:rsidR="005435E9" w:rsidRDefault="005435E9">
      <w:pPr>
        <w:pStyle w:val="yFootnoteheading"/>
      </w:pPr>
      <w:r>
        <w:tab/>
        <w:t>[Heading inserted: SL 2020/95 r. 9.]</w:t>
      </w:r>
    </w:p>
    <w:p w:rsidR="005435E9" w:rsidRDefault="005435E9">
      <w:pPr>
        <w:pStyle w:val="yHeading5"/>
      </w:pPr>
      <w:bookmarkStart w:id="148" w:name="_Toc75519679"/>
      <w:r>
        <w:rPr>
          <w:rStyle w:val="CharSClsNo"/>
        </w:rPr>
        <w:t>1</w:t>
      </w:r>
      <w:r>
        <w:t>.</w:t>
      </w:r>
      <w:r>
        <w:tab/>
        <w:t>Service charges for 2020/21 year and subsequent years</w:t>
      </w:r>
      <w:bookmarkEnd w:id="148"/>
    </w:p>
    <w:p w:rsidR="005435E9" w:rsidRDefault="005435E9">
      <w:pPr>
        <w:pStyle w:val="ySubsection"/>
      </w:pPr>
      <w:r>
        <w:tab/>
      </w:r>
      <w:r>
        <w:tab/>
        <w:t>The charges set out in this Division apply for water supply services provided in the 2020/21 financial year and each subsequent year.</w:t>
      </w:r>
    </w:p>
    <w:p w:rsidR="005435E9" w:rsidRDefault="005435E9">
      <w:pPr>
        <w:pStyle w:val="yHeading5"/>
      </w:pPr>
      <w:bookmarkStart w:id="149" w:name="_Toc75519680"/>
      <w:r>
        <w:rPr>
          <w:rStyle w:val="CharSClsNo"/>
        </w:rPr>
        <w:t>2</w:t>
      </w:r>
      <w:r>
        <w:t>.</w:t>
      </w:r>
      <w:r>
        <w:tab/>
        <w:t>Residential lots</w:t>
      </w:r>
      <w:bookmarkEnd w:id="149"/>
    </w:p>
    <w:p w:rsidR="005435E9" w:rsidRDefault="005435E9">
      <w:pPr>
        <w:pStyle w:val="ySubsection"/>
        <w:tabs>
          <w:tab w:val="right" w:leader="dot" w:pos="6804"/>
        </w:tabs>
      </w:pPr>
      <w:r>
        <w:tab/>
      </w:r>
      <w:r>
        <w:tab/>
        <w:t xml:space="preserve">For a residential lot, the charge is </w:t>
      </w:r>
      <w:r>
        <w:tab/>
        <w:t>$251.89</w:t>
      </w:r>
    </w:p>
    <w:p w:rsidR="005435E9" w:rsidRDefault="005435E9">
      <w:pPr>
        <w:pStyle w:val="yHeading5"/>
      </w:pPr>
      <w:bookmarkStart w:id="150" w:name="_Toc75519681"/>
      <w:r>
        <w:rPr>
          <w:rStyle w:val="CharSClsNo"/>
        </w:rPr>
        <w:t>3</w:t>
      </w:r>
      <w:r>
        <w:t>.</w:t>
      </w:r>
      <w:r>
        <w:tab/>
        <w:t>Non</w:t>
      </w:r>
      <w:r>
        <w:noBreakHyphen/>
        <w:t>residential lots</w:t>
      </w:r>
      <w:bookmarkEnd w:id="150"/>
    </w:p>
    <w:p w:rsidR="005435E9" w:rsidRDefault="005435E9">
      <w:pPr>
        <w:pStyle w:val="ySubsection"/>
      </w:pPr>
      <w:r>
        <w:tab/>
      </w:r>
      <w:r>
        <w:tab/>
        <w:t>For a non</w:t>
      </w:r>
      <w:r>
        <w:noBreakHyphen/>
        <w:t>residential lot, the charge, according to the size of the meter, is —</w:t>
      </w:r>
    </w:p>
    <w:p w:rsidR="005435E9" w:rsidRDefault="005435E9">
      <w:pPr>
        <w:pStyle w:val="yMiscellaneousBody"/>
        <w:tabs>
          <w:tab w:val="right" w:leader="dot" w:pos="6804"/>
        </w:tabs>
        <w:ind w:left="1134" w:hanging="114"/>
      </w:pPr>
      <w:r>
        <w:tab/>
        <w:t xml:space="preserve">20 mm </w:t>
      </w:r>
      <w:r>
        <w:tab/>
        <w:t>$258.15</w:t>
      </w:r>
    </w:p>
    <w:p w:rsidR="005435E9" w:rsidRDefault="005435E9">
      <w:pPr>
        <w:pStyle w:val="yMiscellaneousBody"/>
        <w:tabs>
          <w:tab w:val="right" w:leader="dot" w:pos="6804"/>
        </w:tabs>
        <w:ind w:left="1134" w:hanging="114"/>
      </w:pPr>
      <w:r>
        <w:tab/>
        <w:t xml:space="preserve">25 mm </w:t>
      </w:r>
      <w:r>
        <w:tab/>
        <w:t>$402.80</w:t>
      </w:r>
    </w:p>
    <w:p w:rsidR="005435E9" w:rsidRDefault="005435E9">
      <w:pPr>
        <w:pStyle w:val="yMiscellaneousBody"/>
        <w:tabs>
          <w:tab w:val="right" w:leader="dot" w:pos="6804"/>
        </w:tabs>
        <w:ind w:left="1134" w:hanging="114"/>
      </w:pPr>
      <w:r>
        <w:tab/>
        <w:t xml:space="preserve">40 mm </w:t>
      </w:r>
      <w:r>
        <w:tab/>
        <w:t>$1 032.80</w:t>
      </w:r>
    </w:p>
    <w:p w:rsidR="005435E9" w:rsidRDefault="005435E9">
      <w:pPr>
        <w:pStyle w:val="yMiscellaneousBody"/>
        <w:tabs>
          <w:tab w:val="right" w:leader="dot" w:pos="6804"/>
        </w:tabs>
        <w:ind w:left="1134" w:hanging="114"/>
      </w:pPr>
      <w:r>
        <w:tab/>
        <w:t xml:space="preserve">50 mm </w:t>
      </w:r>
      <w:r>
        <w:tab/>
        <w:t>$1 613.80</w:t>
      </w:r>
    </w:p>
    <w:p w:rsidR="005435E9" w:rsidRDefault="005435E9">
      <w:pPr>
        <w:pStyle w:val="yMiscellaneousBody"/>
        <w:tabs>
          <w:tab w:val="right" w:leader="dot" w:pos="6804"/>
        </w:tabs>
        <w:ind w:left="1134" w:hanging="114"/>
      </w:pPr>
      <w:r>
        <w:tab/>
        <w:t xml:space="preserve">80 mm </w:t>
      </w:r>
      <w:r>
        <w:tab/>
        <w:t>$4 131.20</w:t>
      </w:r>
    </w:p>
    <w:p w:rsidR="005435E9" w:rsidRDefault="005435E9">
      <w:pPr>
        <w:pStyle w:val="yMiscellaneousBody"/>
        <w:tabs>
          <w:tab w:val="right" w:leader="dot" w:pos="6804"/>
        </w:tabs>
        <w:ind w:left="1134" w:hanging="114"/>
      </w:pPr>
      <w:r>
        <w:tab/>
        <w:t xml:space="preserve">100 mm </w:t>
      </w:r>
      <w:r>
        <w:tab/>
        <w:t>$6 455.00</w:t>
      </w:r>
    </w:p>
    <w:p w:rsidR="005435E9" w:rsidRDefault="005435E9">
      <w:pPr>
        <w:pStyle w:val="yMiscellaneousBody"/>
        <w:tabs>
          <w:tab w:val="right" w:leader="dot" w:pos="6804"/>
        </w:tabs>
        <w:ind w:left="1134" w:hanging="114"/>
      </w:pPr>
      <w:r>
        <w:tab/>
        <w:t xml:space="preserve">150 mm </w:t>
      </w:r>
      <w:r>
        <w:tab/>
        <w:t>$14 523.80</w:t>
      </w:r>
    </w:p>
    <w:p w:rsidR="005435E9" w:rsidRDefault="005435E9">
      <w:pPr>
        <w:pStyle w:val="yHeading5"/>
      </w:pPr>
      <w:bookmarkStart w:id="151" w:name="_Toc75519682"/>
      <w:r>
        <w:rPr>
          <w:rStyle w:val="CharSClsNo"/>
        </w:rPr>
        <w:t>4</w:t>
      </w:r>
      <w:r>
        <w:t>.</w:t>
      </w:r>
      <w:r>
        <w:tab/>
        <w:t>Fire service connections</w:t>
      </w:r>
      <w:bookmarkEnd w:id="151"/>
    </w:p>
    <w:p w:rsidR="005435E9" w:rsidRDefault="005435E9">
      <w:pPr>
        <w:pStyle w:val="ySubsection"/>
      </w:pPr>
      <w:r>
        <w:tab/>
      </w:r>
      <w:r>
        <w:tab/>
        <w:t>For a fire service connection, the charge, according to the size of the meter, is —</w:t>
      </w:r>
    </w:p>
    <w:p w:rsidR="005435E9" w:rsidRDefault="005435E9">
      <w:pPr>
        <w:pStyle w:val="yMiscellaneousBody"/>
        <w:tabs>
          <w:tab w:val="right" w:leader="dot" w:pos="6804"/>
        </w:tabs>
        <w:ind w:left="1134" w:hanging="114"/>
      </w:pPr>
      <w:r>
        <w:tab/>
        <w:t xml:space="preserve">25 mm </w:t>
      </w:r>
      <w:r>
        <w:tab/>
        <w:t>$146.85</w:t>
      </w:r>
    </w:p>
    <w:p w:rsidR="005435E9" w:rsidRDefault="005435E9">
      <w:pPr>
        <w:pStyle w:val="yMiscellaneousBody"/>
        <w:tabs>
          <w:tab w:val="right" w:leader="dot" w:pos="6804"/>
        </w:tabs>
        <w:ind w:left="1134" w:hanging="114"/>
      </w:pPr>
      <w:r>
        <w:tab/>
        <w:t xml:space="preserve">40 mm </w:t>
      </w:r>
      <w:r>
        <w:tab/>
        <w:t>$235.00</w:t>
      </w:r>
    </w:p>
    <w:p w:rsidR="005435E9" w:rsidRDefault="005435E9">
      <w:pPr>
        <w:pStyle w:val="yMiscellaneousBody"/>
        <w:tabs>
          <w:tab w:val="right" w:leader="dot" w:pos="6804"/>
        </w:tabs>
        <w:ind w:left="1134" w:hanging="114"/>
      </w:pPr>
      <w:r>
        <w:tab/>
        <w:t xml:space="preserve">50 mm </w:t>
      </w:r>
      <w:r>
        <w:tab/>
        <w:t>$293.75</w:t>
      </w:r>
    </w:p>
    <w:p w:rsidR="005435E9" w:rsidRDefault="005435E9">
      <w:pPr>
        <w:pStyle w:val="yMiscellaneousBody"/>
        <w:tabs>
          <w:tab w:val="right" w:leader="dot" w:pos="6804"/>
        </w:tabs>
        <w:ind w:left="1134" w:hanging="114"/>
      </w:pPr>
      <w:r>
        <w:lastRenderedPageBreak/>
        <w:tab/>
        <w:t xml:space="preserve">100 mm </w:t>
      </w:r>
      <w:r>
        <w:tab/>
        <w:t>$587.50</w:t>
      </w:r>
    </w:p>
    <w:p w:rsidR="005435E9" w:rsidRDefault="005435E9">
      <w:pPr>
        <w:pStyle w:val="yMiscellaneousBody"/>
        <w:tabs>
          <w:tab w:val="right" w:leader="dot" w:pos="6804"/>
        </w:tabs>
        <w:ind w:left="1134" w:hanging="114"/>
      </w:pPr>
      <w:r>
        <w:tab/>
        <w:t xml:space="preserve">150 mm </w:t>
      </w:r>
      <w:r>
        <w:tab/>
        <w:t>$881.30</w:t>
      </w:r>
    </w:p>
    <w:p w:rsidR="005435E9" w:rsidRDefault="005435E9">
      <w:pPr>
        <w:pStyle w:val="yMiscellaneousBody"/>
        <w:tabs>
          <w:tab w:val="right" w:leader="dot" w:pos="6804"/>
        </w:tabs>
        <w:ind w:left="1134" w:hanging="114"/>
      </w:pPr>
      <w:r>
        <w:tab/>
        <w:t xml:space="preserve">200 mm </w:t>
      </w:r>
      <w:r>
        <w:tab/>
        <w:t>$1 175.10</w:t>
      </w:r>
    </w:p>
    <w:p w:rsidR="005435E9" w:rsidRDefault="005435E9">
      <w:pPr>
        <w:pStyle w:val="yFootnotesection"/>
      </w:pPr>
      <w:r>
        <w:tab/>
        <w:t>[Division 1 inserted: SL 2020/95 r. 9.]</w:t>
      </w:r>
    </w:p>
    <w:p w:rsidR="005435E9" w:rsidRDefault="005435E9">
      <w:pPr>
        <w:pStyle w:val="yHeading3"/>
      </w:pPr>
      <w:bookmarkStart w:id="152" w:name="_Toc75266234"/>
      <w:bookmarkStart w:id="153" w:name="_Toc75269515"/>
      <w:bookmarkStart w:id="154" w:name="_Toc75351014"/>
      <w:bookmarkStart w:id="155" w:name="_Toc75519683"/>
      <w:r>
        <w:rPr>
          <w:rStyle w:val="CharSDivNo"/>
        </w:rPr>
        <w:t>Division 2</w:t>
      </w:r>
      <w:r>
        <w:t> — </w:t>
      </w:r>
      <w:r>
        <w:rPr>
          <w:rStyle w:val="CharSDivText"/>
        </w:rPr>
        <w:t>Consumption charges</w:t>
      </w:r>
      <w:bookmarkEnd w:id="152"/>
      <w:bookmarkEnd w:id="153"/>
      <w:bookmarkEnd w:id="154"/>
      <w:bookmarkEnd w:id="155"/>
    </w:p>
    <w:p w:rsidR="005435E9" w:rsidRDefault="005435E9">
      <w:pPr>
        <w:pStyle w:val="yFootnoteheading"/>
      </w:pPr>
      <w:r>
        <w:tab/>
        <w:t>[Heading inserted: SL 2020/95 r. 9.]</w:t>
      </w:r>
    </w:p>
    <w:p w:rsidR="005435E9" w:rsidRDefault="005435E9">
      <w:pPr>
        <w:pStyle w:val="yHeading5"/>
      </w:pPr>
      <w:bookmarkStart w:id="156" w:name="_Toc75519684"/>
      <w:r>
        <w:rPr>
          <w:rStyle w:val="CharSClsNo"/>
        </w:rPr>
        <w:t>5</w:t>
      </w:r>
      <w:r>
        <w:t>.</w:t>
      </w:r>
      <w:r>
        <w:tab/>
        <w:t>Consumption charges for 2020/21 year and subsequent years</w:t>
      </w:r>
      <w:bookmarkEnd w:id="156"/>
    </w:p>
    <w:p w:rsidR="005435E9" w:rsidRDefault="005435E9">
      <w:pPr>
        <w:pStyle w:val="ySubsection"/>
      </w:pPr>
      <w:r>
        <w:tab/>
      </w:r>
      <w:r>
        <w:tab/>
        <w:t>The charges set out in this Division apply for water supplied in the 2020/21 financial year and each subsequent year.</w:t>
      </w:r>
    </w:p>
    <w:p w:rsidR="005435E9" w:rsidRDefault="005435E9">
      <w:pPr>
        <w:pStyle w:val="yHeading5"/>
      </w:pPr>
      <w:bookmarkStart w:id="157" w:name="_Toc75519685"/>
      <w:r>
        <w:rPr>
          <w:rStyle w:val="CharSClsNo"/>
        </w:rPr>
        <w:t>6</w:t>
      </w:r>
      <w:r>
        <w:t>.</w:t>
      </w:r>
      <w:r>
        <w:tab/>
        <w:t>Residential lots</w:t>
      </w:r>
      <w:bookmarkEnd w:id="157"/>
    </w:p>
    <w:p w:rsidR="005435E9" w:rsidRDefault="005435E9">
      <w:pPr>
        <w:pStyle w:val="ySubsection"/>
      </w:pPr>
      <w:r>
        <w:tab/>
        <w:t>(1)</w:t>
      </w:r>
      <w:r>
        <w:tab/>
        <w:t>For each kilolitre of water supplied to a residential lot, the charge is —</w:t>
      </w:r>
    </w:p>
    <w:p w:rsidR="005435E9" w:rsidRDefault="005435E9">
      <w:pPr>
        <w:pStyle w:val="yMiscellaneousBody"/>
        <w:tabs>
          <w:tab w:val="right" w:leader="dot" w:pos="6804"/>
        </w:tabs>
        <w:ind w:left="1134" w:hanging="114"/>
      </w:pPr>
      <w:r>
        <w:tab/>
        <w:t xml:space="preserve">up to 150 kL </w:t>
      </w:r>
      <w:r>
        <w:tab/>
        <w:t>$1.05</w:t>
      </w:r>
    </w:p>
    <w:p w:rsidR="005435E9" w:rsidRDefault="005435E9">
      <w:pPr>
        <w:pStyle w:val="yMiscellaneousBody"/>
        <w:tabs>
          <w:tab w:val="right" w:leader="dot" w:pos="6804"/>
        </w:tabs>
        <w:ind w:left="1134" w:hanging="114"/>
      </w:pPr>
      <w:r>
        <w:tab/>
        <w:t xml:space="preserve">over 150 but not over 350 kL </w:t>
      </w:r>
      <w:r>
        <w:tab/>
        <w:t>$1.94</w:t>
      </w:r>
    </w:p>
    <w:p w:rsidR="005435E9" w:rsidRDefault="005435E9">
      <w:pPr>
        <w:pStyle w:val="yMiscellaneousBody"/>
        <w:tabs>
          <w:tab w:val="right" w:leader="dot" w:pos="6804"/>
        </w:tabs>
        <w:ind w:left="1134" w:hanging="114"/>
      </w:pPr>
      <w:r>
        <w:tab/>
        <w:t xml:space="preserve">over 350 but not over 500 kL </w:t>
      </w:r>
      <w:r>
        <w:tab/>
        <w:t>$2.77</w:t>
      </w:r>
    </w:p>
    <w:p w:rsidR="005435E9" w:rsidRDefault="005435E9">
      <w:pPr>
        <w:pStyle w:val="yMiscellaneousBody"/>
        <w:tabs>
          <w:tab w:val="right" w:leader="dot" w:pos="6804"/>
        </w:tabs>
        <w:ind w:left="1134" w:hanging="114"/>
      </w:pPr>
      <w:r>
        <w:tab/>
        <w:t xml:space="preserve">over 500 kL </w:t>
      </w:r>
      <w:r>
        <w:tab/>
        <w:t>$3.43</w:t>
      </w:r>
    </w:p>
    <w:p w:rsidR="005435E9" w:rsidRDefault="005435E9">
      <w:pPr>
        <w:pStyle w:val="ySubsection"/>
      </w:pPr>
      <w:r>
        <w:tab/>
        <w:t>(2)</w:t>
      </w:r>
      <w:r>
        <w:tab/>
        <w:t>The volumetric ranges in this item have effect by reference to the volume of water supplied in the current consumption year.</w:t>
      </w:r>
    </w:p>
    <w:p w:rsidR="005435E9" w:rsidRDefault="005435E9">
      <w:pPr>
        <w:pStyle w:val="yHeading5"/>
      </w:pPr>
      <w:bookmarkStart w:id="158" w:name="_Toc75519686"/>
      <w:r>
        <w:rPr>
          <w:rStyle w:val="CharSClsNo"/>
        </w:rPr>
        <w:t>7</w:t>
      </w:r>
      <w:r>
        <w:t>.</w:t>
      </w:r>
      <w:r>
        <w:tab/>
        <w:t>Non</w:t>
      </w:r>
      <w:r>
        <w:noBreakHyphen/>
        <w:t>residential lots</w:t>
      </w:r>
      <w:bookmarkEnd w:id="158"/>
    </w:p>
    <w:p w:rsidR="005435E9" w:rsidRDefault="005435E9">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rsidR="005435E9" w:rsidRDefault="005435E9">
      <w:pPr>
        <w:pStyle w:val="yFootnotesection"/>
      </w:pPr>
      <w:r>
        <w:tab/>
        <w:t>[Division 2 inserted: SL 2020/95 r. 9.]</w:t>
      </w:r>
    </w:p>
    <w:p w:rsidR="005435E9" w:rsidRDefault="005435E9">
      <w:pPr>
        <w:pStyle w:val="yScheduleHeading"/>
      </w:pPr>
      <w:bookmarkStart w:id="159" w:name="_Toc75266238"/>
      <w:bookmarkStart w:id="160" w:name="_Toc75269519"/>
      <w:bookmarkStart w:id="161" w:name="_Toc75351018"/>
      <w:bookmarkStart w:id="162" w:name="_Toc75519687"/>
      <w:r>
        <w:rPr>
          <w:rStyle w:val="CharSchNo"/>
        </w:rPr>
        <w:lastRenderedPageBreak/>
        <w:t>Schedule 2</w:t>
      </w:r>
      <w:r>
        <w:t> — </w:t>
      </w:r>
      <w:r>
        <w:rPr>
          <w:rStyle w:val="CharSchText"/>
        </w:rPr>
        <w:t>Charges for Busselton Water Corporation</w:t>
      </w:r>
      <w:bookmarkEnd w:id="159"/>
      <w:bookmarkEnd w:id="160"/>
      <w:bookmarkEnd w:id="161"/>
      <w:bookmarkEnd w:id="162"/>
    </w:p>
    <w:p w:rsidR="005435E9" w:rsidRDefault="005435E9">
      <w:pPr>
        <w:pStyle w:val="yShoulderClause"/>
      </w:pPr>
      <w:r>
        <w:t>[r. 12]</w:t>
      </w:r>
    </w:p>
    <w:p w:rsidR="005435E9" w:rsidRDefault="005435E9">
      <w:pPr>
        <w:pStyle w:val="yFootnoteheading"/>
      </w:pPr>
      <w:r>
        <w:tab/>
        <w:t>[Heading inserted: SL 2020/95 r. 9.]</w:t>
      </w:r>
    </w:p>
    <w:p w:rsidR="005435E9" w:rsidRDefault="005435E9">
      <w:pPr>
        <w:pStyle w:val="yHeading3"/>
      </w:pPr>
      <w:bookmarkStart w:id="163" w:name="_Toc75266239"/>
      <w:bookmarkStart w:id="164" w:name="_Toc75269520"/>
      <w:bookmarkStart w:id="165" w:name="_Toc75351019"/>
      <w:bookmarkStart w:id="166" w:name="_Toc75519688"/>
      <w:r>
        <w:rPr>
          <w:rStyle w:val="CharSDivNo"/>
        </w:rPr>
        <w:t>Division 1</w:t>
      </w:r>
      <w:r>
        <w:t> — </w:t>
      </w:r>
      <w:r>
        <w:rPr>
          <w:rStyle w:val="CharSDivText"/>
        </w:rPr>
        <w:t>Service charges</w:t>
      </w:r>
      <w:bookmarkEnd w:id="163"/>
      <w:bookmarkEnd w:id="164"/>
      <w:bookmarkEnd w:id="165"/>
      <w:bookmarkEnd w:id="166"/>
    </w:p>
    <w:p w:rsidR="005435E9" w:rsidRDefault="005435E9">
      <w:pPr>
        <w:pStyle w:val="yFootnoteheading"/>
      </w:pPr>
      <w:r>
        <w:tab/>
        <w:t>[Heading inserted: SL 2020/95 r. 9.]</w:t>
      </w:r>
    </w:p>
    <w:p w:rsidR="005435E9" w:rsidRDefault="005435E9">
      <w:pPr>
        <w:pStyle w:val="yHeading5"/>
      </w:pPr>
      <w:bookmarkStart w:id="167" w:name="_Toc75519689"/>
      <w:r>
        <w:rPr>
          <w:rStyle w:val="CharSClsNo"/>
        </w:rPr>
        <w:t>1</w:t>
      </w:r>
      <w:r>
        <w:t>.</w:t>
      </w:r>
      <w:r>
        <w:tab/>
        <w:t>Service charges for 2020/21 year and subsequent years</w:t>
      </w:r>
      <w:bookmarkEnd w:id="167"/>
    </w:p>
    <w:p w:rsidR="005435E9" w:rsidRDefault="005435E9">
      <w:pPr>
        <w:pStyle w:val="ySubsection"/>
      </w:pPr>
      <w:r>
        <w:tab/>
      </w:r>
      <w:r>
        <w:tab/>
        <w:t>The charges set out in this Division apply for water supply services provided in the 2020/21 financial year and each subsequent year.</w:t>
      </w:r>
    </w:p>
    <w:p w:rsidR="005435E9" w:rsidRDefault="005435E9">
      <w:pPr>
        <w:pStyle w:val="yHeading5"/>
      </w:pPr>
      <w:bookmarkStart w:id="168" w:name="_Toc75519690"/>
      <w:r>
        <w:rPr>
          <w:rStyle w:val="CharSClsNo"/>
        </w:rPr>
        <w:t>2</w:t>
      </w:r>
      <w:r>
        <w:t>.</w:t>
      </w:r>
      <w:r>
        <w:tab/>
        <w:t>Residential lots</w:t>
      </w:r>
      <w:bookmarkEnd w:id="168"/>
    </w:p>
    <w:p w:rsidR="005435E9" w:rsidRDefault="005435E9">
      <w:pPr>
        <w:pStyle w:val="ySubsection"/>
        <w:tabs>
          <w:tab w:val="right" w:leader="dot" w:pos="6804"/>
        </w:tabs>
      </w:pPr>
      <w:r>
        <w:tab/>
      </w:r>
      <w:r>
        <w:tab/>
        <w:t xml:space="preserve">For a residential lot, the charge is </w:t>
      </w:r>
      <w:r>
        <w:tab/>
        <w:t>$219.35</w:t>
      </w:r>
    </w:p>
    <w:p w:rsidR="005435E9" w:rsidRDefault="005435E9">
      <w:pPr>
        <w:pStyle w:val="yHeading5"/>
      </w:pPr>
      <w:bookmarkStart w:id="169" w:name="_Toc75519691"/>
      <w:r>
        <w:rPr>
          <w:rStyle w:val="CharSClsNo"/>
        </w:rPr>
        <w:t>3</w:t>
      </w:r>
      <w:r>
        <w:t>.</w:t>
      </w:r>
      <w:r>
        <w:tab/>
        <w:t>Non</w:t>
      </w:r>
      <w:r>
        <w:noBreakHyphen/>
        <w:t>residential lots</w:t>
      </w:r>
      <w:bookmarkEnd w:id="169"/>
    </w:p>
    <w:p w:rsidR="005435E9" w:rsidRDefault="005435E9">
      <w:pPr>
        <w:pStyle w:val="ySubsection"/>
      </w:pPr>
      <w:r>
        <w:tab/>
      </w:r>
      <w:r>
        <w:tab/>
        <w:t>For a non</w:t>
      </w:r>
      <w:r>
        <w:noBreakHyphen/>
        <w:t>residential lot, the charge, according to the size of the meter, is —</w:t>
      </w:r>
    </w:p>
    <w:p w:rsidR="005435E9" w:rsidRDefault="005435E9">
      <w:pPr>
        <w:pStyle w:val="yMiscellaneousBody"/>
        <w:tabs>
          <w:tab w:val="right" w:leader="dot" w:pos="6804"/>
        </w:tabs>
        <w:ind w:left="1134" w:hanging="114"/>
      </w:pPr>
      <w:r>
        <w:tab/>
        <w:t xml:space="preserve">20 mm </w:t>
      </w:r>
      <w:r>
        <w:tab/>
        <w:t>$224.85</w:t>
      </w:r>
    </w:p>
    <w:p w:rsidR="005435E9" w:rsidRDefault="005435E9">
      <w:pPr>
        <w:pStyle w:val="yMiscellaneousBody"/>
        <w:tabs>
          <w:tab w:val="right" w:leader="dot" w:pos="6804"/>
        </w:tabs>
        <w:ind w:left="1134" w:hanging="114"/>
      </w:pPr>
      <w:r>
        <w:tab/>
        <w:t xml:space="preserve">25 mm </w:t>
      </w:r>
      <w:r>
        <w:tab/>
        <w:t>$351.30</w:t>
      </w:r>
    </w:p>
    <w:p w:rsidR="005435E9" w:rsidRDefault="005435E9">
      <w:pPr>
        <w:pStyle w:val="yMiscellaneousBody"/>
        <w:tabs>
          <w:tab w:val="right" w:leader="dot" w:pos="6804"/>
        </w:tabs>
        <w:ind w:left="1134" w:hanging="114"/>
      </w:pPr>
      <w:r>
        <w:tab/>
        <w:t xml:space="preserve">40 mm </w:t>
      </w:r>
      <w:r>
        <w:tab/>
        <w:t>$899.34</w:t>
      </w:r>
    </w:p>
    <w:p w:rsidR="005435E9" w:rsidRDefault="005435E9">
      <w:pPr>
        <w:pStyle w:val="yMiscellaneousBody"/>
        <w:tabs>
          <w:tab w:val="right" w:leader="dot" w:pos="6804"/>
        </w:tabs>
        <w:ind w:left="1134" w:hanging="114"/>
      </w:pPr>
      <w:r>
        <w:tab/>
        <w:t xml:space="preserve">50 mm </w:t>
      </w:r>
      <w:r>
        <w:tab/>
        <w:t>$1 405.20</w:t>
      </w:r>
    </w:p>
    <w:p w:rsidR="005435E9" w:rsidRDefault="005435E9">
      <w:pPr>
        <w:pStyle w:val="yMiscellaneousBody"/>
        <w:tabs>
          <w:tab w:val="right" w:leader="dot" w:pos="6804"/>
        </w:tabs>
        <w:ind w:left="1134" w:hanging="114"/>
      </w:pPr>
      <w:r>
        <w:tab/>
        <w:t xml:space="preserve">80 mm </w:t>
      </w:r>
      <w:r>
        <w:tab/>
        <w:t>$3 597.34</w:t>
      </w:r>
    </w:p>
    <w:p w:rsidR="005435E9" w:rsidRDefault="005435E9">
      <w:pPr>
        <w:pStyle w:val="yMiscellaneousBody"/>
        <w:tabs>
          <w:tab w:val="right" w:leader="dot" w:pos="6804"/>
        </w:tabs>
        <w:ind w:left="1134" w:hanging="114"/>
      </w:pPr>
      <w:r>
        <w:tab/>
        <w:t xml:space="preserve">100 mm </w:t>
      </w:r>
      <w:r>
        <w:tab/>
        <w:t>$5 620.82</w:t>
      </w:r>
    </w:p>
    <w:p w:rsidR="005435E9" w:rsidRDefault="005435E9">
      <w:pPr>
        <w:pStyle w:val="yMiscellaneousBody"/>
        <w:tabs>
          <w:tab w:val="right" w:leader="dot" w:pos="6804"/>
        </w:tabs>
        <w:ind w:left="1134" w:hanging="114"/>
      </w:pPr>
      <w:r>
        <w:tab/>
        <w:t xml:space="preserve">150 mm </w:t>
      </w:r>
      <w:r>
        <w:tab/>
        <w:t>$12 646.86</w:t>
      </w:r>
    </w:p>
    <w:p w:rsidR="005435E9" w:rsidRDefault="005435E9">
      <w:pPr>
        <w:pStyle w:val="yHeading5"/>
      </w:pPr>
      <w:bookmarkStart w:id="170" w:name="_Toc75519692"/>
      <w:r>
        <w:rPr>
          <w:rStyle w:val="CharSClsNo"/>
        </w:rPr>
        <w:t>4</w:t>
      </w:r>
      <w:r>
        <w:t>.</w:t>
      </w:r>
      <w:r>
        <w:tab/>
        <w:t>Vacant land</w:t>
      </w:r>
      <w:bookmarkEnd w:id="170"/>
    </w:p>
    <w:p w:rsidR="005435E9" w:rsidRDefault="005435E9">
      <w:pPr>
        <w:pStyle w:val="ySubsection"/>
        <w:tabs>
          <w:tab w:val="right" w:leader="dot" w:pos="6804"/>
        </w:tabs>
      </w:pPr>
      <w:r>
        <w:tab/>
      </w:r>
      <w:r>
        <w:tab/>
        <w:t xml:space="preserve">For vacant land, the charge is </w:t>
      </w:r>
      <w:r>
        <w:tab/>
        <w:t>$224.85</w:t>
      </w:r>
    </w:p>
    <w:p w:rsidR="005435E9" w:rsidRDefault="005435E9">
      <w:pPr>
        <w:pStyle w:val="yHeading5"/>
      </w:pPr>
      <w:bookmarkStart w:id="171" w:name="_Toc75519693"/>
      <w:r>
        <w:rPr>
          <w:rStyle w:val="CharSClsNo"/>
        </w:rPr>
        <w:t>5</w:t>
      </w:r>
      <w:r>
        <w:t>.</w:t>
      </w:r>
      <w:r>
        <w:tab/>
        <w:t>Fire service connections</w:t>
      </w:r>
      <w:bookmarkEnd w:id="171"/>
    </w:p>
    <w:p w:rsidR="005435E9" w:rsidRDefault="005435E9">
      <w:pPr>
        <w:pStyle w:val="ySubsection"/>
        <w:tabs>
          <w:tab w:val="right" w:leader="dot" w:pos="6804"/>
        </w:tabs>
      </w:pPr>
      <w:r>
        <w:tab/>
      </w:r>
      <w:r>
        <w:tab/>
        <w:t xml:space="preserve">For a fire service connection, the charge is </w:t>
      </w:r>
      <w:r>
        <w:tab/>
        <w:t>$224.85</w:t>
      </w:r>
    </w:p>
    <w:p w:rsidR="005435E9" w:rsidRDefault="005435E9">
      <w:pPr>
        <w:pStyle w:val="yFootnotesection"/>
      </w:pPr>
      <w:r>
        <w:tab/>
        <w:t>[Division 1 inserted: SL 2020/95 r. 9.]</w:t>
      </w:r>
    </w:p>
    <w:p w:rsidR="005435E9" w:rsidRDefault="005435E9">
      <w:pPr>
        <w:pStyle w:val="yHeading3"/>
      </w:pPr>
      <w:bookmarkStart w:id="172" w:name="_Toc75266245"/>
      <w:bookmarkStart w:id="173" w:name="_Toc75269526"/>
      <w:bookmarkStart w:id="174" w:name="_Toc75351025"/>
      <w:bookmarkStart w:id="175" w:name="_Toc75519694"/>
      <w:r>
        <w:rPr>
          <w:rStyle w:val="CharSDivNo"/>
        </w:rPr>
        <w:lastRenderedPageBreak/>
        <w:t>Division 2</w:t>
      </w:r>
      <w:r>
        <w:t> — </w:t>
      </w:r>
      <w:r>
        <w:rPr>
          <w:rStyle w:val="CharSDivText"/>
        </w:rPr>
        <w:t>Consumption charges</w:t>
      </w:r>
      <w:bookmarkEnd w:id="172"/>
      <w:bookmarkEnd w:id="173"/>
      <w:bookmarkEnd w:id="174"/>
      <w:bookmarkEnd w:id="175"/>
    </w:p>
    <w:p w:rsidR="005435E9" w:rsidRDefault="005435E9">
      <w:pPr>
        <w:pStyle w:val="yFootnoteheading"/>
      </w:pPr>
      <w:r>
        <w:tab/>
        <w:t>[Heading inserted: SL 2020/95 r. 9.]</w:t>
      </w:r>
    </w:p>
    <w:p w:rsidR="005435E9" w:rsidRDefault="005435E9">
      <w:pPr>
        <w:pStyle w:val="yHeading5"/>
      </w:pPr>
      <w:bookmarkStart w:id="176" w:name="_Toc75519695"/>
      <w:r>
        <w:rPr>
          <w:rStyle w:val="CharSClsNo"/>
        </w:rPr>
        <w:t>6</w:t>
      </w:r>
      <w:r>
        <w:t>.</w:t>
      </w:r>
      <w:r>
        <w:tab/>
        <w:t>Consumption charges for 2020/21 year and subsequent years</w:t>
      </w:r>
      <w:bookmarkEnd w:id="176"/>
    </w:p>
    <w:p w:rsidR="005435E9" w:rsidRDefault="005435E9">
      <w:pPr>
        <w:pStyle w:val="ySubsection"/>
      </w:pPr>
      <w:r>
        <w:tab/>
      </w:r>
      <w:r>
        <w:tab/>
        <w:t>The charges set out in this Division apply for water supplied in the 2020/21 financial year and each subsequent year.</w:t>
      </w:r>
    </w:p>
    <w:p w:rsidR="005435E9" w:rsidRDefault="005435E9">
      <w:pPr>
        <w:pStyle w:val="yHeading5"/>
      </w:pPr>
      <w:bookmarkStart w:id="177" w:name="_Toc75519696"/>
      <w:r>
        <w:rPr>
          <w:rStyle w:val="CharSClsNo"/>
        </w:rPr>
        <w:t>7</w:t>
      </w:r>
      <w:r>
        <w:t>.</w:t>
      </w:r>
      <w:r>
        <w:tab/>
        <w:t>Residential lots</w:t>
      </w:r>
      <w:bookmarkEnd w:id="177"/>
    </w:p>
    <w:p w:rsidR="005435E9" w:rsidRDefault="005435E9">
      <w:pPr>
        <w:pStyle w:val="ySubsection"/>
      </w:pPr>
      <w:r>
        <w:tab/>
        <w:t>(1)</w:t>
      </w:r>
      <w:r>
        <w:tab/>
        <w:t>For each kilolitre of water supplied to a residential lot, the charge is —</w:t>
      </w:r>
    </w:p>
    <w:p w:rsidR="005435E9" w:rsidRDefault="005435E9">
      <w:pPr>
        <w:pStyle w:val="yMiscellaneousBody"/>
        <w:tabs>
          <w:tab w:val="right" w:leader="dot" w:pos="6804"/>
        </w:tabs>
        <w:ind w:left="1134" w:hanging="114"/>
      </w:pPr>
      <w:r>
        <w:tab/>
        <w:t xml:space="preserve">up to 150 kL </w:t>
      </w:r>
      <w:r>
        <w:tab/>
        <w:t>$1.09</w:t>
      </w:r>
    </w:p>
    <w:p w:rsidR="005435E9" w:rsidRDefault="005435E9">
      <w:pPr>
        <w:pStyle w:val="yMiscellaneousBody"/>
        <w:tabs>
          <w:tab w:val="right" w:leader="dot" w:pos="6804"/>
        </w:tabs>
        <w:ind w:left="1134" w:hanging="114"/>
      </w:pPr>
      <w:r>
        <w:tab/>
        <w:t xml:space="preserve">over 150 but not over 350 kL </w:t>
      </w:r>
      <w:r>
        <w:tab/>
        <w:t>$1.52</w:t>
      </w:r>
    </w:p>
    <w:p w:rsidR="005435E9" w:rsidRDefault="005435E9">
      <w:pPr>
        <w:pStyle w:val="yMiscellaneousBody"/>
        <w:tabs>
          <w:tab w:val="right" w:leader="dot" w:pos="6804"/>
        </w:tabs>
        <w:ind w:left="1134" w:hanging="114"/>
      </w:pPr>
      <w:r>
        <w:tab/>
        <w:t xml:space="preserve">over 350 but not over 500 kL </w:t>
      </w:r>
      <w:r>
        <w:tab/>
        <w:t>$1.74</w:t>
      </w:r>
    </w:p>
    <w:p w:rsidR="005435E9" w:rsidRDefault="005435E9">
      <w:pPr>
        <w:pStyle w:val="yMiscellaneousBody"/>
        <w:tabs>
          <w:tab w:val="right" w:leader="dot" w:pos="6804"/>
        </w:tabs>
        <w:ind w:left="1134" w:hanging="114"/>
      </w:pPr>
      <w:r>
        <w:tab/>
        <w:t xml:space="preserve">over 500 but not over 700 kL </w:t>
      </w:r>
      <w:r>
        <w:tab/>
        <w:t>$2.30</w:t>
      </w:r>
    </w:p>
    <w:p w:rsidR="005435E9" w:rsidRDefault="005435E9">
      <w:pPr>
        <w:pStyle w:val="yMiscellaneousBody"/>
        <w:tabs>
          <w:tab w:val="right" w:leader="dot" w:pos="6804"/>
        </w:tabs>
        <w:ind w:left="1134" w:hanging="114"/>
      </w:pPr>
      <w:r>
        <w:tab/>
        <w:t xml:space="preserve">over 700 but not over 1 000 kL </w:t>
      </w:r>
      <w:r>
        <w:tab/>
        <w:t>$3.22</w:t>
      </w:r>
    </w:p>
    <w:p w:rsidR="005435E9" w:rsidRDefault="005435E9">
      <w:pPr>
        <w:pStyle w:val="yMiscellaneousBody"/>
        <w:tabs>
          <w:tab w:val="right" w:leader="dot" w:pos="6804"/>
        </w:tabs>
        <w:ind w:left="1134" w:hanging="114"/>
      </w:pPr>
      <w:r>
        <w:tab/>
        <w:t xml:space="preserve">over 1 000 kL </w:t>
      </w:r>
      <w:r>
        <w:tab/>
        <w:t>$3.30</w:t>
      </w:r>
    </w:p>
    <w:p w:rsidR="005435E9" w:rsidRDefault="005435E9">
      <w:pPr>
        <w:pStyle w:val="ySubsection"/>
      </w:pPr>
      <w:r>
        <w:tab/>
        <w:t>(2)</w:t>
      </w:r>
      <w:r>
        <w:tab/>
        <w:t>The volumetric ranges in this item have effect by reference to the volume of water supplied in the current consumption year.</w:t>
      </w:r>
    </w:p>
    <w:p w:rsidR="005435E9" w:rsidRDefault="005435E9">
      <w:pPr>
        <w:pStyle w:val="yHeading5"/>
      </w:pPr>
      <w:bookmarkStart w:id="178" w:name="_Toc75519697"/>
      <w:r>
        <w:rPr>
          <w:rStyle w:val="CharSClsNo"/>
        </w:rPr>
        <w:t>8</w:t>
      </w:r>
      <w:r>
        <w:t>.</w:t>
      </w:r>
      <w:r>
        <w:tab/>
        <w:t>Non</w:t>
      </w:r>
      <w:r>
        <w:noBreakHyphen/>
        <w:t>residential lots</w:t>
      </w:r>
      <w:bookmarkEnd w:id="178"/>
    </w:p>
    <w:p w:rsidR="005435E9" w:rsidRDefault="005435E9">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rsidR="005435E9" w:rsidRDefault="005435E9">
      <w:pPr>
        <w:pStyle w:val="yHeading5"/>
      </w:pPr>
      <w:bookmarkStart w:id="179" w:name="_Toc75519698"/>
      <w:r>
        <w:rPr>
          <w:rStyle w:val="CharSClsNo"/>
        </w:rPr>
        <w:t>9</w:t>
      </w:r>
      <w:r>
        <w:t>.</w:t>
      </w:r>
      <w:r>
        <w:tab/>
        <w:t>Water supply service (fire)</w:t>
      </w:r>
      <w:bookmarkEnd w:id="179"/>
    </w:p>
    <w:p w:rsidR="005435E9" w:rsidRDefault="005435E9">
      <w:pPr>
        <w:pStyle w:val="ySubsection"/>
        <w:tabs>
          <w:tab w:val="right" w:leader="dot" w:pos="6804"/>
        </w:tabs>
      </w:pPr>
      <w:r>
        <w:tab/>
      </w:r>
      <w:r>
        <w:tab/>
        <w:t xml:space="preserve">For each kilolitre of water supplied through a </w:t>
      </w:r>
      <w:r>
        <w:br/>
        <w:t xml:space="preserve">fire service connection, the charge is </w:t>
      </w:r>
      <w:r>
        <w:tab/>
        <w:t>$2.18</w:t>
      </w:r>
    </w:p>
    <w:p w:rsidR="005435E9" w:rsidRDefault="005435E9">
      <w:pPr>
        <w:pStyle w:val="yFootnotesection"/>
      </w:pPr>
      <w:r>
        <w:tab/>
        <w:t>[Division 2 inserted: SL 2020/95 r. 9.]</w:t>
      </w:r>
    </w:p>
    <w:p w:rsidR="005435E9" w:rsidRDefault="005435E9">
      <w:pPr>
        <w:pStyle w:val="yScheduleHeading"/>
      </w:pPr>
      <w:bookmarkStart w:id="180" w:name="_Toc75266250"/>
      <w:bookmarkStart w:id="181" w:name="_Toc75269531"/>
      <w:bookmarkStart w:id="182" w:name="_Toc75351030"/>
      <w:bookmarkStart w:id="183" w:name="_Toc75519699"/>
      <w:r>
        <w:rPr>
          <w:rStyle w:val="CharSchNo"/>
        </w:rPr>
        <w:lastRenderedPageBreak/>
        <w:t>Schedule 3</w:t>
      </w:r>
      <w:r>
        <w:t> — </w:t>
      </w:r>
      <w:r>
        <w:rPr>
          <w:rStyle w:val="CharSchText"/>
        </w:rPr>
        <w:t>Water supply charges for the Water Corporation</w:t>
      </w:r>
      <w:bookmarkEnd w:id="180"/>
      <w:bookmarkEnd w:id="181"/>
      <w:bookmarkEnd w:id="182"/>
      <w:bookmarkEnd w:id="183"/>
    </w:p>
    <w:p w:rsidR="005435E9" w:rsidRDefault="005435E9">
      <w:pPr>
        <w:pStyle w:val="yShoulderClause"/>
      </w:pPr>
      <w:r>
        <w:t>[r. 31]</w:t>
      </w:r>
    </w:p>
    <w:p w:rsidR="005435E9" w:rsidRDefault="005435E9">
      <w:pPr>
        <w:pStyle w:val="yFootnoteheading"/>
      </w:pPr>
      <w:r>
        <w:tab/>
        <w:t>[Heading inserted: SL 2020/95 r. 9.]</w:t>
      </w:r>
    </w:p>
    <w:p w:rsidR="005435E9" w:rsidRDefault="005435E9">
      <w:pPr>
        <w:pStyle w:val="yHeading3"/>
      </w:pPr>
      <w:bookmarkStart w:id="184" w:name="_Toc75266251"/>
      <w:bookmarkStart w:id="185" w:name="_Toc75269532"/>
      <w:bookmarkStart w:id="186" w:name="_Toc75351031"/>
      <w:bookmarkStart w:id="187" w:name="_Toc75519700"/>
      <w:r>
        <w:rPr>
          <w:rStyle w:val="CharSDivNo"/>
        </w:rPr>
        <w:t>Division 1</w:t>
      </w:r>
      <w:r>
        <w:t> — </w:t>
      </w:r>
      <w:r>
        <w:rPr>
          <w:rStyle w:val="CharSDivText"/>
        </w:rPr>
        <w:t>Service charges</w:t>
      </w:r>
      <w:bookmarkEnd w:id="184"/>
      <w:bookmarkEnd w:id="185"/>
      <w:bookmarkEnd w:id="186"/>
      <w:bookmarkEnd w:id="187"/>
    </w:p>
    <w:p w:rsidR="005435E9" w:rsidRDefault="005435E9">
      <w:pPr>
        <w:pStyle w:val="yFootnoteheading"/>
      </w:pPr>
      <w:r>
        <w:tab/>
        <w:t>[Heading inserted: SL 2020/95 r. 9.]</w:t>
      </w:r>
    </w:p>
    <w:p w:rsidR="005435E9" w:rsidRDefault="005435E9">
      <w:pPr>
        <w:pStyle w:val="yHeading4"/>
      </w:pPr>
      <w:bookmarkStart w:id="188" w:name="_Toc75266252"/>
      <w:bookmarkStart w:id="189" w:name="_Toc75269533"/>
      <w:bookmarkStart w:id="190" w:name="_Toc75351032"/>
      <w:bookmarkStart w:id="191" w:name="_Toc75519701"/>
      <w:r>
        <w:t>Subdivision 1 — Preliminary</w:t>
      </w:r>
      <w:bookmarkEnd w:id="188"/>
      <w:bookmarkEnd w:id="189"/>
      <w:bookmarkEnd w:id="190"/>
      <w:bookmarkEnd w:id="191"/>
    </w:p>
    <w:p w:rsidR="005435E9" w:rsidRDefault="005435E9">
      <w:pPr>
        <w:pStyle w:val="yFootnoteheading"/>
      </w:pPr>
      <w:r>
        <w:tab/>
        <w:t>[Heading inserted: SL 2020/95 r. 9.]</w:t>
      </w:r>
    </w:p>
    <w:p w:rsidR="005435E9" w:rsidRDefault="005435E9">
      <w:pPr>
        <w:pStyle w:val="yHeading5"/>
      </w:pPr>
      <w:bookmarkStart w:id="192" w:name="_Toc75519702"/>
      <w:r>
        <w:rPr>
          <w:rStyle w:val="CharSClsNo"/>
        </w:rPr>
        <w:t>1</w:t>
      </w:r>
      <w:r>
        <w:t>.</w:t>
      </w:r>
      <w:r>
        <w:tab/>
        <w:t>Service charges for 2020/21 year and subsequent years</w:t>
      </w:r>
      <w:bookmarkEnd w:id="192"/>
    </w:p>
    <w:p w:rsidR="005435E9" w:rsidRDefault="005435E9">
      <w:pPr>
        <w:pStyle w:val="ySubsection"/>
      </w:pPr>
      <w:r>
        <w:tab/>
      </w:r>
      <w:r>
        <w:tab/>
        <w:t>The charges set out in this Division apply for water supply services provided in the 2020/21 financial year and each subsequent year.</w:t>
      </w:r>
    </w:p>
    <w:p w:rsidR="005435E9" w:rsidRDefault="005435E9">
      <w:pPr>
        <w:pStyle w:val="yHeading5"/>
      </w:pPr>
      <w:bookmarkStart w:id="193" w:name="_Toc75519703"/>
      <w:r>
        <w:rPr>
          <w:rStyle w:val="CharSClsNo"/>
        </w:rPr>
        <w:t>2</w:t>
      </w:r>
      <w:r>
        <w:t>.</w:t>
      </w:r>
      <w:r>
        <w:tab/>
        <w:t>Table of meter</w:t>
      </w:r>
      <w:r>
        <w:noBreakHyphen/>
        <w:t>based charges</w:t>
      </w:r>
      <w:bookmarkEnd w:id="193"/>
    </w:p>
    <w:p w:rsidR="005435E9" w:rsidRDefault="005435E9">
      <w:pPr>
        <w:pStyle w:val="ySubsection"/>
      </w:pPr>
      <w:r>
        <w:tab/>
      </w:r>
      <w:r>
        <w:tab/>
        <w:t>For the purposes of this Division, meter</w:t>
      </w:r>
      <w:r>
        <w:noBreakHyphen/>
        <w:t>based charges are set out in the Table.</w:t>
      </w:r>
    </w:p>
    <w:p w:rsidR="005435E9" w:rsidRDefault="005435E9">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rsidR="005435E9">
        <w:trPr>
          <w:cantSplit/>
          <w:tblHeader/>
          <w:jc w:val="center"/>
        </w:trPr>
        <w:tc>
          <w:tcPr>
            <w:tcW w:w="2292" w:type="dxa"/>
            <w:tcBorders>
              <w:top w:val="single" w:sz="4" w:space="0" w:color="auto"/>
              <w:bottom w:val="single" w:sz="4" w:space="0" w:color="auto"/>
            </w:tcBorders>
            <w:noWrap/>
          </w:tcPr>
          <w:p w:rsidR="005435E9" w:rsidRDefault="005435E9">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rsidR="005435E9" w:rsidRDefault="005435E9">
            <w:pPr>
              <w:pStyle w:val="yTableNAm"/>
              <w:jc w:val="center"/>
              <w:rPr>
                <w:b/>
              </w:rPr>
            </w:pPr>
            <w:r>
              <w:rPr>
                <w:b/>
              </w:rPr>
              <w:t>Charge</w:t>
            </w:r>
            <w:r>
              <w:rPr>
                <w:b/>
              </w:rPr>
              <w:br/>
              <w:t>$</w:t>
            </w:r>
          </w:p>
        </w:tc>
      </w:tr>
      <w:tr w:rsidR="005435E9">
        <w:trPr>
          <w:cantSplit/>
          <w:jc w:val="center"/>
        </w:trPr>
        <w:tc>
          <w:tcPr>
            <w:tcW w:w="2292" w:type="dxa"/>
            <w:noWrap/>
          </w:tcPr>
          <w:p w:rsidR="005435E9" w:rsidRDefault="005435E9">
            <w:pPr>
              <w:pStyle w:val="yTableNAm"/>
              <w:jc w:val="center"/>
            </w:pPr>
            <w:r>
              <w:t>15, 20</w:t>
            </w:r>
          </w:p>
        </w:tc>
        <w:tc>
          <w:tcPr>
            <w:tcW w:w="2292" w:type="dxa"/>
            <w:noWrap/>
            <w:vAlign w:val="bottom"/>
          </w:tcPr>
          <w:p w:rsidR="005435E9" w:rsidRDefault="005435E9">
            <w:pPr>
              <w:pStyle w:val="yTableNAm"/>
              <w:jc w:val="center"/>
            </w:pPr>
            <w:r>
              <w:rPr>
                <w:szCs w:val="22"/>
              </w:rPr>
              <w:t>278.85</w:t>
            </w:r>
          </w:p>
        </w:tc>
      </w:tr>
      <w:tr w:rsidR="005435E9">
        <w:trPr>
          <w:cantSplit/>
          <w:jc w:val="center"/>
        </w:trPr>
        <w:tc>
          <w:tcPr>
            <w:tcW w:w="2292" w:type="dxa"/>
            <w:noWrap/>
          </w:tcPr>
          <w:p w:rsidR="005435E9" w:rsidRDefault="005435E9">
            <w:pPr>
              <w:pStyle w:val="yTableNAm"/>
              <w:jc w:val="center"/>
            </w:pPr>
            <w:r>
              <w:t>25</w:t>
            </w:r>
          </w:p>
        </w:tc>
        <w:tc>
          <w:tcPr>
            <w:tcW w:w="2292" w:type="dxa"/>
            <w:noWrap/>
            <w:vAlign w:val="bottom"/>
          </w:tcPr>
          <w:p w:rsidR="005435E9" w:rsidRDefault="005435E9">
            <w:pPr>
              <w:pStyle w:val="yTableNAm"/>
              <w:jc w:val="center"/>
            </w:pPr>
            <w:r>
              <w:rPr>
                <w:szCs w:val="22"/>
              </w:rPr>
              <w:t>435.74</w:t>
            </w:r>
          </w:p>
        </w:tc>
      </w:tr>
      <w:tr w:rsidR="005435E9">
        <w:trPr>
          <w:cantSplit/>
          <w:jc w:val="center"/>
        </w:trPr>
        <w:tc>
          <w:tcPr>
            <w:tcW w:w="2292" w:type="dxa"/>
            <w:noWrap/>
          </w:tcPr>
          <w:p w:rsidR="005435E9" w:rsidRDefault="005435E9">
            <w:pPr>
              <w:pStyle w:val="yTableNAm"/>
              <w:jc w:val="center"/>
            </w:pPr>
            <w:r>
              <w:t>30</w:t>
            </w:r>
          </w:p>
        </w:tc>
        <w:tc>
          <w:tcPr>
            <w:tcW w:w="2292" w:type="dxa"/>
            <w:noWrap/>
            <w:vAlign w:val="bottom"/>
          </w:tcPr>
          <w:p w:rsidR="005435E9" w:rsidRDefault="005435E9">
            <w:pPr>
              <w:pStyle w:val="yTableNAm"/>
              <w:jc w:val="center"/>
            </w:pPr>
            <w:r>
              <w:rPr>
                <w:szCs w:val="22"/>
              </w:rPr>
              <w:t>627.41</w:t>
            </w:r>
          </w:p>
        </w:tc>
      </w:tr>
      <w:tr w:rsidR="005435E9">
        <w:trPr>
          <w:cantSplit/>
          <w:jc w:val="center"/>
        </w:trPr>
        <w:tc>
          <w:tcPr>
            <w:tcW w:w="2292" w:type="dxa"/>
            <w:noWrap/>
          </w:tcPr>
          <w:p w:rsidR="005435E9" w:rsidRDefault="005435E9">
            <w:pPr>
              <w:pStyle w:val="yTableNAm"/>
              <w:jc w:val="center"/>
            </w:pPr>
            <w:r>
              <w:t>35, 38, 40</w:t>
            </w:r>
          </w:p>
        </w:tc>
        <w:tc>
          <w:tcPr>
            <w:tcW w:w="2292" w:type="dxa"/>
            <w:noWrap/>
            <w:vAlign w:val="bottom"/>
          </w:tcPr>
          <w:p w:rsidR="005435E9" w:rsidRDefault="005435E9">
            <w:pPr>
              <w:pStyle w:val="yTableNAm"/>
              <w:jc w:val="center"/>
            </w:pPr>
            <w:r>
              <w:rPr>
                <w:szCs w:val="22"/>
              </w:rPr>
              <w:t>1</w:t>
            </w:r>
            <w:r>
              <w:t> </w:t>
            </w:r>
            <w:r>
              <w:rPr>
                <w:szCs w:val="22"/>
              </w:rPr>
              <w:t>115.48</w:t>
            </w:r>
          </w:p>
        </w:tc>
      </w:tr>
      <w:tr w:rsidR="005435E9">
        <w:trPr>
          <w:cantSplit/>
          <w:jc w:val="center"/>
        </w:trPr>
        <w:tc>
          <w:tcPr>
            <w:tcW w:w="2292" w:type="dxa"/>
            <w:noWrap/>
          </w:tcPr>
          <w:p w:rsidR="005435E9" w:rsidRDefault="005435E9">
            <w:pPr>
              <w:pStyle w:val="yTableNAm"/>
              <w:jc w:val="center"/>
            </w:pPr>
            <w:r>
              <w:t>50</w:t>
            </w:r>
          </w:p>
        </w:tc>
        <w:tc>
          <w:tcPr>
            <w:tcW w:w="2292" w:type="dxa"/>
            <w:noWrap/>
            <w:vAlign w:val="bottom"/>
          </w:tcPr>
          <w:p w:rsidR="005435E9" w:rsidRDefault="005435E9">
            <w:pPr>
              <w:pStyle w:val="yTableNAm"/>
              <w:jc w:val="center"/>
            </w:pPr>
            <w:r>
              <w:rPr>
                <w:szCs w:val="22"/>
              </w:rPr>
              <w:t>1</w:t>
            </w:r>
            <w:r>
              <w:t> </w:t>
            </w:r>
            <w:r>
              <w:rPr>
                <w:szCs w:val="22"/>
              </w:rPr>
              <w:t>742.91</w:t>
            </w:r>
          </w:p>
        </w:tc>
      </w:tr>
      <w:tr w:rsidR="005435E9">
        <w:trPr>
          <w:cantSplit/>
          <w:jc w:val="center"/>
        </w:trPr>
        <w:tc>
          <w:tcPr>
            <w:tcW w:w="2292" w:type="dxa"/>
            <w:noWrap/>
          </w:tcPr>
          <w:p w:rsidR="005435E9" w:rsidRDefault="005435E9">
            <w:pPr>
              <w:pStyle w:val="yTableNAm"/>
              <w:jc w:val="center"/>
            </w:pPr>
            <w:r>
              <w:t>70, 75, 80</w:t>
            </w:r>
          </w:p>
        </w:tc>
        <w:tc>
          <w:tcPr>
            <w:tcW w:w="2292" w:type="dxa"/>
            <w:noWrap/>
            <w:vAlign w:val="bottom"/>
          </w:tcPr>
          <w:p w:rsidR="005435E9" w:rsidRDefault="005435E9">
            <w:pPr>
              <w:pStyle w:val="yTableNAm"/>
              <w:jc w:val="center"/>
            </w:pPr>
            <w:r>
              <w:rPr>
                <w:szCs w:val="22"/>
              </w:rPr>
              <w:t>4 461.85</w:t>
            </w:r>
          </w:p>
        </w:tc>
      </w:tr>
      <w:tr w:rsidR="005435E9">
        <w:trPr>
          <w:cantSplit/>
          <w:jc w:val="center"/>
        </w:trPr>
        <w:tc>
          <w:tcPr>
            <w:tcW w:w="2292" w:type="dxa"/>
            <w:noWrap/>
          </w:tcPr>
          <w:p w:rsidR="005435E9" w:rsidRDefault="005435E9">
            <w:pPr>
              <w:pStyle w:val="yTableNAm"/>
              <w:jc w:val="center"/>
            </w:pPr>
            <w:r>
              <w:t>100</w:t>
            </w:r>
          </w:p>
        </w:tc>
        <w:tc>
          <w:tcPr>
            <w:tcW w:w="2292" w:type="dxa"/>
            <w:noWrap/>
            <w:vAlign w:val="bottom"/>
          </w:tcPr>
          <w:p w:rsidR="005435E9" w:rsidRDefault="005435E9">
            <w:pPr>
              <w:pStyle w:val="yTableNAm"/>
              <w:jc w:val="center"/>
            </w:pPr>
            <w:r>
              <w:rPr>
                <w:szCs w:val="22"/>
              </w:rPr>
              <w:t>6 971.64</w:t>
            </w:r>
          </w:p>
        </w:tc>
      </w:tr>
      <w:tr w:rsidR="005435E9">
        <w:trPr>
          <w:cantSplit/>
          <w:jc w:val="center"/>
        </w:trPr>
        <w:tc>
          <w:tcPr>
            <w:tcW w:w="2292" w:type="dxa"/>
            <w:noWrap/>
          </w:tcPr>
          <w:p w:rsidR="005435E9" w:rsidRDefault="005435E9">
            <w:pPr>
              <w:pStyle w:val="yTableNAm"/>
              <w:jc w:val="center"/>
            </w:pPr>
            <w:r>
              <w:t>140, 150</w:t>
            </w:r>
          </w:p>
        </w:tc>
        <w:tc>
          <w:tcPr>
            <w:tcW w:w="2292" w:type="dxa"/>
            <w:noWrap/>
            <w:vAlign w:val="bottom"/>
          </w:tcPr>
          <w:p w:rsidR="005435E9" w:rsidRDefault="005435E9">
            <w:pPr>
              <w:pStyle w:val="yTableNAm"/>
              <w:jc w:val="center"/>
            </w:pPr>
            <w:r>
              <w:rPr>
                <w:szCs w:val="22"/>
              </w:rPr>
              <w:t>15</w:t>
            </w:r>
            <w:r>
              <w:t> </w:t>
            </w:r>
            <w:r>
              <w:rPr>
                <w:szCs w:val="22"/>
              </w:rPr>
              <w:t>686.19</w:t>
            </w:r>
          </w:p>
        </w:tc>
      </w:tr>
      <w:tr w:rsidR="005435E9">
        <w:trPr>
          <w:cantSplit/>
          <w:jc w:val="center"/>
        </w:trPr>
        <w:tc>
          <w:tcPr>
            <w:tcW w:w="2292" w:type="dxa"/>
            <w:noWrap/>
          </w:tcPr>
          <w:p w:rsidR="005435E9" w:rsidRDefault="005435E9">
            <w:pPr>
              <w:pStyle w:val="yTableNAm"/>
              <w:jc w:val="center"/>
            </w:pPr>
            <w:r>
              <w:t>200</w:t>
            </w:r>
          </w:p>
        </w:tc>
        <w:tc>
          <w:tcPr>
            <w:tcW w:w="2292" w:type="dxa"/>
            <w:noWrap/>
            <w:vAlign w:val="bottom"/>
          </w:tcPr>
          <w:p w:rsidR="005435E9" w:rsidRDefault="005435E9">
            <w:pPr>
              <w:pStyle w:val="yTableNAm"/>
              <w:jc w:val="center"/>
            </w:pPr>
            <w:r>
              <w:rPr>
                <w:szCs w:val="22"/>
              </w:rPr>
              <w:t>27</w:t>
            </w:r>
            <w:r>
              <w:t> </w:t>
            </w:r>
            <w:r>
              <w:rPr>
                <w:szCs w:val="22"/>
              </w:rPr>
              <w:t>886.55</w:t>
            </w:r>
          </w:p>
        </w:tc>
      </w:tr>
      <w:tr w:rsidR="005435E9">
        <w:trPr>
          <w:cantSplit/>
          <w:jc w:val="center"/>
        </w:trPr>
        <w:tc>
          <w:tcPr>
            <w:tcW w:w="2292" w:type="dxa"/>
            <w:noWrap/>
          </w:tcPr>
          <w:p w:rsidR="005435E9" w:rsidRDefault="005435E9">
            <w:pPr>
              <w:pStyle w:val="yTableNAm"/>
              <w:jc w:val="center"/>
            </w:pPr>
            <w:r>
              <w:lastRenderedPageBreak/>
              <w:t>250</w:t>
            </w:r>
          </w:p>
        </w:tc>
        <w:tc>
          <w:tcPr>
            <w:tcW w:w="2292" w:type="dxa"/>
            <w:noWrap/>
            <w:vAlign w:val="bottom"/>
          </w:tcPr>
          <w:p w:rsidR="005435E9" w:rsidRDefault="005435E9">
            <w:pPr>
              <w:pStyle w:val="yTableNAm"/>
              <w:jc w:val="center"/>
            </w:pPr>
            <w:r>
              <w:rPr>
                <w:szCs w:val="22"/>
              </w:rPr>
              <w:t>43</w:t>
            </w:r>
            <w:r>
              <w:t> </w:t>
            </w:r>
            <w:r>
              <w:rPr>
                <w:szCs w:val="22"/>
              </w:rPr>
              <w:t>572.73</w:t>
            </w:r>
          </w:p>
        </w:tc>
      </w:tr>
      <w:tr w:rsidR="005435E9">
        <w:trPr>
          <w:cantSplit/>
          <w:jc w:val="center"/>
        </w:trPr>
        <w:tc>
          <w:tcPr>
            <w:tcW w:w="2292" w:type="dxa"/>
            <w:noWrap/>
          </w:tcPr>
          <w:p w:rsidR="005435E9" w:rsidRDefault="005435E9">
            <w:pPr>
              <w:pStyle w:val="yTableNAm"/>
              <w:keepNext/>
              <w:jc w:val="center"/>
            </w:pPr>
            <w:r>
              <w:t>300</w:t>
            </w:r>
          </w:p>
        </w:tc>
        <w:tc>
          <w:tcPr>
            <w:tcW w:w="2292" w:type="dxa"/>
            <w:noWrap/>
            <w:vAlign w:val="bottom"/>
          </w:tcPr>
          <w:p w:rsidR="005435E9" w:rsidRDefault="005435E9">
            <w:pPr>
              <w:pStyle w:val="yTableNAm"/>
              <w:jc w:val="center"/>
            </w:pPr>
            <w:r>
              <w:rPr>
                <w:szCs w:val="22"/>
              </w:rPr>
              <w:t>62</w:t>
            </w:r>
            <w:r>
              <w:t> </w:t>
            </w:r>
            <w:r>
              <w:rPr>
                <w:szCs w:val="22"/>
              </w:rPr>
              <w:t>744.75</w:t>
            </w:r>
          </w:p>
        </w:tc>
      </w:tr>
      <w:tr w:rsidR="005435E9">
        <w:trPr>
          <w:cantSplit/>
          <w:jc w:val="center"/>
        </w:trPr>
        <w:tc>
          <w:tcPr>
            <w:tcW w:w="2292" w:type="dxa"/>
            <w:tcBorders>
              <w:bottom w:val="single" w:sz="4" w:space="0" w:color="auto"/>
            </w:tcBorders>
            <w:noWrap/>
          </w:tcPr>
          <w:p w:rsidR="005435E9" w:rsidRDefault="005435E9">
            <w:pPr>
              <w:pStyle w:val="yTableNAm"/>
              <w:jc w:val="center"/>
            </w:pPr>
            <w:r>
              <w:t>350</w:t>
            </w:r>
          </w:p>
        </w:tc>
        <w:tc>
          <w:tcPr>
            <w:tcW w:w="2292" w:type="dxa"/>
            <w:tcBorders>
              <w:bottom w:val="single" w:sz="4" w:space="0" w:color="auto"/>
            </w:tcBorders>
            <w:noWrap/>
            <w:vAlign w:val="bottom"/>
          </w:tcPr>
          <w:p w:rsidR="005435E9" w:rsidRDefault="005435E9">
            <w:pPr>
              <w:pStyle w:val="yTableNAm"/>
              <w:jc w:val="center"/>
            </w:pPr>
            <w:r>
              <w:rPr>
                <w:szCs w:val="22"/>
              </w:rPr>
              <w:t>85</w:t>
            </w:r>
            <w:r>
              <w:t> </w:t>
            </w:r>
            <w:r>
              <w:rPr>
                <w:szCs w:val="22"/>
              </w:rPr>
              <w:t>402.61</w:t>
            </w:r>
          </w:p>
        </w:tc>
      </w:tr>
    </w:tbl>
    <w:p w:rsidR="005435E9" w:rsidRDefault="005435E9">
      <w:pPr>
        <w:pStyle w:val="yHeading4"/>
      </w:pPr>
      <w:bookmarkStart w:id="194" w:name="_Toc75266255"/>
      <w:bookmarkStart w:id="195" w:name="_Toc75269536"/>
      <w:bookmarkStart w:id="196" w:name="_Toc75351035"/>
      <w:bookmarkStart w:id="197" w:name="_Toc75519704"/>
      <w:r>
        <w:t>Subdivision 2 — Service charges that apply for land</w:t>
      </w:r>
      <w:bookmarkEnd w:id="194"/>
      <w:bookmarkEnd w:id="195"/>
      <w:bookmarkEnd w:id="196"/>
      <w:bookmarkEnd w:id="197"/>
    </w:p>
    <w:p w:rsidR="005435E9" w:rsidRDefault="005435E9">
      <w:pPr>
        <w:pStyle w:val="yFootnoteheading"/>
      </w:pPr>
      <w:r>
        <w:tab/>
        <w:t>[Heading inserted: SL 2020/95 r. 9.]</w:t>
      </w:r>
    </w:p>
    <w:p w:rsidR="005435E9" w:rsidRDefault="005435E9">
      <w:pPr>
        <w:pStyle w:val="yHeading5"/>
      </w:pPr>
      <w:bookmarkStart w:id="198" w:name="_Toc75519705"/>
      <w:r>
        <w:rPr>
          <w:rStyle w:val="CharSClsNo"/>
        </w:rPr>
        <w:t>3</w:t>
      </w:r>
      <w:r>
        <w:t>.</w:t>
      </w:r>
      <w:r>
        <w:tab/>
        <w:t>Residential</w:t>
      </w:r>
      <w:bookmarkEnd w:id="198"/>
    </w:p>
    <w:p w:rsidR="005435E9" w:rsidRDefault="005435E9">
      <w:pPr>
        <w:pStyle w:val="ySubsection"/>
        <w:tabs>
          <w:tab w:val="right" w:leader="dot" w:pos="6804"/>
        </w:tabs>
      </w:pPr>
      <w:r>
        <w:tab/>
      </w:r>
      <w:r>
        <w:tab/>
        <w:t xml:space="preserve">For a residential property not covered by </w:t>
      </w:r>
      <w:r>
        <w:br/>
        <w:t xml:space="preserve">item 4, 5, 8, 9 or 10, the charge is </w:t>
      </w:r>
      <w:r>
        <w:tab/>
        <w:t>$264.35</w:t>
      </w:r>
    </w:p>
    <w:p w:rsidR="005435E9" w:rsidRDefault="005435E9">
      <w:pPr>
        <w:pStyle w:val="yHeading5"/>
      </w:pPr>
      <w:bookmarkStart w:id="199" w:name="_Toc75519706"/>
      <w:r>
        <w:rPr>
          <w:rStyle w:val="CharSClsNo"/>
        </w:rPr>
        <w:t>4</w:t>
      </w:r>
      <w:r>
        <w:t>.</w:t>
      </w:r>
      <w:r>
        <w:tab/>
        <w:t>Metropolitan concessional</w:t>
      </w:r>
      <w:bookmarkEnd w:id="199"/>
    </w:p>
    <w:p w:rsidR="005435E9" w:rsidRDefault="005435E9">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rsidR="005435E9" w:rsidRDefault="005435E9">
      <w:pPr>
        <w:pStyle w:val="ySubsection"/>
      </w:pPr>
      <w:r>
        <w:tab/>
        <w:t>(2)</w:t>
      </w:r>
      <w:r>
        <w:tab/>
        <w:t>Sub</w:t>
      </w:r>
      <w:r>
        <w:noBreakHyphen/>
        <w:t>item (1) does not apply to a connection covered by item 21.</w:t>
      </w:r>
    </w:p>
    <w:p w:rsidR="005435E9" w:rsidRDefault="005435E9">
      <w:pPr>
        <w:pStyle w:val="yHeading5"/>
      </w:pPr>
      <w:bookmarkStart w:id="200" w:name="_Toc75519707"/>
      <w:r>
        <w:rPr>
          <w:rStyle w:val="CharSClsNo"/>
        </w:rPr>
        <w:t>5</w:t>
      </w:r>
      <w:r>
        <w:t>.</w:t>
      </w:r>
      <w:r>
        <w:tab/>
        <w:t>Strata</w:t>
      </w:r>
      <w:r>
        <w:noBreakHyphen/>
        <w:t>titled or long</w:t>
      </w:r>
      <w:r>
        <w:noBreakHyphen/>
        <w:t>term residential caravan bays</w:t>
      </w:r>
      <w:bookmarkEnd w:id="200"/>
    </w:p>
    <w:p w:rsidR="005435E9" w:rsidRDefault="005435E9">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rsidR="005435E9" w:rsidRDefault="005435E9">
      <w:pPr>
        <w:pStyle w:val="yHeading5"/>
      </w:pPr>
      <w:bookmarkStart w:id="201" w:name="_Toc75519708"/>
      <w:r>
        <w:rPr>
          <w:rStyle w:val="CharSClsNo"/>
        </w:rPr>
        <w:t>6</w:t>
      </w:r>
      <w:r>
        <w:t>.</w:t>
      </w:r>
      <w:r>
        <w:tab/>
      </w:r>
      <w:r w:rsidR="002041B1">
        <w:t>Storage units or parking bays in strata titles scheme or community titles scheme</w:t>
      </w:r>
      <w:bookmarkEnd w:id="201"/>
    </w:p>
    <w:p w:rsidR="005435E9" w:rsidRDefault="005435E9">
      <w:pPr>
        <w:pStyle w:val="ySubsection"/>
        <w:tabs>
          <w:tab w:val="right" w:leader="dot" w:pos="6804"/>
        </w:tabs>
      </w:pPr>
      <w:r>
        <w:tab/>
      </w:r>
      <w:r>
        <w:tab/>
        <w:t xml:space="preserve">For a lot that is used for storage purposes or </w:t>
      </w:r>
      <w:r>
        <w:br/>
        <w:t xml:space="preserve">as a parking bay, </w:t>
      </w:r>
      <w:r w:rsidR="005E32D0">
        <w:t xml:space="preserve">in a strata titles scheme or a community titles scheme, </w:t>
      </w:r>
      <w:r>
        <w:t xml:space="preserve">the charge is </w:t>
      </w:r>
      <w:r>
        <w:tab/>
        <w:t>$98.15</w:t>
      </w:r>
    </w:p>
    <w:p w:rsidR="005435E9" w:rsidRDefault="005435E9">
      <w:pPr>
        <w:pStyle w:val="yHeading5"/>
      </w:pPr>
      <w:bookmarkStart w:id="202" w:name="_Toc75519709"/>
      <w:r>
        <w:rPr>
          <w:rStyle w:val="CharSClsNo"/>
        </w:rPr>
        <w:lastRenderedPageBreak/>
        <w:t>7</w:t>
      </w:r>
      <w:r>
        <w:t>.</w:t>
      </w:r>
      <w:r>
        <w:tab/>
      </w:r>
      <w:r w:rsidR="002041B1">
        <w:t>Non</w:t>
      </w:r>
      <w:r w:rsidR="002041B1">
        <w:noBreakHyphen/>
        <w:t>residential lots in strata titles scheme or community titles scheme that share a service</w:t>
      </w:r>
      <w:bookmarkEnd w:id="202"/>
    </w:p>
    <w:p w:rsidR="005435E9" w:rsidRDefault="005435E9" w:rsidP="00FA1C7C">
      <w:pPr>
        <w:pStyle w:val="ySubsection"/>
        <w:keepNext/>
      </w:pPr>
      <w:r>
        <w:tab/>
      </w:r>
      <w:r>
        <w:tab/>
        <w:t>For land that —</w:t>
      </w:r>
    </w:p>
    <w:p w:rsidR="005435E9" w:rsidRDefault="005435E9">
      <w:pPr>
        <w:pStyle w:val="yIndenta"/>
      </w:pPr>
      <w:r>
        <w:tab/>
        <w:t>(a)</w:t>
      </w:r>
      <w:r>
        <w:tab/>
        <w:t xml:space="preserve">is contained in a </w:t>
      </w:r>
      <w:r w:rsidR="00C57CFE">
        <w:t>lot in a strata titles scheme or a lot in a community titles scheme; and</w:t>
      </w:r>
    </w:p>
    <w:p w:rsidR="005435E9" w:rsidRDefault="005435E9">
      <w:pPr>
        <w:pStyle w:val="yIndenta"/>
      </w:pPr>
      <w:r>
        <w:tab/>
        <w:t>(b)</w:t>
      </w:r>
      <w:r>
        <w:tab/>
        <w:t>is classified as non</w:t>
      </w:r>
      <w:r>
        <w:noBreakHyphen/>
        <w:t>residential; and</w:t>
      </w:r>
    </w:p>
    <w:p w:rsidR="005435E9" w:rsidRDefault="005435E9">
      <w:pPr>
        <w:pStyle w:val="yIndenta"/>
      </w:pPr>
      <w:r>
        <w:tab/>
        <w:t>(c)</w:t>
      </w:r>
      <w:r>
        <w:tab/>
        <w:t>is not covered by item 5 or 6; and</w:t>
      </w:r>
    </w:p>
    <w:p w:rsidR="005435E9" w:rsidRDefault="005435E9">
      <w:pPr>
        <w:pStyle w:val="yIndenta"/>
      </w:pPr>
      <w:r>
        <w:tab/>
        <w:t>(d)</w:t>
      </w:r>
      <w:r>
        <w:tab/>
        <w:t xml:space="preserve">shares a water supply connection with </w:t>
      </w:r>
      <w:r>
        <w:br/>
        <w:t>other such land,</w:t>
      </w:r>
    </w:p>
    <w:p w:rsidR="005435E9" w:rsidRDefault="005435E9">
      <w:pPr>
        <w:pStyle w:val="ySubsection"/>
        <w:tabs>
          <w:tab w:val="right" w:leader="dot" w:pos="6804"/>
        </w:tabs>
      </w:pPr>
      <w:r>
        <w:tab/>
      </w:r>
      <w:r>
        <w:tab/>
        <w:t xml:space="preserve">the charge is </w:t>
      </w:r>
      <w:r>
        <w:tab/>
        <w:t>$278.85</w:t>
      </w:r>
    </w:p>
    <w:p w:rsidR="005435E9" w:rsidRDefault="005435E9">
      <w:pPr>
        <w:pStyle w:val="yHeading5"/>
      </w:pPr>
      <w:bookmarkStart w:id="203" w:name="_Toc75519710"/>
      <w:r>
        <w:rPr>
          <w:rStyle w:val="CharSClsNo"/>
        </w:rPr>
        <w:t>8</w:t>
      </w:r>
      <w:r>
        <w:t>.</w:t>
      </w:r>
      <w:r>
        <w:tab/>
        <w:t>Community residential</w:t>
      </w:r>
      <w:bookmarkEnd w:id="203"/>
    </w:p>
    <w:p w:rsidR="005435E9" w:rsidRDefault="005435E9">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rsidR="005435E9" w:rsidRDefault="005435E9">
      <w:pPr>
        <w:pStyle w:val="ySubsection"/>
      </w:pPr>
      <w:r>
        <w:tab/>
        <w:t>(2)</w:t>
      </w:r>
      <w:r>
        <w:tab/>
        <w:t>The Water Corporation must determine, by reference to the anticipated water supply requirements of the communal property, the number of residential unit equivalents to which the communal property equates.</w:t>
      </w:r>
    </w:p>
    <w:p w:rsidR="005435E9" w:rsidRDefault="005435E9">
      <w:pPr>
        <w:pStyle w:val="yHeading5"/>
      </w:pPr>
      <w:bookmarkStart w:id="204" w:name="_Toc75519711"/>
      <w:r>
        <w:rPr>
          <w:rStyle w:val="CharSClsNo"/>
        </w:rPr>
        <w:t>9</w:t>
      </w:r>
      <w:r>
        <w:t>.</w:t>
      </w:r>
      <w:r>
        <w:tab/>
        <w:t>Semi</w:t>
      </w:r>
      <w:r>
        <w:noBreakHyphen/>
        <w:t>rural residential</w:t>
      </w:r>
      <w:bookmarkEnd w:id="204"/>
    </w:p>
    <w:p w:rsidR="005435E9" w:rsidRDefault="005435E9">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rsidR="005435E9" w:rsidRDefault="005435E9">
      <w:pPr>
        <w:pStyle w:val="yHeading5"/>
      </w:pPr>
      <w:bookmarkStart w:id="205" w:name="_Toc75519712"/>
      <w:r>
        <w:rPr>
          <w:rStyle w:val="CharSClsNo"/>
        </w:rPr>
        <w:t>10</w:t>
      </w:r>
      <w:r>
        <w:t>.</w:t>
      </w:r>
      <w:r>
        <w:tab/>
        <w:t>Non</w:t>
      </w:r>
      <w:r>
        <w:noBreakHyphen/>
        <w:t>metropolitan concessional</w:t>
      </w:r>
      <w:bookmarkEnd w:id="205"/>
    </w:p>
    <w:p w:rsidR="005435E9" w:rsidRDefault="005435E9">
      <w:pPr>
        <w:pStyle w:val="ySubsection"/>
      </w:pPr>
      <w:r>
        <w:tab/>
        <w:t>(1)</w:t>
      </w:r>
      <w:r>
        <w:tab/>
        <w:t>For land in the non</w:t>
      </w:r>
      <w:r>
        <w:noBreakHyphen/>
        <w:t>metropolitan area that —</w:t>
      </w:r>
    </w:p>
    <w:p w:rsidR="005435E9" w:rsidRDefault="005435E9">
      <w:pPr>
        <w:pStyle w:val="yIndenta"/>
      </w:pPr>
      <w:r>
        <w:tab/>
        <w:t>(a)</w:t>
      </w:r>
      <w:r>
        <w:tab/>
        <w:t>is concessional land contained in a residential property; or</w:t>
      </w:r>
    </w:p>
    <w:p w:rsidR="005435E9" w:rsidRDefault="005435E9">
      <w:pPr>
        <w:pStyle w:val="yIndenta"/>
      </w:pPr>
      <w:r>
        <w:tab/>
        <w:t>(b)</w:t>
      </w:r>
      <w:r>
        <w:tab/>
        <w:t>is classified as charitable purposes, institutional public or local government and not contained in a residential property,</w:t>
      </w:r>
    </w:p>
    <w:p w:rsidR="005435E9" w:rsidRDefault="005435E9">
      <w:pPr>
        <w:pStyle w:val="ySubsection"/>
      </w:pPr>
      <w:r>
        <w:tab/>
      </w:r>
      <w:r>
        <w:tab/>
        <w:t>the charge, per water supply connection, is the charge set out in the Table in item 2, according to the relevant meter size, less a discount of 100%.</w:t>
      </w:r>
    </w:p>
    <w:p w:rsidR="005435E9" w:rsidRDefault="005435E9">
      <w:pPr>
        <w:pStyle w:val="ySubsection"/>
      </w:pPr>
      <w:r>
        <w:tab/>
        <w:t>(2)</w:t>
      </w:r>
      <w:r>
        <w:tab/>
        <w:t>Sub</w:t>
      </w:r>
      <w:r>
        <w:noBreakHyphen/>
        <w:t>item (1) does not apply to a connection covered by item 21.</w:t>
      </w:r>
    </w:p>
    <w:p w:rsidR="005435E9" w:rsidRDefault="005435E9">
      <w:pPr>
        <w:pStyle w:val="yHeading5"/>
      </w:pPr>
      <w:bookmarkStart w:id="206" w:name="_Toc75519713"/>
      <w:r>
        <w:rPr>
          <w:rStyle w:val="CharSClsNo"/>
        </w:rPr>
        <w:lastRenderedPageBreak/>
        <w:t>11</w:t>
      </w:r>
      <w:r>
        <w:t>.</w:t>
      </w:r>
      <w:r>
        <w:tab/>
      </w:r>
      <w:r w:rsidR="00AC7183">
        <w:t>Non</w:t>
      </w:r>
      <w:r w:rsidR="00AC7183">
        <w:noBreakHyphen/>
        <w:t>residential or commercial residential (except storage units, parking bays and certain lots in strata titles scheme or community titles scheme)</w:t>
      </w:r>
      <w:bookmarkEnd w:id="206"/>
    </w:p>
    <w:p w:rsidR="005435E9" w:rsidRDefault="005435E9">
      <w:pPr>
        <w:pStyle w:val="ySubsection"/>
      </w:pPr>
      <w:r>
        <w:tab/>
        <w:t>(1)</w:t>
      </w:r>
      <w:r>
        <w:tab/>
        <w:t>For land that —</w:t>
      </w:r>
    </w:p>
    <w:p w:rsidR="005435E9" w:rsidRDefault="005435E9">
      <w:pPr>
        <w:pStyle w:val="yIndenta"/>
      </w:pPr>
      <w:r>
        <w:tab/>
        <w:t>(a)</w:t>
      </w:r>
      <w:r>
        <w:tab/>
        <w:t>is classified as non</w:t>
      </w:r>
      <w:r>
        <w:noBreakHyphen/>
        <w:t>residential or commercial residential; and</w:t>
      </w:r>
    </w:p>
    <w:p w:rsidR="005435E9" w:rsidRDefault="005435E9">
      <w:pPr>
        <w:pStyle w:val="yIndenta"/>
      </w:pPr>
      <w:r>
        <w:tab/>
        <w:t>(b)</w:t>
      </w:r>
      <w:r>
        <w:tab/>
        <w:t>is not contained in a residential property; and</w:t>
      </w:r>
    </w:p>
    <w:p w:rsidR="005435E9" w:rsidRDefault="005435E9">
      <w:pPr>
        <w:pStyle w:val="yIndenta"/>
      </w:pPr>
      <w:r>
        <w:tab/>
        <w:t>(c)</w:t>
      </w:r>
      <w:r>
        <w:tab/>
        <w:t>is not covered by item 5, 6 or 7,</w:t>
      </w:r>
    </w:p>
    <w:p w:rsidR="005435E9" w:rsidRDefault="005435E9">
      <w:pPr>
        <w:pStyle w:val="ySubsection"/>
      </w:pPr>
      <w:r>
        <w:tab/>
      </w:r>
      <w:r>
        <w:tab/>
        <w:t>the charge is the charge set out in the Table in item 2, according to the relevant meter size.</w:t>
      </w:r>
    </w:p>
    <w:p w:rsidR="005435E9" w:rsidRDefault="005435E9">
      <w:pPr>
        <w:pStyle w:val="ySubsection"/>
      </w:pPr>
      <w:r>
        <w:tab/>
        <w:t>(2)</w:t>
      </w:r>
      <w:r>
        <w:tab/>
        <w:t>Sub</w:t>
      </w:r>
      <w:r>
        <w:noBreakHyphen/>
        <w:t>item (1) does not apply to a connection covered by item 21.</w:t>
      </w:r>
    </w:p>
    <w:p w:rsidR="005435E9" w:rsidRDefault="005435E9">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rsidR="005435E9" w:rsidRDefault="005435E9">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rsidR="005435E9" w:rsidRDefault="005435E9">
      <w:pPr>
        <w:pStyle w:val="yHeading5"/>
      </w:pPr>
      <w:bookmarkStart w:id="207" w:name="_Toc75519714"/>
      <w:r>
        <w:rPr>
          <w:rStyle w:val="CharSClsNo"/>
        </w:rPr>
        <w:t>12</w:t>
      </w:r>
      <w:r>
        <w:t>.</w:t>
      </w:r>
      <w:r>
        <w:tab/>
        <w:t>Additional connections</w:t>
      </w:r>
      <w:bookmarkEnd w:id="207"/>
    </w:p>
    <w:p w:rsidR="005435E9" w:rsidRDefault="005435E9">
      <w:pPr>
        <w:pStyle w:val="ySubsection"/>
      </w:pPr>
      <w:r>
        <w:tab/>
        <w:t>(1)</w:t>
      </w:r>
      <w:r>
        <w:tab/>
        <w:t>For land supplied water through more than one water supply connection, the charge, for each additional connection, is —</w:t>
      </w:r>
    </w:p>
    <w:p w:rsidR="005435E9" w:rsidRDefault="005435E9">
      <w:pPr>
        <w:pStyle w:val="yIndenta"/>
      </w:pPr>
      <w:r>
        <w:tab/>
        <w:t>(a)</w:t>
      </w:r>
      <w:r>
        <w:tab/>
        <w:t>for land that is classified as non</w:t>
      </w:r>
      <w:r>
        <w:noBreakHyphen/>
        <w:t>residential or commercial residential, the charge set out in the Table in item 2, according to the relevant meter size; and</w:t>
      </w:r>
    </w:p>
    <w:p w:rsidR="005435E9" w:rsidRDefault="005435E9">
      <w:pPr>
        <w:pStyle w:val="yIndenta"/>
        <w:tabs>
          <w:tab w:val="right" w:leader="dot" w:pos="6804"/>
        </w:tabs>
      </w:pPr>
      <w:r>
        <w:tab/>
        <w:t>(b)</w:t>
      </w:r>
      <w:r>
        <w:tab/>
        <w:t xml:space="preserve">for land to which paragraph (a) </w:t>
      </w:r>
      <w:r>
        <w:br/>
        <w:t xml:space="preserve">does not apply </w:t>
      </w:r>
      <w:r>
        <w:tab/>
        <w:t>$264.35</w:t>
      </w:r>
    </w:p>
    <w:p w:rsidR="005435E9" w:rsidRDefault="005435E9">
      <w:pPr>
        <w:pStyle w:val="ySubsection"/>
      </w:pPr>
      <w:r>
        <w:tab/>
        <w:t>(2)</w:t>
      </w:r>
      <w:r>
        <w:tab/>
        <w:t>Sub</w:t>
      </w:r>
      <w:r>
        <w:noBreakHyphen/>
        <w:t>item (1) does not apply to —</w:t>
      </w:r>
    </w:p>
    <w:p w:rsidR="005435E9" w:rsidRDefault="005435E9">
      <w:pPr>
        <w:pStyle w:val="yIndenta"/>
      </w:pPr>
      <w:r>
        <w:tab/>
        <w:t>(a)</w:t>
      </w:r>
      <w:r>
        <w:tab/>
        <w:t>land covered by item 4 or 10; and</w:t>
      </w:r>
    </w:p>
    <w:p w:rsidR="005435E9" w:rsidRDefault="005435E9">
      <w:pPr>
        <w:pStyle w:val="yIndenta"/>
      </w:pPr>
      <w:r>
        <w:tab/>
        <w:t>(b)</w:t>
      </w:r>
      <w:r>
        <w:tab/>
        <w:t>a garden service connection; and</w:t>
      </w:r>
    </w:p>
    <w:p w:rsidR="005435E9" w:rsidRDefault="005435E9">
      <w:pPr>
        <w:pStyle w:val="yIndenta"/>
      </w:pPr>
      <w:r>
        <w:tab/>
        <w:t>(c)</w:t>
      </w:r>
      <w:r>
        <w:tab/>
        <w:t>a connection covered by item 13 or 21.</w:t>
      </w:r>
    </w:p>
    <w:p w:rsidR="005435E9" w:rsidRDefault="005435E9">
      <w:pPr>
        <w:pStyle w:val="ySubsection"/>
      </w:pPr>
      <w:r>
        <w:tab/>
        <w:t>(3)</w:t>
      </w:r>
      <w:r>
        <w:tab/>
        <w:t>The charge under sub</w:t>
      </w:r>
      <w:r>
        <w:noBreakHyphen/>
        <w:t>item (1) is in addition to any other charge applicable to the land under this Schedule.</w:t>
      </w:r>
    </w:p>
    <w:p w:rsidR="005435E9" w:rsidRDefault="005435E9">
      <w:pPr>
        <w:pStyle w:val="ySubsection"/>
      </w:pPr>
      <w:r>
        <w:lastRenderedPageBreak/>
        <w:tab/>
        <w:t>(4)</w:t>
      </w:r>
      <w:r>
        <w:tab/>
        <w:t>If a connection to which sub</w:t>
      </w:r>
      <w:r>
        <w:noBreakHyphen/>
        <w:t>item (1)(a) applies is not metered, the charge is to be calculated as if the connection were metered through a meter of a size equal to the diameter of the pipe making the connection.</w:t>
      </w:r>
    </w:p>
    <w:p w:rsidR="005435E9" w:rsidRDefault="005435E9">
      <w:pPr>
        <w:pStyle w:val="yHeading5"/>
      </w:pPr>
      <w:bookmarkStart w:id="208" w:name="_Toc75519715"/>
      <w:r>
        <w:rPr>
          <w:rStyle w:val="CharSClsNo"/>
        </w:rPr>
        <w:t>13</w:t>
      </w:r>
      <w:r>
        <w:t>.</w:t>
      </w:r>
      <w:r>
        <w:tab/>
        <w:t>Farmland</w:t>
      </w:r>
      <w:bookmarkEnd w:id="208"/>
    </w:p>
    <w:p w:rsidR="005435E9" w:rsidRDefault="005435E9">
      <w:pPr>
        <w:pStyle w:val="ySubsection"/>
        <w:tabs>
          <w:tab w:val="right" w:leader="dot" w:pos="6804"/>
        </w:tabs>
      </w:pPr>
      <w:r>
        <w:tab/>
      </w:r>
      <w:r>
        <w:tab/>
        <w:t xml:space="preserve">For land that is classified as farmland, </w:t>
      </w:r>
      <w:r>
        <w:br/>
        <w:t xml:space="preserve">the charge per connection is </w:t>
      </w:r>
      <w:r>
        <w:tab/>
        <w:t>$278.85</w:t>
      </w:r>
    </w:p>
    <w:p w:rsidR="005435E9" w:rsidRDefault="005435E9">
      <w:pPr>
        <w:pStyle w:val="yHeading5"/>
      </w:pPr>
      <w:bookmarkStart w:id="209" w:name="_Toc75519716"/>
      <w:r>
        <w:rPr>
          <w:rStyle w:val="CharSClsNo"/>
        </w:rPr>
        <w:t>14</w:t>
      </w:r>
      <w:r>
        <w:t>.</w:t>
      </w:r>
      <w:r>
        <w:tab/>
        <w:t>Vacant land</w:t>
      </w:r>
      <w:bookmarkEnd w:id="209"/>
    </w:p>
    <w:p w:rsidR="005435E9" w:rsidRDefault="005435E9">
      <w:pPr>
        <w:pStyle w:val="ySubsection"/>
        <w:tabs>
          <w:tab w:val="right" w:leader="dot" w:pos="6804"/>
        </w:tabs>
      </w:pPr>
      <w:r>
        <w:tab/>
      </w:r>
      <w:r>
        <w:tab/>
        <w:t xml:space="preserve">For land that is classified as vacant land, </w:t>
      </w:r>
      <w:r>
        <w:br/>
        <w:t>the charge is</w:t>
      </w:r>
      <w:r>
        <w:tab/>
        <w:t>$264.35</w:t>
      </w:r>
    </w:p>
    <w:p w:rsidR="005435E9" w:rsidRDefault="005435E9">
      <w:pPr>
        <w:pStyle w:val="yHeading5"/>
      </w:pPr>
      <w:bookmarkStart w:id="210" w:name="_Toc75519717"/>
      <w:r>
        <w:rPr>
          <w:rStyle w:val="CharSClsNo"/>
        </w:rPr>
        <w:t>15</w:t>
      </w:r>
      <w:r>
        <w:t>.</w:t>
      </w:r>
      <w:r>
        <w:tab/>
        <w:t>Garden service connections</w:t>
      </w:r>
      <w:bookmarkEnd w:id="210"/>
    </w:p>
    <w:p w:rsidR="005435E9" w:rsidRDefault="005435E9">
      <w:pPr>
        <w:pStyle w:val="ySubsection"/>
      </w:pPr>
      <w:r>
        <w:tab/>
        <w:t>(1)</w:t>
      </w:r>
      <w:r>
        <w:tab/>
        <w:t xml:space="preserve">For a garden service connection for water supplied to land — </w:t>
      </w:r>
    </w:p>
    <w:p w:rsidR="005435E9" w:rsidRDefault="005435E9">
      <w:pPr>
        <w:pStyle w:val="yIndenta"/>
      </w:pPr>
      <w:r>
        <w:tab/>
        <w:t>(a)</w:t>
      </w:r>
      <w:r>
        <w:tab/>
        <w:t xml:space="preserve">in the suburb of Butler in the metropolitan area — </w:t>
      </w:r>
    </w:p>
    <w:p w:rsidR="005435E9" w:rsidRDefault="005435E9">
      <w:pPr>
        <w:pStyle w:val="yIndenti0"/>
        <w:tabs>
          <w:tab w:val="right" w:leader="dot" w:pos="6804"/>
        </w:tabs>
      </w:pPr>
      <w:r>
        <w:tab/>
        <w:t>(i)</w:t>
      </w:r>
      <w:r>
        <w:tab/>
        <w:t xml:space="preserve">for land with an area of less </w:t>
      </w:r>
      <w:r>
        <w:br/>
        <w:t xml:space="preserve">than 400 m2, the charge is </w:t>
      </w:r>
      <w:r>
        <w:tab/>
        <w:t>$82.34</w:t>
      </w:r>
    </w:p>
    <w:p w:rsidR="005435E9" w:rsidRDefault="005435E9">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rsidR="005435E9" w:rsidRDefault="005435E9">
      <w:pPr>
        <w:pStyle w:val="yIndenta"/>
      </w:pPr>
      <w:r>
        <w:tab/>
      </w:r>
      <w:r>
        <w:tab/>
        <w:t>and</w:t>
      </w:r>
    </w:p>
    <w:p w:rsidR="005435E9" w:rsidRDefault="005435E9">
      <w:pPr>
        <w:pStyle w:val="yIndenta"/>
        <w:tabs>
          <w:tab w:val="right" w:leader="dot" w:pos="6804"/>
        </w:tabs>
      </w:pPr>
      <w:r>
        <w:tab/>
        <w:t>(b)</w:t>
      </w:r>
      <w:r>
        <w:tab/>
        <w:t xml:space="preserve">in the suburb of Mulataga in the </w:t>
      </w:r>
      <w:r>
        <w:br/>
        <w:t xml:space="preserve">town of Karratha, the charge is </w:t>
      </w:r>
      <w:r>
        <w:tab/>
        <w:t>$53.59</w:t>
      </w:r>
    </w:p>
    <w:p w:rsidR="005435E9" w:rsidRDefault="005435E9">
      <w:pPr>
        <w:pStyle w:val="ySubsection"/>
      </w:pPr>
      <w:r>
        <w:tab/>
        <w:t>(2)</w:t>
      </w:r>
      <w:r>
        <w:tab/>
        <w:t>The charge under sub</w:t>
      </w:r>
      <w:r>
        <w:noBreakHyphen/>
        <w:t>item (1) is in addition to any other charge applicable to the land under this Schedule.</w:t>
      </w:r>
    </w:p>
    <w:p w:rsidR="005435E9" w:rsidRDefault="005435E9">
      <w:pPr>
        <w:pStyle w:val="yHeading5"/>
      </w:pPr>
      <w:bookmarkStart w:id="211" w:name="_Toc75519718"/>
      <w:r>
        <w:rPr>
          <w:rStyle w:val="CharSClsNo"/>
        </w:rPr>
        <w:t>16</w:t>
      </w:r>
      <w:r>
        <w:t>.</w:t>
      </w:r>
      <w:r>
        <w:tab/>
        <w:t>Government trading organisations and non</w:t>
      </w:r>
      <w:r>
        <w:noBreakHyphen/>
        <w:t>commercial government property</w:t>
      </w:r>
      <w:bookmarkEnd w:id="211"/>
    </w:p>
    <w:p w:rsidR="005435E9" w:rsidRDefault="005435E9">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rsidR="005435E9" w:rsidRDefault="005435E9">
      <w:pPr>
        <w:pStyle w:val="ySubsection"/>
      </w:pPr>
      <w:r>
        <w:tab/>
        <w:t>(2)</w:t>
      </w:r>
      <w:r>
        <w:tab/>
        <w:t>This item does not apply to public land.</w:t>
      </w:r>
    </w:p>
    <w:p w:rsidR="005435E9" w:rsidRDefault="005435E9" w:rsidP="00FA1C7C">
      <w:pPr>
        <w:pStyle w:val="ySubsection"/>
        <w:keepNext/>
      </w:pPr>
      <w:r>
        <w:lastRenderedPageBreak/>
        <w:tab/>
        <w:t>(3)</w:t>
      </w:r>
      <w:r>
        <w:tab/>
        <w:t xml:space="preserve">For land to which this item applies — </w:t>
      </w:r>
    </w:p>
    <w:p w:rsidR="005435E9" w:rsidRDefault="005435E9">
      <w:pPr>
        <w:pStyle w:val="yIndenta"/>
      </w:pPr>
      <w:r>
        <w:tab/>
        <w:t>(a)</w:t>
      </w:r>
      <w:r>
        <w:tab/>
        <w:t>the charge referred to in sub</w:t>
      </w:r>
      <w:r>
        <w:noBreakHyphen/>
        <w:t>item (1) that would otherwise apply, does not; and</w:t>
      </w:r>
    </w:p>
    <w:p w:rsidR="005435E9" w:rsidRDefault="005435E9">
      <w:pPr>
        <w:pStyle w:val="yIndenta"/>
      </w:pPr>
      <w:r>
        <w:tab/>
        <w:t>(b)</w:t>
      </w:r>
      <w:r>
        <w:tab/>
        <w:t>the charge, per water supply connection, is the charge set out in the Table in item 2 according to the relevant meter size.</w:t>
      </w:r>
    </w:p>
    <w:p w:rsidR="005435E9" w:rsidRDefault="005435E9">
      <w:pPr>
        <w:pStyle w:val="ySubsection"/>
      </w:pPr>
      <w:r>
        <w:tab/>
        <w:t>(4)</w:t>
      </w:r>
      <w:r>
        <w:tab/>
        <w:t>If a connection to which sub</w:t>
      </w:r>
      <w:r>
        <w:noBreakHyphen/>
        <w:t>item (3)(b) applies is not metered, the charge is to be calculated as if the connection were metered through a 20 mm meter.</w:t>
      </w:r>
    </w:p>
    <w:p w:rsidR="005435E9" w:rsidRDefault="005435E9">
      <w:pPr>
        <w:pStyle w:val="yHeading5"/>
      </w:pPr>
      <w:bookmarkStart w:id="212" w:name="_Toc75519719"/>
      <w:r>
        <w:rPr>
          <w:rStyle w:val="CharSClsNo"/>
        </w:rPr>
        <w:t>17</w:t>
      </w:r>
      <w:r>
        <w:t>.</w:t>
      </w:r>
      <w:r>
        <w:tab/>
        <w:t>Government trading organisations and non</w:t>
      </w:r>
      <w:r>
        <w:noBreakHyphen/>
        <w:t>commercial government property: on</w:t>
      </w:r>
      <w:r>
        <w:noBreakHyphen/>
        <w:t>supply to lessees or ships</w:t>
      </w:r>
      <w:bookmarkEnd w:id="212"/>
    </w:p>
    <w:p w:rsidR="005435E9" w:rsidRDefault="005435E9">
      <w:pPr>
        <w:pStyle w:val="ySubsection"/>
      </w:pPr>
      <w:r>
        <w:tab/>
        <w:t>(1)</w:t>
      </w:r>
      <w:r>
        <w:tab/>
        <w:t>This item applies to land held by a government trading organisation, or a public authority that holds non</w:t>
      </w:r>
      <w:r>
        <w:noBreakHyphen/>
        <w:t>commercial government property, if —</w:t>
      </w:r>
    </w:p>
    <w:p w:rsidR="005435E9" w:rsidRDefault="005435E9">
      <w:pPr>
        <w:pStyle w:val="yIndenta"/>
      </w:pPr>
      <w:r>
        <w:tab/>
        <w:t>(a)</w:t>
      </w:r>
      <w:r>
        <w:tab/>
        <w:t>the land is connected to the water supply works of the Water Corporation; and</w:t>
      </w:r>
    </w:p>
    <w:p w:rsidR="005435E9" w:rsidRDefault="005435E9">
      <w:pPr>
        <w:pStyle w:val="yIndenta"/>
      </w:pPr>
      <w:r>
        <w:tab/>
        <w:t>(b)</w:t>
      </w:r>
      <w:r>
        <w:tab/>
        <w:t>a meter is connected to the property water supply connection with which the Water Corporation supplies water to the land; and</w:t>
      </w:r>
    </w:p>
    <w:p w:rsidR="005435E9" w:rsidRDefault="005435E9">
      <w:pPr>
        <w:pStyle w:val="yIndenta"/>
      </w:pPr>
      <w:r>
        <w:tab/>
        <w:t>(c)</w:t>
      </w:r>
      <w:r>
        <w:tab/>
        <w:t>at least some of the water supplied through the meter referred to in paragraph (b) is supplied, through a meter, to one or more lessees of any of the land or to ships in port.</w:t>
      </w:r>
    </w:p>
    <w:p w:rsidR="005435E9" w:rsidRDefault="005435E9">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rsidR="005435E9" w:rsidRDefault="005435E9">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rsidR="005435E9" w:rsidRDefault="005435E9">
      <w:pPr>
        <w:pStyle w:val="yHeading4"/>
      </w:pPr>
      <w:bookmarkStart w:id="213" w:name="_Toc75266271"/>
      <w:bookmarkStart w:id="214" w:name="_Toc75269552"/>
      <w:bookmarkStart w:id="215" w:name="_Toc75351051"/>
      <w:bookmarkStart w:id="216" w:name="_Toc75519720"/>
      <w:r>
        <w:lastRenderedPageBreak/>
        <w:t>Subdivision 3 — Other service charges</w:t>
      </w:r>
      <w:bookmarkEnd w:id="213"/>
      <w:bookmarkEnd w:id="214"/>
      <w:bookmarkEnd w:id="215"/>
      <w:bookmarkEnd w:id="216"/>
    </w:p>
    <w:p w:rsidR="005435E9" w:rsidRDefault="005435E9" w:rsidP="00FA1C7C">
      <w:pPr>
        <w:pStyle w:val="yFootnoteheading"/>
        <w:keepNext/>
      </w:pPr>
      <w:r>
        <w:tab/>
        <w:t>[Heading inserted: SL 2020/95 r. 9.]</w:t>
      </w:r>
    </w:p>
    <w:p w:rsidR="005435E9" w:rsidRDefault="005435E9">
      <w:pPr>
        <w:pStyle w:val="yHeading5"/>
      </w:pPr>
      <w:bookmarkStart w:id="217" w:name="_Toc75519721"/>
      <w:r>
        <w:rPr>
          <w:rStyle w:val="CharSClsNo"/>
        </w:rPr>
        <w:t>18</w:t>
      </w:r>
      <w:r>
        <w:t>.</w:t>
      </w:r>
      <w:r>
        <w:tab/>
        <w:t>Stock</w:t>
      </w:r>
      <w:bookmarkEnd w:id="217"/>
    </w:p>
    <w:p w:rsidR="005435E9" w:rsidRDefault="005435E9">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rsidR="005435E9" w:rsidRDefault="005435E9">
      <w:pPr>
        <w:pStyle w:val="yHeading5"/>
      </w:pPr>
      <w:bookmarkStart w:id="218" w:name="_Toc75519722"/>
      <w:r>
        <w:rPr>
          <w:rStyle w:val="CharSClsNo"/>
        </w:rPr>
        <w:t>19</w:t>
      </w:r>
      <w:r>
        <w:t>.</w:t>
      </w:r>
      <w:r>
        <w:tab/>
        <w:t>Shipping</w:t>
      </w:r>
      <w:bookmarkEnd w:id="218"/>
    </w:p>
    <w:p w:rsidR="005435E9" w:rsidRDefault="005435E9">
      <w:pPr>
        <w:pStyle w:val="ySubsection"/>
      </w:pPr>
      <w:r>
        <w:tab/>
      </w:r>
      <w:r>
        <w:tab/>
        <w:t>For each water supply connection provided for the purpose of water being taken on board any ship in a port, the charge is the charge set out in the Table in item 2 according to the relevant meter size.</w:t>
      </w:r>
    </w:p>
    <w:p w:rsidR="005435E9" w:rsidRDefault="005435E9">
      <w:pPr>
        <w:pStyle w:val="yHeading5"/>
      </w:pPr>
      <w:bookmarkStart w:id="219" w:name="_Toc75519723"/>
      <w:r>
        <w:rPr>
          <w:rStyle w:val="CharSClsNo"/>
        </w:rPr>
        <w:t>20</w:t>
      </w:r>
      <w:r>
        <w:t>.</w:t>
      </w:r>
      <w:r>
        <w:tab/>
        <w:t>Local government standpipes</w:t>
      </w:r>
      <w:bookmarkEnd w:id="219"/>
    </w:p>
    <w:p w:rsidR="005435E9" w:rsidRDefault="005435E9">
      <w:pPr>
        <w:pStyle w:val="ySubsection"/>
        <w:tabs>
          <w:tab w:val="right" w:leader="dot" w:pos="6804"/>
        </w:tabs>
      </w:pPr>
      <w:r>
        <w:tab/>
      </w:r>
      <w:r>
        <w:tab/>
        <w:t xml:space="preserve">For each local government standpipe, </w:t>
      </w:r>
      <w:r>
        <w:br/>
        <w:t xml:space="preserve">the charge is </w:t>
      </w:r>
      <w:r>
        <w:tab/>
        <w:t>$278.85</w:t>
      </w:r>
    </w:p>
    <w:p w:rsidR="005435E9" w:rsidRDefault="005435E9">
      <w:pPr>
        <w:pStyle w:val="yHeading5"/>
      </w:pPr>
      <w:bookmarkStart w:id="220" w:name="_Toc75519724"/>
      <w:r>
        <w:rPr>
          <w:rStyle w:val="CharSClsNo"/>
        </w:rPr>
        <w:t>21</w:t>
      </w:r>
      <w:r>
        <w:t>.</w:t>
      </w:r>
      <w:r>
        <w:tab/>
        <w:t>Fire service connections</w:t>
      </w:r>
      <w:bookmarkEnd w:id="220"/>
    </w:p>
    <w:p w:rsidR="005435E9" w:rsidRDefault="005435E9">
      <w:pPr>
        <w:pStyle w:val="ySubsection"/>
        <w:tabs>
          <w:tab w:val="right" w:leader="dot" w:pos="6804"/>
        </w:tabs>
      </w:pPr>
      <w:r>
        <w:tab/>
      </w:r>
      <w:r>
        <w:tab/>
        <w:t xml:space="preserve">For a fire service connection, the charge is </w:t>
      </w:r>
      <w:r>
        <w:tab/>
        <w:t>$278.85</w:t>
      </w:r>
    </w:p>
    <w:p w:rsidR="005435E9" w:rsidRDefault="005435E9">
      <w:pPr>
        <w:pStyle w:val="yFootnotesection"/>
      </w:pPr>
      <w:r>
        <w:tab/>
        <w:t>[Division 1 inserted: SL 2020/95 r. 9</w:t>
      </w:r>
      <w:r w:rsidR="00052DAB">
        <w:t>; amended: SL 2021/79 r. 11</w:t>
      </w:r>
      <w:r>
        <w:t>.]</w:t>
      </w:r>
    </w:p>
    <w:p w:rsidR="005435E9" w:rsidRDefault="005435E9">
      <w:pPr>
        <w:pStyle w:val="yHeading3"/>
      </w:pPr>
      <w:bookmarkStart w:id="221" w:name="_Toc75266276"/>
      <w:bookmarkStart w:id="222" w:name="_Toc75269557"/>
      <w:bookmarkStart w:id="223" w:name="_Toc75351056"/>
      <w:bookmarkStart w:id="224" w:name="_Toc75519725"/>
      <w:r>
        <w:rPr>
          <w:rStyle w:val="CharSDivNo"/>
        </w:rPr>
        <w:t>Division 2</w:t>
      </w:r>
      <w:r>
        <w:t> — </w:t>
      </w:r>
      <w:r>
        <w:rPr>
          <w:rStyle w:val="CharSDivText"/>
        </w:rPr>
        <w:t>Consumption charges</w:t>
      </w:r>
      <w:bookmarkEnd w:id="221"/>
      <w:bookmarkEnd w:id="222"/>
      <w:bookmarkEnd w:id="223"/>
      <w:bookmarkEnd w:id="224"/>
    </w:p>
    <w:p w:rsidR="005435E9" w:rsidRDefault="005435E9">
      <w:pPr>
        <w:pStyle w:val="yFootnoteheading"/>
      </w:pPr>
      <w:r>
        <w:tab/>
        <w:t>[Heading inserted: SL 2020/95 r. 9.]</w:t>
      </w:r>
    </w:p>
    <w:p w:rsidR="005435E9" w:rsidRDefault="005435E9">
      <w:pPr>
        <w:pStyle w:val="yHeading4"/>
      </w:pPr>
      <w:bookmarkStart w:id="225" w:name="_Toc75266277"/>
      <w:bookmarkStart w:id="226" w:name="_Toc75269558"/>
      <w:bookmarkStart w:id="227" w:name="_Toc75351057"/>
      <w:bookmarkStart w:id="228" w:name="_Toc75519726"/>
      <w:r>
        <w:t>Subdivision 1 — Preliminary</w:t>
      </w:r>
      <w:bookmarkEnd w:id="225"/>
      <w:bookmarkEnd w:id="226"/>
      <w:bookmarkEnd w:id="227"/>
      <w:bookmarkEnd w:id="228"/>
    </w:p>
    <w:p w:rsidR="005435E9" w:rsidRDefault="005435E9">
      <w:pPr>
        <w:pStyle w:val="yFootnoteheading"/>
      </w:pPr>
      <w:r>
        <w:tab/>
        <w:t>[Heading inserted: SL 2020/95 r. 9.]</w:t>
      </w:r>
    </w:p>
    <w:p w:rsidR="005435E9" w:rsidRDefault="005435E9">
      <w:pPr>
        <w:pStyle w:val="yHeading5"/>
      </w:pPr>
      <w:bookmarkStart w:id="229" w:name="_Toc75519727"/>
      <w:r>
        <w:rPr>
          <w:rStyle w:val="CharSClsNo"/>
        </w:rPr>
        <w:t>22</w:t>
      </w:r>
      <w:r>
        <w:t>.</w:t>
      </w:r>
      <w:r>
        <w:tab/>
        <w:t>Consumption charges for 2020/21 year and subsequent years</w:t>
      </w:r>
      <w:bookmarkEnd w:id="229"/>
    </w:p>
    <w:p w:rsidR="005435E9" w:rsidRDefault="005435E9">
      <w:pPr>
        <w:pStyle w:val="ySubsection"/>
      </w:pPr>
      <w:r>
        <w:tab/>
        <w:t>(1)</w:t>
      </w:r>
      <w:r>
        <w:tab/>
        <w:t>The charges set out in this Division apply for water supplied in the 2020/21 financial year and each subsequent year.</w:t>
      </w:r>
    </w:p>
    <w:p w:rsidR="005435E9" w:rsidRDefault="005435E9">
      <w:pPr>
        <w:pStyle w:val="ySubsection"/>
      </w:pPr>
      <w:r>
        <w:tab/>
        <w:t>(2)</w:t>
      </w:r>
      <w:r>
        <w:tab/>
        <w:t>Volumetric ranges in an item of this Division have effect by reference to the volume of water supplied in the current consumption year.</w:t>
      </w:r>
    </w:p>
    <w:p w:rsidR="005435E9" w:rsidRDefault="005435E9">
      <w:pPr>
        <w:pStyle w:val="yHeading5"/>
      </w:pPr>
      <w:bookmarkStart w:id="230" w:name="_Toc75519728"/>
      <w:r>
        <w:rPr>
          <w:rStyle w:val="CharSClsNo"/>
        </w:rPr>
        <w:lastRenderedPageBreak/>
        <w:t>23</w:t>
      </w:r>
      <w:r>
        <w:t>.</w:t>
      </w:r>
      <w:r>
        <w:tab/>
        <w:t>Residential or non</w:t>
      </w:r>
      <w:r>
        <w:noBreakHyphen/>
        <w:t>residential class of town or area</w:t>
      </w:r>
      <w:bookmarkEnd w:id="230"/>
    </w:p>
    <w:p w:rsidR="005435E9" w:rsidRDefault="005435E9">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rsidR="005435E9" w:rsidRDefault="005435E9">
      <w:pPr>
        <w:pStyle w:val="yHeading5"/>
      </w:pPr>
      <w:bookmarkStart w:id="231" w:name="_Toc75519729"/>
      <w:r>
        <w:rPr>
          <w:rStyle w:val="CharSClsNo"/>
        </w:rPr>
        <w:t>24</w:t>
      </w:r>
      <w:r>
        <w:t>.</w:t>
      </w:r>
      <w:r>
        <w:tab/>
        <w:t>Table of class</w:t>
      </w:r>
      <w:r>
        <w:noBreakHyphen/>
        <w:t>based charges</w:t>
      </w:r>
      <w:bookmarkEnd w:id="231"/>
    </w:p>
    <w:p w:rsidR="005435E9" w:rsidRDefault="005435E9">
      <w:pPr>
        <w:pStyle w:val="ySubsection"/>
      </w:pPr>
      <w:r>
        <w:tab/>
      </w:r>
      <w:r>
        <w:tab/>
        <w:t>For the purposes of this Division, class</w:t>
      </w:r>
      <w:r>
        <w:noBreakHyphen/>
        <w:t>based charges are set out in the Table.</w:t>
      </w:r>
    </w:p>
    <w:p w:rsidR="005435E9" w:rsidRDefault="005435E9">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rsidR="005435E9">
        <w:trPr>
          <w:trHeight w:val="217"/>
          <w:tblHeader/>
        </w:trPr>
        <w:tc>
          <w:tcPr>
            <w:tcW w:w="1701" w:type="dxa"/>
            <w:tcBorders>
              <w:top w:val="single" w:sz="4" w:space="0" w:color="auto"/>
              <w:bottom w:val="single" w:sz="4" w:space="0" w:color="auto"/>
            </w:tcBorders>
            <w:noWrap/>
            <w:vAlign w:val="center"/>
          </w:tcPr>
          <w:p w:rsidR="005435E9" w:rsidRDefault="005435E9">
            <w:pPr>
              <w:pStyle w:val="yTableNAm"/>
              <w:jc w:val="center"/>
              <w:rPr>
                <w:b/>
              </w:rPr>
            </w:pPr>
            <w:r>
              <w:rPr>
                <w:b/>
              </w:rPr>
              <w:t>Class</w:t>
            </w:r>
          </w:p>
        </w:tc>
        <w:tc>
          <w:tcPr>
            <w:tcW w:w="1701" w:type="dxa"/>
            <w:tcBorders>
              <w:top w:val="single" w:sz="4" w:space="0" w:color="auto"/>
              <w:bottom w:val="single" w:sz="4" w:space="0" w:color="auto"/>
            </w:tcBorders>
            <w:noWrap/>
          </w:tcPr>
          <w:p w:rsidR="005435E9" w:rsidRDefault="005435E9">
            <w:pPr>
              <w:pStyle w:val="yTableNAm"/>
              <w:jc w:val="center"/>
              <w:rPr>
                <w:b/>
              </w:rPr>
            </w:pPr>
            <w:r>
              <w:rPr>
                <w:b/>
              </w:rPr>
              <w:t>Charge (cents)</w:t>
            </w:r>
          </w:p>
        </w:tc>
      </w:tr>
      <w:tr w:rsidR="005435E9">
        <w:tc>
          <w:tcPr>
            <w:tcW w:w="1701" w:type="dxa"/>
            <w:tcBorders>
              <w:top w:val="single" w:sz="4" w:space="0" w:color="auto"/>
            </w:tcBorders>
            <w:noWrap/>
            <w:vAlign w:val="center"/>
          </w:tcPr>
          <w:p w:rsidR="005435E9" w:rsidRDefault="005435E9">
            <w:pPr>
              <w:pStyle w:val="yTableNAm"/>
              <w:jc w:val="center"/>
            </w:pPr>
            <w:r>
              <w:t>1</w:t>
            </w:r>
          </w:p>
        </w:tc>
        <w:tc>
          <w:tcPr>
            <w:tcW w:w="1701" w:type="dxa"/>
            <w:tcBorders>
              <w:top w:val="single" w:sz="4" w:space="0" w:color="auto"/>
            </w:tcBorders>
            <w:noWrap/>
            <w:vAlign w:val="bottom"/>
          </w:tcPr>
          <w:p w:rsidR="005435E9" w:rsidRDefault="005435E9">
            <w:pPr>
              <w:pStyle w:val="yTableNAm"/>
              <w:jc w:val="center"/>
            </w:pPr>
            <w:r>
              <w:rPr>
                <w:szCs w:val="22"/>
              </w:rPr>
              <w:t>266.2</w:t>
            </w:r>
          </w:p>
        </w:tc>
      </w:tr>
      <w:tr w:rsidR="005435E9">
        <w:tc>
          <w:tcPr>
            <w:tcW w:w="1701" w:type="dxa"/>
            <w:noWrap/>
            <w:vAlign w:val="center"/>
          </w:tcPr>
          <w:p w:rsidR="005435E9" w:rsidRDefault="005435E9">
            <w:pPr>
              <w:pStyle w:val="yTableNAm"/>
              <w:jc w:val="center"/>
            </w:pPr>
            <w:r>
              <w:t>2</w:t>
            </w:r>
          </w:p>
        </w:tc>
        <w:tc>
          <w:tcPr>
            <w:tcW w:w="1701" w:type="dxa"/>
            <w:noWrap/>
            <w:vAlign w:val="bottom"/>
          </w:tcPr>
          <w:p w:rsidR="005435E9" w:rsidRDefault="005435E9">
            <w:pPr>
              <w:pStyle w:val="yTableNAm"/>
              <w:jc w:val="center"/>
            </w:pPr>
            <w:r>
              <w:rPr>
                <w:szCs w:val="22"/>
              </w:rPr>
              <w:t>290.1</w:t>
            </w:r>
          </w:p>
        </w:tc>
      </w:tr>
      <w:tr w:rsidR="005435E9">
        <w:tc>
          <w:tcPr>
            <w:tcW w:w="1701" w:type="dxa"/>
            <w:noWrap/>
            <w:vAlign w:val="center"/>
          </w:tcPr>
          <w:p w:rsidR="005435E9" w:rsidRDefault="005435E9">
            <w:pPr>
              <w:pStyle w:val="yTableNAm"/>
              <w:jc w:val="center"/>
            </w:pPr>
            <w:r>
              <w:t>3</w:t>
            </w:r>
          </w:p>
        </w:tc>
        <w:tc>
          <w:tcPr>
            <w:tcW w:w="1701" w:type="dxa"/>
            <w:noWrap/>
            <w:vAlign w:val="bottom"/>
          </w:tcPr>
          <w:p w:rsidR="005435E9" w:rsidRDefault="005435E9">
            <w:pPr>
              <w:pStyle w:val="yTableNAm"/>
              <w:jc w:val="center"/>
            </w:pPr>
            <w:r>
              <w:rPr>
                <w:szCs w:val="22"/>
              </w:rPr>
              <w:t>315.5</w:t>
            </w:r>
          </w:p>
        </w:tc>
      </w:tr>
      <w:tr w:rsidR="005435E9">
        <w:tc>
          <w:tcPr>
            <w:tcW w:w="1701" w:type="dxa"/>
            <w:noWrap/>
            <w:vAlign w:val="center"/>
          </w:tcPr>
          <w:p w:rsidR="005435E9" w:rsidRDefault="005435E9">
            <w:pPr>
              <w:pStyle w:val="yTableNAm"/>
              <w:jc w:val="center"/>
            </w:pPr>
            <w:r>
              <w:t>4</w:t>
            </w:r>
          </w:p>
        </w:tc>
        <w:tc>
          <w:tcPr>
            <w:tcW w:w="1701" w:type="dxa"/>
            <w:noWrap/>
            <w:vAlign w:val="bottom"/>
          </w:tcPr>
          <w:p w:rsidR="005435E9" w:rsidRDefault="005435E9">
            <w:pPr>
              <w:pStyle w:val="yTableNAm"/>
              <w:jc w:val="center"/>
            </w:pPr>
            <w:r>
              <w:rPr>
                <w:szCs w:val="22"/>
              </w:rPr>
              <w:t>343.8</w:t>
            </w:r>
          </w:p>
        </w:tc>
      </w:tr>
      <w:tr w:rsidR="005435E9">
        <w:tc>
          <w:tcPr>
            <w:tcW w:w="1701" w:type="dxa"/>
            <w:noWrap/>
            <w:vAlign w:val="center"/>
          </w:tcPr>
          <w:p w:rsidR="005435E9" w:rsidRDefault="005435E9">
            <w:pPr>
              <w:pStyle w:val="yTableNAm"/>
              <w:jc w:val="center"/>
            </w:pPr>
            <w:r>
              <w:t>5</w:t>
            </w:r>
          </w:p>
        </w:tc>
        <w:tc>
          <w:tcPr>
            <w:tcW w:w="1701" w:type="dxa"/>
            <w:noWrap/>
            <w:vAlign w:val="bottom"/>
          </w:tcPr>
          <w:p w:rsidR="005435E9" w:rsidRDefault="005435E9">
            <w:pPr>
              <w:pStyle w:val="yTableNAm"/>
              <w:jc w:val="center"/>
            </w:pPr>
            <w:r>
              <w:rPr>
                <w:szCs w:val="22"/>
              </w:rPr>
              <w:t>374.4</w:t>
            </w:r>
          </w:p>
        </w:tc>
      </w:tr>
      <w:tr w:rsidR="005435E9">
        <w:tc>
          <w:tcPr>
            <w:tcW w:w="1701" w:type="dxa"/>
            <w:noWrap/>
            <w:vAlign w:val="center"/>
          </w:tcPr>
          <w:p w:rsidR="005435E9" w:rsidRDefault="005435E9">
            <w:pPr>
              <w:pStyle w:val="yTableNAm"/>
              <w:jc w:val="center"/>
            </w:pPr>
            <w:r>
              <w:t>6</w:t>
            </w:r>
          </w:p>
        </w:tc>
        <w:tc>
          <w:tcPr>
            <w:tcW w:w="1701" w:type="dxa"/>
            <w:noWrap/>
            <w:vAlign w:val="bottom"/>
          </w:tcPr>
          <w:p w:rsidR="005435E9" w:rsidRDefault="005435E9">
            <w:pPr>
              <w:pStyle w:val="yTableNAm"/>
              <w:jc w:val="center"/>
            </w:pPr>
            <w:r>
              <w:rPr>
                <w:szCs w:val="22"/>
              </w:rPr>
              <w:t>407.6</w:t>
            </w:r>
          </w:p>
        </w:tc>
      </w:tr>
      <w:tr w:rsidR="005435E9">
        <w:tc>
          <w:tcPr>
            <w:tcW w:w="1701" w:type="dxa"/>
            <w:noWrap/>
            <w:vAlign w:val="center"/>
          </w:tcPr>
          <w:p w:rsidR="005435E9" w:rsidRDefault="005435E9">
            <w:pPr>
              <w:pStyle w:val="yTableNAm"/>
              <w:jc w:val="center"/>
            </w:pPr>
            <w:r>
              <w:t>7</w:t>
            </w:r>
          </w:p>
        </w:tc>
        <w:tc>
          <w:tcPr>
            <w:tcW w:w="1701" w:type="dxa"/>
            <w:noWrap/>
            <w:vAlign w:val="bottom"/>
          </w:tcPr>
          <w:p w:rsidR="005435E9" w:rsidRDefault="005435E9">
            <w:pPr>
              <w:pStyle w:val="yTableNAm"/>
              <w:jc w:val="center"/>
            </w:pPr>
            <w:r>
              <w:rPr>
                <w:szCs w:val="22"/>
              </w:rPr>
              <w:t>444.0</w:t>
            </w:r>
          </w:p>
        </w:tc>
      </w:tr>
      <w:tr w:rsidR="005435E9">
        <w:tc>
          <w:tcPr>
            <w:tcW w:w="1701" w:type="dxa"/>
            <w:noWrap/>
            <w:vAlign w:val="center"/>
          </w:tcPr>
          <w:p w:rsidR="005435E9" w:rsidRDefault="005435E9">
            <w:pPr>
              <w:pStyle w:val="yTableNAm"/>
              <w:jc w:val="center"/>
            </w:pPr>
            <w:r>
              <w:t>8</w:t>
            </w:r>
          </w:p>
        </w:tc>
        <w:tc>
          <w:tcPr>
            <w:tcW w:w="1701" w:type="dxa"/>
            <w:noWrap/>
            <w:vAlign w:val="bottom"/>
          </w:tcPr>
          <w:p w:rsidR="005435E9" w:rsidRDefault="005435E9">
            <w:pPr>
              <w:pStyle w:val="yTableNAm"/>
              <w:jc w:val="center"/>
            </w:pPr>
            <w:r>
              <w:rPr>
                <w:szCs w:val="22"/>
              </w:rPr>
              <w:t>483.4</w:t>
            </w:r>
          </w:p>
        </w:tc>
      </w:tr>
      <w:tr w:rsidR="005435E9">
        <w:tc>
          <w:tcPr>
            <w:tcW w:w="1701" w:type="dxa"/>
            <w:noWrap/>
            <w:vAlign w:val="center"/>
          </w:tcPr>
          <w:p w:rsidR="005435E9" w:rsidRDefault="005435E9">
            <w:pPr>
              <w:pStyle w:val="yTableNAm"/>
              <w:jc w:val="center"/>
            </w:pPr>
            <w:r>
              <w:t>9</w:t>
            </w:r>
          </w:p>
        </w:tc>
        <w:tc>
          <w:tcPr>
            <w:tcW w:w="1701" w:type="dxa"/>
            <w:noWrap/>
            <w:vAlign w:val="bottom"/>
          </w:tcPr>
          <w:p w:rsidR="005435E9" w:rsidRDefault="005435E9">
            <w:pPr>
              <w:pStyle w:val="yTableNAm"/>
              <w:jc w:val="center"/>
            </w:pPr>
            <w:r>
              <w:rPr>
                <w:szCs w:val="22"/>
              </w:rPr>
              <w:t>526.4</w:t>
            </w:r>
          </w:p>
        </w:tc>
      </w:tr>
      <w:tr w:rsidR="005435E9">
        <w:tc>
          <w:tcPr>
            <w:tcW w:w="1701" w:type="dxa"/>
            <w:noWrap/>
            <w:vAlign w:val="center"/>
          </w:tcPr>
          <w:p w:rsidR="005435E9" w:rsidRDefault="005435E9">
            <w:pPr>
              <w:pStyle w:val="yTableNAm"/>
              <w:jc w:val="center"/>
            </w:pPr>
            <w:r>
              <w:t>10</w:t>
            </w:r>
          </w:p>
        </w:tc>
        <w:tc>
          <w:tcPr>
            <w:tcW w:w="1701" w:type="dxa"/>
            <w:noWrap/>
            <w:vAlign w:val="bottom"/>
          </w:tcPr>
          <w:p w:rsidR="005435E9" w:rsidRDefault="005435E9">
            <w:pPr>
              <w:pStyle w:val="yTableNAm"/>
              <w:jc w:val="center"/>
            </w:pPr>
            <w:r>
              <w:rPr>
                <w:szCs w:val="22"/>
              </w:rPr>
              <w:t>573.3</w:t>
            </w:r>
          </w:p>
        </w:tc>
      </w:tr>
      <w:tr w:rsidR="005435E9">
        <w:tc>
          <w:tcPr>
            <w:tcW w:w="1701" w:type="dxa"/>
            <w:noWrap/>
            <w:vAlign w:val="center"/>
          </w:tcPr>
          <w:p w:rsidR="005435E9" w:rsidRDefault="005435E9">
            <w:pPr>
              <w:pStyle w:val="yTableNAm"/>
              <w:jc w:val="center"/>
            </w:pPr>
            <w:r>
              <w:t>11</w:t>
            </w:r>
          </w:p>
        </w:tc>
        <w:tc>
          <w:tcPr>
            <w:tcW w:w="1701" w:type="dxa"/>
            <w:noWrap/>
            <w:vAlign w:val="bottom"/>
          </w:tcPr>
          <w:p w:rsidR="005435E9" w:rsidRDefault="005435E9">
            <w:pPr>
              <w:pStyle w:val="yTableNAm"/>
              <w:jc w:val="center"/>
            </w:pPr>
            <w:r>
              <w:rPr>
                <w:szCs w:val="22"/>
              </w:rPr>
              <w:t>624.1</w:t>
            </w:r>
          </w:p>
        </w:tc>
      </w:tr>
      <w:tr w:rsidR="005435E9">
        <w:tc>
          <w:tcPr>
            <w:tcW w:w="1701" w:type="dxa"/>
            <w:noWrap/>
            <w:vAlign w:val="center"/>
          </w:tcPr>
          <w:p w:rsidR="005435E9" w:rsidRDefault="005435E9">
            <w:pPr>
              <w:pStyle w:val="yTableNAm"/>
              <w:jc w:val="center"/>
            </w:pPr>
            <w:r>
              <w:t>12</w:t>
            </w:r>
          </w:p>
        </w:tc>
        <w:tc>
          <w:tcPr>
            <w:tcW w:w="1701" w:type="dxa"/>
            <w:noWrap/>
            <w:vAlign w:val="bottom"/>
          </w:tcPr>
          <w:p w:rsidR="005435E9" w:rsidRDefault="005435E9">
            <w:pPr>
              <w:pStyle w:val="yTableNAm"/>
              <w:jc w:val="center"/>
            </w:pPr>
            <w:r>
              <w:rPr>
                <w:szCs w:val="22"/>
              </w:rPr>
              <w:t>679.7</w:t>
            </w:r>
          </w:p>
        </w:tc>
      </w:tr>
      <w:tr w:rsidR="005435E9">
        <w:tc>
          <w:tcPr>
            <w:tcW w:w="1701" w:type="dxa"/>
            <w:noWrap/>
            <w:vAlign w:val="center"/>
          </w:tcPr>
          <w:p w:rsidR="005435E9" w:rsidRDefault="005435E9">
            <w:pPr>
              <w:pStyle w:val="yTableNAm"/>
              <w:jc w:val="center"/>
            </w:pPr>
            <w:r>
              <w:t>13</w:t>
            </w:r>
          </w:p>
        </w:tc>
        <w:tc>
          <w:tcPr>
            <w:tcW w:w="1701" w:type="dxa"/>
            <w:noWrap/>
            <w:vAlign w:val="bottom"/>
          </w:tcPr>
          <w:p w:rsidR="005435E9" w:rsidRDefault="005435E9">
            <w:pPr>
              <w:pStyle w:val="yTableNAm"/>
              <w:jc w:val="center"/>
            </w:pPr>
            <w:r>
              <w:rPr>
                <w:szCs w:val="22"/>
              </w:rPr>
              <w:t>740.2</w:t>
            </w:r>
          </w:p>
        </w:tc>
      </w:tr>
      <w:tr w:rsidR="005435E9">
        <w:tc>
          <w:tcPr>
            <w:tcW w:w="1701" w:type="dxa"/>
            <w:noWrap/>
            <w:vAlign w:val="center"/>
          </w:tcPr>
          <w:p w:rsidR="005435E9" w:rsidRDefault="005435E9">
            <w:pPr>
              <w:pStyle w:val="yTableNAm"/>
              <w:jc w:val="center"/>
            </w:pPr>
            <w:r>
              <w:t>14</w:t>
            </w:r>
          </w:p>
        </w:tc>
        <w:tc>
          <w:tcPr>
            <w:tcW w:w="1701" w:type="dxa"/>
            <w:noWrap/>
            <w:vAlign w:val="bottom"/>
          </w:tcPr>
          <w:p w:rsidR="005435E9" w:rsidRDefault="005435E9">
            <w:pPr>
              <w:pStyle w:val="yTableNAm"/>
              <w:jc w:val="center"/>
            </w:pPr>
            <w:r>
              <w:rPr>
                <w:szCs w:val="22"/>
              </w:rPr>
              <w:t>806.1</w:t>
            </w:r>
          </w:p>
        </w:tc>
      </w:tr>
      <w:tr w:rsidR="005435E9">
        <w:tc>
          <w:tcPr>
            <w:tcW w:w="1701" w:type="dxa"/>
            <w:tcBorders>
              <w:bottom w:val="single" w:sz="4" w:space="0" w:color="auto"/>
            </w:tcBorders>
            <w:noWrap/>
            <w:vAlign w:val="center"/>
          </w:tcPr>
          <w:p w:rsidR="005435E9" w:rsidRDefault="005435E9">
            <w:pPr>
              <w:pStyle w:val="yTableNAm"/>
              <w:jc w:val="center"/>
            </w:pPr>
            <w:r>
              <w:t>15</w:t>
            </w:r>
          </w:p>
        </w:tc>
        <w:tc>
          <w:tcPr>
            <w:tcW w:w="1701" w:type="dxa"/>
            <w:tcBorders>
              <w:bottom w:val="single" w:sz="4" w:space="0" w:color="auto"/>
            </w:tcBorders>
            <w:noWrap/>
            <w:vAlign w:val="bottom"/>
          </w:tcPr>
          <w:p w:rsidR="005435E9" w:rsidRDefault="005435E9">
            <w:pPr>
              <w:pStyle w:val="yTableNAm"/>
              <w:jc w:val="center"/>
            </w:pPr>
            <w:r>
              <w:rPr>
                <w:szCs w:val="22"/>
              </w:rPr>
              <w:t>877.6</w:t>
            </w:r>
          </w:p>
        </w:tc>
      </w:tr>
    </w:tbl>
    <w:p w:rsidR="005435E9" w:rsidRDefault="005435E9">
      <w:pPr>
        <w:pStyle w:val="yHeading4"/>
      </w:pPr>
      <w:bookmarkStart w:id="232" w:name="_Toc75266281"/>
      <w:bookmarkStart w:id="233" w:name="_Toc75269562"/>
      <w:bookmarkStart w:id="234" w:name="_Toc75351061"/>
      <w:bookmarkStart w:id="235" w:name="_Toc75519730"/>
      <w:r>
        <w:lastRenderedPageBreak/>
        <w:t>Subdivision 2 — Consumption charges that apply to land</w:t>
      </w:r>
      <w:bookmarkEnd w:id="232"/>
      <w:bookmarkEnd w:id="233"/>
      <w:bookmarkEnd w:id="234"/>
      <w:bookmarkEnd w:id="235"/>
    </w:p>
    <w:p w:rsidR="005435E9" w:rsidRDefault="005435E9" w:rsidP="00FA1C7C">
      <w:pPr>
        <w:pStyle w:val="yFootnoteheading"/>
        <w:keepNext/>
      </w:pPr>
      <w:r>
        <w:tab/>
        <w:t>[Heading inserted: SL 2020/95 r. 9.]</w:t>
      </w:r>
    </w:p>
    <w:p w:rsidR="005435E9" w:rsidRDefault="005435E9">
      <w:pPr>
        <w:pStyle w:val="yHeading5"/>
      </w:pPr>
      <w:bookmarkStart w:id="236" w:name="_Toc75519731"/>
      <w:r>
        <w:rPr>
          <w:rStyle w:val="CharSClsNo"/>
        </w:rPr>
        <w:t>25</w:t>
      </w:r>
      <w:r>
        <w:t>.</w:t>
      </w:r>
      <w:r>
        <w:tab/>
        <w:t>Metropolitan residential and semi</w:t>
      </w:r>
      <w:r>
        <w:noBreakHyphen/>
        <w:t>rural residential</w:t>
      </w:r>
      <w:bookmarkEnd w:id="236"/>
    </w:p>
    <w:p w:rsidR="005435E9" w:rsidRDefault="005435E9">
      <w:pPr>
        <w:pStyle w:val="ySubsection"/>
      </w:pPr>
      <w:r>
        <w:tab/>
        <w:t>(1)</w:t>
      </w:r>
      <w:r>
        <w:tab/>
        <w:t xml:space="preserve">For each kilolitre of water supplied to land in the metropolitan area that is — </w:t>
      </w:r>
    </w:p>
    <w:p w:rsidR="005435E9" w:rsidRDefault="005435E9">
      <w:pPr>
        <w:pStyle w:val="yIndenta"/>
      </w:pPr>
      <w:r>
        <w:tab/>
        <w:t>(a)</w:t>
      </w:r>
      <w:r>
        <w:tab/>
        <w:t>a residential property; or</w:t>
      </w:r>
    </w:p>
    <w:p w:rsidR="005435E9" w:rsidRDefault="005435E9">
      <w:pPr>
        <w:pStyle w:val="yIndenta"/>
      </w:pPr>
      <w:r>
        <w:tab/>
        <w:t>(b)</w:t>
      </w:r>
      <w:r>
        <w:tab/>
        <w:t>classified as vacant land but held for residential purposes; or</w:t>
      </w:r>
    </w:p>
    <w:p w:rsidR="005435E9" w:rsidRDefault="005435E9">
      <w:pPr>
        <w:pStyle w:val="yIndenta"/>
      </w:pPr>
      <w:r>
        <w:tab/>
        <w:t>(c)</w:t>
      </w:r>
      <w:r>
        <w:tab/>
        <w:t>a semi</w:t>
      </w:r>
      <w:r>
        <w:noBreakHyphen/>
        <w:t>rural residential property,</w:t>
      </w:r>
    </w:p>
    <w:p w:rsidR="005435E9" w:rsidRDefault="005435E9">
      <w:pPr>
        <w:pStyle w:val="ySubsection"/>
      </w:pPr>
      <w:r>
        <w:tab/>
      </w:r>
      <w:r>
        <w:tab/>
        <w:t xml:space="preserve">the charge is — </w:t>
      </w:r>
    </w:p>
    <w:p w:rsidR="005435E9" w:rsidRDefault="005435E9">
      <w:pPr>
        <w:pStyle w:val="yMiscellaneousBody"/>
        <w:tabs>
          <w:tab w:val="right" w:leader="dot" w:pos="6804"/>
        </w:tabs>
        <w:ind w:left="1134" w:hanging="114"/>
      </w:pPr>
      <w:r>
        <w:tab/>
        <w:t xml:space="preserve">up to 150 kL </w:t>
      </w:r>
      <w:r>
        <w:tab/>
        <w:t>182.7 cents</w:t>
      </w:r>
    </w:p>
    <w:p w:rsidR="005435E9" w:rsidRDefault="005435E9">
      <w:pPr>
        <w:pStyle w:val="yMiscellaneousBody"/>
        <w:tabs>
          <w:tab w:val="right" w:leader="dot" w:pos="6804"/>
        </w:tabs>
        <w:ind w:left="1134" w:hanging="114"/>
      </w:pPr>
      <w:r>
        <w:tab/>
        <w:t xml:space="preserve">over 150 but not over 500 kL </w:t>
      </w:r>
      <w:r>
        <w:tab/>
        <w:t>243.4 cents</w:t>
      </w:r>
    </w:p>
    <w:p w:rsidR="005435E9" w:rsidRDefault="005435E9">
      <w:pPr>
        <w:pStyle w:val="yMiscellaneousBody"/>
        <w:tabs>
          <w:tab w:val="right" w:leader="dot" w:pos="6804"/>
        </w:tabs>
        <w:ind w:left="1134" w:hanging="114"/>
      </w:pPr>
      <w:r>
        <w:tab/>
        <w:t xml:space="preserve">over 500 kL </w:t>
      </w:r>
      <w:r>
        <w:tab/>
        <w:t>455.3 cents</w:t>
      </w:r>
    </w:p>
    <w:p w:rsidR="005435E9" w:rsidRDefault="005435E9">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rsidR="005435E9" w:rsidRDefault="005435E9">
      <w:pPr>
        <w:pStyle w:val="yHeading5"/>
      </w:pPr>
      <w:bookmarkStart w:id="237" w:name="_Toc75519732"/>
      <w:r>
        <w:rPr>
          <w:rStyle w:val="CharSClsNo"/>
        </w:rPr>
        <w:t>26</w:t>
      </w:r>
      <w:r>
        <w:t>.</w:t>
      </w:r>
      <w:r>
        <w:tab/>
        <w:t>Metropolitan non</w:t>
      </w:r>
      <w:r>
        <w:noBreakHyphen/>
        <w:t>residential</w:t>
      </w:r>
      <w:bookmarkEnd w:id="237"/>
    </w:p>
    <w:p w:rsidR="005435E9" w:rsidRDefault="005435E9">
      <w:pPr>
        <w:pStyle w:val="ySubsection"/>
      </w:pPr>
      <w:r>
        <w:tab/>
        <w:t>(1)</w:t>
      </w:r>
      <w:r>
        <w:tab/>
        <w:t>For each kilolitre of water supplied to land in the metropolitan area that is neither classified as residential nor classified as vacant land but held for residential purposes, the charge is —</w:t>
      </w:r>
    </w:p>
    <w:p w:rsidR="005435E9" w:rsidRDefault="005435E9">
      <w:pPr>
        <w:pStyle w:val="yIndenta"/>
      </w:pPr>
      <w:r>
        <w:tab/>
        <w:t>(a)</w:t>
      </w:r>
      <w:r>
        <w:tab/>
        <w:t>if the land is classified as commercial residential —</w:t>
      </w:r>
    </w:p>
    <w:p w:rsidR="005435E9" w:rsidRDefault="005435E9">
      <w:pPr>
        <w:pStyle w:val="yMiscellaneousBody"/>
        <w:tabs>
          <w:tab w:val="right" w:leader="dot" w:pos="6804"/>
        </w:tabs>
        <w:ind w:left="993" w:firstLine="708"/>
      </w:pPr>
      <w:r>
        <w:t xml:space="preserve">up to 150 kL </w:t>
      </w:r>
      <w:r>
        <w:tab/>
        <w:t>182.7 cents</w:t>
      </w:r>
    </w:p>
    <w:p w:rsidR="005435E9" w:rsidRDefault="005435E9">
      <w:pPr>
        <w:pStyle w:val="yMiscellaneousBody"/>
        <w:tabs>
          <w:tab w:val="right" w:leader="dot" w:pos="6804"/>
        </w:tabs>
        <w:ind w:left="993" w:firstLine="709"/>
      </w:pPr>
      <w:r>
        <w:t xml:space="preserve">over 150 kL </w:t>
      </w:r>
      <w:r>
        <w:tab/>
        <w:t>258.1 cents</w:t>
      </w:r>
    </w:p>
    <w:p w:rsidR="005435E9" w:rsidRDefault="005435E9">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rsidR="005435E9" w:rsidRDefault="005435E9">
      <w:pPr>
        <w:pStyle w:val="ySubsection"/>
      </w:pPr>
      <w:r>
        <w:tab/>
        <w:t>(2)</w:t>
      </w:r>
      <w:r>
        <w:tab/>
        <w:t>A charge under sub</w:t>
      </w:r>
      <w:r>
        <w:noBreakHyphen/>
        <w:t>item (1) does not apply to the supply of water for which a more specific charge is provided in this Subdivision.</w:t>
      </w:r>
    </w:p>
    <w:p w:rsidR="005435E9" w:rsidRDefault="005435E9">
      <w:pPr>
        <w:pStyle w:val="yHeading5"/>
      </w:pPr>
      <w:bookmarkStart w:id="238" w:name="_Toc75519733"/>
      <w:r>
        <w:rPr>
          <w:rStyle w:val="CharSClsNo"/>
        </w:rPr>
        <w:t>27</w:t>
      </w:r>
      <w:r>
        <w:t>.</w:t>
      </w:r>
      <w:r>
        <w:tab/>
        <w:t>Metropolitan non</w:t>
      </w:r>
      <w:r>
        <w:noBreakHyphen/>
        <w:t>residential concessional</w:t>
      </w:r>
      <w:bookmarkEnd w:id="238"/>
    </w:p>
    <w:p w:rsidR="005435E9" w:rsidRDefault="005435E9">
      <w:pPr>
        <w:pStyle w:val="ySubsection"/>
        <w:tabs>
          <w:tab w:val="right" w:leader="dot" w:pos="6804"/>
        </w:tabs>
      </w:pPr>
      <w:r>
        <w:tab/>
        <w:t>(1)</w:t>
      </w:r>
      <w:r>
        <w:tab/>
        <w:t xml:space="preserve">For each kilolitre of water supplied to </w:t>
      </w:r>
      <w:r>
        <w:br/>
        <w:t xml:space="preserve">concessional land that is in the metropolitan </w:t>
      </w:r>
      <w:r>
        <w:br/>
      </w:r>
      <w:r>
        <w:lastRenderedPageBreak/>
        <w:t xml:space="preserve">area and is not classified as residential, </w:t>
      </w:r>
      <w:r>
        <w:br/>
        <w:t xml:space="preserve">the charge is </w:t>
      </w:r>
      <w:r>
        <w:tab/>
        <w:t>258.1 cents</w:t>
      </w:r>
    </w:p>
    <w:p w:rsidR="005435E9" w:rsidRDefault="005435E9">
      <w:pPr>
        <w:pStyle w:val="ySubsection"/>
      </w:pPr>
      <w:r>
        <w:tab/>
        <w:t>(2)</w:t>
      </w:r>
      <w:r>
        <w:tab/>
        <w:t>Sub</w:t>
      </w:r>
      <w:r>
        <w:noBreakHyphen/>
        <w:t>item (1) does not apply if the supply of water is covered by item 38.</w:t>
      </w:r>
    </w:p>
    <w:p w:rsidR="005435E9" w:rsidRDefault="005435E9">
      <w:pPr>
        <w:pStyle w:val="yHeading5"/>
      </w:pPr>
      <w:bookmarkStart w:id="239" w:name="_Toc75519734"/>
      <w:r>
        <w:rPr>
          <w:rStyle w:val="CharSClsNo"/>
        </w:rPr>
        <w:t>28</w:t>
      </w:r>
      <w:r>
        <w:t>.</w:t>
      </w:r>
      <w:r>
        <w:tab/>
        <w:t>Community residential</w:t>
      </w:r>
      <w:bookmarkEnd w:id="239"/>
    </w:p>
    <w:p w:rsidR="005435E9" w:rsidRDefault="005435E9">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rsidR="005435E9" w:rsidRDefault="005435E9">
      <w:pPr>
        <w:pStyle w:val="ySubsection"/>
      </w:pPr>
      <w:r>
        <w:tab/>
        <w:t>(2)</w:t>
      </w:r>
      <w:r>
        <w:tab/>
        <w:t>For each kilolitre of water supplied to land in the metropolitan area that is classified as community residential, the charge is —</w:t>
      </w:r>
    </w:p>
    <w:p w:rsidR="005435E9" w:rsidRDefault="005435E9">
      <w:pPr>
        <w:pStyle w:val="yMiscellaneousBody"/>
        <w:tabs>
          <w:tab w:val="right" w:leader="dot" w:pos="6804"/>
        </w:tabs>
        <w:ind w:left="993" w:hanging="114"/>
      </w:pPr>
      <w:r>
        <w:tab/>
        <w:t xml:space="preserve">up to 150 kL </w:t>
      </w:r>
      <w:r>
        <w:tab/>
        <w:t>91.4 cents</w:t>
      </w:r>
    </w:p>
    <w:p w:rsidR="005435E9" w:rsidRDefault="005435E9">
      <w:pPr>
        <w:pStyle w:val="yMiscellaneousBody"/>
        <w:tabs>
          <w:tab w:val="right" w:leader="dot" w:pos="6804"/>
        </w:tabs>
        <w:ind w:left="993" w:hanging="114"/>
      </w:pPr>
      <w:r>
        <w:tab/>
        <w:t xml:space="preserve">over 150 kL but not over 500 kL </w:t>
      </w:r>
      <w:r>
        <w:tab/>
        <w:t>243.4 cents</w:t>
      </w:r>
    </w:p>
    <w:p w:rsidR="005435E9" w:rsidRDefault="005435E9">
      <w:pPr>
        <w:pStyle w:val="yMiscellaneousBody"/>
        <w:tabs>
          <w:tab w:val="right" w:leader="dot" w:pos="6804"/>
        </w:tabs>
        <w:ind w:left="993" w:hanging="114"/>
      </w:pPr>
      <w:r>
        <w:tab/>
        <w:t xml:space="preserve">over 500 kL </w:t>
      </w:r>
      <w:r>
        <w:tab/>
        <w:t>455.3 cents</w:t>
      </w:r>
    </w:p>
    <w:p w:rsidR="005435E9" w:rsidRDefault="005435E9">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rsidR="005435E9">
        <w:trPr>
          <w:cantSplit/>
          <w:tblHeader/>
        </w:trPr>
        <w:tc>
          <w:tcPr>
            <w:tcW w:w="1417" w:type="dxa"/>
            <w:tcBorders>
              <w:top w:val="single" w:sz="4" w:space="0" w:color="auto"/>
              <w:bottom w:val="single" w:sz="4" w:space="0" w:color="auto"/>
            </w:tcBorders>
            <w:noWrap/>
          </w:tcPr>
          <w:p w:rsidR="005435E9" w:rsidRDefault="005435E9">
            <w:pPr>
              <w:pStyle w:val="yTableNAm"/>
              <w:keepNext/>
              <w:rPr>
                <w:b/>
              </w:rPr>
            </w:pPr>
            <w:r>
              <w:rPr>
                <w:b/>
              </w:rPr>
              <w:br w:type="page"/>
              <w:t>Consumption (kL)</w:t>
            </w:r>
          </w:p>
        </w:tc>
        <w:tc>
          <w:tcPr>
            <w:tcW w:w="903" w:type="dxa"/>
            <w:tcBorders>
              <w:top w:val="single" w:sz="4" w:space="0" w:color="auto"/>
              <w:bottom w:val="single" w:sz="4" w:space="0" w:color="auto"/>
            </w:tcBorders>
            <w:noWrap/>
          </w:tcPr>
          <w:p w:rsidR="005435E9" w:rsidRDefault="005435E9">
            <w:pPr>
              <w:pStyle w:val="yTableNAm"/>
              <w:jc w:val="center"/>
              <w:rPr>
                <w:b/>
              </w:rPr>
            </w:pPr>
            <w:r>
              <w:rPr>
                <w:b/>
              </w:rPr>
              <w:t>Class 1 (cents)</w:t>
            </w:r>
          </w:p>
        </w:tc>
        <w:tc>
          <w:tcPr>
            <w:tcW w:w="992" w:type="dxa"/>
            <w:tcBorders>
              <w:top w:val="single" w:sz="4" w:space="0" w:color="auto"/>
              <w:bottom w:val="single" w:sz="4" w:space="0" w:color="auto"/>
            </w:tcBorders>
            <w:noWrap/>
          </w:tcPr>
          <w:p w:rsidR="005435E9" w:rsidRDefault="005435E9">
            <w:pPr>
              <w:pStyle w:val="yTableNAm"/>
              <w:jc w:val="center"/>
              <w:rPr>
                <w:b/>
              </w:rPr>
            </w:pPr>
            <w:r>
              <w:rPr>
                <w:b/>
              </w:rPr>
              <w:t>Class 2 (cents)</w:t>
            </w:r>
          </w:p>
        </w:tc>
        <w:tc>
          <w:tcPr>
            <w:tcW w:w="993" w:type="dxa"/>
            <w:tcBorders>
              <w:top w:val="single" w:sz="4" w:space="0" w:color="auto"/>
              <w:bottom w:val="single" w:sz="4" w:space="0" w:color="auto"/>
            </w:tcBorders>
            <w:noWrap/>
          </w:tcPr>
          <w:p w:rsidR="005435E9" w:rsidRDefault="005435E9">
            <w:pPr>
              <w:pStyle w:val="yTableNAm"/>
              <w:jc w:val="center"/>
              <w:rPr>
                <w:b/>
              </w:rPr>
            </w:pPr>
            <w:r>
              <w:rPr>
                <w:b/>
              </w:rPr>
              <w:t>Class 3 (cents)</w:t>
            </w:r>
          </w:p>
        </w:tc>
        <w:tc>
          <w:tcPr>
            <w:tcW w:w="992" w:type="dxa"/>
            <w:tcBorders>
              <w:top w:val="single" w:sz="4" w:space="0" w:color="auto"/>
              <w:bottom w:val="single" w:sz="4" w:space="0" w:color="auto"/>
            </w:tcBorders>
            <w:noWrap/>
          </w:tcPr>
          <w:p w:rsidR="005435E9" w:rsidRDefault="005435E9">
            <w:pPr>
              <w:pStyle w:val="yTableNAm"/>
              <w:jc w:val="center"/>
              <w:rPr>
                <w:b/>
              </w:rPr>
            </w:pPr>
            <w:r>
              <w:rPr>
                <w:b/>
              </w:rPr>
              <w:t>Class 4 (cents)</w:t>
            </w:r>
          </w:p>
        </w:tc>
        <w:tc>
          <w:tcPr>
            <w:tcW w:w="851" w:type="dxa"/>
            <w:tcBorders>
              <w:top w:val="single" w:sz="4" w:space="0" w:color="auto"/>
              <w:bottom w:val="single" w:sz="4" w:space="0" w:color="auto"/>
            </w:tcBorders>
            <w:noWrap/>
          </w:tcPr>
          <w:p w:rsidR="005435E9" w:rsidRDefault="005435E9">
            <w:pPr>
              <w:pStyle w:val="yTableNAm"/>
              <w:jc w:val="center"/>
              <w:rPr>
                <w:b/>
              </w:rPr>
            </w:pPr>
            <w:r>
              <w:rPr>
                <w:b/>
              </w:rPr>
              <w:t>Class 5 (cents)</w:t>
            </w:r>
          </w:p>
        </w:tc>
      </w:tr>
      <w:tr w:rsidR="005435E9">
        <w:trPr>
          <w:cantSplit/>
        </w:trPr>
        <w:tc>
          <w:tcPr>
            <w:tcW w:w="1417" w:type="dxa"/>
            <w:noWrap/>
          </w:tcPr>
          <w:p w:rsidR="005435E9" w:rsidRDefault="005435E9">
            <w:pPr>
              <w:pStyle w:val="yTableNAm"/>
              <w:keepNext/>
            </w:pPr>
            <w:r>
              <w:t>Up to 150</w:t>
            </w:r>
          </w:p>
        </w:tc>
        <w:tc>
          <w:tcPr>
            <w:tcW w:w="903" w:type="dxa"/>
            <w:noWrap/>
            <w:vAlign w:val="bottom"/>
          </w:tcPr>
          <w:p w:rsidR="005435E9" w:rsidRDefault="005435E9">
            <w:pPr>
              <w:pStyle w:val="yTableNAm"/>
              <w:jc w:val="center"/>
            </w:pPr>
            <w:r>
              <w:t>69.8</w:t>
            </w:r>
          </w:p>
        </w:tc>
        <w:tc>
          <w:tcPr>
            <w:tcW w:w="992" w:type="dxa"/>
            <w:noWrap/>
            <w:vAlign w:val="bottom"/>
          </w:tcPr>
          <w:p w:rsidR="005435E9" w:rsidRDefault="005435E9">
            <w:pPr>
              <w:pStyle w:val="yTableNAm"/>
              <w:jc w:val="center"/>
            </w:pPr>
            <w:r>
              <w:t>91.4</w:t>
            </w:r>
          </w:p>
        </w:tc>
        <w:tc>
          <w:tcPr>
            <w:tcW w:w="993" w:type="dxa"/>
            <w:noWrap/>
            <w:vAlign w:val="bottom"/>
          </w:tcPr>
          <w:p w:rsidR="005435E9" w:rsidRDefault="005435E9">
            <w:pPr>
              <w:pStyle w:val="yTableNAm"/>
              <w:jc w:val="center"/>
            </w:pPr>
            <w:r>
              <w:t>91.4</w:t>
            </w:r>
          </w:p>
        </w:tc>
        <w:tc>
          <w:tcPr>
            <w:tcW w:w="992" w:type="dxa"/>
            <w:noWrap/>
            <w:vAlign w:val="bottom"/>
          </w:tcPr>
          <w:p w:rsidR="005435E9" w:rsidRDefault="005435E9">
            <w:pPr>
              <w:pStyle w:val="yTableNAm"/>
              <w:jc w:val="center"/>
            </w:pPr>
            <w:r>
              <w:t>91.4</w:t>
            </w:r>
          </w:p>
        </w:tc>
        <w:tc>
          <w:tcPr>
            <w:tcW w:w="851" w:type="dxa"/>
            <w:noWrap/>
            <w:vAlign w:val="bottom"/>
          </w:tcPr>
          <w:p w:rsidR="005435E9" w:rsidRDefault="005435E9">
            <w:pPr>
              <w:pStyle w:val="yTableNAm"/>
              <w:jc w:val="center"/>
            </w:pPr>
            <w:r>
              <w:t>91.4</w:t>
            </w:r>
          </w:p>
        </w:tc>
      </w:tr>
      <w:tr w:rsidR="005435E9">
        <w:trPr>
          <w:cantSplit/>
        </w:trPr>
        <w:tc>
          <w:tcPr>
            <w:tcW w:w="1417" w:type="dxa"/>
            <w:noWrap/>
          </w:tcPr>
          <w:p w:rsidR="005435E9" w:rsidRDefault="005435E9">
            <w:pPr>
              <w:pStyle w:val="yTableNAm"/>
            </w:pPr>
            <w:r>
              <w:t>Over 150 but not over 300</w:t>
            </w:r>
          </w:p>
        </w:tc>
        <w:tc>
          <w:tcPr>
            <w:tcW w:w="903" w:type="dxa"/>
            <w:noWrap/>
            <w:vAlign w:val="bottom"/>
          </w:tcPr>
          <w:p w:rsidR="005435E9" w:rsidRDefault="005435E9">
            <w:pPr>
              <w:pStyle w:val="yTableNAm"/>
              <w:jc w:val="center"/>
            </w:pPr>
            <w:r>
              <w:t>92.9</w:t>
            </w:r>
          </w:p>
        </w:tc>
        <w:tc>
          <w:tcPr>
            <w:tcW w:w="992" w:type="dxa"/>
            <w:noWrap/>
            <w:vAlign w:val="bottom"/>
          </w:tcPr>
          <w:p w:rsidR="005435E9" w:rsidRDefault="005435E9">
            <w:pPr>
              <w:pStyle w:val="yTableNAm"/>
              <w:jc w:val="center"/>
            </w:pPr>
            <w:r>
              <w:t>121.7</w:t>
            </w:r>
          </w:p>
        </w:tc>
        <w:tc>
          <w:tcPr>
            <w:tcW w:w="993" w:type="dxa"/>
            <w:noWrap/>
            <w:vAlign w:val="bottom"/>
          </w:tcPr>
          <w:p w:rsidR="005435E9" w:rsidRDefault="005435E9">
            <w:pPr>
              <w:pStyle w:val="yTableNAm"/>
              <w:jc w:val="center"/>
            </w:pPr>
            <w:r>
              <w:t>121.7</w:t>
            </w:r>
          </w:p>
        </w:tc>
        <w:tc>
          <w:tcPr>
            <w:tcW w:w="992" w:type="dxa"/>
            <w:noWrap/>
            <w:vAlign w:val="bottom"/>
          </w:tcPr>
          <w:p w:rsidR="005435E9" w:rsidRDefault="005435E9">
            <w:pPr>
              <w:pStyle w:val="yTableNAm"/>
              <w:jc w:val="center"/>
            </w:pPr>
            <w:r>
              <w:t>121.7</w:t>
            </w:r>
          </w:p>
        </w:tc>
        <w:tc>
          <w:tcPr>
            <w:tcW w:w="851" w:type="dxa"/>
            <w:noWrap/>
            <w:vAlign w:val="bottom"/>
          </w:tcPr>
          <w:p w:rsidR="005435E9" w:rsidRDefault="005435E9">
            <w:pPr>
              <w:pStyle w:val="yTableNAm"/>
              <w:jc w:val="center"/>
            </w:pPr>
            <w:r>
              <w:t>121.7</w:t>
            </w:r>
          </w:p>
        </w:tc>
      </w:tr>
      <w:tr w:rsidR="005435E9">
        <w:trPr>
          <w:cantSplit/>
        </w:trPr>
        <w:tc>
          <w:tcPr>
            <w:tcW w:w="1417" w:type="dxa"/>
            <w:noWrap/>
          </w:tcPr>
          <w:p w:rsidR="005435E9" w:rsidRDefault="005435E9">
            <w:pPr>
              <w:pStyle w:val="yTableNAm"/>
            </w:pPr>
            <w:r>
              <w:t>Over 300 but not over 400</w:t>
            </w:r>
          </w:p>
        </w:tc>
        <w:tc>
          <w:tcPr>
            <w:tcW w:w="903" w:type="dxa"/>
            <w:noWrap/>
            <w:vAlign w:val="bottom"/>
          </w:tcPr>
          <w:p w:rsidR="005435E9" w:rsidRDefault="005435E9">
            <w:pPr>
              <w:pStyle w:val="yTableNAm"/>
              <w:jc w:val="center"/>
            </w:pPr>
            <w:r>
              <w:t>106.6</w:t>
            </w:r>
          </w:p>
        </w:tc>
        <w:tc>
          <w:tcPr>
            <w:tcW w:w="992" w:type="dxa"/>
            <w:noWrap/>
            <w:vAlign w:val="bottom"/>
          </w:tcPr>
          <w:p w:rsidR="005435E9" w:rsidRDefault="005435E9">
            <w:pPr>
              <w:pStyle w:val="yTableNAm"/>
              <w:jc w:val="center"/>
            </w:pPr>
            <w:r>
              <w:t>146.6</w:t>
            </w:r>
          </w:p>
        </w:tc>
        <w:tc>
          <w:tcPr>
            <w:tcW w:w="993" w:type="dxa"/>
            <w:noWrap/>
            <w:vAlign w:val="bottom"/>
          </w:tcPr>
          <w:p w:rsidR="005435E9" w:rsidRDefault="005435E9">
            <w:pPr>
              <w:pStyle w:val="yTableNAm"/>
              <w:jc w:val="center"/>
            </w:pPr>
            <w:r>
              <w:t>195.3</w:t>
            </w:r>
          </w:p>
        </w:tc>
        <w:tc>
          <w:tcPr>
            <w:tcW w:w="992" w:type="dxa"/>
            <w:noWrap/>
            <w:vAlign w:val="bottom"/>
          </w:tcPr>
          <w:p w:rsidR="005435E9" w:rsidRDefault="005435E9">
            <w:pPr>
              <w:pStyle w:val="yTableNAm"/>
              <w:jc w:val="center"/>
            </w:pPr>
            <w:r>
              <w:t>229.6</w:t>
            </w:r>
          </w:p>
        </w:tc>
        <w:tc>
          <w:tcPr>
            <w:tcW w:w="851" w:type="dxa"/>
            <w:noWrap/>
            <w:vAlign w:val="bottom"/>
          </w:tcPr>
          <w:p w:rsidR="005435E9" w:rsidRDefault="005435E9">
            <w:pPr>
              <w:pStyle w:val="yTableNAm"/>
              <w:jc w:val="center"/>
            </w:pPr>
            <w:r>
              <w:t>270.1</w:t>
            </w:r>
          </w:p>
        </w:tc>
      </w:tr>
      <w:tr w:rsidR="005435E9">
        <w:trPr>
          <w:cantSplit/>
        </w:trPr>
        <w:tc>
          <w:tcPr>
            <w:tcW w:w="1417" w:type="dxa"/>
            <w:noWrap/>
          </w:tcPr>
          <w:p w:rsidR="005435E9" w:rsidRDefault="005435E9">
            <w:pPr>
              <w:pStyle w:val="yTableNAm"/>
            </w:pPr>
            <w:r>
              <w:t>Over 400 but not over 550</w:t>
            </w:r>
          </w:p>
        </w:tc>
        <w:tc>
          <w:tcPr>
            <w:tcW w:w="903" w:type="dxa"/>
            <w:noWrap/>
            <w:vAlign w:val="bottom"/>
          </w:tcPr>
          <w:p w:rsidR="005435E9" w:rsidRDefault="005435E9">
            <w:pPr>
              <w:pStyle w:val="yTableNAm"/>
              <w:jc w:val="center"/>
            </w:pPr>
            <w:r>
              <w:t>213.1</w:t>
            </w:r>
          </w:p>
        </w:tc>
        <w:tc>
          <w:tcPr>
            <w:tcW w:w="992" w:type="dxa"/>
            <w:noWrap/>
            <w:vAlign w:val="bottom"/>
          </w:tcPr>
          <w:p w:rsidR="005435E9" w:rsidRDefault="005435E9">
            <w:pPr>
              <w:pStyle w:val="yTableNAm"/>
              <w:jc w:val="center"/>
            </w:pPr>
            <w:r>
              <w:t>293.2</w:t>
            </w:r>
          </w:p>
        </w:tc>
        <w:tc>
          <w:tcPr>
            <w:tcW w:w="993" w:type="dxa"/>
            <w:noWrap/>
            <w:vAlign w:val="bottom"/>
          </w:tcPr>
          <w:p w:rsidR="005435E9" w:rsidRDefault="005435E9">
            <w:pPr>
              <w:pStyle w:val="yTableNAm"/>
              <w:jc w:val="center"/>
            </w:pPr>
            <w:r>
              <w:t>390.6</w:t>
            </w:r>
          </w:p>
        </w:tc>
        <w:tc>
          <w:tcPr>
            <w:tcW w:w="992" w:type="dxa"/>
            <w:noWrap/>
            <w:vAlign w:val="bottom"/>
          </w:tcPr>
          <w:p w:rsidR="005435E9" w:rsidRDefault="005435E9">
            <w:pPr>
              <w:pStyle w:val="yTableNAm"/>
              <w:jc w:val="center"/>
            </w:pPr>
            <w:r>
              <w:t>459.2</w:t>
            </w:r>
          </w:p>
        </w:tc>
        <w:tc>
          <w:tcPr>
            <w:tcW w:w="851" w:type="dxa"/>
            <w:noWrap/>
            <w:vAlign w:val="bottom"/>
          </w:tcPr>
          <w:p w:rsidR="005435E9" w:rsidRDefault="005435E9">
            <w:pPr>
              <w:pStyle w:val="yTableNAm"/>
              <w:jc w:val="center"/>
            </w:pPr>
            <w:r>
              <w:t>540.2</w:t>
            </w:r>
          </w:p>
        </w:tc>
      </w:tr>
      <w:tr w:rsidR="005435E9">
        <w:trPr>
          <w:cantSplit/>
        </w:trPr>
        <w:tc>
          <w:tcPr>
            <w:tcW w:w="1417" w:type="dxa"/>
            <w:tcBorders>
              <w:bottom w:val="single" w:sz="4" w:space="0" w:color="auto"/>
            </w:tcBorders>
            <w:noWrap/>
          </w:tcPr>
          <w:p w:rsidR="005435E9" w:rsidRDefault="005435E9">
            <w:pPr>
              <w:pStyle w:val="yTableNAm"/>
            </w:pPr>
            <w:r>
              <w:t>Over 550</w:t>
            </w:r>
          </w:p>
        </w:tc>
        <w:tc>
          <w:tcPr>
            <w:tcW w:w="903" w:type="dxa"/>
            <w:tcBorders>
              <w:bottom w:val="single" w:sz="4" w:space="0" w:color="auto"/>
            </w:tcBorders>
            <w:noWrap/>
            <w:vAlign w:val="bottom"/>
          </w:tcPr>
          <w:p w:rsidR="005435E9" w:rsidRDefault="005435E9">
            <w:pPr>
              <w:pStyle w:val="yTableNAm"/>
              <w:jc w:val="center"/>
            </w:pPr>
            <w:r>
              <w:t>248.8</w:t>
            </w:r>
          </w:p>
        </w:tc>
        <w:tc>
          <w:tcPr>
            <w:tcW w:w="992" w:type="dxa"/>
            <w:tcBorders>
              <w:bottom w:val="single" w:sz="4" w:space="0" w:color="auto"/>
            </w:tcBorders>
            <w:noWrap/>
            <w:vAlign w:val="bottom"/>
          </w:tcPr>
          <w:p w:rsidR="005435E9" w:rsidRDefault="005435E9">
            <w:pPr>
              <w:pStyle w:val="yTableNAm"/>
              <w:jc w:val="center"/>
            </w:pPr>
            <w:r>
              <w:t>374.0</w:t>
            </w:r>
          </w:p>
        </w:tc>
        <w:tc>
          <w:tcPr>
            <w:tcW w:w="993" w:type="dxa"/>
            <w:tcBorders>
              <w:bottom w:val="single" w:sz="4" w:space="0" w:color="auto"/>
            </w:tcBorders>
            <w:noWrap/>
            <w:vAlign w:val="bottom"/>
          </w:tcPr>
          <w:p w:rsidR="005435E9" w:rsidRDefault="005435E9">
            <w:pPr>
              <w:pStyle w:val="yTableNAm"/>
              <w:jc w:val="center"/>
            </w:pPr>
            <w:r>
              <w:t>497.9</w:t>
            </w:r>
          </w:p>
        </w:tc>
        <w:tc>
          <w:tcPr>
            <w:tcW w:w="992" w:type="dxa"/>
            <w:tcBorders>
              <w:bottom w:val="single" w:sz="4" w:space="0" w:color="auto"/>
            </w:tcBorders>
            <w:noWrap/>
            <w:vAlign w:val="bottom"/>
          </w:tcPr>
          <w:p w:rsidR="005435E9" w:rsidRDefault="005435E9">
            <w:pPr>
              <w:pStyle w:val="yTableNAm"/>
              <w:jc w:val="center"/>
            </w:pPr>
            <w:r>
              <w:t>688.7</w:t>
            </w:r>
          </w:p>
        </w:tc>
        <w:tc>
          <w:tcPr>
            <w:tcW w:w="851" w:type="dxa"/>
            <w:tcBorders>
              <w:bottom w:val="single" w:sz="4" w:space="0" w:color="auto"/>
            </w:tcBorders>
            <w:noWrap/>
            <w:vAlign w:val="bottom"/>
          </w:tcPr>
          <w:p w:rsidR="005435E9" w:rsidRDefault="005435E9">
            <w:pPr>
              <w:pStyle w:val="yTableNAm"/>
              <w:jc w:val="center"/>
            </w:pPr>
            <w:r>
              <w:t>928.9</w:t>
            </w:r>
          </w:p>
        </w:tc>
      </w:tr>
    </w:tbl>
    <w:p w:rsidR="005435E9" w:rsidRDefault="005435E9" w:rsidP="00FA1C7C">
      <w:pPr>
        <w:pStyle w:val="ySubsection"/>
        <w:keepNext/>
      </w:pPr>
      <w:r>
        <w:lastRenderedPageBreak/>
        <w:tab/>
        <w:t>(4)</w:t>
      </w:r>
      <w:r>
        <w:tab/>
        <w:t>Sub</w:t>
      </w:r>
      <w:r>
        <w:noBreakHyphen/>
        <w:t>item (3) applies unless the land is located —</w:t>
      </w:r>
    </w:p>
    <w:p w:rsidR="005435E9" w:rsidRDefault="005435E9">
      <w:pPr>
        <w:pStyle w:val="yIndenta"/>
      </w:pPr>
      <w:r>
        <w:tab/>
        <w:t>(a)</w:t>
      </w:r>
      <w:r>
        <w:tab/>
        <w:t>in the town of Cue, Laverton, Leonora, Meekatharra, Menzies, Mount Magnet, Mullewa, Sandstone, Wiluna or Yalgoo; or</w:t>
      </w:r>
    </w:p>
    <w:p w:rsidR="005435E9" w:rsidRDefault="005435E9">
      <w:pPr>
        <w:pStyle w:val="yIndenta"/>
      </w:pPr>
      <w:r>
        <w:tab/>
        <w:t>(b)</w:t>
      </w:r>
      <w:r>
        <w:tab/>
        <w:t>north of 26°S Latitude,</w:t>
      </w:r>
    </w:p>
    <w:p w:rsidR="005435E9" w:rsidRDefault="005435E9">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rsidR="005435E9">
        <w:trPr>
          <w:cantSplit/>
          <w:tblHeader/>
        </w:trPr>
        <w:tc>
          <w:tcPr>
            <w:tcW w:w="1417" w:type="dxa"/>
            <w:tcBorders>
              <w:top w:val="single" w:sz="4" w:space="0" w:color="auto"/>
              <w:bottom w:val="single" w:sz="4" w:space="0" w:color="auto"/>
            </w:tcBorders>
            <w:noWrap/>
          </w:tcPr>
          <w:p w:rsidR="005435E9" w:rsidRDefault="005435E9">
            <w:pPr>
              <w:pStyle w:val="yTableNAm"/>
              <w:rPr>
                <w:b/>
              </w:rPr>
            </w:pPr>
            <w:r>
              <w:rPr>
                <w:b/>
              </w:rPr>
              <w:br w:type="page"/>
              <w:t>Consumption (kL)</w:t>
            </w:r>
          </w:p>
        </w:tc>
        <w:tc>
          <w:tcPr>
            <w:tcW w:w="897" w:type="dxa"/>
            <w:tcBorders>
              <w:top w:val="single" w:sz="4" w:space="0" w:color="auto"/>
              <w:bottom w:val="single" w:sz="4" w:space="0" w:color="auto"/>
            </w:tcBorders>
            <w:noWrap/>
          </w:tcPr>
          <w:p w:rsidR="005435E9" w:rsidRDefault="005435E9">
            <w:pPr>
              <w:pStyle w:val="yTableNAm"/>
              <w:jc w:val="center"/>
              <w:rPr>
                <w:b/>
              </w:rPr>
            </w:pPr>
            <w:r>
              <w:rPr>
                <w:b/>
              </w:rPr>
              <w:t>Class 1 (cents)</w:t>
            </w:r>
          </w:p>
        </w:tc>
        <w:tc>
          <w:tcPr>
            <w:tcW w:w="986" w:type="dxa"/>
            <w:tcBorders>
              <w:top w:val="single" w:sz="4" w:space="0" w:color="auto"/>
              <w:bottom w:val="single" w:sz="4" w:space="0" w:color="auto"/>
            </w:tcBorders>
            <w:noWrap/>
          </w:tcPr>
          <w:p w:rsidR="005435E9" w:rsidRDefault="005435E9">
            <w:pPr>
              <w:pStyle w:val="yTableNAm"/>
              <w:jc w:val="center"/>
              <w:rPr>
                <w:b/>
              </w:rPr>
            </w:pPr>
            <w:r>
              <w:rPr>
                <w:b/>
              </w:rPr>
              <w:t>Class 2 (cents)</w:t>
            </w:r>
          </w:p>
        </w:tc>
        <w:tc>
          <w:tcPr>
            <w:tcW w:w="987" w:type="dxa"/>
            <w:tcBorders>
              <w:top w:val="single" w:sz="4" w:space="0" w:color="auto"/>
              <w:bottom w:val="single" w:sz="4" w:space="0" w:color="auto"/>
            </w:tcBorders>
            <w:noWrap/>
          </w:tcPr>
          <w:p w:rsidR="005435E9" w:rsidRDefault="005435E9">
            <w:pPr>
              <w:pStyle w:val="yTableNAm"/>
              <w:jc w:val="center"/>
              <w:rPr>
                <w:b/>
              </w:rPr>
            </w:pPr>
            <w:r>
              <w:rPr>
                <w:b/>
              </w:rPr>
              <w:t>Class 3 (cents)</w:t>
            </w:r>
          </w:p>
        </w:tc>
        <w:tc>
          <w:tcPr>
            <w:tcW w:w="987" w:type="dxa"/>
            <w:tcBorders>
              <w:top w:val="single" w:sz="4" w:space="0" w:color="auto"/>
              <w:bottom w:val="single" w:sz="4" w:space="0" w:color="auto"/>
            </w:tcBorders>
            <w:noWrap/>
          </w:tcPr>
          <w:p w:rsidR="005435E9" w:rsidRDefault="005435E9">
            <w:pPr>
              <w:pStyle w:val="yTableNAm"/>
              <w:jc w:val="center"/>
              <w:rPr>
                <w:b/>
              </w:rPr>
            </w:pPr>
            <w:r>
              <w:rPr>
                <w:b/>
              </w:rPr>
              <w:t>Class 4 (cents)</w:t>
            </w:r>
          </w:p>
        </w:tc>
        <w:tc>
          <w:tcPr>
            <w:tcW w:w="989" w:type="dxa"/>
            <w:tcBorders>
              <w:top w:val="single" w:sz="4" w:space="0" w:color="auto"/>
              <w:bottom w:val="single" w:sz="4" w:space="0" w:color="auto"/>
            </w:tcBorders>
            <w:noWrap/>
          </w:tcPr>
          <w:p w:rsidR="005435E9" w:rsidRDefault="005435E9">
            <w:pPr>
              <w:pStyle w:val="yTableNAm"/>
              <w:jc w:val="center"/>
              <w:rPr>
                <w:b/>
              </w:rPr>
            </w:pPr>
            <w:r>
              <w:rPr>
                <w:b/>
              </w:rPr>
              <w:t>Class 5 (cents)</w:t>
            </w:r>
          </w:p>
        </w:tc>
      </w:tr>
      <w:tr w:rsidR="005435E9">
        <w:trPr>
          <w:cantSplit/>
        </w:trPr>
        <w:tc>
          <w:tcPr>
            <w:tcW w:w="1417" w:type="dxa"/>
            <w:noWrap/>
          </w:tcPr>
          <w:p w:rsidR="005435E9" w:rsidRDefault="005435E9">
            <w:pPr>
              <w:pStyle w:val="yTableNAm"/>
            </w:pPr>
            <w:r>
              <w:t>Up to 350</w:t>
            </w:r>
          </w:p>
        </w:tc>
        <w:tc>
          <w:tcPr>
            <w:tcW w:w="897" w:type="dxa"/>
            <w:noWrap/>
            <w:vAlign w:val="bottom"/>
          </w:tcPr>
          <w:p w:rsidR="005435E9" w:rsidRDefault="005435E9">
            <w:pPr>
              <w:pStyle w:val="yTableNAm"/>
              <w:jc w:val="center"/>
            </w:pPr>
            <w:r>
              <w:rPr>
                <w:szCs w:val="22"/>
              </w:rPr>
              <w:t>69.8</w:t>
            </w:r>
          </w:p>
        </w:tc>
        <w:tc>
          <w:tcPr>
            <w:tcW w:w="986" w:type="dxa"/>
            <w:noWrap/>
            <w:vAlign w:val="bottom"/>
          </w:tcPr>
          <w:p w:rsidR="005435E9" w:rsidRDefault="005435E9">
            <w:pPr>
              <w:pStyle w:val="yTableNAm"/>
              <w:jc w:val="center"/>
            </w:pPr>
            <w:r>
              <w:rPr>
                <w:szCs w:val="22"/>
              </w:rPr>
              <w:t>91.4</w:t>
            </w:r>
          </w:p>
        </w:tc>
        <w:tc>
          <w:tcPr>
            <w:tcW w:w="987" w:type="dxa"/>
            <w:noWrap/>
            <w:vAlign w:val="bottom"/>
          </w:tcPr>
          <w:p w:rsidR="005435E9" w:rsidRDefault="005435E9">
            <w:pPr>
              <w:pStyle w:val="yTableNAm"/>
              <w:jc w:val="center"/>
            </w:pPr>
            <w:r>
              <w:rPr>
                <w:szCs w:val="22"/>
              </w:rPr>
              <w:t>91.4</w:t>
            </w:r>
          </w:p>
        </w:tc>
        <w:tc>
          <w:tcPr>
            <w:tcW w:w="987" w:type="dxa"/>
            <w:noWrap/>
            <w:vAlign w:val="bottom"/>
          </w:tcPr>
          <w:p w:rsidR="005435E9" w:rsidRDefault="005435E9">
            <w:pPr>
              <w:pStyle w:val="yTableNAm"/>
              <w:jc w:val="center"/>
            </w:pPr>
            <w:r>
              <w:rPr>
                <w:szCs w:val="22"/>
              </w:rPr>
              <w:t>91.4</w:t>
            </w:r>
          </w:p>
        </w:tc>
        <w:tc>
          <w:tcPr>
            <w:tcW w:w="989" w:type="dxa"/>
            <w:noWrap/>
            <w:vAlign w:val="bottom"/>
          </w:tcPr>
          <w:p w:rsidR="005435E9" w:rsidRDefault="005435E9">
            <w:pPr>
              <w:pStyle w:val="yTableNAm"/>
              <w:jc w:val="center"/>
            </w:pPr>
            <w:r>
              <w:rPr>
                <w:szCs w:val="22"/>
              </w:rPr>
              <w:t>91.4</w:t>
            </w:r>
          </w:p>
        </w:tc>
      </w:tr>
      <w:tr w:rsidR="005435E9">
        <w:trPr>
          <w:cantSplit/>
        </w:trPr>
        <w:tc>
          <w:tcPr>
            <w:tcW w:w="1417" w:type="dxa"/>
            <w:noWrap/>
          </w:tcPr>
          <w:p w:rsidR="005435E9" w:rsidRDefault="005435E9">
            <w:pPr>
              <w:pStyle w:val="yTableNAm"/>
            </w:pPr>
            <w:r>
              <w:t>Over 350 but not over 500</w:t>
            </w:r>
          </w:p>
        </w:tc>
        <w:tc>
          <w:tcPr>
            <w:tcW w:w="897" w:type="dxa"/>
            <w:noWrap/>
            <w:vAlign w:val="bottom"/>
          </w:tcPr>
          <w:p w:rsidR="005435E9" w:rsidRDefault="005435E9">
            <w:pPr>
              <w:pStyle w:val="yTableNAm"/>
              <w:jc w:val="center"/>
            </w:pPr>
            <w:r>
              <w:rPr>
                <w:szCs w:val="22"/>
              </w:rPr>
              <w:t>92.9</w:t>
            </w:r>
          </w:p>
        </w:tc>
        <w:tc>
          <w:tcPr>
            <w:tcW w:w="986" w:type="dxa"/>
            <w:noWrap/>
            <w:vAlign w:val="bottom"/>
          </w:tcPr>
          <w:p w:rsidR="005435E9" w:rsidRDefault="005435E9">
            <w:pPr>
              <w:pStyle w:val="yTableNAm"/>
              <w:jc w:val="center"/>
            </w:pPr>
            <w:r>
              <w:rPr>
                <w:szCs w:val="22"/>
              </w:rPr>
              <w:t>121.7</w:t>
            </w:r>
          </w:p>
        </w:tc>
        <w:tc>
          <w:tcPr>
            <w:tcW w:w="987" w:type="dxa"/>
            <w:noWrap/>
            <w:vAlign w:val="bottom"/>
          </w:tcPr>
          <w:p w:rsidR="005435E9" w:rsidRDefault="005435E9">
            <w:pPr>
              <w:pStyle w:val="yTableNAm"/>
              <w:jc w:val="center"/>
            </w:pPr>
            <w:r>
              <w:rPr>
                <w:szCs w:val="22"/>
              </w:rPr>
              <w:t>121.7</w:t>
            </w:r>
          </w:p>
        </w:tc>
        <w:tc>
          <w:tcPr>
            <w:tcW w:w="987" w:type="dxa"/>
            <w:noWrap/>
            <w:vAlign w:val="bottom"/>
          </w:tcPr>
          <w:p w:rsidR="005435E9" w:rsidRDefault="005435E9">
            <w:pPr>
              <w:pStyle w:val="yTableNAm"/>
              <w:jc w:val="center"/>
            </w:pPr>
            <w:r>
              <w:rPr>
                <w:szCs w:val="22"/>
              </w:rPr>
              <w:t>121.7</w:t>
            </w:r>
          </w:p>
        </w:tc>
        <w:tc>
          <w:tcPr>
            <w:tcW w:w="989" w:type="dxa"/>
            <w:noWrap/>
            <w:vAlign w:val="bottom"/>
          </w:tcPr>
          <w:p w:rsidR="005435E9" w:rsidRDefault="005435E9">
            <w:pPr>
              <w:pStyle w:val="yTableNAm"/>
              <w:jc w:val="center"/>
            </w:pPr>
            <w:r>
              <w:rPr>
                <w:szCs w:val="22"/>
              </w:rPr>
              <w:t>121.7</w:t>
            </w:r>
          </w:p>
        </w:tc>
      </w:tr>
      <w:tr w:rsidR="005435E9">
        <w:trPr>
          <w:cantSplit/>
        </w:trPr>
        <w:tc>
          <w:tcPr>
            <w:tcW w:w="1417" w:type="dxa"/>
            <w:noWrap/>
          </w:tcPr>
          <w:p w:rsidR="005435E9" w:rsidRDefault="005435E9">
            <w:pPr>
              <w:pStyle w:val="yTableNAm"/>
            </w:pPr>
            <w:r>
              <w:t>Over 500 but not over 600</w:t>
            </w:r>
          </w:p>
        </w:tc>
        <w:tc>
          <w:tcPr>
            <w:tcW w:w="897" w:type="dxa"/>
            <w:noWrap/>
            <w:vAlign w:val="bottom"/>
          </w:tcPr>
          <w:p w:rsidR="005435E9" w:rsidRDefault="005435E9">
            <w:pPr>
              <w:pStyle w:val="yTableNAm"/>
              <w:jc w:val="center"/>
            </w:pPr>
            <w:r>
              <w:rPr>
                <w:szCs w:val="22"/>
              </w:rPr>
              <w:t>106.6</w:t>
            </w:r>
          </w:p>
        </w:tc>
        <w:tc>
          <w:tcPr>
            <w:tcW w:w="986" w:type="dxa"/>
            <w:noWrap/>
            <w:vAlign w:val="bottom"/>
          </w:tcPr>
          <w:p w:rsidR="005435E9" w:rsidRDefault="005435E9">
            <w:pPr>
              <w:pStyle w:val="yTableNAm"/>
              <w:jc w:val="center"/>
            </w:pPr>
            <w:r>
              <w:rPr>
                <w:szCs w:val="22"/>
              </w:rPr>
              <w:t>146.6</w:t>
            </w:r>
          </w:p>
        </w:tc>
        <w:tc>
          <w:tcPr>
            <w:tcW w:w="987" w:type="dxa"/>
            <w:noWrap/>
            <w:vAlign w:val="bottom"/>
          </w:tcPr>
          <w:p w:rsidR="005435E9" w:rsidRDefault="005435E9">
            <w:pPr>
              <w:pStyle w:val="yTableNAm"/>
              <w:jc w:val="center"/>
            </w:pPr>
            <w:r>
              <w:rPr>
                <w:szCs w:val="22"/>
              </w:rPr>
              <w:t>195.3</w:t>
            </w:r>
          </w:p>
        </w:tc>
        <w:tc>
          <w:tcPr>
            <w:tcW w:w="987" w:type="dxa"/>
            <w:noWrap/>
            <w:vAlign w:val="bottom"/>
          </w:tcPr>
          <w:p w:rsidR="005435E9" w:rsidRDefault="005435E9">
            <w:pPr>
              <w:pStyle w:val="yTableNAm"/>
              <w:jc w:val="center"/>
            </w:pPr>
            <w:r>
              <w:rPr>
                <w:szCs w:val="22"/>
              </w:rPr>
              <w:t>229.6</w:t>
            </w:r>
          </w:p>
        </w:tc>
        <w:tc>
          <w:tcPr>
            <w:tcW w:w="989" w:type="dxa"/>
            <w:noWrap/>
            <w:vAlign w:val="bottom"/>
          </w:tcPr>
          <w:p w:rsidR="005435E9" w:rsidRDefault="005435E9">
            <w:pPr>
              <w:pStyle w:val="yTableNAm"/>
              <w:jc w:val="center"/>
            </w:pPr>
            <w:r>
              <w:rPr>
                <w:szCs w:val="22"/>
              </w:rPr>
              <w:t>270.1</w:t>
            </w:r>
          </w:p>
        </w:tc>
      </w:tr>
      <w:tr w:rsidR="005435E9">
        <w:trPr>
          <w:cantSplit/>
        </w:trPr>
        <w:tc>
          <w:tcPr>
            <w:tcW w:w="1417" w:type="dxa"/>
            <w:noWrap/>
          </w:tcPr>
          <w:p w:rsidR="005435E9" w:rsidRDefault="005435E9">
            <w:pPr>
              <w:pStyle w:val="yTableNAm"/>
            </w:pPr>
            <w:r>
              <w:t>Over 600 but not over 750</w:t>
            </w:r>
          </w:p>
        </w:tc>
        <w:tc>
          <w:tcPr>
            <w:tcW w:w="897" w:type="dxa"/>
            <w:noWrap/>
            <w:vAlign w:val="bottom"/>
          </w:tcPr>
          <w:p w:rsidR="005435E9" w:rsidRDefault="005435E9">
            <w:pPr>
              <w:pStyle w:val="yTableNAm"/>
              <w:jc w:val="center"/>
            </w:pPr>
            <w:r>
              <w:rPr>
                <w:szCs w:val="22"/>
              </w:rPr>
              <w:t>213.1</w:t>
            </w:r>
          </w:p>
        </w:tc>
        <w:tc>
          <w:tcPr>
            <w:tcW w:w="986" w:type="dxa"/>
            <w:noWrap/>
            <w:vAlign w:val="bottom"/>
          </w:tcPr>
          <w:p w:rsidR="005435E9" w:rsidRDefault="005435E9">
            <w:pPr>
              <w:pStyle w:val="yTableNAm"/>
              <w:jc w:val="center"/>
            </w:pPr>
            <w:r>
              <w:rPr>
                <w:szCs w:val="22"/>
              </w:rPr>
              <w:t>293.2</w:t>
            </w:r>
          </w:p>
        </w:tc>
        <w:tc>
          <w:tcPr>
            <w:tcW w:w="987" w:type="dxa"/>
            <w:noWrap/>
            <w:vAlign w:val="bottom"/>
          </w:tcPr>
          <w:p w:rsidR="005435E9" w:rsidRDefault="005435E9">
            <w:pPr>
              <w:pStyle w:val="yTableNAm"/>
              <w:jc w:val="center"/>
            </w:pPr>
            <w:r>
              <w:rPr>
                <w:szCs w:val="22"/>
              </w:rPr>
              <w:t>390.6</w:t>
            </w:r>
          </w:p>
        </w:tc>
        <w:tc>
          <w:tcPr>
            <w:tcW w:w="987" w:type="dxa"/>
            <w:noWrap/>
            <w:vAlign w:val="bottom"/>
          </w:tcPr>
          <w:p w:rsidR="005435E9" w:rsidRDefault="005435E9">
            <w:pPr>
              <w:pStyle w:val="yTableNAm"/>
              <w:jc w:val="center"/>
            </w:pPr>
            <w:r>
              <w:rPr>
                <w:szCs w:val="22"/>
              </w:rPr>
              <w:t>459.2</w:t>
            </w:r>
          </w:p>
        </w:tc>
        <w:tc>
          <w:tcPr>
            <w:tcW w:w="989" w:type="dxa"/>
            <w:noWrap/>
            <w:vAlign w:val="bottom"/>
          </w:tcPr>
          <w:p w:rsidR="005435E9" w:rsidRDefault="005435E9">
            <w:pPr>
              <w:pStyle w:val="yTableNAm"/>
              <w:jc w:val="center"/>
            </w:pPr>
            <w:r>
              <w:rPr>
                <w:szCs w:val="22"/>
              </w:rPr>
              <w:t>540.2</w:t>
            </w:r>
          </w:p>
        </w:tc>
      </w:tr>
      <w:tr w:rsidR="005435E9">
        <w:trPr>
          <w:cantSplit/>
        </w:trPr>
        <w:tc>
          <w:tcPr>
            <w:tcW w:w="1417" w:type="dxa"/>
            <w:tcBorders>
              <w:bottom w:val="single" w:sz="4" w:space="0" w:color="auto"/>
            </w:tcBorders>
            <w:noWrap/>
          </w:tcPr>
          <w:p w:rsidR="005435E9" w:rsidRDefault="005435E9">
            <w:pPr>
              <w:pStyle w:val="yTableNAm"/>
            </w:pPr>
            <w:r>
              <w:t>Over 750</w:t>
            </w:r>
          </w:p>
        </w:tc>
        <w:tc>
          <w:tcPr>
            <w:tcW w:w="897" w:type="dxa"/>
            <w:tcBorders>
              <w:bottom w:val="single" w:sz="4" w:space="0" w:color="auto"/>
            </w:tcBorders>
            <w:noWrap/>
            <w:vAlign w:val="bottom"/>
          </w:tcPr>
          <w:p w:rsidR="005435E9" w:rsidRDefault="005435E9">
            <w:pPr>
              <w:pStyle w:val="yTableNAm"/>
              <w:jc w:val="center"/>
            </w:pPr>
            <w:r>
              <w:rPr>
                <w:szCs w:val="22"/>
              </w:rPr>
              <w:t>248.8</w:t>
            </w:r>
          </w:p>
        </w:tc>
        <w:tc>
          <w:tcPr>
            <w:tcW w:w="986" w:type="dxa"/>
            <w:tcBorders>
              <w:bottom w:val="single" w:sz="4" w:space="0" w:color="auto"/>
            </w:tcBorders>
            <w:noWrap/>
            <w:vAlign w:val="bottom"/>
          </w:tcPr>
          <w:p w:rsidR="005435E9" w:rsidRDefault="005435E9">
            <w:pPr>
              <w:pStyle w:val="yTableNAm"/>
              <w:jc w:val="center"/>
            </w:pPr>
            <w:r>
              <w:rPr>
                <w:szCs w:val="22"/>
              </w:rPr>
              <w:t>374.0</w:t>
            </w:r>
          </w:p>
        </w:tc>
        <w:tc>
          <w:tcPr>
            <w:tcW w:w="987" w:type="dxa"/>
            <w:tcBorders>
              <w:bottom w:val="single" w:sz="4" w:space="0" w:color="auto"/>
            </w:tcBorders>
            <w:noWrap/>
            <w:vAlign w:val="bottom"/>
          </w:tcPr>
          <w:p w:rsidR="005435E9" w:rsidRDefault="005435E9">
            <w:pPr>
              <w:pStyle w:val="yTableNAm"/>
              <w:jc w:val="center"/>
            </w:pPr>
            <w:r>
              <w:rPr>
                <w:szCs w:val="22"/>
              </w:rPr>
              <w:t>497.9</w:t>
            </w:r>
          </w:p>
        </w:tc>
        <w:tc>
          <w:tcPr>
            <w:tcW w:w="987" w:type="dxa"/>
            <w:tcBorders>
              <w:bottom w:val="single" w:sz="4" w:space="0" w:color="auto"/>
            </w:tcBorders>
            <w:noWrap/>
            <w:vAlign w:val="bottom"/>
          </w:tcPr>
          <w:p w:rsidR="005435E9" w:rsidRDefault="005435E9">
            <w:pPr>
              <w:pStyle w:val="yTableNAm"/>
              <w:jc w:val="center"/>
            </w:pPr>
            <w:r>
              <w:rPr>
                <w:szCs w:val="22"/>
              </w:rPr>
              <w:t>688.7</w:t>
            </w:r>
          </w:p>
        </w:tc>
        <w:tc>
          <w:tcPr>
            <w:tcW w:w="989" w:type="dxa"/>
            <w:tcBorders>
              <w:bottom w:val="single" w:sz="4" w:space="0" w:color="auto"/>
            </w:tcBorders>
            <w:noWrap/>
            <w:vAlign w:val="bottom"/>
          </w:tcPr>
          <w:p w:rsidR="005435E9" w:rsidRDefault="005435E9">
            <w:pPr>
              <w:pStyle w:val="yTableNAm"/>
              <w:jc w:val="center"/>
            </w:pPr>
            <w:r>
              <w:rPr>
                <w:szCs w:val="22"/>
              </w:rPr>
              <w:t>928.9</w:t>
            </w:r>
          </w:p>
        </w:tc>
      </w:tr>
    </w:tbl>
    <w:p w:rsidR="005435E9" w:rsidRDefault="005435E9">
      <w:pPr>
        <w:pStyle w:val="yHeading5"/>
      </w:pPr>
      <w:bookmarkStart w:id="240" w:name="_Toc75519735"/>
      <w:r>
        <w:rPr>
          <w:rStyle w:val="CharSClsNo"/>
        </w:rPr>
        <w:t>29</w:t>
      </w:r>
      <w:r>
        <w:t>.</w:t>
      </w:r>
      <w:r>
        <w:tab/>
        <w:t>Non</w:t>
      </w:r>
      <w:r>
        <w:noBreakHyphen/>
        <w:t>metropolitan residential</w:t>
      </w:r>
      <w:bookmarkEnd w:id="240"/>
    </w:p>
    <w:p w:rsidR="005435E9" w:rsidRDefault="005435E9">
      <w:pPr>
        <w:pStyle w:val="ySubsection"/>
      </w:pPr>
      <w:r>
        <w:tab/>
        <w:t>(1)</w:t>
      </w:r>
      <w:r>
        <w:tab/>
        <w:t>For each kilolitre of water supplied to land in the non</w:t>
      </w:r>
      <w:r>
        <w:noBreakHyphen/>
        <w:t xml:space="preserve">metropolitan area that is — </w:t>
      </w:r>
    </w:p>
    <w:p w:rsidR="005435E9" w:rsidRDefault="005435E9">
      <w:pPr>
        <w:pStyle w:val="yIndenta"/>
      </w:pPr>
      <w:r>
        <w:tab/>
        <w:t>(a)</w:t>
      </w:r>
      <w:r>
        <w:tab/>
        <w:t>a residential property; or</w:t>
      </w:r>
    </w:p>
    <w:p w:rsidR="005435E9" w:rsidRDefault="005435E9">
      <w:pPr>
        <w:pStyle w:val="yIndenta"/>
      </w:pPr>
      <w:r>
        <w:tab/>
        <w:t>(b)</w:t>
      </w:r>
      <w:r>
        <w:tab/>
        <w:t>classified as vacant land but held for residential purposes,</w:t>
      </w:r>
    </w:p>
    <w:p w:rsidR="005435E9" w:rsidRDefault="005435E9">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rsidR="005435E9">
        <w:trPr>
          <w:cantSplit/>
          <w:tblHeader/>
        </w:trPr>
        <w:tc>
          <w:tcPr>
            <w:tcW w:w="1417" w:type="dxa"/>
            <w:tcBorders>
              <w:top w:val="single" w:sz="4" w:space="0" w:color="auto"/>
              <w:bottom w:val="single" w:sz="4" w:space="0" w:color="auto"/>
            </w:tcBorders>
            <w:noWrap/>
          </w:tcPr>
          <w:p w:rsidR="005435E9" w:rsidRDefault="005435E9">
            <w:pPr>
              <w:pStyle w:val="yTableNAm"/>
              <w:keepNext/>
              <w:rPr>
                <w:b/>
              </w:rPr>
            </w:pPr>
            <w:r>
              <w:rPr>
                <w:b/>
              </w:rPr>
              <w:br w:type="page"/>
              <w:t>Consumption (kL)</w:t>
            </w:r>
          </w:p>
        </w:tc>
        <w:tc>
          <w:tcPr>
            <w:tcW w:w="897" w:type="dxa"/>
            <w:tcBorders>
              <w:top w:val="single" w:sz="4" w:space="0" w:color="auto"/>
              <w:bottom w:val="single" w:sz="4" w:space="0" w:color="auto"/>
            </w:tcBorders>
            <w:noWrap/>
          </w:tcPr>
          <w:p w:rsidR="005435E9" w:rsidRDefault="005435E9">
            <w:pPr>
              <w:pStyle w:val="yTableNAm"/>
              <w:keepNext/>
              <w:jc w:val="center"/>
              <w:rPr>
                <w:b/>
              </w:rPr>
            </w:pPr>
            <w:r>
              <w:rPr>
                <w:b/>
              </w:rPr>
              <w:t>Class 1 (cents)</w:t>
            </w:r>
          </w:p>
        </w:tc>
        <w:tc>
          <w:tcPr>
            <w:tcW w:w="987" w:type="dxa"/>
            <w:tcBorders>
              <w:top w:val="single" w:sz="4" w:space="0" w:color="auto"/>
              <w:bottom w:val="single" w:sz="4" w:space="0" w:color="auto"/>
            </w:tcBorders>
            <w:noWrap/>
          </w:tcPr>
          <w:p w:rsidR="005435E9" w:rsidRDefault="005435E9">
            <w:pPr>
              <w:pStyle w:val="yTableNAm"/>
              <w:keepNext/>
              <w:jc w:val="center"/>
              <w:rPr>
                <w:b/>
              </w:rPr>
            </w:pPr>
            <w:r>
              <w:rPr>
                <w:b/>
              </w:rPr>
              <w:t>Class 2 (cents)</w:t>
            </w:r>
          </w:p>
        </w:tc>
        <w:tc>
          <w:tcPr>
            <w:tcW w:w="987" w:type="dxa"/>
            <w:tcBorders>
              <w:top w:val="single" w:sz="4" w:space="0" w:color="auto"/>
              <w:bottom w:val="single" w:sz="4" w:space="0" w:color="auto"/>
            </w:tcBorders>
            <w:noWrap/>
          </w:tcPr>
          <w:p w:rsidR="005435E9" w:rsidRDefault="005435E9">
            <w:pPr>
              <w:pStyle w:val="yTableNAm"/>
              <w:keepNext/>
              <w:jc w:val="center"/>
              <w:rPr>
                <w:b/>
              </w:rPr>
            </w:pPr>
            <w:r>
              <w:rPr>
                <w:b/>
              </w:rPr>
              <w:t>Class 3 (cents)</w:t>
            </w:r>
          </w:p>
        </w:tc>
        <w:tc>
          <w:tcPr>
            <w:tcW w:w="987" w:type="dxa"/>
            <w:tcBorders>
              <w:top w:val="single" w:sz="4" w:space="0" w:color="auto"/>
              <w:bottom w:val="single" w:sz="4" w:space="0" w:color="auto"/>
            </w:tcBorders>
            <w:noWrap/>
          </w:tcPr>
          <w:p w:rsidR="005435E9" w:rsidRDefault="005435E9">
            <w:pPr>
              <w:pStyle w:val="yTableNAm"/>
              <w:keepNext/>
              <w:jc w:val="center"/>
              <w:rPr>
                <w:b/>
              </w:rPr>
            </w:pPr>
            <w:r>
              <w:rPr>
                <w:b/>
              </w:rPr>
              <w:t>Class 4 (cents)</w:t>
            </w:r>
          </w:p>
        </w:tc>
        <w:tc>
          <w:tcPr>
            <w:tcW w:w="989" w:type="dxa"/>
            <w:tcBorders>
              <w:top w:val="single" w:sz="4" w:space="0" w:color="auto"/>
              <w:bottom w:val="single" w:sz="4" w:space="0" w:color="auto"/>
            </w:tcBorders>
            <w:noWrap/>
          </w:tcPr>
          <w:p w:rsidR="005435E9" w:rsidRDefault="005435E9">
            <w:pPr>
              <w:pStyle w:val="yTableNAm"/>
              <w:keepNext/>
              <w:jc w:val="center"/>
              <w:rPr>
                <w:b/>
              </w:rPr>
            </w:pPr>
            <w:r>
              <w:rPr>
                <w:b/>
              </w:rPr>
              <w:t>Class 5 (cents)</w:t>
            </w:r>
          </w:p>
        </w:tc>
      </w:tr>
      <w:tr w:rsidR="005435E9">
        <w:trPr>
          <w:cantSplit/>
        </w:trPr>
        <w:tc>
          <w:tcPr>
            <w:tcW w:w="1417" w:type="dxa"/>
            <w:noWrap/>
          </w:tcPr>
          <w:p w:rsidR="005435E9" w:rsidRDefault="005435E9">
            <w:pPr>
              <w:pStyle w:val="yTableNAm"/>
            </w:pPr>
            <w:r>
              <w:t>Up to 150</w:t>
            </w:r>
          </w:p>
        </w:tc>
        <w:tc>
          <w:tcPr>
            <w:tcW w:w="897" w:type="dxa"/>
            <w:noWrap/>
            <w:vAlign w:val="bottom"/>
          </w:tcPr>
          <w:p w:rsidR="005435E9" w:rsidRDefault="005435E9">
            <w:pPr>
              <w:pStyle w:val="yTableNAm"/>
              <w:jc w:val="center"/>
            </w:pPr>
            <w:r>
              <w:rPr>
                <w:szCs w:val="22"/>
              </w:rPr>
              <w:t>139.5</w:t>
            </w:r>
          </w:p>
        </w:tc>
        <w:tc>
          <w:tcPr>
            <w:tcW w:w="987" w:type="dxa"/>
            <w:noWrap/>
            <w:vAlign w:val="bottom"/>
          </w:tcPr>
          <w:p w:rsidR="005435E9" w:rsidRDefault="005435E9">
            <w:pPr>
              <w:pStyle w:val="yTableNAm"/>
              <w:jc w:val="center"/>
            </w:pPr>
            <w:r>
              <w:rPr>
                <w:szCs w:val="22"/>
              </w:rPr>
              <w:t>182.7</w:t>
            </w:r>
          </w:p>
        </w:tc>
        <w:tc>
          <w:tcPr>
            <w:tcW w:w="987" w:type="dxa"/>
            <w:noWrap/>
            <w:vAlign w:val="bottom"/>
          </w:tcPr>
          <w:p w:rsidR="005435E9" w:rsidRDefault="005435E9">
            <w:pPr>
              <w:pStyle w:val="yTableNAm"/>
              <w:jc w:val="center"/>
            </w:pPr>
            <w:r>
              <w:rPr>
                <w:szCs w:val="22"/>
              </w:rPr>
              <w:t>182.7</w:t>
            </w:r>
          </w:p>
        </w:tc>
        <w:tc>
          <w:tcPr>
            <w:tcW w:w="987" w:type="dxa"/>
            <w:noWrap/>
            <w:vAlign w:val="bottom"/>
          </w:tcPr>
          <w:p w:rsidR="005435E9" w:rsidRDefault="005435E9">
            <w:pPr>
              <w:pStyle w:val="yTableNAm"/>
              <w:jc w:val="center"/>
            </w:pPr>
            <w:r>
              <w:rPr>
                <w:szCs w:val="22"/>
              </w:rPr>
              <w:t>182.7</w:t>
            </w:r>
          </w:p>
        </w:tc>
        <w:tc>
          <w:tcPr>
            <w:tcW w:w="989" w:type="dxa"/>
            <w:noWrap/>
            <w:vAlign w:val="bottom"/>
          </w:tcPr>
          <w:p w:rsidR="005435E9" w:rsidRDefault="005435E9">
            <w:pPr>
              <w:pStyle w:val="yTableNAm"/>
              <w:jc w:val="center"/>
            </w:pPr>
            <w:r>
              <w:rPr>
                <w:szCs w:val="22"/>
              </w:rPr>
              <w:t>182.7</w:t>
            </w:r>
          </w:p>
        </w:tc>
      </w:tr>
      <w:tr w:rsidR="005435E9">
        <w:trPr>
          <w:cantSplit/>
        </w:trPr>
        <w:tc>
          <w:tcPr>
            <w:tcW w:w="1417" w:type="dxa"/>
            <w:noWrap/>
          </w:tcPr>
          <w:p w:rsidR="005435E9" w:rsidRDefault="005435E9">
            <w:pPr>
              <w:pStyle w:val="yTableNAm"/>
            </w:pPr>
            <w:r>
              <w:t>Over 150 but not over 300</w:t>
            </w:r>
          </w:p>
        </w:tc>
        <w:tc>
          <w:tcPr>
            <w:tcW w:w="897" w:type="dxa"/>
            <w:noWrap/>
            <w:vAlign w:val="bottom"/>
          </w:tcPr>
          <w:p w:rsidR="005435E9" w:rsidRDefault="005435E9">
            <w:pPr>
              <w:pStyle w:val="yTableNAm"/>
              <w:jc w:val="center"/>
            </w:pPr>
            <w:r>
              <w:rPr>
                <w:szCs w:val="22"/>
              </w:rPr>
              <w:t>185.7</w:t>
            </w:r>
          </w:p>
        </w:tc>
        <w:tc>
          <w:tcPr>
            <w:tcW w:w="987" w:type="dxa"/>
            <w:noWrap/>
            <w:vAlign w:val="bottom"/>
          </w:tcPr>
          <w:p w:rsidR="005435E9" w:rsidRDefault="005435E9">
            <w:pPr>
              <w:pStyle w:val="yTableNAm"/>
              <w:jc w:val="center"/>
            </w:pPr>
            <w:r>
              <w:rPr>
                <w:szCs w:val="22"/>
              </w:rPr>
              <w:t>243.4</w:t>
            </w:r>
          </w:p>
        </w:tc>
        <w:tc>
          <w:tcPr>
            <w:tcW w:w="987" w:type="dxa"/>
            <w:noWrap/>
            <w:vAlign w:val="bottom"/>
          </w:tcPr>
          <w:p w:rsidR="005435E9" w:rsidRDefault="005435E9">
            <w:pPr>
              <w:pStyle w:val="yTableNAm"/>
              <w:jc w:val="center"/>
            </w:pPr>
            <w:r>
              <w:rPr>
                <w:szCs w:val="22"/>
              </w:rPr>
              <w:t>243.4</w:t>
            </w:r>
          </w:p>
        </w:tc>
        <w:tc>
          <w:tcPr>
            <w:tcW w:w="987" w:type="dxa"/>
            <w:noWrap/>
            <w:vAlign w:val="bottom"/>
          </w:tcPr>
          <w:p w:rsidR="005435E9" w:rsidRDefault="005435E9">
            <w:pPr>
              <w:pStyle w:val="yTableNAm"/>
              <w:jc w:val="center"/>
            </w:pPr>
            <w:r>
              <w:rPr>
                <w:szCs w:val="22"/>
              </w:rPr>
              <w:t>243.4</w:t>
            </w:r>
          </w:p>
        </w:tc>
        <w:tc>
          <w:tcPr>
            <w:tcW w:w="989" w:type="dxa"/>
            <w:noWrap/>
            <w:vAlign w:val="bottom"/>
          </w:tcPr>
          <w:p w:rsidR="005435E9" w:rsidRDefault="005435E9">
            <w:pPr>
              <w:pStyle w:val="yTableNAm"/>
              <w:jc w:val="center"/>
            </w:pPr>
            <w:r>
              <w:rPr>
                <w:szCs w:val="22"/>
              </w:rPr>
              <w:t>243.4</w:t>
            </w:r>
          </w:p>
        </w:tc>
      </w:tr>
      <w:tr w:rsidR="005435E9">
        <w:trPr>
          <w:cantSplit/>
        </w:trPr>
        <w:tc>
          <w:tcPr>
            <w:tcW w:w="1417" w:type="dxa"/>
            <w:noWrap/>
          </w:tcPr>
          <w:p w:rsidR="005435E9" w:rsidRDefault="005435E9">
            <w:pPr>
              <w:pStyle w:val="yTableNAm"/>
            </w:pPr>
            <w:r>
              <w:t>Over 300 but not over 550</w:t>
            </w:r>
          </w:p>
        </w:tc>
        <w:tc>
          <w:tcPr>
            <w:tcW w:w="897" w:type="dxa"/>
            <w:noWrap/>
            <w:vAlign w:val="bottom"/>
          </w:tcPr>
          <w:p w:rsidR="005435E9" w:rsidRDefault="005435E9">
            <w:pPr>
              <w:pStyle w:val="yTableNAm"/>
              <w:jc w:val="center"/>
            </w:pPr>
            <w:r>
              <w:rPr>
                <w:szCs w:val="22"/>
              </w:rPr>
              <w:t>213.1</w:t>
            </w:r>
          </w:p>
        </w:tc>
        <w:tc>
          <w:tcPr>
            <w:tcW w:w="987" w:type="dxa"/>
            <w:noWrap/>
            <w:vAlign w:val="bottom"/>
          </w:tcPr>
          <w:p w:rsidR="005435E9" w:rsidRDefault="005435E9">
            <w:pPr>
              <w:pStyle w:val="yTableNAm"/>
              <w:jc w:val="center"/>
            </w:pPr>
            <w:r>
              <w:rPr>
                <w:szCs w:val="22"/>
              </w:rPr>
              <w:t>293.2</w:t>
            </w:r>
          </w:p>
        </w:tc>
        <w:tc>
          <w:tcPr>
            <w:tcW w:w="987" w:type="dxa"/>
            <w:noWrap/>
            <w:vAlign w:val="bottom"/>
          </w:tcPr>
          <w:p w:rsidR="005435E9" w:rsidRDefault="005435E9">
            <w:pPr>
              <w:pStyle w:val="yTableNAm"/>
              <w:jc w:val="center"/>
            </w:pPr>
            <w:r>
              <w:rPr>
                <w:szCs w:val="22"/>
              </w:rPr>
              <w:t>390.6</w:t>
            </w:r>
          </w:p>
        </w:tc>
        <w:tc>
          <w:tcPr>
            <w:tcW w:w="987" w:type="dxa"/>
            <w:noWrap/>
            <w:vAlign w:val="bottom"/>
          </w:tcPr>
          <w:p w:rsidR="005435E9" w:rsidRDefault="005435E9">
            <w:pPr>
              <w:pStyle w:val="yTableNAm"/>
              <w:jc w:val="center"/>
            </w:pPr>
            <w:r>
              <w:rPr>
                <w:szCs w:val="22"/>
              </w:rPr>
              <w:t>459.2</w:t>
            </w:r>
          </w:p>
        </w:tc>
        <w:tc>
          <w:tcPr>
            <w:tcW w:w="989" w:type="dxa"/>
            <w:noWrap/>
            <w:vAlign w:val="bottom"/>
          </w:tcPr>
          <w:p w:rsidR="005435E9" w:rsidRDefault="005435E9">
            <w:pPr>
              <w:pStyle w:val="yTableNAm"/>
              <w:jc w:val="center"/>
            </w:pPr>
            <w:r>
              <w:rPr>
                <w:szCs w:val="22"/>
              </w:rPr>
              <w:t>540.2</w:t>
            </w:r>
          </w:p>
        </w:tc>
      </w:tr>
      <w:tr w:rsidR="005435E9">
        <w:trPr>
          <w:cantSplit/>
        </w:trPr>
        <w:tc>
          <w:tcPr>
            <w:tcW w:w="1417" w:type="dxa"/>
            <w:tcBorders>
              <w:bottom w:val="single" w:sz="4" w:space="0" w:color="auto"/>
            </w:tcBorders>
            <w:noWrap/>
          </w:tcPr>
          <w:p w:rsidR="005435E9" w:rsidRDefault="005435E9">
            <w:pPr>
              <w:pStyle w:val="yTableNAm"/>
            </w:pPr>
            <w:r>
              <w:lastRenderedPageBreak/>
              <w:t>Over 550</w:t>
            </w:r>
          </w:p>
        </w:tc>
        <w:tc>
          <w:tcPr>
            <w:tcW w:w="897" w:type="dxa"/>
            <w:tcBorders>
              <w:bottom w:val="single" w:sz="4" w:space="0" w:color="auto"/>
            </w:tcBorders>
            <w:noWrap/>
            <w:vAlign w:val="bottom"/>
          </w:tcPr>
          <w:p w:rsidR="005435E9" w:rsidRDefault="005435E9">
            <w:pPr>
              <w:pStyle w:val="yTableNAm"/>
              <w:jc w:val="center"/>
            </w:pPr>
            <w:r>
              <w:rPr>
                <w:szCs w:val="22"/>
              </w:rPr>
              <w:t>248.8</w:t>
            </w:r>
          </w:p>
        </w:tc>
        <w:tc>
          <w:tcPr>
            <w:tcW w:w="987" w:type="dxa"/>
            <w:tcBorders>
              <w:bottom w:val="single" w:sz="4" w:space="0" w:color="auto"/>
            </w:tcBorders>
            <w:noWrap/>
            <w:vAlign w:val="bottom"/>
          </w:tcPr>
          <w:p w:rsidR="005435E9" w:rsidRDefault="005435E9">
            <w:pPr>
              <w:pStyle w:val="yTableNAm"/>
              <w:jc w:val="center"/>
            </w:pPr>
            <w:r>
              <w:rPr>
                <w:szCs w:val="22"/>
              </w:rPr>
              <w:t>374.0</w:t>
            </w:r>
          </w:p>
        </w:tc>
        <w:tc>
          <w:tcPr>
            <w:tcW w:w="987" w:type="dxa"/>
            <w:tcBorders>
              <w:bottom w:val="single" w:sz="4" w:space="0" w:color="auto"/>
            </w:tcBorders>
            <w:noWrap/>
            <w:vAlign w:val="bottom"/>
          </w:tcPr>
          <w:p w:rsidR="005435E9" w:rsidRDefault="005435E9">
            <w:pPr>
              <w:pStyle w:val="yTableNAm"/>
              <w:jc w:val="center"/>
            </w:pPr>
            <w:r>
              <w:rPr>
                <w:szCs w:val="22"/>
              </w:rPr>
              <w:t>497.9</w:t>
            </w:r>
          </w:p>
        </w:tc>
        <w:tc>
          <w:tcPr>
            <w:tcW w:w="987" w:type="dxa"/>
            <w:tcBorders>
              <w:bottom w:val="single" w:sz="4" w:space="0" w:color="auto"/>
            </w:tcBorders>
            <w:noWrap/>
            <w:vAlign w:val="bottom"/>
          </w:tcPr>
          <w:p w:rsidR="005435E9" w:rsidRDefault="005435E9">
            <w:pPr>
              <w:pStyle w:val="yTableNAm"/>
              <w:jc w:val="center"/>
            </w:pPr>
            <w:r>
              <w:rPr>
                <w:szCs w:val="22"/>
              </w:rPr>
              <w:t>688.7</w:t>
            </w:r>
          </w:p>
        </w:tc>
        <w:tc>
          <w:tcPr>
            <w:tcW w:w="989" w:type="dxa"/>
            <w:tcBorders>
              <w:bottom w:val="single" w:sz="4" w:space="0" w:color="auto"/>
            </w:tcBorders>
            <w:noWrap/>
            <w:vAlign w:val="bottom"/>
          </w:tcPr>
          <w:p w:rsidR="005435E9" w:rsidRDefault="005435E9">
            <w:pPr>
              <w:pStyle w:val="yTableNAm"/>
              <w:jc w:val="center"/>
            </w:pPr>
            <w:r>
              <w:rPr>
                <w:szCs w:val="22"/>
              </w:rPr>
              <w:t>928.9</w:t>
            </w:r>
          </w:p>
        </w:tc>
      </w:tr>
    </w:tbl>
    <w:p w:rsidR="005435E9" w:rsidRDefault="005435E9">
      <w:pPr>
        <w:pStyle w:val="ySubsection"/>
      </w:pPr>
      <w:r>
        <w:tab/>
        <w:t>(2)</w:t>
      </w:r>
      <w:r>
        <w:tab/>
        <w:t>Sub</w:t>
      </w:r>
      <w:r>
        <w:noBreakHyphen/>
        <w:t xml:space="preserve">item (1) applies unless the land is located — </w:t>
      </w:r>
    </w:p>
    <w:p w:rsidR="005435E9" w:rsidRDefault="005435E9">
      <w:pPr>
        <w:pStyle w:val="yIndenta"/>
      </w:pPr>
      <w:r>
        <w:tab/>
        <w:t>(a)</w:t>
      </w:r>
      <w:r>
        <w:tab/>
        <w:t>in the town of Cue, Laverton, Leonora, Meekatharra, Menzies, Mount Magnet, Mullewa, Sandstone, Wiluna or Yalgoo; or</w:t>
      </w:r>
    </w:p>
    <w:p w:rsidR="005435E9" w:rsidRDefault="005435E9">
      <w:pPr>
        <w:pStyle w:val="yIndenta"/>
      </w:pPr>
      <w:r>
        <w:tab/>
        <w:t>(b)</w:t>
      </w:r>
      <w:r>
        <w:tab/>
        <w:t>north of 26°S Latitude,</w:t>
      </w:r>
    </w:p>
    <w:p w:rsidR="005435E9" w:rsidRDefault="005435E9">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rsidR="005435E9">
        <w:trPr>
          <w:cantSplit/>
          <w:tblHeader/>
        </w:trPr>
        <w:tc>
          <w:tcPr>
            <w:tcW w:w="1417" w:type="dxa"/>
            <w:tcBorders>
              <w:top w:val="single" w:sz="4" w:space="0" w:color="auto"/>
              <w:bottom w:val="single" w:sz="4" w:space="0" w:color="auto"/>
            </w:tcBorders>
            <w:noWrap/>
          </w:tcPr>
          <w:p w:rsidR="005435E9" w:rsidRDefault="005435E9">
            <w:pPr>
              <w:pStyle w:val="yTableNAm"/>
              <w:rPr>
                <w:b/>
              </w:rPr>
            </w:pPr>
            <w:r>
              <w:rPr>
                <w:b/>
              </w:rPr>
              <w:br w:type="page"/>
              <w:t>Consumption (kL)</w:t>
            </w:r>
          </w:p>
        </w:tc>
        <w:tc>
          <w:tcPr>
            <w:tcW w:w="882" w:type="dxa"/>
            <w:tcBorders>
              <w:top w:val="single" w:sz="4" w:space="0" w:color="auto"/>
              <w:bottom w:val="single" w:sz="4" w:space="0" w:color="auto"/>
            </w:tcBorders>
            <w:noWrap/>
          </w:tcPr>
          <w:p w:rsidR="005435E9" w:rsidRDefault="005435E9">
            <w:pPr>
              <w:pStyle w:val="yTableNAm"/>
              <w:jc w:val="center"/>
              <w:rPr>
                <w:b/>
              </w:rPr>
            </w:pPr>
            <w:r>
              <w:rPr>
                <w:b/>
              </w:rPr>
              <w:t>Class 1 (cents)</w:t>
            </w:r>
          </w:p>
        </w:tc>
        <w:tc>
          <w:tcPr>
            <w:tcW w:w="972" w:type="dxa"/>
            <w:tcBorders>
              <w:top w:val="single" w:sz="4" w:space="0" w:color="auto"/>
              <w:bottom w:val="single" w:sz="4" w:space="0" w:color="auto"/>
            </w:tcBorders>
            <w:noWrap/>
          </w:tcPr>
          <w:p w:rsidR="005435E9" w:rsidRDefault="005435E9">
            <w:pPr>
              <w:pStyle w:val="yTableNAm"/>
              <w:jc w:val="center"/>
              <w:rPr>
                <w:b/>
              </w:rPr>
            </w:pPr>
            <w:r>
              <w:rPr>
                <w:b/>
              </w:rPr>
              <w:t>Class 2 (cents)</w:t>
            </w:r>
          </w:p>
        </w:tc>
        <w:tc>
          <w:tcPr>
            <w:tcW w:w="972" w:type="dxa"/>
            <w:tcBorders>
              <w:top w:val="single" w:sz="4" w:space="0" w:color="auto"/>
              <w:bottom w:val="single" w:sz="4" w:space="0" w:color="auto"/>
            </w:tcBorders>
            <w:noWrap/>
          </w:tcPr>
          <w:p w:rsidR="005435E9" w:rsidRDefault="005435E9">
            <w:pPr>
              <w:pStyle w:val="yTableNAm"/>
              <w:jc w:val="center"/>
              <w:rPr>
                <w:b/>
              </w:rPr>
            </w:pPr>
            <w:r>
              <w:rPr>
                <w:b/>
              </w:rPr>
              <w:t>Class 3 (cents)</w:t>
            </w:r>
          </w:p>
        </w:tc>
        <w:tc>
          <w:tcPr>
            <w:tcW w:w="972" w:type="dxa"/>
            <w:tcBorders>
              <w:top w:val="single" w:sz="4" w:space="0" w:color="auto"/>
              <w:bottom w:val="single" w:sz="4" w:space="0" w:color="auto"/>
            </w:tcBorders>
            <w:noWrap/>
          </w:tcPr>
          <w:p w:rsidR="005435E9" w:rsidRDefault="005435E9">
            <w:pPr>
              <w:pStyle w:val="yTableNAm"/>
              <w:jc w:val="center"/>
              <w:rPr>
                <w:b/>
              </w:rPr>
            </w:pPr>
            <w:r>
              <w:rPr>
                <w:b/>
              </w:rPr>
              <w:t>Class 4 (cents)</w:t>
            </w:r>
          </w:p>
        </w:tc>
        <w:tc>
          <w:tcPr>
            <w:tcW w:w="1048" w:type="dxa"/>
            <w:tcBorders>
              <w:top w:val="single" w:sz="4" w:space="0" w:color="auto"/>
              <w:bottom w:val="single" w:sz="4" w:space="0" w:color="auto"/>
            </w:tcBorders>
            <w:noWrap/>
          </w:tcPr>
          <w:p w:rsidR="005435E9" w:rsidRDefault="005435E9">
            <w:pPr>
              <w:pStyle w:val="yTableNAm"/>
              <w:jc w:val="center"/>
              <w:rPr>
                <w:b/>
              </w:rPr>
            </w:pPr>
            <w:r>
              <w:rPr>
                <w:b/>
              </w:rPr>
              <w:t>Class 5 (cents)</w:t>
            </w:r>
          </w:p>
        </w:tc>
      </w:tr>
      <w:tr w:rsidR="005435E9">
        <w:trPr>
          <w:cantSplit/>
        </w:trPr>
        <w:tc>
          <w:tcPr>
            <w:tcW w:w="1417" w:type="dxa"/>
            <w:noWrap/>
          </w:tcPr>
          <w:p w:rsidR="005435E9" w:rsidRDefault="005435E9">
            <w:pPr>
              <w:pStyle w:val="yTableNAm"/>
            </w:pPr>
            <w:r>
              <w:t>Up to 350</w:t>
            </w:r>
          </w:p>
        </w:tc>
        <w:tc>
          <w:tcPr>
            <w:tcW w:w="882" w:type="dxa"/>
            <w:noWrap/>
            <w:vAlign w:val="bottom"/>
          </w:tcPr>
          <w:p w:rsidR="005435E9" w:rsidRDefault="005435E9">
            <w:pPr>
              <w:pStyle w:val="yTableNAm"/>
              <w:jc w:val="center"/>
            </w:pPr>
            <w:r>
              <w:rPr>
                <w:szCs w:val="22"/>
              </w:rPr>
              <w:t>139.5</w:t>
            </w:r>
          </w:p>
        </w:tc>
        <w:tc>
          <w:tcPr>
            <w:tcW w:w="972" w:type="dxa"/>
            <w:noWrap/>
            <w:vAlign w:val="bottom"/>
          </w:tcPr>
          <w:p w:rsidR="005435E9" w:rsidRDefault="005435E9">
            <w:pPr>
              <w:pStyle w:val="yTableNAm"/>
              <w:jc w:val="center"/>
            </w:pPr>
            <w:r>
              <w:rPr>
                <w:szCs w:val="22"/>
              </w:rPr>
              <w:t>182.7</w:t>
            </w:r>
          </w:p>
        </w:tc>
        <w:tc>
          <w:tcPr>
            <w:tcW w:w="972" w:type="dxa"/>
            <w:noWrap/>
            <w:vAlign w:val="bottom"/>
          </w:tcPr>
          <w:p w:rsidR="005435E9" w:rsidRDefault="005435E9">
            <w:pPr>
              <w:pStyle w:val="yTableNAm"/>
              <w:jc w:val="center"/>
            </w:pPr>
            <w:r>
              <w:rPr>
                <w:szCs w:val="22"/>
              </w:rPr>
              <w:t>182.7</w:t>
            </w:r>
          </w:p>
        </w:tc>
        <w:tc>
          <w:tcPr>
            <w:tcW w:w="972" w:type="dxa"/>
            <w:noWrap/>
            <w:vAlign w:val="bottom"/>
          </w:tcPr>
          <w:p w:rsidR="005435E9" w:rsidRDefault="005435E9">
            <w:pPr>
              <w:pStyle w:val="yTableNAm"/>
              <w:jc w:val="center"/>
            </w:pPr>
            <w:r>
              <w:rPr>
                <w:szCs w:val="22"/>
              </w:rPr>
              <w:t>182.7</w:t>
            </w:r>
          </w:p>
        </w:tc>
        <w:tc>
          <w:tcPr>
            <w:tcW w:w="1048" w:type="dxa"/>
            <w:noWrap/>
            <w:vAlign w:val="bottom"/>
          </w:tcPr>
          <w:p w:rsidR="005435E9" w:rsidRDefault="005435E9">
            <w:pPr>
              <w:pStyle w:val="yTableNAm"/>
              <w:jc w:val="center"/>
            </w:pPr>
            <w:r>
              <w:rPr>
                <w:szCs w:val="22"/>
              </w:rPr>
              <w:t>182.7</w:t>
            </w:r>
          </w:p>
        </w:tc>
      </w:tr>
      <w:tr w:rsidR="005435E9">
        <w:trPr>
          <w:cantSplit/>
        </w:trPr>
        <w:tc>
          <w:tcPr>
            <w:tcW w:w="1417" w:type="dxa"/>
            <w:noWrap/>
          </w:tcPr>
          <w:p w:rsidR="005435E9" w:rsidRDefault="005435E9">
            <w:pPr>
              <w:pStyle w:val="yTableNAm"/>
            </w:pPr>
            <w:r>
              <w:t>Over 350 but not over 500</w:t>
            </w:r>
          </w:p>
        </w:tc>
        <w:tc>
          <w:tcPr>
            <w:tcW w:w="882" w:type="dxa"/>
            <w:noWrap/>
            <w:vAlign w:val="bottom"/>
          </w:tcPr>
          <w:p w:rsidR="005435E9" w:rsidRDefault="005435E9">
            <w:pPr>
              <w:pStyle w:val="yTableNAm"/>
              <w:jc w:val="center"/>
            </w:pPr>
            <w:r>
              <w:rPr>
                <w:szCs w:val="22"/>
              </w:rPr>
              <w:t>185.7</w:t>
            </w:r>
          </w:p>
        </w:tc>
        <w:tc>
          <w:tcPr>
            <w:tcW w:w="972" w:type="dxa"/>
            <w:noWrap/>
            <w:vAlign w:val="bottom"/>
          </w:tcPr>
          <w:p w:rsidR="005435E9" w:rsidRDefault="005435E9">
            <w:pPr>
              <w:pStyle w:val="yTableNAm"/>
              <w:jc w:val="center"/>
            </w:pPr>
            <w:r>
              <w:rPr>
                <w:szCs w:val="22"/>
              </w:rPr>
              <w:t>243.4</w:t>
            </w:r>
          </w:p>
        </w:tc>
        <w:tc>
          <w:tcPr>
            <w:tcW w:w="972" w:type="dxa"/>
            <w:noWrap/>
            <w:vAlign w:val="bottom"/>
          </w:tcPr>
          <w:p w:rsidR="005435E9" w:rsidRDefault="005435E9">
            <w:pPr>
              <w:pStyle w:val="yTableNAm"/>
              <w:jc w:val="center"/>
            </w:pPr>
            <w:r>
              <w:rPr>
                <w:szCs w:val="22"/>
              </w:rPr>
              <w:t>243.4</w:t>
            </w:r>
          </w:p>
        </w:tc>
        <w:tc>
          <w:tcPr>
            <w:tcW w:w="972" w:type="dxa"/>
            <w:noWrap/>
            <w:vAlign w:val="bottom"/>
          </w:tcPr>
          <w:p w:rsidR="005435E9" w:rsidRDefault="005435E9">
            <w:pPr>
              <w:pStyle w:val="yTableNAm"/>
              <w:jc w:val="center"/>
            </w:pPr>
            <w:r>
              <w:rPr>
                <w:szCs w:val="22"/>
              </w:rPr>
              <w:t>243.4</w:t>
            </w:r>
          </w:p>
        </w:tc>
        <w:tc>
          <w:tcPr>
            <w:tcW w:w="1048" w:type="dxa"/>
            <w:noWrap/>
            <w:vAlign w:val="bottom"/>
          </w:tcPr>
          <w:p w:rsidR="005435E9" w:rsidRDefault="005435E9">
            <w:pPr>
              <w:pStyle w:val="yTableNAm"/>
              <w:jc w:val="center"/>
            </w:pPr>
            <w:r>
              <w:rPr>
                <w:szCs w:val="22"/>
              </w:rPr>
              <w:t>243.4</w:t>
            </w:r>
          </w:p>
        </w:tc>
      </w:tr>
      <w:tr w:rsidR="005435E9">
        <w:trPr>
          <w:cantSplit/>
        </w:trPr>
        <w:tc>
          <w:tcPr>
            <w:tcW w:w="1417" w:type="dxa"/>
            <w:noWrap/>
          </w:tcPr>
          <w:p w:rsidR="005435E9" w:rsidRDefault="005435E9">
            <w:pPr>
              <w:pStyle w:val="yTableNAm"/>
              <w:keepNext/>
              <w:keepLines/>
            </w:pPr>
            <w:r>
              <w:t>Over 500 but not over 750</w:t>
            </w:r>
          </w:p>
        </w:tc>
        <w:tc>
          <w:tcPr>
            <w:tcW w:w="882" w:type="dxa"/>
            <w:noWrap/>
            <w:vAlign w:val="bottom"/>
          </w:tcPr>
          <w:p w:rsidR="005435E9" w:rsidRDefault="005435E9">
            <w:pPr>
              <w:pStyle w:val="yTableNAm"/>
              <w:jc w:val="center"/>
            </w:pPr>
            <w:r>
              <w:rPr>
                <w:szCs w:val="22"/>
              </w:rPr>
              <w:t>213.1</w:t>
            </w:r>
          </w:p>
        </w:tc>
        <w:tc>
          <w:tcPr>
            <w:tcW w:w="972" w:type="dxa"/>
            <w:noWrap/>
            <w:vAlign w:val="bottom"/>
          </w:tcPr>
          <w:p w:rsidR="005435E9" w:rsidRDefault="005435E9">
            <w:pPr>
              <w:pStyle w:val="yTableNAm"/>
              <w:jc w:val="center"/>
            </w:pPr>
            <w:r>
              <w:rPr>
                <w:szCs w:val="22"/>
              </w:rPr>
              <w:t>293.2</w:t>
            </w:r>
          </w:p>
        </w:tc>
        <w:tc>
          <w:tcPr>
            <w:tcW w:w="972" w:type="dxa"/>
            <w:noWrap/>
            <w:vAlign w:val="bottom"/>
          </w:tcPr>
          <w:p w:rsidR="005435E9" w:rsidRDefault="005435E9">
            <w:pPr>
              <w:pStyle w:val="yTableNAm"/>
              <w:jc w:val="center"/>
            </w:pPr>
            <w:r>
              <w:rPr>
                <w:szCs w:val="22"/>
              </w:rPr>
              <w:t>390.6</w:t>
            </w:r>
          </w:p>
        </w:tc>
        <w:tc>
          <w:tcPr>
            <w:tcW w:w="972" w:type="dxa"/>
            <w:noWrap/>
            <w:vAlign w:val="bottom"/>
          </w:tcPr>
          <w:p w:rsidR="005435E9" w:rsidRDefault="005435E9">
            <w:pPr>
              <w:pStyle w:val="yTableNAm"/>
              <w:jc w:val="center"/>
            </w:pPr>
            <w:r>
              <w:rPr>
                <w:szCs w:val="22"/>
              </w:rPr>
              <w:t>459.2</w:t>
            </w:r>
          </w:p>
        </w:tc>
        <w:tc>
          <w:tcPr>
            <w:tcW w:w="1048" w:type="dxa"/>
            <w:noWrap/>
            <w:vAlign w:val="bottom"/>
          </w:tcPr>
          <w:p w:rsidR="005435E9" w:rsidRDefault="005435E9">
            <w:pPr>
              <w:pStyle w:val="yTableNAm"/>
              <w:jc w:val="center"/>
            </w:pPr>
            <w:r>
              <w:rPr>
                <w:szCs w:val="22"/>
              </w:rPr>
              <w:t>540.2</w:t>
            </w:r>
          </w:p>
        </w:tc>
      </w:tr>
      <w:tr w:rsidR="005435E9">
        <w:trPr>
          <w:cantSplit/>
        </w:trPr>
        <w:tc>
          <w:tcPr>
            <w:tcW w:w="1417" w:type="dxa"/>
            <w:tcBorders>
              <w:bottom w:val="single" w:sz="4" w:space="0" w:color="auto"/>
            </w:tcBorders>
            <w:noWrap/>
          </w:tcPr>
          <w:p w:rsidR="005435E9" w:rsidRDefault="005435E9">
            <w:pPr>
              <w:pStyle w:val="yTableNAm"/>
            </w:pPr>
            <w:r>
              <w:t>Over 750</w:t>
            </w:r>
          </w:p>
        </w:tc>
        <w:tc>
          <w:tcPr>
            <w:tcW w:w="882" w:type="dxa"/>
            <w:tcBorders>
              <w:bottom w:val="single" w:sz="4" w:space="0" w:color="auto"/>
            </w:tcBorders>
            <w:noWrap/>
            <w:vAlign w:val="bottom"/>
          </w:tcPr>
          <w:p w:rsidR="005435E9" w:rsidRDefault="005435E9">
            <w:pPr>
              <w:pStyle w:val="yTableNAm"/>
              <w:jc w:val="center"/>
            </w:pPr>
            <w:r>
              <w:rPr>
                <w:szCs w:val="22"/>
              </w:rPr>
              <w:t>248.8</w:t>
            </w:r>
          </w:p>
        </w:tc>
        <w:tc>
          <w:tcPr>
            <w:tcW w:w="972" w:type="dxa"/>
            <w:tcBorders>
              <w:bottom w:val="single" w:sz="4" w:space="0" w:color="auto"/>
            </w:tcBorders>
            <w:noWrap/>
            <w:vAlign w:val="bottom"/>
          </w:tcPr>
          <w:p w:rsidR="005435E9" w:rsidRDefault="005435E9">
            <w:pPr>
              <w:pStyle w:val="yTableNAm"/>
              <w:jc w:val="center"/>
            </w:pPr>
            <w:r>
              <w:rPr>
                <w:szCs w:val="22"/>
              </w:rPr>
              <w:t>374.0</w:t>
            </w:r>
          </w:p>
        </w:tc>
        <w:tc>
          <w:tcPr>
            <w:tcW w:w="972" w:type="dxa"/>
            <w:tcBorders>
              <w:bottom w:val="single" w:sz="4" w:space="0" w:color="auto"/>
            </w:tcBorders>
            <w:noWrap/>
            <w:vAlign w:val="bottom"/>
          </w:tcPr>
          <w:p w:rsidR="005435E9" w:rsidRDefault="005435E9">
            <w:pPr>
              <w:pStyle w:val="yTableNAm"/>
              <w:jc w:val="center"/>
            </w:pPr>
            <w:r>
              <w:rPr>
                <w:szCs w:val="22"/>
              </w:rPr>
              <w:t>497.9</w:t>
            </w:r>
          </w:p>
        </w:tc>
        <w:tc>
          <w:tcPr>
            <w:tcW w:w="972" w:type="dxa"/>
            <w:tcBorders>
              <w:bottom w:val="single" w:sz="4" w:space="0" w:color="auto"/>
            </w:tcBorders>
            <w:noWrap/>
            <w:vAlign w:val="bottom"/>
          </w:tcPr>
          <w:p w:rsidR="005435E9" w:rsidRDefault="005435E9">
            <w:pPr>
              <w:pStyle w:val="yTableNAm"/>
              <w:jc w:val="center"/>
            </w:pPr>
            <w:r>
              <w:rPr>
                <w:szCs w:val="22"/>
              </w:rPr>
              <w:t>688.7</w:t>
            </w:r>
          </w:p>
        </w:tc>
        <w:tc>
          <w:tcPr>
            <w:tcW w:w="1048" w:type="dxa"/>
            <w:tcBorders>
              <w:bottom w:val="single" w:sz="4" w:space="0" w:color="auto"/>
            </w:tcBorders>
            <w:noWrap/>
            <w:vAlign w:val="bottom"/>
          </w:tcPr>
          <w:p w:rsidR="005435E9" w:rsidRDefault="005435E9">
            <w:pPr>
              <w:pStyle w:val="yTableNAm"/>
              <w:jc w:val="center"/>
            </w:pPr>
            <w:r>
              <w:rPr>
                <w:szCs w:val="22"/>
              </w:rPr>
              <w:t>928.9</w:t>
            </w:r>
          </w:p>
        </w:tc>
      </w:tr>
    </w:tbl>
    <w:p w:rsidR="005435E9" w:rsidRDefault="005435E9">
      <w:pPr>
        <w:pStyle w:val="ySubsection"/>
      </w:pPr>
      <w:r>
        <w:tab/>
        <w:t>(3)</w:t>
      </w:r>
      <w:r>
        <w:tab/>
        <w:t>A charge under sub</w:t>
      </w:r>
      <w:r>
        <w:noBreakHyphen/>
        <w:t>item (1) or (2) does not apply to the supply of water for which a more specific charge is provided in this Subdivision.</w:t>
      </w:r>
    </w:p>
    <w:p w:rsidR="005435E9" w:rsidRDefault="005435E9">
      <w:pPr>
        <w:pStyle w:val="yHeading5"/>
      </w:pPr>
      <w:bookmarkStart w:id="241" w:name="_Toc75519736"/>
      <w:r>
        <w:rPr>
          <w:rStyle w:val="CharSClsNo"/>
        </w:rPr>
        <w:t>30</w:t>
      </w:r>
      <w:r>
        <w:t>.</w:t>
      </w:r>
      <w:r>
        <w:tab/>
        <w:t>Non</w:t>
      </w:r>
      <w:r>
        <w:noBreakHyphen/>
        <w:t>metropolitan non</w:t>
      </w:r>
      <w:r>
        <w:noBreakHyphen/>
        <w:t>residential</w:t>
      </w:r>
      <w:bookmarkEnd w:id="241"/>
    </w:p>
    <w:p w:rsidR="005435E9" w:rsidRDefault="005435E9">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rsidR="005435E9" w:rsidRDefault="005435E9">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rsidR="005435E9" w:rsidRDefault="005435E9">
      <w:pPr>
        <w:pStyle w:val="yIndenta"/>
        <w:tabs>
          <w:tab w:val="right" w:leader="dot" w:pos="6804"/>
        </w:tabs>
      </w:pPr>
      <w:r>
        <w:tab/>
        <w:t>(b)</w:t>
      </w:r>
      <w:r>
        <w:tab/>
        <w:t xml:space="preserve">if the land is classified as farmland </w:t>
      </w:r>
      <w:r>
        <w:tab/>
        <w:t>266.2 cents</w:t>
      </w:r>
    </w:p>
    <w:p w:rsidR="005435E9" w:rsidRDefault="005435E9">
      <w:pPr>
        <w:pStyle w:val="yIndenta"/>
      </w:pPr>
      <w:r>
        <w:lastRenderedPageBreak/>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rsidR="005435E9" w:rsidRDefault="005435E9">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rsidR="005435E9" w:rsidRDefault="005435E9">
      <w:pPr>
        <w:pStyle w:val="yIndenta"/>
        <w:keepNext/>
      </w:pPr>
      <w:r>
        <w:tab/>
        <w:t>(e)</w:t>
      </w:r>
      <w:r>
        <w:tab/>
        <w:t>if the land is classified as commercial residential —</w:t>
      </w:r>
    </w:p>
    <w:p w:rsidR="005435E9" w:rsidRDefault="005435E9">
      <w:pPr>
        <w:pStyle w:val="yMiscellaneousBody"/>
        <w:keepNext/>
        <w:tabs>
          <w:tab w:val="left" w:pos="1701"/>
          <w:tab w:val="left" w:pos="2552"/>
          <w:tab w:val="right" w:leader="dot" w:pos="6804"/>
        </w:tabs>
        <w:ind w:firstLine="1843"/>
      </w:pPr>
      <w:r>
        <w:t xml:space="preserve">up to 150 kL </w:t>
      </w:r>
      <w:r>
        <w:tab/>
        <w:t>182.7 cents</w:t>
      </w:r>
    </w:p>
    <w:p w:rsidR="005435E9" w:rsidRDefault="005435E9">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rsidR="005435E9" w:rsidRDefault="005435E9">
      <w:pPr>
        <w:pStyle w:val="ySubsection"/>
      </w:pPr>
      <w:r>
        <w:tab/>
        <w:t>(2)</w:t>
      </w:r>
      <w:r>
        <w:tab/>
        <w:t>A charge under sub</w:t>
      </w:r>
      <w:r>
        <w:noBreakHyphen/>
        <w:t>item (1) does not apply to the supply of water for which a more specific charge is provided in this Subdivision.</w:t>
      </w:r>
    </w:p>
    <w:p w:rsidR="005435E9" w:rsidRDefault="005435E9">
      <w:pPr>
        <w:pStyle w:val="yHeading5"/>
      </w:pPr>
      <w:bookmarkStart w:id="242" w:name="_Toc75519737"/>
      <w:r>
        <w:rPr>
          <w:rStyle w:val="CharSClsNo"/>
        </w:rPr>
        <w:t>31</w:t>
      </w:r>
      <w:r>
        <w:t>.</w:t>
      </w:r>
      <w:r>
        <w:tab/>
        <w:t>Strata</w:t>
      </w:r>
      <w:r>
        <w:noBreakHyphen/>
        <w:t>titled or long</w:t>
      </w:r>
      <w:r>
        <w:noBreakHyphen/>
        <w:t>term residential caravan bays</w:t>
      </w:r>
      <w:bookmarkEnd w:id="242"/>
    </w:p>
    <w:p w:rsidR="005435E9" w:rsidRDefault="005435E9">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rsidR="005435E9" w:rsidRDefault="005435E9">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rsidR="005435E9" w:rsidRDefault="005435E9">
      <w:pPr>
        <w:pStyle w:val="yMiscellaneousBody"/>
        <w:keepNext/>
        <w:tabs>
          <w:tab w:val="left" w:pos="1701"/>
          <w:tab w:val="right" w:leader="dot" w:pos="6804"/>
        </w:tabs>
        <w:ind w:left="1134"/>
      </w:pPr>
      <w:r>
        <w:t xml:space="preserve">over 150 kL </w:t>
      </w:r>
      <w:r>
        <w:tab/>
        <w:t xml:space="preserve"> 258.1 cents</w:t>
      </w:r>
    </w:p>
    <w:p w:rsidR="005435E9" w:rsidRDefault="005435E9">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rsidR="005435E9" w:rsidRDefault="005435E9">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rsidR="005435E9" w:rsidRDefault="005435E9">
      <w:pPr>
        <w:pStyle w:val="yMiscellaneousBody"/>
        <w:tabs>
          <w:tab w:val="left" w:pos="1701"/>
        </w:tabs>
        <w:ind w:left="1134"/>
      </w:pPr>
      <w:r>
        <w:t>over 150 kL — the charge applicable in the Table in item 24 according to the residential class of the town or area in which the bay is located.</w:t>
      </w:r>
    </w:p>
    <w:p w:rsidR="005435E9" w:rsidRDefault="005435E9">
      <w:pPr>
        <w:pStyle w:val="ySubsection"/>
      </w:pPr>
      <w:r>
        <w:lastRenderedPageBreak/>
        <w:tab/>
        <w:t>(3)</w:t>
      </w:r>
      <w:r>
        <w:tab/>
        <w:t>Sub</w:t>
      </w:r>
      <w:r>
        <w:noBreakHyphen/>
        <w:t>items (1) and (2) do not apply to long</w:t>
      </w:r>
      <w:r>
        <w:noBreakHyphen/>
        <w:t>term residential caravan bays referred to in regulation 27(2)(a).</w:t>
      </w:r>
    </w:p>
    <w:p w:rsidR="005435E9" w:rsidRDefault="005435E9">
      <w:pPr>
        <w:pStyle w:val="yHeading5"/>
      </w:pPr>
      <w:bookmarkStart w:id="243" w:name="_Toc75519738"/>
      <w:r>
        <w:rPr>
          <w:rStyle w:val="CharSClsNo"/>
        </w:rPr>
        <w:t>32</w:t>
      </w:r>
      <w:r>
        <w:t>.</w:t>
      </w:r>
      <w:r>
        <w:tab/>
        <w:t>Government trading organisations and non</w:t>
      </w:r>
      <w:r>
        <w:noBreakHyphen/>
        <w:t>commercial government property</w:t>
      </w:r>
      <w:bookmarkEnd w:id="243"/>
    </w:p>
    <w:p w:rsidR="005435E9" w:rsidRDefault="005435E9">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rsidR="005435E9" w:rsidRDefault="005435E9">
      <w:pPr>
        <w:pStyle w:val="ySubsection"/>
      </w:pPr>
      <w:r>
        <w:tab/>
        <w:t>(2)</w:t>
      </w:r>
      <w:r>
        <w:tab/>
        <w:t>This item does not apply to public land or land classified as vacant land.</w:t>
      </w:r>
    </w:p>
    <w:p w:rsidR="005435E9" w:rsidRDefault="005435E9">
      <w:pPr>
        <w:pStyle w:val="ySubsection"/>
      </w:pPr>
      <w:r>
        <w:tab/>
        <w:t>(3)</w:t>
      </w:r>
      <w:r>
        <w:tab/>
        <w:t>For land to which this item applies, the charge under sub</w:t>
      </w:r>
      <w:r>
        <w:noBreakHyphen/>
        <w:t>item (4) or (5) applies instead of the charge referred to in sub</w:t>
      </w:r>
      <w:r>
        <w:noBreakHyphen/>
        <w:t>item (1).</w:t>
      </w:r>
    </w:p>
    <w:p w:rsidR="005435E9" w:rsidRDefault="005435E9">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rsidR="005435E9" w:rsidRDefault="005435E9">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rsidR="005435E9" w:rsidRDefault="005435E9">
      <w:pPr>
        <w:pStyle w:val="yHeading5"/>
      </w:pPr>
      <w:bookmarkStart w:id="244" w:name="_Toc75519739"/>
      <w:r>
        <w:rPr>
          <w:rStyle w:val="CharSClsNo"/>
        </w:rPr>
        <w:t>33</w:t>
      </w:r>
      <w:r>
        <w:t>.</w:t>
      </w:r>
      <w:r>
        <w:tab/>
        <w:t>Coral Bay desalinated</w:t>
      </w:r>
      <w:bookmarkEnd w:id="244"/>
    </w:p>
    <w:p w:rsidR="005435E9" w:rsidRDefault="005435E9">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rsidR="005435E9" w:rsidRDefault="005435E9">
      <w:pPr>
        <w:pStyle w:val="yHeading5"/>
      </w:pPr>
      <w:bookmarkStart w:id="245" w:name="_Toc75519740"/>
      <w:r>
        <w:rPr>
          <w:rStyle w:val="CharSClsNo"/>
        </w:rPr>
        <w:t>34</w:t>
      </w:r>
      <w:r>
        <w:t>.</w:t>
      </w:r>
      <w:r>
        <w:tab/>
        <w:t>Denham desalinated</w:t>
      </w:r>
      <w:bookmarkEnd w:id="245"/>
    </w:p>
    <w:p w:rsidR="005435E9" w:rsidRDefault="005435E9">
      <w:pPr>
        <w:pStyle w:val="ySubsection"/>
      </w:pPr>
      <w:r>
        <w:tab/>
        <w:t>(1)</w:t>
      </w:r>
      <w:r>
        <w:tab/>
        <w:t>For each kilolitre of desalinated water supplied, in a charge period, to land in Denham that is classified as residential, the charge is —</w:t>
      </w:r>
    </w:p>
    <w:p w:rsidR="005435E9" w:rsidRDefault="005435E9">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rsidR="005435E9" w:rsidRDefault="005435E9">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rsidR="005435E9" w:rsidRDefault="005435E9">
      <w:pPr>
        <w:pStyle w:val="yMiscellaneousBody"/>
        <w:tabs>
          <w:tab w:val="left" w:pos="1134"/>
          <w:tab w:val="right" w:leader="dot" w:pos="6804"/>
        </w:tabs>
        <w:ind w:left="1134" w:hanging="567"/>
      </w:pPr>
      <w:r>
        <w:tab/>
        <w:t xml:space="preserve">over quota by more than the shoulder </w:t>
      </w:r>
      <w:r>
        <w:br/>
        <w:t>amount</w:t>
      </w:r>
      <w:r>
        <w:tab/>
        <w:t>1 552.2 cents</w:t>
      </w:r>
    </w:p>
    <w:p w:rsidR="005435E9" w:rsidRDefault="005435E9">
      <w:pPr>
        <w:pStyle w:val="ySubsection"/>
      </w:pPr>
      <w:r>
        <w:lastRenderedPageBreak/>
        <w:tab/>
        <w:t>(2)</w:t>
      </w:r>
      <w:r>
        <w:tab/>
        <w:t>In sub</w:t>
      </w:r>
      <w:r>
        <w:noBreakHyphen/>
        <w:t xml:space="preserve">item (1) — </w:t>
      </w:r>
    </w:p>
    <w:p w:rsidR="005435E9" w:rsidRDefault="005435E9">
      <w:pPr>
        <w:pStyle w:val="yIndenta"/>
      </w:pPr>
      <w:r>
        <w:tab/>
        <w:t>(a)</w:t>
      </w:r>
      <w:r>
        <w:tab/>
        <w:t>the quota for the charge period is 18 kL plus 4 kL for each resident on the land in excess of 4 residents; and</w:t>
      </w:r>
    </w:p>
    <w:p w:rsidR="005435E9" w:rsidRDefault="005435E9">
      <w:pPr>
        <w:pStyle w:val="yIndenta"/>
      </w:pPr>
      <w:r>
        <w:tab/>
        <w:t>(b)</w:t>
      </w:r>
      <w:r>
        <w:tab/>
        <w:t>the shoulder amount for the charge period is 3 kL plus 1 kL for each resident on the land in excess of 4 residents.</w:t>
      </w:r>
    </w:p>
    <w:p w:rsidR="005435E9" w:rsidRDefault="005435E9">
      <w:pPr>
        <w:pStyle w:val="ySubsection"/>
      </w:pPr>
      <w:r>
        <w:tab/>
        <w:t>(3)</w:t>
      </w:r>
      <w:r>
        <w:tab/>
        <w:t xml:space="preserve">For each kilolitre of desalinated water </w:t>
      </w:r>
      <w:r>
        <w:br/>
        <w:t xml:space="preserve">supplied to land in Denham that is not </w:t>
      </w:r>
      <w:r>
        <w:br/>
        <w:t>classified as residential, the charge is —</w:t>
      </w:r>
    </w:p>
    <w:p w:rsidR="005435E9" w:rsidRDefault="005435E9">
      <w:pPr>
        <w:pStyle w:val="yMiscellaneousBody"/>
        <w:tabs>
          <w:tab w:val="left" w:pos="1134"/>
          <w:tab w:val="right" w:leader="dot" w:pos="6804"/>
        </w:tabs>
        <w:ind w:left="1134" w:hanging="567"/>
      </w:pPr>
      <w:r>
        <w:tab/>
        <w:t xml:space="preserve">up to quota </w:t>
      </w:r>
      <w:r>
        <w:tab/>
        <w:t xml:space="preserve"> 69.1 cents</w:t>
      </w:r>
    </w:p>
    <w:p w:rsidR="005435E9" w:rsidRDefault="005435E9">
      <w:pPr>
        <w:pStyle w:val="yMiscellaneousBody"/>
        <w:tabs>
          <w:tab w:val="left" w:pos="1134"/>
          <w:tab w:val="right" w:leader="dot" w:pos="6804"/>
        </w:tabs>
        <w:ind w:left="1134" w:hanging="567"/>
      </w:pPr>
      <w:r>
        <w:tab/>
        <w:t xml:space="preserve">over quota </w:t>
      </w:r>
      <w:r>
        <w:tab/>
        <w:t xml:space="preserve"> 1 583.2 cents</w:t>
      </w:r>
    </w:p>
    <w:p w:rsidR="005435E9" w:rsidRDefault="005435E9">
      <w:pPr>
        <w:pStyle w:val="ySubsection"/>
      </w:pPr>
      <w:r>
        <w:tab/>
        <w:t>(4)</w:t>
      </w:r>
      <w:r>
        <w:tab/>
        <w:t>In sub</w:t>
      </w:r>
      <w:r>
        <w:noBreakHyphen/>
        <w:t>item (3), the quota for the land for the current consumption year is 108 kL or a greater amount specified for the land for the year by the Water Corporation.</w:t>
      </w:r>
    </w:p>
    <w:p w:rsidR="005435E9" w:rsidRDefault="005435E9">
      <w:pPr>
        <w:pStyle w:val="yHeading5"/>
      </w:pPr>
      <w:bookmarkStart w:id="246" w:name="_Toc75519741"/>
      <w:r>
        <w:rPr>
          <w:rStyle w:val="CharSClsNo"/>
        </w:rPr>
        <w:t>35</w:t>
      </w:r>
      <w:r>
        <w:t>.</w:t>
      </w:r>
      <w:r>
        <w:tab/>
        <w:t>Garden service connection in Mulataga, Karratha</w:t>
      </w:r>
      <w:bookmarkEnd w:id="246"/>
    </w:p>
    <w:p w:rsidR="005435E9" w:rsidRDefault="005435E9">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rsidR="005435E9" w:rsidRDefault="005435E9">
      <w:pPr>
        <w:pStyle w:val="yHeading4"/>
      </w:pPr>
      <w:bookmarkStart w:id="247" w:name="_Toc75266293"/>
      <w:bookmarkStart w:id="248" w:name="_Toc75269574"/>
      <w:bookmarkStart w:id="249" w:name="_Toc75351073"/>
      <w:bookmarkStart w:id="250" w:name="_Toc75519742"/>
      <w:r>
        <w:t>Subdivision 3 — Other consumption charges</w:t>
      </w:r>
      <w:bookmarkEnd w:id="247"/>
      <w:bookmarkEnd w:id="248"/>
      <w:bookmarkEnd w:id="249"/>
      <w:bookmarkEnd w:id="250"/>
    </w:p>
    <w:p w:rsidR="005435E9" w:rsidRDefault="005435E9">
      <w:pPr>
        <w:pStyle w:val="yFootnoteheading"/>
      </w:pPr>
      <w:r>
        <w:tab/>
        <w:t>[Heading inserted: SL 2020/95 r. 9.]</w:t>
      </w:r>
    </w:p>
    <w:p w:rsidR="005435E9" w:rsidRDefault="005435E9">
      <w:pPr>
        <w:pStyle w:val="yHeading5"/>
      </w:pPr>
      <w:bookmarkStart w:id="251" w:name="_Toc75519743"/>
      <w:r>
        <w:rPr>
          <w:rStyle w:val="CharSClsNo"/>
        </w:rPr>
        <w:t>36</w:t>
      </w:r>
      <w:r>
        <w:t>.</w:t>
      </w:r>
      <w:r>
        <w:tab/>
        <w:t>Local government standpipes</w:t>
      </w:r>
      <w:bookmarkEnd w:id="251"/>
    </w:p>
    <w:p w:rsidR="005435E9" w:rsidRDefault="005435E9">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rsidR="005435E9" w:rsidRDefault="005435E9">
      <w:pPr>
        <w:pStyle w:val="yHeading5"/>
      </w:pPr>
      <w:bookmarkStart w:id="252" w:name="_Toc75519744"/>
      <w:r>
        <w:rPr>
          <w:rStyle w:val="CharSClsNo"/>
        </w:rPr>
        <w:t>37</w:t>
      </w:r>
      <w:r>
        <w:t>.</w:t>
      </w:r>
      <w:r>
        <w:tab/>
        <w:t>Shipping</w:t>
      </w:r>
      <w:bookmarkEnd w:id="252"/>
    </w:p>
    <w:p w:rsidR="005435E9" w:rsidRDefault="005435E9">
      <w:pPr>
        <w:pStyle w:val="ySubsection"/>
      </w:pPr>
      <w:r>
        <w:tab/>
      </w:r>
      <w:r>
        <w:tab/>
        <w:t>For each kilolitre of water supplied for the purpose of being taken on board any ship in port —</w:t>
      </w:r>
    </w:p>
    <w:p w:rsidR="005435E9" w:rsidRDefault="005435E9">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rsidR="005435E9" w:rsidRDefault="005435E9">
      <w:pPr>
        <w:pStyle w:val="yIndenta"/>
        <w:rPr>
          <w:szCs w:val="22"/>
        </w:rPr>
      </w:pPr>
      <w:r>
        <w:rPr>
          <w:szCs w:val="22"/>
        </w:rPr>
        <w:tab/>
        <w:t>(b)</w:t>
      </w:r>
      <w:r>
        <w:rPr>
          <w:szCs w:val="22"/>
        </w:rPr>
        <w:tab/>
        <w:t>for a port in the non</w:t>
      </w:r>
      <w:r>
        <w:rPr>
          <w:szCs w:val="22"/>
        </w:rPr>
        <w:noBreakHyphen/>
        <w:t xml:space="preserve">metropolitan area, the charge is the charge applicable in the Table in item 24 according to the </w:t>
      </w:r>
      <w:r>
        <w:rPr>
          <w:szCs w:val="22"/>
        </w:rPr>
        <w:lastRenderedPageBreak/>
        <w:t>non</w:t>
      </w:r>
      <w:r>
        <w:rPr>
          <w:szCs w:val="22"/>
        </w:rPr>
        <w:noBreakHyphen/>
        <w:t>residential class of the town or area in which the port is located.</w:t>
      </w:r>
    </w:p>
    <w:p w:rsidR="005435E9" w:rsidRDefault="005435E9">
      <w:pPr>
        <w:pStyle w:val="yHeading5"/>
      </w:pPr>
      <w:bookmarkStart w:id="253" w:name="_Toc75519745"/>
      <w:r>
        <w:rPr>
          <w:rStyle w:val="CharSClsNo"/>
        </w:rPr>
        <w:t>38</w:t>
      </w:r>
      <w:r>
        <w:t>.</w:t>
      </w:r>
      <w:r>
        <w:tab/>
        <w:t>Stock</w:t>
      </w:r>
      <w:bookmarkEnd w:id="253"/>
    </w:p>
    <w:p w:rsidR="005435E9" w:rsidRDefault="005435E9">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rsidR="005435E9" w:rsidRDefault="005435E9">
      <w:pPr>
        <w:pStyle w:val="yHeading5"/>
      </w:pPr>
      <w:bookmarkStart w:id="254" w:name="_Toc75519746"/>
      <w:r>
        <w:rPr>
          <w:rStyle w:val="CharSClsNo"/>
        </w:rPr>
        <w:t>39</w:t>
      </w:r>
      <w:r>
        <w:t>.</w:t>
      </w:r>
      <w:r>
        <w:tab/>
        <w:t>Hydrant standpipes</w:t>
      </w:r>
      <w:bookmarkEnd w:id="254"/>
    </w:p>
    <w:p w:rsidR="005435E9" w:rsidRDefault="005435E9">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rsidR="005435E9" w:rsidRDefault="005435E9">
      <w:pPr>
        <w:pStyle w:val="yFootnotesection"/>
      </w:pPr>
      <w:r>
        <w:tab/>
        <w:t>[Division 2 inserted: SL 2020/95 r. 9.]</w:t>
      </w:r>
    </w:p>
    <w:p w:rsidR="005435E9" w:rsidRDefault="005435E9">
      <w:pPr>
        <w:pStyle w:val="yScheduleHeading"/>
      </w:pPr>
      <w:bookmarkStart w:id="255" w:name="_Toc75266298"/>
      <w:bookmarkStart w:id="256" w:name="_Toc75269579"/>
      <w:bookmarkStart w:id="257" w:name="_Toc75351078"/>
      <w:bookmarkStart w:id="258" w:name="_Toc75519747"/>
      <w:r>
        <w:rPr>
          <w:rStyle w:val="CharSchNo"/>
        </w:rPr>
        <w:lastRenderedPageBreak/>
        <w:t>Schedule 4</w:t>
      </w:r>
      <w:r>
        <w:t> — </w:t>
      </w:r>
      <w:r>
        <w:rPr>
          <w:rStyle w:val="CharSchText"/>
        </w:rPr>
        <w:t>Sewerage charges for Water Corporation</w:t>
      </w:r>
      <w:bookmarkEnd w:id="255"/>
      <w:bookmarkEnd w:id="256"/>
      <w:bookmarkEnd w:id="257"/>
      <w:bookmarkEnd w:id="258"/>
    </w:p>
    <w:p w:rsidR="005435E9" w:rsidRDefault="005435E9">
      <w:pPr>
        <w:pStyle w:val="yShoulderClause"/>
      </w:pPr>
      <w:r>
        <w:t>[r. 39]</w:t>
      </w:r>
    </w:p>
    <w:p w:rsidR="005435E9" w:rsidRDefault="005435E9">
      <w:pPr>
        <w:pStyle w:val="yFootnoteheading"/>
      </w:pPr>
      <w:r>
        <w:tab/>
        <w:t>[Heading inserted: SL 2020/95 r. 9.]</w:t>
      </w:r>
    </w:p>
    <w:p w:rsidR="005435E9" w:rsidRDefault="005435E9">
      <w:pPr>
        <w:pStyle w:val="yHeading3"/>
      </w:pPr>
      <w:bookmarkStart w:id="259" w:name="_Toc75266299"/>
      <w:bookmarkStart w:id="260" w:name="_Toc75269580"/>
      <w:bookmarkStart w:id="261" w:name="_Toc75351079"/>
      <w:bookmarkStart w:id="262" w:name="_Toc75519748"/>
      <w:r>
        <w:rPr>
          <w:rStyle w:val="CharSDivNo"/>
        </w:rPr>
        <w:t>Division 1</w:t>
      </w:r>
      <w:r>
        <w:t> — </w:t>
      </w:r>
      <w:r>
        <w:rPr>
          <w:rStyle w:val="CharSDivText"/>
        </w:rPr>
        <w:t>Service charges</w:t>
      </w:r>
      <w:bookmarkEnd w:id="259"/>
      <w:bookmarkEnd w:id="260"/>
      <w:bookmarkEnd w:id="261"/>
      <w:bookmarkEnd w:id="262"/>
    </w:p>
    <w:p w:rsidR="005435E9" w:rsidRDefault="005435E9">
      <w:pPr>
        <w:pStyle w:val="yFootnoteheading"/>
      </w:pPr>
      <w:r>
        <w:tab/>
        <w:t>[Heading inserted: SL 2020/95 r. 9.]</w:t>
      </w:r>
    </w:p>
    <w:p w:rsidR="005435E9" w:rsidRDefault="005435E9">
      <w:pPr>
        <w:pStyle w:val="yHeading5"/>
      </w:pPr>
      <w:bookmarkStart w:id="263" w:name="_Toc75519749"/>
      <w:r>
        <w:rPr>
          <w:rStyle w:val="CharSClsNo"/>
        </w:rPr>
        <w:t>1</w:t>
      </w:r>
      <w:r>
        <w:t>.</w:t>
      </w:r>
      <w:r>
        <w:tab/>
        <w:t>Service charges for 2020/21 year and subsequent years</w:t>
      </w:r>
      <w:bookmarkEnd w:id="263"/>
    </w:p>
    <w:p w:rsidR="005435E9" w:rsidRDefault="005435E9">
      <w:pPr>
        <w:pStyle w:val="ySubsection"/>
      </w:pPr>
      <w:r>
        <w:tab/>
      </w:r>
      <w:r>
        <w:tab/>
        <w:t xml:space="preserve">The charges set out in this Division apply for sewerage services provided in the </w:t>
      </w:r>
      <w:r>
        <w:rPr>
          <w:szCs w:val="22"/>
        </w:rPr>
        <w:t>2020/21</w:t>
      </w:r>
      <w:r>
        <w:t> financial year and each subsequent year.</w:t>
      </w:r>
    </w:p>
    <w:p w:rsidR="005435E9" w:rsidRDefault="005435E9">
      <w:pPr>
        <w:pStyle w:val="yHeading5"/>
      </w:pPr>
      <w:bookmarkStart w:id="264" w:name="_Toc75519750"/>
      <w:r>
        <w:rPr>
          <w:rStyle w:val="CharSClsNo"/>
        </w:rPr>
        <w:t>2</w:t>
      </w:r>
      <w:r>
        <w:t>.</w:t>
      </w:r>
      <w:r>
        <w:tab/>
        <w:t>Metropolitan residential</w:t>
      </w:r>
      <w:bookmarkEnd w:id="264"/>
    </w:p>
    <w:p w:rsidR="005435E9" w:rsidRDefault="005435E9">
      <w:pPr>
        <w:pStyle w:val="ySubsection"/>
      </w:pPr>
      <w:r>
        <w:tab/>
        <w:t>(1)</w:t>
      </w:r>
      <w:r>
        <w:tab/>
        <w:t>For each residential property in the metropolitan area that —</w:t>
      </w:r>
    </w:p>
    <w:p w:rsidR="005435E9" w:rsidRDefault="005435E9">
      <w:pPr>
        <w:pStyle w:val="yIndenta"/>
      </w:pPr>
      <w:r>
        <w:tab/>
        <w:t>(a)</w:t>
      </w:r>
      <w:r>
        <w:tab/>
        <w:t>is not covered by item 4 or 5; and</w:t>
      </w:r>
    </w:p>
    <w:p w:rsidR="005435E9" w:rsidRDefault="005435E9">
      <w:pPr>
        <w:pStyle w:val="yIndenta"/>
      </w:pPr>
      <w:r>
        <w:tab/>
        <w:t>(b)</w:t>
      </w:r>
      <w:r>
        <w:tab/>
        <w:t>is not a caravan park or a nursing home,</w:t>
      </w:r>
    </w:p>
    <w:p w:rsidR="005435E9" w:rsidRDefault="005435E9">
      <w:pPr>
        <w:pStyle w:val="ySubsection"/>
      </w:pPr>
      <w:r>
        <w:tab/>
      </w:r>
      <w:r>
        <w:tab/>
        <w:t>the charge is —</w:t>
      </w:r>
    </w:p>
    <w:p w:rsidR="005435E9" w:rsidRDefault="005435E9">
      <w:pPr>
        <w:pStyle w:val="yMiscellaneousBody"/>
        <w:tabs>
          <w:tab w:val="left" w:pos="1134"/>
          <w:tab w:val="right" w:leader="dot" w:pos="6804"/>
        </w:tabs>
        <w:ind w:left="1134" w:right="283" w:hanging="1134"/>
      </w:pPr>
      <w:r>
        <w:tab/>
        <w:t xml:space="preserve">up to $16 400 GRV </w:t>
      </w:r>
      <w:r>
        <w:tab/>
        <w:t xml:space="preserve"> 5.170 cents/$</w:t>
      </w:r>
    </w:p>
    <w:p w:rsidR="005435E9" w:rsidRDefault="005435E9">
      <w:pPr>
        <w:pStyle w:val="yMiscellaneousBody"/>
        <w:tabs>
          <w:tab w:val="left" w:pos="1134"/>
          <w:tab w:val="right" w:leader="dot" w:pos="6804"/>
        </w:tabs>
        <w:spacing w:before="0"/>
        <w:ind w:left="1134" w:right="283" w:hanging="1134"/>
        <w:jc w:val="right"/>
      </w:pPr>
      <w:r>
        <w:t>of GRV</w:t>
      </w:r>
    </w:p>
    <w:p w:rsidR="005435E9" w:rsidRDefault="005435E9">
      <w:pPr>
        <w:pStyle w:val="yMiscellaneousBody"/>
        <w:tabs>
          <w:tab w:val="left" w:pos="1134"/>
          <w:tab w:val="right" w:leader="dot" w:pos="6804"/>
        </w:tabs>
        <w:ind w:left="1134" w:right="283" w:hanging="1134"/>
      </w:pPr>
      <w:r>
        <w:tab/>
        <w:t xml:space="preserve">over $16 400 GRV </w:t>
      </w:r>
      <w:r>
        <w:tab/>
        <w:t xml:space="preserve"> 3.817 cents/$</w:t>
      </w:r>
    </w:p>
    <w:p w:rsidR="005435E9" w:rsidRDefault="005435E9">
      <w:pPr>
        <w:pStyle w:val="yMiscellaneousBody"/>
        <w:tabs>
          <w:tab w:val="left" w:pos="1134"/>
          <w:tab w:val="right" w:leader="dot" w:pos="6804"/>
        </w:tabs>
        <w:spacing w:before="0"/>
        <w:ind w:left="1134" w:right="283" w:hanging="1134"/>
        <w:jc w:val="right"/>
      </w:pPr>
      <w:r>
        <w:t>of GRV</w:t>
      </w:r>
    </w:p>
    <w:p w:rsidR="005435E9" w:rsidRDefault="005435E9">
      <w:pPr>
        <w:pStyle w:val="ySubsection"/>
        <w:tabs>
          <w:tab w:val="right" w:leader="dot" w:pos="6804"/>
        </w:tabs>
      </w:pPr>
      <w:r>
        <w:tab/>
        <w:t>(2)</w:t>
      </w:r>
      <w:r>
        <w:tab/>
        <w:t xml:space="preserve">The minimum charge under this item is </w:t>
      </w:r>
      <w:r>
        <w:tab/>
        <w:t xml:space="preserve"> </w:t>
      </w:r>
      <w:r>
        <w:rPr>
          <w:szCs w:val="22"/>
        </w:rPr>
        <w:t>$439.10</w:t>
      </w:r>
    </w:p>
    <w:p w:rsidR="005435E9" w:rsidRDefault="005435E9">
      <w:pPr>
        <w:pStyle w:val="yHeading5"/>
      </w:pPr>
      <w:bookmarkStart w:id="265" w:name="_Toc75519751"/>
      <w:r>
        <w:rPr>
          <w:rStyle w:val="CharSClsNo"/>
        </w:rPr>
        <w:t>3</w:t>
      </w:r>
      <w:r>
        <w:t>.</w:t>
      </w:r>
      <w:r>
        <w:tab/>
        <w:t>Metropolitan vacant land</w:t>
      </w:r>
      <w:bookmarkEnd w:id="265"/>
    </w:p>
    <w:p w:rsidR="005435E9" w:rsidRDefault="005435E9">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rsidR="005435E9" w:rsidRDefault="005435E9">
      <w:pPr>
        <w:pStyle w:val="yMiscellaneousBody"/>
        <w:tabs>
          <w:tab w:val="left" w:pos="1701"/>
          <w:tab w:val="right" w:leader="dot" w:pos="6804"/>
        </w:tabs>
        <w:spacing w:before="0"/>
        <w:ind w:left="1701" w:right="283" w:hanging="1134"/>
        <w:jc w:val="right"/>
      </w:pPr>
      <w:r>
        <w:t>of GRV</w:t>
      </w:r>
    </w:p>
    <w:p w:rsidR="005435E9" w:rsidRDefault="005435E9">
      <w:pPr>
        <w:pStyle w:val="ySubsection"/>
      </w:pPr>
      <w:r>
        <w:tab/>
        <w:t>(2)</w:t>
      </w:r>
      <w:r>
        <w:tab/>
        <w:t xml:space="preserve">The minimum charge under this item is </w:t>
      </w:r>
      <w:r>
        <w:tab/>
        <w:t xml:space="preserve"> </w:t>
      </w:r>
      <w:r>
        <w:rPr>
          <w:szCs w:val="22"/>
        </w:rPr>
        <w:t>$330.15</w:t>
      </w:r>
    </w:p>
    <w:p w:rsidR="005435E9" w:rsidRDefault="005435E9">
      <w:pPr>
        <w:pStyle w:val="yHeading5"/>
      </w:pPr>
      <w:bookmarkStart w:id="266" w:name="_Toc75519752"/>
      <w:r>
        <w:rPr>
          <w:rStyle w:val="CharSClsNo"/>
        </w:rPr>
        <w:t>4</w:t>
      </w:r>
      <w:r>
        <w:t>.</w:t>
      </w:r>
      <w:r>
        <w:tab/>
        <w:t>Metropolitan concessional</w:t>
      </w:r>
      <w:bookmarkEnd w:id="266"/>
    </w:p>
    <w:p w:rsidR="005435E9" w:rsidRDefault="005435E9">
      <w:pPr>
        <w:pStyle w:val="ySubsection"/>
      </w:pPr>
      <w:r>
        <w:tab/>
      </w:r>
      <w:r>
        <w:tab/>
        <w:t>For land in the metropolitan area that is classified as —</w:t>
      </w:r>
    </w:p>
    <w:p w:rsidR="005435E9" w:rsidRDefault="005435E9">
      <w:pPr>
        <w:pStyle w:val="yIndenta"/>
      </w:pPr>
      <w:r>
        <w:tab/>
        <w:t>(a)</w:t>
      </w:r>
      <w:r>
        <w:tab/>
        <w:t>aged home; or</w:t>
      </w:r>
    </w:p>
    <w:p w:rsidR="005435E9" w:rsidRDefault="005435E9">
      <w:pPr>
        <w:pStyle w:val="yIndenta"/>
      </w:pPr>
      <w:r>
        <w:lastRenderedPageBreak/>
        <w:tab/>
        <w:t>(b)</w:t>
      </w:r>
      <w:r>
        <w:tab/>
        <w:t xml:space="preserve">charitable purposes or community </w:t>
      </w:r>
      <w:r>
        <w:br/>
        <w:t>purpose,</w:t>
      </w:r>
    </w:p>
    <w:p w:rsidR="005435E9" w:rsidRDefault="005435E9">
      <w:pPr>
        <w:pStyle w:val="ySubsection"/>
      </w:pPr>
      <w:r>
        <w:tab/>
      </w:r>
      <w:r>
        <w:tab/>
        <w:t>the charge, according to the number of major fixtures on the land, is the sum of the charges, less the corresponding discounts, for each fixture, as set out in the Table.</w:t>
      </w:r>
    </w:p>
    <w:p w:rsidR="005435E9" w:rsidRDefault="005435E9">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5435E9">
        <w:trPr>
          <w:cantSplit/>
          <w:tblHeader/>
          <w:jc w:val="center"/>
        </w:trPr>
        <w:tc>
          <w:tcPr>
            <w:tcW w:w="1558" w:type="dxa"/>
            <w:tcBorders>
              <w:top w:val="single" w:sz="4" w:space="0" w:color="auto"/>
            </w:tcBorders>
            <w:noWrap/>
          </w:tcPr>
          <w:p w:rsidR="005435E9" w:rsidRDefault="005435E9">
            <w:pPr>
              <w:pStyle w:val="yTableNAm"/>
              <w:keepNext/>
              <w:jc w:val="center"/>
              <w:rPr>
                <w:b/>
              </w:rPr>
            </w:pPr>
          </w:p>
        </w:tc>
        <w:tc>
          <w:tcPr>
            <w:tcW w:w="1343" w:type="dxa"/>
            <w:tcBorders>
              <w:top w:val="single" w:sz="4" w:space="0" w:color="auto"/>
            </w:tcBorders>
            <w:noWrap/>
          </w:tcPr>
          <w:p w:rsidR="005435E9" w:rsidRDefault="005435E9">
            <w:pPr>
              <w:pStyle w:val="yTableNAm"/>
              <w:keepNext/>
              <w:jc w:val="center"/>
              <w:rPr>
                <w:b/>
              </w:rPr>
            </w:pPr>
            <w:r>
              <w:rPr>
                <w:b/>
              </w:rPr>
              <w:t>Charge</w:t>
            </w:r>
          </w:p>
        </w:tc>
        <w:tc>
          <w:tcPr>
            <w:tcW w:w="2125" w:type="dxa"/>
            <w:gridSpan w:val="2"/>
            <w:tcBorders>
              <w:top w:val="single" w:sz="4" w:space="0" w:color="auto"/>
              <w:bottom w:val="single" w:sz="4" w:space="0" w:color="auto"/>
            </w:tcBorders>
            <w:noWrap/>
          </w:tcPr>
          <w:p w:rsidR="005435E9" w:rsidRDefault="005435E9">
            <w:pPr>
              <w:pStyle w:val="yTableNAm"/>
              <w:keepNext/>
              <w:jc w:val="center"/>
              <w:rPr>
                <w:b/>
              </w:rPr>
            </w:pPr>
            <w:r>
              <w:rPr>
                <w:b/>
              </w:rPr>
              <w:t>Discount %</w:t>
            </w:r>
          </w:p>
        </w:tc>
      </w:tr>
      <w:tr w:rsidR="005435E9">
        <w:trPr>
          <w:cantSplit/>
          <w:tblHeader/>
          <w:jc w:val="center"/>
        </w:trPr>
        <w:tc>
          <w:tcPr>
            <w:tcW w:w="1558" w:type="dxa"/>
            <w:tcBorders>
              <w:bottom w:val="single" w:sz="4" w:space="0" w:color="auto"/>
            </w:tcBorders>
            <w:noWrap/>
          </w:tcPr>
          <w:p w:rsidR="005435E9" w:rsidRDefault="005435E9">
            <w:pPr>
              <w:pStyle w:val="yTableNAm"/>
              <w:jc w:val="center"/>
              <w:rPr>
                <w:b/>
              </w:rPr>
            </w:pPr>
          </w:p>
        </w:tc>
        <w:tc>
          <w:tcPr>
            <w:tcW w:w="1343" w:type="dxa"/>
            <w:tcBorders>
              <w:bottom w:val="single" w:sz="4" w:space="0" w:color="auto"/>
            </w:tcBorders>
            <w:noWrap/>
          </w:tcPr>
          <w:p w:rsidR="005435E9" w:rsidRDefault="005435E9">
            <w:pPr>
              <w:pStyle w:val="yTableNAm"/>
              <w:jc w:val="center"/>
              <w:rPr>
                <w:b/>
              </w:rPr>
            </w:pPr>
          </w:p>
        </w:tc>
        <w:tc>
          <w:tcPr>
            <w:tcW w:w="1133" w:type="dxa"/>
            <w:tcBorders>
              <w:top w:val="single" w:sz="4" w:space="0" w:color="auto"/>
              <w:bottom w:val="single" w:sz="4" w:space="0" w:color="auto"/>
            </w:tcBorders>
            <w:noWrap/>
          </w:tcPr>
          <w:p w:rsidR="005435E9" w:rsidRDefault="005435E9">
            <w:pPr>
              <w:pStyle w:val="yTableNAm"/>
              <w:jc w:val="center"/>
              <w:rPr>
                <w:b/>
              </w:rPr>
            </w:pPr>
            <w:r>
              <w:rPr>
                <w:b/>
              </w:rPr>
              <w:t>par. (a)</w:t>
            </w:r>
          </w:p>
        </w:tc>
        <w:tc>
          <w:tcPr>
            <w:tcW w:w="992" w:type="dxa"/>
            <w:tcBorders>
              <w:top w:val="single" w:sz="4" w:space="0" w:color="auto"/>
              <w:bottom w:val="single" w:sz="4" w:space="0" w:color="auto"/>
            </w:tcBorders>
            <w:noWrap/>
          </w:tcPr>
          <w:p w:rsidR="005435E9" w:rsidRDefault="005435E9">
            <w:pPr>
              <w:pStyle w:val="yTableNAm"/>
              <w:jc w:val="center"/>
              <w:rPr>
                <w:b/>
              </w:rPr>
            </w:pPr>
            <w:r>
              <w:rPr>
                <w:b/>
              </w:rPr>
              <w:t>par. (b)</w:t>
            </w:r>
          </w:p>
        </w:tc>
      </w:tr>
      <w:tr w:rsidR="005435E9">
        <w:trPr>
          <w:cantSplit/>
          <w:jc w:val="center"/>
        </w:trPr>
        <w:tc>
          <w:tcPr>
            <w:tcW w:w="1558" w:type="dxa"/>
            <w:noWrap/>
            <w:tcMar>
              <w:left w:w="28" w:type="dxa"/>
              <w:right w:w="28" w:type="dxa"/>
            </w:tcMar>
          </w:tcPr>
          <w:p w:rsidR="005435E9" w:rsidRDefault="005435E9">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rsidR="005435E9" w:rsidRDefault="005435E9">
            <w:pPr>
              <w:pStyle w:val="yTableNAm"/>
            </w:pPr>
            <w:r>
              <w:t>$1 046.71</w:t>
            </w:r>
          </w:p>
        </w:tc>
        <w:tc>
          <w:tcPr>
            <w:tcW w:w="1133" w:type="dxa"/>
            <w:noWrap/>
          </w:tcPr>
          <w:p w:rsidR="005435E9" w:rsidRDefault="005435E9">
            <w:pPr>
              <w:pStyle w:val="yTableNAm"/>
            </w:pPr>
            <w:r>
              <w:t>73.133</w:t>
            </w:r>
          </w:p>
        </w:tc>
        <w:tc>
          <w:tcPr>
            <w:tcW w:w="992" w:type="dxa"/>
            <w:noWrap/>
          </w:tcPr>
          <w:p w:rsidR="005435E9" w:rsidRDefault="005435E9">
            <w:pPr>
              <w:pStyle w:val="yTableNAm"/>
            </w:pPr>
            <w:r>
              <w:t>73.133</w:t>
            </w:r>
          </w:p>
        </w:tc>
      </w:tr>
      <w:tr w:rsidR="005435E9">
        <w:trPr>
          <w:cantSplit/>
          <w:jc w:val="center"/>
        </w:trPr>
        <w:tc>
          <w:tcPr>
            <w:tcW w:w="1558" w:type="dxa"/>
            <w:noWrap/>
            <w:tcMar>
              <w:left w:w="62" w:type="dxa"/>
              <w:right w:w="62" w:type="dxa"/>
            </w:tcMar>
          </w:tcPr>
          <w:p w:rsidR="005435E9" w:rsidRDefault="005435E9">
            <w:pPr>
              <w:pStyle w:val="yTableNAm"/>
              <w:tabs>
                <w:tab w:val="clear" w:pos="567"/>
                <w:tab w:val="left" w:pos="384"/>
              </w:tabs>
              <w:ind w:left="370" w:hanging="370"/>
            </w:pPr>
            <w:r>
              <w:t>2</w:t>
            </w:r>
            <w:r>
              <w:rPr>
                <w:vertAlign w:val="superscript"/>
              </w:rPr>
              <w:t>nd</w:t>
            </w:r>
            <w:r>
              <w:tab/>
              <w:t>fixture</w:t>
            </w:r>
          </w:p>
        </w:tc>
        <w:tc>
          <w:tcPr>
            <w:tcW w:w="1343" w:type="dxa"/>
            <w:noWrap/>
            <w:vAlign w:val="bottom"/>
          </w:tcPr>
          <w:p w:rsidR="005435E9" w:rsidRDefault="005435E9">
            <w:pPr>
              <w:pStyle w:val="yTableNAm"/>
            </w:pPr>
            <w:r>
              <w:t>$448.05</w:t>
            </w:r>
          </w:p>
        </w:tc>
        <w:tc>
          <w:tcPr>
            <w:tcW w:w="1133" w:type="dxa"/>
            <w:noWrap/>
          </w:tcPr>
          <w:p w:rsidR="005435E9" w:rsidRDefault="005435E9">
            <w:pPr>
              <w:pStyle w:val="yTableNAm"/>
            </w:pPr>
            <w:r>
              <w:t>72.385</w:t>
            </w:r>
          </w:p>
        </w:tc>
        <w:tc>
          <w:tcPr>
            <w:tcW w:w="992" w:type="dxa"/>
            <w:noWrap/>
          </w:tcPr>
          <w:p w:rsidR="005435E9" w:rsidRDefault="005435E9">
            <w:pPr>
              <w:pStyle w:val="yTableNAm"/>
            </w:pPr>
            <w:r>
              <w:t>37.235</w:t>
            </w:r>
          </w:p>
        </w:tc>
      </w:tr>
      <w:tr w:rsidR="005435E9">
        <w:trPr>
          <w:cantSplit/>
          <w:jc w:val="center"/>
        </w:trPr>
        <w:tc>
          <w:tcPr>
            <w:tcW w:w="1558" w:type="dxa"/>
            <w:noWrap/>
            <w:tcMar>
              <w:left w:w="57" w:type="dxa"/>
              <w:right w:w="57" w:type="dxa"/>
            </w:tcMar>
          </w:tcPr>
          <w:p w:rsidR="005435E9" w:rsidRDefault="005435E9">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rsidR="005435E9" w:rsidRDefault="005435E9">
            <w:pPr>
              <w:pStyle w:val="yTableNAm"/>
            </w:pPr>
            <w:r>
              <w:t>$598.36</w:t>
            </w:r>
          </w:p>
        </w:tc>
        <w:tc>
          <w:tcPr>
            <w:tcW w:w="1133" w:type="dxa"/>
            <w:noWrap/>
          </w:tcPr>
          <w:p w:rsidR="005435E9" w:rsidRDefault="005435E9">
            <w:pPr>
              <w:pStyle w:val="yTableNAm"/>
            </w:pPr>
            <w:r>
              <w:t>79.322</w:t>
            </w:r>
          </w:p>
        </w:tc>
        <w:tc>
          <w:tcPr>
            <w:tcW w:w="992" w:type="dxa"/>
            <w:noWrap/>
          </w:tcPr>
          <w:p w:rsidR="005435E9" w:rsidRDefault="005435E9">
            <w:pPr>
              <w:pStyle w:val="yTableNAm"/>
            </w:pPr>
            <w:r>
              <w:t>53.002</w:t>
            </w:r>
          </w:p>
        </w:tc>
      </w:tr>
      <w:tr w:rsidR="005435E9">
        <w:trPr>
          <w:cantSplit/>
          <w:jc w:val="center"/>
        </w:trPr>
        <w:tc>
          <w:tcPr>
            <w:tcW w:w="1558" w:type="dxa"/>
            <w:tcBorders>
              <w:bottom w:val="single" w:sz="4" w:space="0" w:color="auto"/>
            </w:tcBorders>
            <w:noWrap/>
            <w:tcMar>
              <w:left w:w="28" w:type="dxa"/>
              <w:right w:w="57" w:type="dxa"/>
            </w:tcMar>
          </w:tcPr>
          <w:p w:rsidR="005435E9" w:rsidRDefault="005435E9">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rsidR="005435E9" w:rsidRDefault="005435E9">
            <w:pPr>
              <w:pStyle w:val="yTableNAm"/>
            </w:pPr>
            <w:r>
              <w:t>$650.68</w:t>
            </w:r>
          </w:p>
        </w:tc>
        <w:tc>
          <w:tcPr>
            <w:tcW w:w="1133" w:type="dxa"/>
            <w:tcBorders>
              <w:bottom w:val="single" w:sz="4" w:space="0" w:color="auto"/>
            </w:tcBorders>
            <w:noWrap/>
          </w:tcPr>
          <w:p w:rsidR="005435E9" w:rsidRDefault="005435E9">
            <w:pPr>
              <w:pStyle w:val="yTableNAm"/>
            </w:pPr>
            <w:r>
              <w:t>80.985</w:t>
            </w:r>
          </w:p>
        </w:tc>
        <w:tc>
          <w:tcPr>
            <w:tcW w:w="992" w:type="dxa"/>
            <w:tcBorders>
              <w:bottom w:val="single" w:sz="4" w:space="0" w:color="auto"/>
            </w:tcBorders>
            <w:noWrap/>
          </w:tcPr>
          <w:p w:rsidR="005435E9" w:rsidRDefault="005435E9">
            <w:pPr>
              <w:pStyle w:val="yTableNAm"/>
            </w:pPr>
            <w:r>
              <w:t>56.781</w:t>
            </w:r>
          </w:p>
        </w:tc>
      </w:tr>
    </w:tbl>
    <w:p w:rsidR="005435E9" w:rsidRDefault="005435E9">
      <w:pPr>
        <w:pStyle w:val="yHeading5"/>
      </w:pPr>
      <w:bookmarkStart w:id="267" w:name="_Toc75519753"/>
      <w:r>
        <w:rPr>
          <w:rStyle w:val="CharSClsNo"/>
        </w:rPr>
        <w:t>5</w:t>
      </w:r>
      <w:r>
        <w:t>.</w:t>
      </w:r>
      <w:r>
        <w:tab/>
        <w:t>Strata</w:t>
      </w:r>
      <w:r>
        <w:noBreakHyphen/>
        <w:t>titled caravan bay</w:t>
      </w:r>
      <w:bookmarkEnd w:id="267"/>
    </w:p>
    <w:p w:rsidR="005435E9" w:rsidRDefault="005435E9">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rsidR="005435E9" w:rsidRDefault="005435E9">
      <w:pPr>
        <w:pStyle w:val="yHeading5"/>
      </w:pPr>
      <w:bookmarkStart w:id="268" w:name="_Toc75519754"/>
      <w:r>
        <w:rPr>
          <w:rStyle w:val="CharSClsNo"/>
        </w:rPr>
        <w:t>6</w:t>
      </w:r>
      <w:r>
        <w:t>.</w:t>
      </w:r>
      <w:r>
        <w:tab/>
      </w:r>
      <w:r w:rsidR="002041B1">
        <w:t>Storage units or parking bays in strata titles scheme or community titles scheme</w:t>
      </w:r>
      <w:bookmarkEnd w:id="268"/>
    </w:p>
    <w:p w:rsidR="005435E9" w:rsidRDefault="005435E9">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w:t>
      </w:r>
      <w:r w:rsidR="00D727DC">
        <w:t xml:space="preserve">in a strata titles scheme or a community titles scheme, </w:t>
      </w:r>
      <w:r>
        <w:rPr>
          <w:szCs w:val="22"/>
        </w:rPr>
        <w:t xml:space="preserve">the </w:t>
      </w:r>
      <w:r>
        <w:t>charge</w:t>
      </w:r>
      <w:r>
        <w:rPr>
          <w:szCs w:val="22"/>
        </w:rPr>
        <w:t xml:space="preserve"> is </w:t>
      </w:r>
      <w:r>
        <w:rPr>
          <w:szCs w:val="22"/>
        </w:rPr>
        <w:tab/>
        <w:t xml:space="preserve"> $103.74</w:t>
      </w:r>
    </w:p>
    <w:p w:rsidR="005435E9" w:rsidRDefault="005435E9">
      <w:pPr>
        <w:pStyle w:val="yHeading5"/>
      </w:pPr>
      <w:bookmarkStart w:id="269" w:name="_Toc75519755"/>
      <w:r>
        <w:rPr>
          <w:rStyle w:val="CharSClsNo"/>
        </w:rPr>
        <w:t>7</w:t>
      </w:r>
      <w:r>
        <w:t>.</w:t>
      </w:r>
      <w:r>
        <w:tab/>
        <w:t>Land from which trade waste is discharged into sewer</w:t>
      </w:r>
      <w:bookmarkEnd w:id="269"/>
    </w:p>
    <w:p w:rsidR="005435E9" w:rsidRDefault="005435E9">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rsidR="005435E9" w:rsidRDefault="005435E9">
      <w:pPr>
        <w:pStyle w:val="ySubsection"/>
      </w:pPr>
      <w:r>
        <w:tab/>
        <w:t>(2)</w:t>
      </w:r>
      <w:r>
        <w:tab/>
        <w:t>The charge under this item is in addition to any other charge applicable to the land under this Schedule.</w:t>
      </w:r>
    </w:p>
    <w:p w:rsidR="005435E9" w:rsidRDefault="005435E9">
      <w:pPr>
        <w:pStyle w:val="yHeading5"/>
      </w:pPr>
      <w:bookmarkStart w:id="270" w:name="_Toc75519756"/>
      <w:r>
        <w:rPr>
          <w:rStyle w:val="CharSClsNo"/>
        </w:rPr>
        <w:lastRenderedPageBreak/>
        <w:t>8</w:t>
      </w:r>
      <w:r>
        <w:t>.</w:t>
      </w:r>
      <w:r>
        <w:tab/>
        <w:t>Land from which trade waste is discharged into sewer through grease arrestor</w:t>
      </w:r>
      <w:bookmarkEnd w:id="270"/>
    </w:p>
    <w:p w:rsidR="005435E9" w:rsidRDefault="005435E9">
      <w:pPr>
        <w:pStyle w:val="ySubsection"/>
      </w:pPr>
      <w:r>
        <w:tab/>
        <w:t>(1)</w:t>
      </w:r>
      <w:r>
        <w:tab/>
        <w:t>In this item —</w:t>
      </w:r>
    </w:p>
    <w:p w:rsidR="005435E9" w:rsidRDefault="005435E9">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rsidR="005435E9" w:rsidRDefault="005435E9">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rsidR="005435E9" w:rsidRDefault="005435E9">
      <w:pPr>
        <w:pStyle w:val="yIndenta"/>
        <w:tabs>
          <w:tab w:val="right" w:leader="dot" w:pos="6804"/>
        </w:tabs>
      </w:pPr>
      <w:r>
        <w:tab/>
        <w:t>(a)</w:t>
      </w:r>
      <w:r>
        <w:tab/>
        <w:t xml:space="preserve">for each grease arrestor other than </w:t>
      </w:r>
      <w:r>
        <w:br/>
        <w:t xml:space="preserve">a shared grease arrestor </w:t>
      </w:r>
      <w:r>
        <w:tab/>
        <w:t xml:space="preserve"> $106.25</w:t>
      </w:r>
    </w:p>
    <w:p w:rsidR="005435E9" w:rsidRDefault="005435E9">
      <w:pPr>
        <w:pStyle w:val="yIndenta"/>
        <w:tabs>
          <w:tab w:val="right" w:leader="dot" w:pos="6804"/>
        </w:tabs>
      </w:pPr>
      <w:r>
        <w:tab/>
        <w:t>(b)</w:t>
      </w:r>
      <w:r>
        <w:tab/>
        <w:t xml:space="preserve">for each shared grease arrestor </w:t>
      </w:r>
      <w:r>
        <w:tab/>
        <w:t xml:space="preserve"> $58.03</w:t>
      </w:r>
    </w:p>
    <w:p w:rsidR="005435E9" w:rsidRDefault="005435E9">
      <w:pPr>
        <w:pStyle w:val="ySubsection"/>
      </w:pPr>
      <w:r>
        <w:tab/>
        <w:t>(3)</w:t>
      </w:r>
      <w:r>
        <w:tab/>
        <w:t>The charge under this item is in addition to any other charge applicable to the land under this Schedule.</w:t>
      </w:r>
    </w:p>
    <w:p w:rsidR="005435E9" w:rsidRDefault="005435E9">
      <w:pPr>
        <w:pStyle w:val="yHeading5"/>
      </w:pPr>
      <w:bookmarkStart w:id="271" w:name="_Toc75519757"/>
      <w:r>
        <w:rPr>
          <w:rStyle w:val="CharSClsNo"/>
        </w:rPr>
        <w:t>9</w:t>
      </w:r>
      <w:r>
        <w:t>.</w:t>
      </w:r>
      <w:r>
        <w:tab/>
        <w:t>Trade waste discharged from open area</w:t>
      </w:r>
      <w:bookmarkEnd w:id="271"/>
    </w:p>
    <w:p w:rsidR="005435E9" w:rsidRDefault="005435E9">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rsidR="005435E9" w:rsidRDefault="005435E9">
      <w:pPr>
        <w:pStyle w:val="yMiscellaneousBody"/>
        <w:tabs>
          <w:tab w:val="left" w:pos="1701"/>
          <w:tab w:val="right" w:leader="dot" w:pos="6804"/>
        </w:tabs>
        <w:spacing w:before="0"/>
        <w:ind w:left="1701" w:right="283" w:hanging="1134"/>
        <w:jc w:val="right"/>
      </w:pPr>
      <w:r>
        <w:t>of open area</w:t>
      </w:r>
    </w:p>
    <w:p w:rsidR="005435E9" w:rsidRDefault="005435E9">
      <w:pPr>
        <w:pStyle w:val="ySubsection"/>
      </w:pPr>
      <w:r>
        <w:tab/>
        <w:t>(2)</w:t>
      </w:r>
      <w:r>
        <w:tab/>
        <w:t>The charge under this item is in addition to any other charge applicable to the land under this Schedule.</w:t>
      </w:r>
    </w:p>
    <w:p w:rsidR="005435E9" w:rsidRDefault="005435E9">
      <w:pPr>
        <w:pStyle w:val="yHeading5"/>
      </w:pPr>
      <w:bookmarkStart w:id="272" w:name="_Toc75519758"/>
      <w:r>
        <w:rPr>
          <w:rStyle w:val="CharSClsNo"/>
        </w:rPr>
        <w:t>10</w:t>
      </w:r>
      <w:r>
        <w:t>.</w:t>
      </w:r>
      <w:r>
        <w:tab/>
        <w:t>Non</w:t>
      </w:r>
      <w:r>
        <w:noBreakHyphen/>
        <w:t>metropolitan concessional</w:t>
      </w:r>
      <w:bookmarkEnd w:id="272"/>
    </w:p>
    <w:p w:rsidR="005435E9" w:rsidRDefault="005435E9">
      <w:pPr>
        <w:pStyle w:val="ySubsection"/>
      </w:pPr>
      <w:r>
        <w:tab/>
      </w:r>
      <w:r>
        <w:tab/>
        <w:t>For land in the non</w:t>
      </w:r>
      <w:r>
        <w:noBreakHyphen/>
        <w:t>metropolitan area that is classified as —</w:t>
      </w:r>
    </w:p>
    <w:p w:rsidR="005435E9" w:rsidRDefault="005435E9">
      <w:pPr>
        <w:pStyle w:val="yIndenta"/>
      </w:pPr>
      <w:r>
        <w:tab/>
        <w:t>(a)</w:t>
      </w:r>
      <w:r>
        <w:tab/>
        <w:t>community residential; or</w:t>
      </w:r>
    </w:p>
    <w:p w:rsidR="005435E9" w:rsidRDefault="005435E9">
      <w:pPr>
        <w:pStyle w:val="yIndenta"/>
      </w:pPr>
      <w:r>
        <w:tab/>
        <w:t>(b)</w:t>
      </w:r>
      <w:r>
        <w:tab/>
        <w:t>aged home, charitable purposes, community purpose, institutional public or local government,</w:t>
      </w:r>
    </w:p>
    <w:p w:rsidR="005435E9" w:rsidRDefault="005435E9">
      <w:pPr>
        <w:pStyle w:val="ySubsection"/>
      </w:pPr>
      <w:r>
        <w:tab/>
      </w:r>
      <w:r>
        <w:tab/>
        <w:t>the charge, according to the number of major fixtures on the land, is the sum of the charges, less the corresponding discounts, for each fixture, as set out in the Table.</w:t>
      </w:r>
    </w:p>
    <w:p w:rsidR="005435E9" w:rsidRDefault="005435E9">
      <w:pPr>
        <w:pStyle w:val="yTHeadingNAm"/>
      </w:pPr>
      <w:r>
        <w:lastRenderedPageBreak/>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5435E9">
        <w:trPr>
          <w:cantSplit/>
          <w:tblHeader/>
          <w:jc w:val="center"/>
        </w:trPr>
        <w:tc>
          <w:tcPr>
            <w:tcW w:w="1558" w:type="dxa"/>
            <w:tcBorders>
              <w:top w:val="single" w:sz="4" w:space="0" w:color="auto"/>
            </w:tcBorders>
            <w:noWrap/>
          </w:tcPr>
          <w:p w:rsidR="005435E9" w:rsidRDefault="005435E9">
            <w:pPr>
              <w:pStyle w:val="yTableNAm"/>
              <w:jc w:val="center"/>
              <w:rPr>
                <w:b/>
              </w:rPr>
            </w:pPr>
          </w:p>
        </w:tc>
        <w:tc>
          <w:tcPr>
            <w:tcW w:w="1343" w:type="dxa"/>
            <w:tcBorders>
              <w:top w:val="single" w:sz="4" w:space="0" w:color="auto"/>
            </w:tcBorders>
            <w:noWrap/>
          </w:tcPr>
          <w:p w:rsidR="005435E9" w:rsidRDefault="005435E9">
            <w:pPr>
              <w:pStyle w:val="yTableNAm"/>
              <w:jc w:val="center"/>
              <w:rPr>
                <w:b/>
              </w:rPr>
            </w:pPr>
            <w:r>
              <w:rPr>
                <w:b/>
              </w:rPr>
              <w:t>Charge</w:t>
            </w:r>
          </w:p>
        </w:tc>
        <w:tc>
          <w:tcPr>
            <w:tcW w:w="2125" w:type="dxa"/>
            <w:gridSpan w:val="2"/>
            <w:tcBorders>
              <w:top w:val="single" w:sz="4" w:space="0" w:color="auto"/>
              <w:bottom w:val="single" w:sz="4" w:space="0" w:color="auto"/>
            </w:tcBorders>
            <w:noWrap/>
          </w:tcPr>
          <w:p w:rsidR="005435E9" w:rsidRDefault="005435E9">
            <w:pPr>
              <w:pStyle w:val="yTableNAm"/>
              <w:jc w:val="center"/>
              <w:rPr>
                <w:b/>
              </w:rPr>
            </w:pPr>
            <w:r>
              <w:rPr>
                <w:b/>
              </w:rPr>
              <w:t>Discount %</w:t>
            </w:r>
          </w:p>
        </w:tc>
      </w:tr>
      <w:tr w:rsidR="005435E9">
        <w:trPr>
          <w:cantSplit/>
          <w:tblHeader/>
          <w:jc w:val="center"/>
        </w:trPr>
        <w:tc>
          <w:tcPr>
            <w:tcW w:w="1558" w:type="dxa"/>
            <w:tcBorders>
              <w:bottom w:val="single" w:sz="4" w:space="0" w:color="auto"/>
            </w:tcBorders>
            <w:noWrap/>
          </w:tcPr>
          <w:p w:rsidR="005435E9" w:rsidRDefault="005435E9">
            <w:pPr>
              <w:pStyle w:val="yTableNAm"/>
              <w:jc w:val="center"/>
              <w:rPr>
                <w:b/>
              </w:rPr>
            </w:pPr>
          </w:p>
        </w:tc>
        <w:tc>
          <w:tcPr>
            <w:tcW w:w="1343" w:type="dxa"/>
            <w:tcBorders>
              <w:bottom w:val="single" w:sz="4" w:space="0" w:color="auto"/>
            </w:tcBorders>
            <w:noWrap/>
          </w:tcPr>
          <w:p w:rsidR="005435E9" w:rsidRDefault="005435E9">
            <w:pPr>
              <w:pStyle w:val="yTableNAm"/>
              <w:jc w:val="center"/>
              <w:rPr>
                <w:b/>
              </w:rPr>
            </w:pPr>
          </w:p>
        </w:tc>
        <w:tc>
          <w:tcPr>
            <w:tcW w:w="1133" w:type="dxa"/>
            <w:tcBorders>
              <w:top w:val="single" w:sz="4" w:space="0" w:color="auto"/>
              <w:bottom w:val="single" w:sz="4" w:space="0" w:color="auto"/>
            </w:tcBorders>
            <w:noWrap/>
          </w:tcPr>
          <w:p w:rsidR="005435E9" w:rsidRDefault="005435E9">
            <w:pPr>
              <w:pStyle w:val="yTableNAm"/>
              <w:jc w:val="center"/>
              <w:rPr>
                <w:b/>
              </w:rPr>
            </w:pPr>
            <w:r>
              <w:rPr>
                <w:b/>
              </w:rPr>
              <w:t>par. (a)</w:t>
            </w:r>
          </w:p>
        </w:tc>
        <w:tc>
          <w:tcPr>
            <w:tcW w:w="992" w:type="dxa"/>
            <w:tcBorders>
              <w:top w:val="single" w:sz="4" w:space="0" w:color="auto"/>
              <w:bottom w:val="single" w:sz="4" w:space="0" w:color="auto"/>
            </w:tcBorders>
            <w:noWrap/>
          </w:tcPr>
          <w:p w:rsidR="005435E9" w:rsidRDefault="005435E9">
            <w:pPr>
              <w:pStyle w:val="yTableNAm"/>
              <w:jc w:val="center"/>
              <w:rPr>
                <w:b/>
              </w:rPr>
            </w:pPr>
            <w:r>
              <w:rPr>
                <w:b/>
              </w:rPr>
              <w:t>par. (b)</w:t>
            </w:r>
          </w:p>
        </w:tc>
      </w:tr>
      <w:tr w:rsidR="005435E9">
        <w:trPr>
          <w:cantSplit/>
          <w:jc w:val="center"/>
        </w:trPr>
        <w:tc>
          <w:tcPr>
            <w:tcW w:w="1558" w:type="dxa"/>
            <w:noWrap/>
            <w:tcMar>
              <w:left w:w="28" w:type="dxa"/>
              <w:right w:w="28" w:type="dxa"/>
            </w:tcMar>
          </w:tcPr>
          <w:p w:rsidR="005435E9" w:rsidRDefault="005435E9">
            <w:pPr>
              <w:pStyle w:val="yTableNAm"/>
              <w:tabs>
                <w:tab w:val="clear" w:pos="567"/>
                <w:tab w:val="left" w:pos="384"/>
              </w:tabs>
              <w:ind w:left="370" w:hanging="370"/>
            </w:pPr>
            <w:r>
              <w:t>1</w:t>
            </w:r>
            <w:r>
              <w:rPr>
                <w:vertAlign w:val="superscript"/>
              </w:rPr>
              <w:t>st</w:t>
            </w:r>
            <w:r>
              <w:tab/>
              <w:t>fixture</w:t>
            </w:r>
          </w:p>
        </w:tc>
        <w:tc>
          <w:tcPr>
            <w:tcW w:w="1343" w:type="dxa"/>
            <w:noWrap/>
            <w:vAlign w:val="bottom"/>
          </w:tcPr>
          <w:p w:rsidR="005435E9" w:rsidRDefault="005435E9">
            <w:pPr>
              <w:pStyle w:val="yTableNAm"/>
            </w:pPr>
            <w:r>
              <w:t>$1 046.71</w:t>
            </w:r>
          </w:p>
        </w:tc>
        <w:tc>
          <w:tcPr>
            <w:tcW w:w="1133" w:type="dxa"/>
            <w:noWrap/>
          </w:tcPr>
          <w:p w:rsidR="005435E9" w:rsidRDefault="005435E9">
            <w:pPr>
              <w:pStyle w:val="yTableNAm"/>
            </w:pPr>
            <w:r>
              <w:t>88.179</w:t>
            </w:r>
          </w:p>
        </w:tc>
        <w:tc>
          <w:tcPr>
            <w:tcW w:w="992" w:type="dxa"/>
            <w:noWrap/>
          </w:tcPr>
          <w:p w:rsidR="005435E9" w:rsidRDefault="005435E9">
            <w:pPr>
              <w:pStyle w:val="yTableNAm"/>
            </w:pPr>
            <w:r>
              <w:t>73.133</w:t>
            </w:r>
          </w:p>
        </w:tc>
      </w:tr>
      <w:tr w:rsidR="005435E9">
        <w:trPr>
          <w:cantSplit/>
          <w:jc w:val="center"/>
        </w:trPr>
        <w:tc>
          <w:tcPr>
            <w:tcW w:w="1558" w:type="dxa"/>
            <w:noWrap/>
            <w:tcMar>
              <w:left w:w="62" w:type="dxa"/>
              <w:right w:w="62" w:type="dxa"/>
            </w:tcMar>
          </w:tcPr>
          <w:p w:rsidR="005435E9" w:rsidRDefault="005435E9">
            <w:pPr>
              <w:pStyle w:val="yTableNAm"/>
              <w:tabs>
                <w:tab w:val="clear" w:pos="567"/>
                <w:tab w:val="left" w:pos="384"/>
              </w:tabs>
              <w:ind w:left="370" w:hanging="370"/>
            </w:pPr>
            <w:r>
              <w:t>2</w:t>
            </w:r>
            <w:r>
              <w:rPr>
                <w:vertAlign w:val="superscript"/>
              </w:rPr>
              <w:t>nd</w:t>
            </w:r>
            <w:r>
              <w:tab/>
              <w:t>fixture</w:t>
            </w:r>
          </w:p>
        </w:tc>
        <w:tc>
          <w:tcPr>
            <w:tcW w:w="1343" w:type="dxa"/>
            <w:noWrap/>
            <w:vAlign w:val="bottom"/>
          </w:tcPr>
          <w:p w:rsidR="005435E9" w:rsidRDefault="005435E9">
            <w:pPr>
              <w:pStyle w:val="yTableNAm"/>
            </w:pPr>
            <w:r>
              <w:t>$448.05</w:t>
            </w:r>
          </w:p>
        </w:tc>
        <w:tc>
          <w:tcPr>
            <w:tcW w:w="1133" w:type="dxa"/>
            <w:noWrap/>
          </w:tcPr>
          <w:p w:rsidR="005435E9" w:rsidRDefault="005435E9">
            <w:pPr>
              <w:pStyle w:val="yTableNAm"/>
            </w:pPr>
            <w:r>
              <w:t>72.385</w:t>
            </w:r>
          </w:p>
        </w:tc>
        <w:tc>
          <w:tcPr>
            <w:tcW w:w="992" w:type="dxa"/>
            <w:noWrap/>
          </w:tcPr>
          <w:p w:rsidR="005435E9" w:rsidRDefault="005435E9">
            <w:pPr>
              <w:pStyle w:val="yTableNAm"/>
            </w:pPr>
            <w:r>
              <w:t>72.385</w:t>
            </w:r>
          </w:p>
        </w:tc>
      </w:tr>
      <w:tr w:rsidR="005435E9">
        <w:trPr>
          <w:cantSplit/>
          <w:jc w:val="center"/>
        </w:trPr>
        <w:tc>
          <w:tcPr>
            <w:tcW w:w="1558" w:type="dxa"/>
            <w:noWrap/>
            <w:tcMar>
              <w:left w:w="57" w:type="dxa"/>
              <w:right w:w="57" w:type="dxa"/>
            </w:tcMar>
          </w:tcPr>
          <w:p w:rsidR="005435E9" w:rsidRDefault="005435E9">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rsidR="005435E9" w:rsidRDefault="005435E9">
            <w:pPr>
              <w:pStyle w:val="yTableNAm"/>
            </w:pPr>
            <w:r>
              <w:t>$598.36</w:t>
            </w:r>
          </w:p>
        </w:tc>
        <w:tc>
          <w:tcPr>
            <w:tcW w:w="1133" w:type="dxa"/>
            <w:noWrap/>
          </w:tcPr>
          <w:p w:rsidR="005435E9" w:rsidRDefault="005435E9">
            <w:pPr>
              <w:pStyle w:val="yTableNAm"/>
            </w:pPr>
            <w:r>
              <w:t>79.322</w:t>
            </w:r>
          </w:p>
        </w:tc>
        <w:tc>
          <w:tcPr>
            <w:tcW w:w="992" w:type="dxa"/>
            <w:noWrap/>
          </w:tcPr>
          <w:p w:rsidR="005435E9" w:rsidRDefault="005435E9">
            <w:pPr>
              <w:pStyle w:val="yTableNAm"/>
            </w:pPr>
            <w:r>
              <w:t>79.322</w:t>
            </w:r>
          </w:p>
        </w:tc>
      </w:tr>
      <w:tr w:rsidR="005435E9">
        <w:trPr>
          <w:cantSplit/>
          <w:jc w:val="center"/>
        </w:trPr>
        <w:tc>
          <w:tcPr>
            <w:tcW w:w="1558" w:type="dxa"/>
            <w:tcBorders>
              <w:bottom w:val="single" w:sz="4" w:space="0" w:color="auto"/>
            </w:tcBorders>
            <w:noWrap/>
            <w:tcMar>
              <w:left w:w="28" w:type="dxa"/>
              <w:right w:w="57" w:type="dxa"/>
            </w:tcMar>
          </w:tcPr>
          <w:p w:rsidR="005435E9" w:rsidRDefault="005435E9">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rsidR="005435E9" w:rsidRDefault="005435E9">
            <w:pPr>
              <w:pStyle w:val="yTableNAm"/>
            </w:pPr>
            <w:r>
              <w:t>$650.68</w:t>
            </w:r>
          </w:p>
        </w:tc>
        <w:tc>
          <w:tcPr>
            <w:tcW w:w="1133" w:type="dxa"/>
            <w:tcBorders>
              <w:bottom w:val="single" w:sz="4" w:space="0" w:color="auto"/>
            </w:tcBorders>
            <w:noWrap/>
          </w:tcPr>
          <w:p w:rsidR="005435E9" w:rsidRDefault="005435E9">
            <w:pPr>
              <w:pStyle w:val="yTableNAm"/>
            </w:pPr>
            <w:r>
              <w:t>80.985</w:t>
            </w:r>
          </w:p>
        </w:tc>
        <w:tc>
          <w:tcPr>
            <w:tcW w:w="992" w:type="dxa"/>
            <w:tcBorders>
              <w:bottom w:val="single" w:sz="4" w:space="0" w:color="auto"/>
            </w:tcBorders>
            <w:noWrap/>
          </w:tcPr>
          <w:p w:rsidR="005435E9" w:rsidRDefault="005435E9">
            <w:pPr>
              <w:pStyle w:val="yTableNAm"/>
            </w:pPr>
            <w:r>
              <w:t>80.985</w:t>
            </w:r>
          </w:p>
        </w:tc>
      </w:tr>
    </w:tbl>
    <w:p w:rsidR="005435E9" w:rsidRDefault="005435E9">
      <w:pPr>
        <w:pStyle w:val="yHeading5"/>
      </w:pPr>
      <w:bookmarkStart w:id="273" w:name="_Toc75519759"/>
      <w:r>
        <w:rPr>
          <w:rStyle w:val="CharSClsNo"/>
        </w:rPr>
        <w:t>11</w:t>
      </w:r>
      <w:r>
        <w:t>.</w:t>
      </w:r>
      <w:r>
        <w:tab/>
        <w:t>Non</w:t>
      </w:r>
      <w:r>
        <w:noBreakHyphen/>
        <w:t>metropolitan</w:t>
      </w:r>
      <w:bookmarkEnd w:id="273"/>
    </w:p>
    <w:p w:rsidR="005435E9" w:rsidRDefault="005435E9">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rsidR="005435E9" w:rsidRDefault="005435E9">
      <w:pPr>
        <w:pStyle w:val="ySubsection"/>
      </w:pPr>
      <w:r>
        <w:tab/>
        <w:t>(2)</w:t>
      </w:r>
      <w:r>
        <w:tab/>
        <w:t>Sub</w:t>
      </w:r>
      <w:r>
        <w:noBreakHyphen/>
        <w:t>item (1) does not apply to land covered by any other item in this Division (other than item 7, 8 or 9) or by Division 2.</w:t>
      </w:r>
    </w:p>
    <w:p w:rsidR="005435E9" w:rsidRDefault="005435E9">
      <w:pPr>
        <w:pStyle w:val="ySubsection"/>
      </w:pPr>
      <w:r>
        <w:tab/>
        <w:t>(3)</w:t>
      </w:r>
      <w:r>
        <w:tab/>
        <w:t>The minimum charge under this item is —</w:t>
      </w:r>
    </w:p>
    <w:p w:rsidR="005435E9" w:rsidRDefault="005435E9">
      <w:pPr>
        <w:pStyle w:val="yIndenta"/>
        <w:tabs>
          <w:tab w:val="right" w:leader="dot" w:pos="6804"/>
        </w:tabs>
      </w:pPr>
      <w:r>
        <w:tab/>
        <w:t>(a)</w:t>
      </w:r>
      <w:r>
        <w:tab/>
        <w:t xml:space="preserve">for land that is classified as residential </w:t>
      </w:r>
      <w:r>
        <w:tab/>
        <w:t xml:space="preserve"> $439.10</w:t>
      </w:r>
    </w:p>
    <w:p w:rsidR="005435E9" w:rsidRDefault="005435E9">
      <w:pPr>
        <w:pStyle w:val="yIndenta"/>
        <w:tabs>
          <w:tab w:val="right" w:leader="dot" w:pos="6804"/>
        </w:tabs>
      </w:pPr>
      <w:r>
        <w:tab/>
        <w:t>(b)</w:t>
      </w:r>
      <w:r>
        <w:tab/>
        <w:t xml:space="preserve">for land that is classified as vacant land </w:t>
      </w:r>
      <w:r>
        <w:tab/>
        <w:t xml:space="preserve"> $288.94</w:t>
      </w:r>
    </w:p>
    <w:p w:rsidR="005435E9" w:rsidRDefault="005435E9">
      <w:pPr>
        <w:pStyle w:val="yIndenta"/>
        <w:tabs>
          <w:tab w:val="right" w:leader="dot" w:pos="6804"/>
        </w:tabs>
      </w:pPr>
      <w:r>
        <w:tab/>
        <w:t>(c)</w:t>
      </w:r>
      <w:r>
        <w:tab/>
        <w:t xml:space="preserve">for other land </w:t>
      </w:r>
      <w:r>
        <w:tab/>
        <w:t xml:space="preserve"> $1 046.71</w:t>
      </w:r>
    </w:p>
    <w:p w:rsidR="005435E9" w:rsidRDefault="005435E9">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rsidR="005435E9" w:rsidRDefault="005435E9">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rsidR="005435E9">
        <w:trPr>
          <w:tblHeader/>
        </w:trPr>
        <w:tc>
          <w:tcPr>
            <w:tcW w:w="2159" w:type="dxa"/>
            <w:tcBorders>
              <w:left w:val="nil"/>
              <w:bottom w:val="single" w:sz="4" w:space="0" w:color="auto"/>
              <w:right w:val="nil"/>
            </w:tcBorders>
            <w:noWrap/>
          </w:tcPr>
          <w:p w:rsidR="005435E9" w:rsidRDefault="005435E9">
            <w:pPr>
              <w:pStyle w:val="yTableNAm"/>
              <w:rPr>
                <w:b/>
              </w:rPr>
            </w:pPr>
            <w:r>
              <w:rPr>
                <w:b/>
              </w:rPr>
              <w:t>Sewerage area</w:t>
            </w:r>
          </w:p>
        </w:tc>
        <w:tc>
          <w:tcPr>
            <w:tcW w:w="1810" w:type="dxa"/>
            <w:tcBorders>
              <w:left w:val="nil"/>
              <w:bottom w:val="single" w:sz="4" w:space="0" w:color="auto"/>
              <w:right w:val="nil"/>
            </w:tcBorders>
            <w:noWrap/>
            <w:vAlign w:val="center"/>
          </w:tcPr>
          <w:p w:rsidR="005435E9" w:rsidRDefault="005435E9">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rsidR="005435E9" w:rsidRDefault="005435E9">
            <w:pPr>
              <w:pStyle w:val="yTableNAm"/>
              <w:jc w:val="center"/>
              <w:rPr>
                <w:b/>
              </w:rPr>
            </w:pPr>
            <w:r>
              <w:rPr>
                <w:b/>
              </w:rPr>
              <w:t>Non</w:t>
            </w:r>
            <w:r>
              <w:rPr>
                <w:b/>
              </w:rPr>
              <w:noBreakHyphen/>
              <w:t xml:space="preserve">residential rate </w:t>
            </w:r>
            <w:r>
              <w:rPr>
                <w:b/>
              </w:rPr>
              <w:br/>
              <w:t>cents/$ of GRV</w:t>
            </w:r>
          </w:p>
        </w:tc>
      </w:tr>
      <w:tr w:rsidR="005435E9">
        <w:tc>
          <w:tcPr>
            <w:tcW w:w="2159" w:type="dxa"/>
            <w:tcBorders>
              <w:top w:val="single" w:sz="4" w:space="0" w:color="auto"/>
              <w:left w:val="nil"/>
              <w:bottom w:val="nil"/>
              <w:right w:val="nil"/>
            </w:tcBorders>
            <w:noWrap/>
          </w:tcPr>
          <w:p w:rsidR="005435E9" w:rsidRDefault="005435E9">
            <w:pPr>
              <w:pStyle w:val="yTableNAm"/>
            </w:pPr>
            <w:r>
              <w:t>Albany</w:t>
            </w:r>
          </w:p>
        </w:tc>
        <w:tc>
          <w:tcPr>
            <w:tcW w:w="1810" w:type="dxa"/>
            <w:tcBorders>
              <w:top w:val="single" w:sz="4" w:space="0" w:color="auto"/>
              <w:left w:val="nil"/>
              <w:bottom w:val="nil"/>
              <w:right w:val="nil"/>
            </w:tcBorders>
            <w:noWrap/>
            <w:vAlign w:val="center"/>
          </w:tcPr>
          <w:p w:rsidR="005435E9" w:rsidRDefault="005435E9">
            <w:pPr>
              <w:pStyle w:val="yTableNAm"/>
              <w:jc w:val="center"/>
            </w:pPr>
            <w:r>
              <w:t>12.146</w:t>
            </w:r>
          </w:p>
        </w:tc>
        <w:tc>
          <w:tcPr>
            <w:tcW w:w="2268" w:type="dxa"/>
            <w:tcBorders>
              <w:top w:val="single" w:sz="4" w:space="0" w:color="auto"/>
              <w:left w:val="nil"/>
              <w:bottom w:val="nil"/>
              <w:right w:val="nil"/>
            </w:tcBorders>
            <w:noWrap/>
            <w:vAlign w:val="center"/>
          </w:tcPr>
          <w:p w:rsidR="005435E9" w:rsidRDefault="005435E9">
            <w:pPr>
              <w:pStyle w:val="yTableNAm"/>
              <w:jc w:val="center"/>
            </w:pPr>
            <w:r>
              <w:t>23.378</w:t>
            </w:r>
          </w:p>
        </w:tc>
      </w:tr>
      <w:tr w:rsidR="005435E9">
        <w:tc>
          <w:tcPr>
            <w:tcW w:w="2159" w:type="dxa"/>
            <w:tcBorders>
              <w:top w:val="nil"/>
              <w:left w:val="nil"/>
              <w:bottom w:val="nil"/>
              <w:right w:val="nil"/>
            </w:tcBorders>
            <w:noWrap/>
          </w:tcPr>
          <w:p w:rsidR="005435E9" w:rsidRDefault="005435E9">
            <w:pPr>
              <w:pStyle w:val="yTableNAm"/>
            </w:pPr>
            <w:r>
              <w:t>Augusta</w:t>
            </w:r>
          </w:p>
        </w:tc>
        <w:tc>
          <w:tcPr>
            <w:tcW w:w="1810" w:type="dxa"/>
            <w:tcBorders>
              <w:top w:val="nil"/>
              <w:left w:val="nil"/>
              <w:bottom w:val="nil"/>
              <w:right w:val="nil"/>
            </w:tcBorders>
            <w:noWrap/>
            <w:vAlign w:val="center"/>
          </w:tcPr>
          <w:p w:rsidR="005435E9" w:rsidRDefault="005435E9">
            <w:pPr>
              <w:pStyle w:val="yTableNAm"/>
              <w:jc w:val="center"/>
            </w:pPr>
            <w:r>
              <w:t>8.212</w:t>
            </w:r>
          </w:p>
        </w:tc>
        <w:tc>
          <w:tcPr>
            <w:tcW w:w="2268" w:type="dxa"/>
            <w:tcBorders>
              <w:top w:val="nil"/>
              <w:left w:val="nil"/>
              <w:bottom w:val="nil"/>
              <w:right w:val="nil"/>
            </w:tcBorders>
            <w:noWrap/>
            <w:vAlign w:val="center"/>
          </w:tcPr>
          <w:p w:rsidR="005435E9" w:rsidRDefault="005435E9">
            <w:pPr>
              <w:pStyle w:val="yTableNAm"/>
              <w:jc w:val="center"/>
            </w:pPr>
            <w:r>
              <w:t>13.212</w:t>
            </w:r>
          </w:p>
        </w:tc>
      </w:tr>
      <w:tr w:rsidR="005435E9">
        <w:tc>
          <w:tcPr>
            <w:tcW w:w="2159" w:type="dxa"/>
            <w:tcBorders>
              <w:top w:val="nil"/>
              <w:left w:val="nil"/>
              <w:bottom w:val="nil"/>
              <w:right w:val="nil"/>
            </w:tcBorders>
            <w:noWrap/>
          </w:tcPr>
          <w:p w:rsidR="005435E9" w:rsidRDefault="005435E9">
            <w:pPr>
              <w:pStyle w:val="yTableNAm"/>
            </w:pPr>
            <w:r>
              <w:lastRenderedPageBreak/>
              <w:t>Australind</w:t>
            </w:r>
          </w:p>
        </w:tc>
        <w:tc>
          <w:tcPr>
            <w:tcW w:w="1810" w:type="dxa"/>
            <w:tcBorders>
              <w:top w:val="nil"/>
              <w:left w:val="nil"/>
              <w:bottom w:val="nil"/>
              <w:right w:val="nil"/>
            </w:tcBorders>
            <w:noWrap/>
            <w:vAlign w:val="center"/>
          </w:tcPr>
          <w:p w:rsidR="005435E9" w:rsidRDefault="005435E9">
            <w:pPr>
              <w:pStyle w:val="yTableNAm"/>
              <w:jc w:val="center"/>
            </w:pPr>
            <w:r>
              <w:t>5.582</w:t>
            </w:r>
          </w:p>
        </w:tc>
        <w:tc>
          <w:tcPr>
            <w:tcW w:w="2268" w:type="dxa"/>
            <w:tcBorders>
              <w:top w:val="nil"/>
              <w:left w:val="nil"/>
              <w:bottom w:val="nil"/>
              <w:right w:val="nil"/>
            </w:tcBorders>
            <w:noWrap/>
            <w:vAlign w:val="center"/>
          </w:tcPr>
          <w:p w:rsidR="005435E9" w:rsidRDefault="005435E9">
            <w:pPr>
              <w:pStyle w:val="yTableNAm"/>
              <w:jc w:val="center"/>
            </w:pPr>
            <w:r>
              <w:t>4.187</w:t>
            </w:r>
          </w:p>
        </w:tc>
      </w:tr>
      <w:tr w:rsidR="005435E9">
        <w:tc>
          <w:tcPr>
            <w:tcW w:w="2159" w:type="dxa"/>
            <w:tcBorders>
              <w:top w:val="nil"/>
              <w:left w:val="nil"/>
              <w:bottom w:val="nil"/>
              <w:right w:val="nil"/>
            </w:tcBorders>
            <w:noWrap/>
          </w:tcPr>
          <w:p w:rsidR="005435E9" w:rsidRDefault="005435E9">
            <w:pPr>
              <w:pStyle w:val="yTableNAm"/>
            </w:pPr>
            <w:r>
              <w:t>Beverley</w:t>
            </w:r>
          </w:p>
        </w:tc>
        <w:tc>
          <w:tcPr>
            <w:tcW w:w="1810" w:type="dxa"/>
            <w:tcBorders>
              <w:top w:val="nil"/>
              <w:left w:val="nil"/>
              <w:bottom w:val="nil"/>
              <w:right w:val="nil"/>
            </w:tcBorders>
            <w:noWrap/>
            <w:vAlign w:val="center"/>
          </w:tcPr>
          <w:p w:rsidR="005435E9" w:rsidRDefault="005435E9">
            <w:pPr>
              <w:pStyle w:val="yTableNAm"/>
              <w:jc w:val="center"/>
            </w:pPr>
            <w:r>
              <w:t>13.988</w:t>
            </w:r>
          </w:p>
        </w:tc>
        <w:tc>
          <w:tcPr>
            <w:tcW w:w="2268" w:type="dxa"/>
            <w:tcBorders>
              <w:top w:val="nil"/>
              <w:left w:val="nil"/>
              <w:bottom w:val="nil"/>
              <w:right w:val="nil"/>
            </w:tcBorders>
            <w:noWrap/>
            <w:vAlign w:val="center"/>
          </w:tcPr>
          <w:p w:rsidR="005435E9" w:rsidRDefault="005435E9">
            <w:pPr>
              <w:pStyle w:val="yTableNAm"/>
              <w:jc w:val="center"/>
            </w:pPr>
            <w:r>
              <w:t>37.986</w:t>
            </w:r>
          </w:p>
        </w:tc>
      </w:tr>
      <w:tr w:rsidR="005435E9">
        <w:tc>
          <w:tcPr>
            <w:tcW w:w="2159" w:type="dxa"/>
            <w:tcBorders>
              <w:top w:val="nil"/>
              <w:left w:val="nil"/>
              <w:bottom w:val="nil"/>
              <w:right w:val="nil"/>
            </w:tcBorders>
            <w:noWrap/>
          </w:tcPr>
          <w:p w:rsidR="005435E9" w:rsidRDefault="005435E9">
            <w:pPr>
              <w:pStyle w:val="yTableNAm"/>
            </w:pPr>
            <w:r>
              <w:t>Binningup</w:t>
            </w:r>
          </w:p>
        </w:tc>
        <w:tc>
          <w:tcPr>
            <w:tcW w:w="1810" w:type="dxa"/>
            <w:tcBorders>
              <w:top w:val="nil"/>
              <w:left w:val="nil"/>
              <w:bottom w:val="nil"/>
              <w:right w:val="nil"/>
            </w:tcBorders>
            <w:noWrap/>
            <w:vAlign w:val="center"/>
          </w:tcPr>
          <w:p w:rsidR="005435E9" w:rsidRDefault="005435E9">
            <w:pPr>
              <w:pStyle w:val="yTableNAm"/>
              <w:jc w:val="center"/>
            </w:pPr>
            <w:r>
              <w:t>10.147</w:t>
            </w:r>
          </w:p>
        </w:tc>
        <w:tc>
          <w:tcPr>
            <w:tcW w:w="2268" w:type="dxa"/>
            <w:tcBorders>
              <w:top w:val="nil"/>
              <w:left w:val="nil"/>
              <w:bottom w:val="nil"/>
              <w:right w:val="nil"/>
            </w:tcBorders>
            <w:noWrap/>
            <w:vAlign w:val="center"/>
          </w:tcPr>
          <w:p w:rsidR="005435E9" w:rsidRDefault="005435E9">
            <w:pPr>
              <w:pStyle w:val="yTableNAm"/>
              <w:jc w:val="center"/>
            </w:pPr>
            <w:r>
              <w:t>20.237</w:t>
            </w:r>
          </w:p>
        </w:tc>
      </w:tr>
      <w:tr w:rsidR="005435E9">
        <w:tc>
          <w:tcPr>
            <w:tcW w:w="2159" w:type="dxa"/>
            <w:tcBorders>
              <w:top w:val="nil"/>
              <w:left w:val="nil"/>
              <w:bottom w:val="nil"/>
              <w:right w:val="nil"/>
            </w:tcBorders>
            <w:noWrap/>
          </w:tcPr>
          <w:p w:rsidR="005435E9" w:rsidRDefault="005435E9">
            <w:pPr>
              <w:pStyle w:val="yTableNAm"/>
            </w:pPr>
            <w:r>
              <w:t>Boddington</w:t>
            </w:r>
          </w:p>
        </w:tc>
        <w:tc>
          <w:tcPr>
            <w:tcW w:w="1810" w:type="dxa"/>
            <w:tcBorders>
              <w:top w:val="nil"/>
              <w:left w:val="nil"/>
              <w:bottom w:val="nil"/>
              <w:right w:val="nil"/>
            </w:tcBorders>
            <w:noWrap/>
            <w:vAlign w:val="center"/>
          </w:tcPr>
          <w:p w:rsidR="005435E9" w:rsidRDefault="005435E9">
            <w:pPr>
              <w:pStyle w:val="yTableNAm"/>
              <w:jc w:val="center"/>
            </w:pPr>
            <w:r>
              <w:t>31.096</w:t>
            </w:r>
          </w:p>
        </w:tc>
        <w:tc>
          <w:tcPr>
            <w:tcW w:w="2268" w:type="dxa"/>
            <w:tcBorders>
              <w:top w:val="nil"/>
              <w:left w:val="nil"/>
              <w:bottom w:val="nil"/>
              <w:right w:val="nil"/>
            </w:tcBorders>
            <w:noWrap/>
            <w:vAlign w:val="center"/>
          </w:tcPr>
          <w:p w:rsidR="005435E9" w:rsidRDefault="005435E9">
            <w:pPr>
              <w:pStyle w:val="yTableNAm"/>
              <w:jc w:val="center"/>
            </w:pPr>
            <w:r>
              <w:t>164.051</w:t>
            </w:r>
          </w:p>
        </w:tc>
      </w:tr>
      <w:tr w:rsidR="005435E9">
        <w:tc>
          <w:tcPr>
            <w:tcW w:w="2159" w:type="dxa"/>
            <w:tcBorders>
              <w:top w:val="nil"/>
              <w:left w:val="nil"/>
              <w:bottom w:val="nil"/>
              <w:right w:val="nil"/>
            </w:tcBorders>
            <w:noWrap/>
          </w:tcPr>
          <w:p w:rsidR="005435E9" w:rsidRDefault="005435E9">
            <w:pPr>
              <w:pStyle w:val="yTableNAm"/>
            </w:pPr>
            <w:r>
              <w:t>Boyanup</w:t>
            </w:r>
          </w:p>
        </w:tc>
        <w:tc>
          <w:tcPr>
            <w:tcW w:w="1810" w:type="dxa"/>
            <w:tcBorders>
              <w:top w:val="nil"/>
              <w:left w:val="nil"/>
              <w:bottom w:val="nil"/>
              <w:right w:val="nil"/>
            </w:tcBorders>
            <w:noWrap/>
            <w:vAlign w:val="center"/>
          </w:tcPr>
          <w:p w:rsidR="005435E9" w:rsidRDefault="005435E9">
            <w:pPr>
              <w:pStyle w:val="yTableNAm"/>
              <w:jc w:val="center"/>
            </w:pPr>
            <w:r>
              <w:t>13.165</w:t>
            </w:r>
          </w:p>
        </w:tc>
        <w:tc>
          <w:tcPr>
            <w:tcW w:w="2268" w:type="dxa"/>
            <w:tcBorders>
              <w:top w:val="nil"/>
              <w:left w:val="nil"/>
              <w:bottom w:val="nil"/>
              <w:right w:val="nil"/>
            </w:tcBorders>
            <w:noWrap/>
            <w:vAlign w:val="center"/>
          </w:tcPr>
          <w:p w:rsidR="005435E9" w:rsidRDefault="005435E9">
            <w:pPr>
              <w:pStyle w:val="yTableNAm"/>
              <w:jc w:val="center"/>
            </w:pPr>
            <w:r>
              <w:t>15.183</w:t>
            </w:r>
          </w:p>
        </w:tc>
      </w:tr>
      <w:tr w:rsidR="005435E9">
        <w:tc>
          <w:tcPr>
            <w:tcW w:w="2159" w:type="dxa"/>
            <w:tcBorders>
              <w:top w:val="nil"/>
              <w:left w:val="nil"/>
              <w:bottom w:val="nil"/>
              <w:right w:val="nil"/>
            </w:tcBorders>
            <w:noWrap/>
          </w:tcPr>
          <w:p w:rsidR="005435E9" w:rsidRDefault="005435E9">
            <w:pPr>
              <w:pStyle w:val="yTableNAm"/>
            </w:pPr>
            <w:r>
              <w:t>Bremer Bay</w:t>
            </w:r>
          </w:p>
        </w:tc>
        <w:tc>
          <w:tcPr>
            <w:tcW w:w="1810" w:type="dxa"/>
            <w:tcBorders>
              <w:top w:val="nil"/>
              <w:left w:val="nil"/>
              <w:bottom w:val="nil"/>
              <w:right w:val="nil"/>
            </w:tcBorders>
            <w:noWrap/>
            <w:vAlign w:val="center"/>
          </w:tcPr>
          <w:p w:rsidR="005435E9" w:rsidRDefault="005435E9">
            <w:pPr>
              <w:pStyle w:val="yTableNAm"/>
              <w:jc w:val="center"/>
            </w:pPr>
            <w:r>
              <w:t>17.151</w:t>
            </w:r>
          </w:p>
        </w:tc>
        <w:tc>
          <w:tcPr>
            <w:tcW w:w="2268" w:type="dxa"/>
            <w:tcBorders>
              <w:top w:val="nil"/>
              <w:left w:val="nil"/>
              <w:bottom w:val="nil"/>
              <w:right w:val="nil"/>
            </w:tcBorders>
            <w:noWrap/>
            <w:vAlign w:val="center"/>
          </w:tcPr>
          <w:p w:rsidR="005435E9" w:rsidRDefault="005435E9">
            <w:pPr>
              <w:pStyle w:val="yTableNAm"/>
              <w:jc w:val="center"/>
            </w:pPr>
            <w:r>
              <w:t>25.048</w:t>
            </w:r>
          </w:p>
        </w:tc>
      </w:tr>
      <w:tr w:rsidR="005435E9">
        <w:tc>
          <w:tcPr>
            <w:tcW w:w="2159" w:type="dxa"/>
            <w:tcBorders>
              <w:top w:val="nil"/>
              <w:left w:val="nil"/>
              <w:bottom w:val="nil"/>
              <w:right w:val="nil"/>
            </w:tcBorders>
            <w:noWrap/>
          </w:tcPr>
          <w:p w:rsidR="005435E9" w:rsidRDefault="005435E9">
            <w:pPr>
              <w:pStyle w:val="yTableNAm"/>
            </w:pPr>
            <w:r>
              <w:t>Bridgetown</w:t>
            </w:r>
          </w:p>
        </w:tc>
        <w:tc>
          <w:tcPr>
            <w:tcW w:w="1810" w:type="dxa"/>
            <w:tcBorders>
              <w:top w:val="nil"/>
              <w:left w:val="nil"/>
              <w:bottom w:val="nil"/>
              <w:right w:val="nil"/>
            </w:tcBorders>
            <w:noWrap/>
            <w:vAlign w:val="center"/>
          </w:tcPr>
          <w:p w:rsidR="005435E9" w:rsidRDefault="005435E9">
            <w:pPr>
              <w:pStyle w:val="yTableNAm"/>
              <w:jc w:val="center"/>
            </w:pPr>
            <w:r>
              <w:t>32.670</w:t>
            </w:r>
          </w:p>
        </w:tc>
        <w:tc>
          <w:tcPr>
            <w:tcW w:w="2268" w:type="dxa"/>
            <w:tcBorders>
              <w:top w:val="nil"/>
              <w:left w:val="nil"/>
              <w:bottom w:val="nil"/>
              <w:right w:val="nil"/>
            </w:tcBorders>
            <w:noWrap/>
            <w:vAlign w:val="center"/>
          </w:tcPr>
          <w:p w:rsidR="005435E9" w:rsidRDefault="005435E9">
            <w:pPr>
              <w:pStyle w:val="yTableNAm"/>
              <w:jc w:val="center"/>
            </w:pPr>
            <w:r>
              <w:t>162.164</w:t>
            </w:r>
          </w:p>
        </w:tc>
      </w:tr>
      <w:tr w:rsidR="005435E9">
        <w:tc>
          <w:tcPr>
            <w:tcW w:w="2159" w:type="dxa"/>
            <w:tcBorders>
              <w:top w:val="nil"/>
              <w:left w:val="nil"/>
              <w:bottom w:val="nil"/>
              <w:right w:val="nil"/>
            </w:tcBorders>
            <w:noWrap/>
          </w:tcPr>
          <w:p w:rsidR="005435E9" w:rsidRDefault="005435E9">
            <w:pPr>
              <w:pStyle w:val="yTableNAm"/>
            </w:pPr>
            <w:r>
              <w:t>Broome</w:t>
            </w:r>
          </w:p>
        </w:tc>
        <w:tc>
          <w:tcPr>
            <w:tcW w:w="1810" w:type="dxa"/>
            <w:tcBorders>
              <w:top w:val="nil"/>
              <w:left w:val="nil"/>
              <w:bottom w:val="nil"/>
              <w:right w:val="nil"/>
            </w:tcBorders>
            <w:noWrap/>
            <w:vAlign w:val="center"/>
          </w:tcPr>
          <w:p w:rsidR="005435E9" w:rsidRDefault="005435E9">
            <w:pPr>
              <w:pStyle w:val="yTableNAm"/>
              <w:jc w:val="center"/>
            </w:pPr>
            <w:r>
              <w:t>11.167</w:t>
            </w:r>
          </w:p>
        </w:tc>
        <w:tc>
          <w:tcPr>
            <w:tcW w:w="2268" w:type="dxa"/>
            <w:tcBorders>
              <w:top w:val="nil"/>
              <w:left w:val="nil"/>
              <w:bottom w:val="nil"/>
              <w:right w:val="nil"/>
            </w:tcBorders>
            <w:noWrap/>
            <w:vAlign w:val="center"/>
          </w:tcPr>
          <w:p w:rsidR="005435E9" w:rsidRDefault="005435E9">
            <w:pPr>
              <w:pStyle w:val="yTableNAm"/>
              <w:jc w:val="center"/>
            </w:pPr>
            <w:r>
              <w:t>15.146</w:t>
            </w:r>
          </w:p>
        </w:tc>
      </w:tr>
      <w:tr w:rsidR="005435E9">
        <w:tc>
          <w:tcPr>
            <w:tcW w:w="2159" w:type="dxa"/>
            <w:tcBorders>
              <w:top w:val="nil"/>
              <w:left w:val="nil"/>
              <w:bottom w:val="nil"/>
              <w:right w:val="nil"/>
            </w:tcBorders>
            <w:noWrap/>
          </w:tcPr>
          <w:p w:rsidR="005435E9" w:rsidRDefault="005435E9">
            <w:pPr>
              <w:pStyle w:val="yTableNAm"/>
            </w:pPr>
            <w:r>
              <w:t>Brunswick</w:t>
            </w:r>
          </w:p>
        </w:tc>
        <w:tc>
          <w:tcPr>
            <w:tcW w:w="1810" w:type="dxa"/>
            <w:tcBorders>
              <w:top w:val="nil"/>
              <w:left w:val="nil"/>
              <w:bottom w:val="nil"/>
              <w:right w:val="nil"/>
            </w:tcBorders>
            <w:noWrap/>
            <w:vAlign w:val="center"/>
          </w:tcPr>
          <w:p w:rsidR="005435E9" w:rsidRDefault="005435E9">
            <w:pPr>
              <w:pStyle w:val="yTableNAm"/>
              <w:jc w:val="center"/>
            </w:pPr>
            <w:r>
              <w:t>10.474</w:t>
            </w:r>
          </w:p>
        </w:tc>
        <w:tc>
          <w:tcPr>
            <w:tcW w:w="2268" w:type="dxa"/>
            <w:tcBorders>
              <w:top w:val="nil"/>
              <w:left w:val="nil"/>
              <w:bottom w:val="nil"/>
              <w:right w:val="nil"/>
            </w:tcBorders>
            <w:noWrap/>
            <w:vAlign w:val="center"/>
          </w:tcPr>
          <w:p w:rsidR="005435E9" w:rsidRDefault="005435E9">
            <w:pPr>
              <w:pStyle w:val="yTableNAm"/>
              <w:jc w:val="center"/>
            </w:pPr>
            <w:r>
              <w:t>17.996</w:t>
            </w:r>
          </w:p>
        </w:tc>
      </w:tr>
      <w:tr w:rsidR="005435E9">
        <w:tc>
          <w:tcPr>
            <w:tcW w:w="2159" w:type="dxa"/>
            <w:tcBorders>
              <w:top w:val="nil"/>
              <w:left w:val="nil"/>
              <w:bottom w:val="nil"/>
              <w:right w:val="nil"/>
            </w:tcBorders>
            <w:noWrap/>
          </w:tcPr>
          <w:p w:rsidR="005435E9" w:rsidRDefault="005435E9">
            <w:pPr>
              <w:pStyle w:val="yTableNAm"/>
            </w:pPr>
            <w:r>
              <w:t>Bunbury</w:t>
            </w:r>
          </w:p>
        </w:tc>
        <w:tc>
          <w:tcPr>
            <w:tcW w:w="1810" w:type="dxa"/>
            <w:tcBorders>
              <w:top w:val="nil"/>
              <w:left w:val="nil"/>
              <w:bottom w:val="nil"/>
              <w:right w:val="nil"/>
            </w:tcBorders>
            <w:noWrap/>
            <w:vAlign w:val="center"/>
          </w:tcPr>
          <w:p w:rsidR="005435E9" w:rsidRDefault="005435E9">
            <w:pPr>
              <w:pStyle w:val="yTableNAm"/>
              <w:jc w:val="center"/>
            </w:pPr>
            <w:r>
              <w:t>9.942</w:t>
            </w:r>
          </w:p>
        </w:tc>
        <w:tc>
          <w:tcPr>
            <w:tcW w:w="2268" w:type="dxa"/>
            <w:tcBorders>
              <w:top w:val="nil"/>
              <w:left w:val="nil"/>
              <w:bottom w:val="nil"/>
              <w:right w:val="nil"/>
            </w:tcBorders>
            <w:noWrap/>
            <w:vAlign w:val="center"/>
          </w:tcPr>
          <w:p w:rsidR="005435E9" w:rsidRDefault="005435E9">
            <w:pPr>
              <w:pStyle w:val="yTableNAm"/>
              <w:jc w:val="center"/>
            </w:pPr>
            <w:r>
              <w:t>10.529</w:t>
            </w:r>
          </w:p>
        </w:tc>
      </w:tr>
      <w:tr w:rsidR="005435E9">
        <w:tc>
          <w:tcPr>
            <w:tcW w:w="2159" w:type="dxa"/>
            <w:tcBorders>
              <w:top w:val="nil"/>
              <w:left w:val="nil"/>
              <w:bottom w:val="nil"/>
              <w:right w:val="nil"/>
            </w:tcBorders>
            <w:noWrap/>
          </w:tcPr>
          <w:p w:rsidR="005435E9" w:rsidRDefault="005435E9">
            <w:pPr>
              <w:pStyle w:val="yTableNAm"/>
            </w:pPr>
            <w:r>
              <w:t>Burekup</w:t>
            </w:r>
          </w:p>
        </w:tc>
        <w:tc>
          <w:tcPr>
            <w:tcW w:w="1810" w:type="dxa"/>
            <w:tcBorders>
              <w:top w:val="nil"/>
              <w:left w:val="nil"/>
              <w:bottom w:val="nil"/>
              <w:right w:val="nil"/>
            </w:tcBorders>
            <w:noWrap/>
            <w:vAlign w:val="center"/>
          </w:tcPr>
          <w:p w:rsidR="005435E9" w:rsidRDefault="005435E9">
            <w:pPr>
              <w:pStyle w:val="yTableNAm"/>
              <w:jc w:val="center"/>
            </w:pPr>
            <w:r>
              <w:t>9.514</w:t>
            </w:r>
          </w:p>
        </w:tc>
        <w:tc>
          <w:tcPr>
            <w:tcW w:w="2268" w:type="dxa"/>
            <w:tcBorders>
              <w:top w:val="nil"/>
              <w:left w:val="nil"/>
              <w:bottom w:val="nil"/>
              <w:right w:val="nil"/>
            </w:tcBorders>
            <w:noWrap/>
            <w:vAlign w:val="center"/>
          </w:tcPr>
          <w:p w:rsidR="005435E9" w:rsidRDefault="005435E9">
            <w:pPr>
              <w:pStyle w:val="yTableNAm"/>
              <w:jc w:val="center"/>
            </w:pPr>
            <w:r>
              <w:t>11.393</w:t>
            </w:r>
          </w:p>
        </w:tc>
      </w:tr>
      <w:tr w:rsidR="005435E9">
        <w:tc>
          <w:tcPr>
            <w:tcW w:w="2159" w:type="dxa"/>
            <w:tcBorders>
              <w:top w:val="nil"/>
              <w:left w:val="nil"/>
              <w:bottom w:val="nil"/>
              <w:right w:val="nil"/>
            </w:tcBorders>
            <w:noWrap/>
          </w:tcPr>
          <w:p w:rsidR="005435E9" w:rsidRDefault="005435E9">
            <w:pPr>
              <w:pStyle w:val="yTableNAm"/>
            </w:pPr>
            <w:r>
              <w:t>Busselton</w:t>
            </w:r>
          </w:p>
        </w:tc>
        <w:tc>
          <w:tcPr>
            <w:tcW w:w="1810" w:type="dxa"/>
            <w:tcBorders>
              <w:top w:val="nil"/>
              <w:left w:val="nil"/>
              <w:bottom w:val="nil"/>
              <w:right w:val="nil"/>
            </w:tcBorders>
            <w:noWrap/>
            <w:vAlign w:val="center"/>
          </w:tcPr>
          <w:p w:rsidR="005435E9" w:rsidRDefault="005435E9">
            <w:pPr>
              <w:pStyle w:val="yTableNAm"/>
              <w:jc w:val="center"/>
            </w:pPr>
            <w:r>
              <w:t>6.306</w:t>
            </w:r>
          </w:p>
        </w:tc>
        <w:tc>
          <w:tcPr>
            <w:tcW w:w="2268" w:type="dxa"/>
            <w:tcBorders>
              <w:top w:val="nil"/>
              <w:left w:val="nil"/>
              <w:bottom w:val="nil"/>
              <w:right w:val="nil"/>
            </w:tcBorders>
            <w:noWrap/>
            <w:vAlign w:val="center"/>
          </w:tcPr>
          <w:p w:rsidR="005435E9" w:rsidRDefault="005435E9">
            <w:pPr>
              <w:pStyle w:val="yTableNAm"/>
              <w:jc w:val="center"/>
            </w:pPr>
            <w:r>
              <w:t>6.098</w:t>
            </w:r>
          </w:p>
        </w:tc>
      </w:tr>
      <w:tr w:rsidR="005435E9">
        <w:tc>
          <w:tcPr>
            <w:tcW w:w="2159" w:type="dxa"/>
            <w:tcBorders>
              <w:top w:val="nil"/>
              <w:left w:val="nil"/>
              <w:bottom w:val="nil"/>
              <w:right w:val="nil"/>
            </w:tcBorders>
            <w:noWrap/>
          </w:tcPr>
          <w:p w:rsidR="005435E9" w:rsidRDefault="005435E9">
            <w:pPr>
              <w:pStyle w:val="yTableNAm"/>
            </w:pPr>
            <w:r>
              <w:t>Capel</w:t>
            </w:r>
          </w:p>
        </w:tc>
        <w:tc>
          <w:tcPr>
            <w:tcW w:w="1810" w:type="dxa"/>
            <w:tcBorders>
              <w:top w:val="nil"/>
              <w:left w:val="nil"/>
              <w:bottom w:val="nil"/>
              <w:right w:val="nil"/>
            </w:tcBorders>
            <w:noWrap/>
            <w:vAlign w:val="center"/>
          </w:tcPr>
          <w:p w:rsidR="005435E9" w:rsidRDefault="005435E9">
            <w:pPr>
              <w:pStyle w:val="yTableNAm"/>
              <w:jc w:val="center"/>
            </w:pPr>
            <w:r>
              <w:t>9.598</w:t>
            </w:r>
          </w:p>
        </w:tc>
        <w:tc>
          <w:tcPr>
            <w:tcW w:w="2268" w:type="dxa"/>
            <w:tcBorders>
              <w:top w:val="nil"/>
              <w:left w:val="nil"/>
              <w:bottom w:val="nil"/>
              <w:right w:val="nil"/>
            </w:tcBorders>
            <w:noWrap/>
            <w:vAlign w:val="center"/>
          </w:tcPr>
          <w:p w:rsidR="005435E9" w:rsidRDefault="005435E9">
            <w:pPr>
              <w:pStyle w:val="yTableNAm"/>
              <w:jc w:val="center"/>
            </w:pPr>
            <w:r>
              <w:t>10.293</w:t>
            </w:r>
          </w:p>
        </w:tc>
      </w:tr>
      <w:tr w:rsidR="005435E9">
        <w:tc>
          <w:tcPr>
            <w:tcW w:w="2159" w:type="dxa"/>
            <w:tcBorders>
              <w:top w:val="nil"/>
              <w:left w:val="nil"/>
              <w:bottom w:val="nil"/>
              <w:right w:val="nil"/>
            </w:tcBorders>
            <w:noWrap/>
          </w:tcPr>
          <w:p w:rsidR="005435E9" w:rsidRDefault="005435E9">
            <w:pPr>
              <w:pStyle w:val="yTableNAm"/>
            </w:pPr>
            <w:r>
              <w:t>Carnarvon</w:t>
            </w:r>
          </w:p>
        </w:tc>
        <w:tc>
          <w:tcPr>
            <w:tcW w:w="1810" w:type="dxa"/>
            <w:tcBorders>
              <w:top w:val="nil"/>
              <w:left w:val="nil"/>
              <w:bottom w:val="nil"/>
              <w:right w:val="nil"/>
            </w:tcBorders>
            <w:noWrap/>
            <w:vAlign w:val="center"/>
          </w:tcPr>
          <w:p w:rsidR="005435E9" w:rsidRDefault="005435E9">
            <w:pPr>
              <w:pStyle w:val="yTableNAm"/>
              <w:jc w:val="center"/>
            </w:pPr>
            <w:r>
              <w:t>10.560</w:t>
            </w:r>
          </w:p>
        </w:tc>
        <w:tc>
          <w:tcPr>
            <w:tcW w:w="2268" w:type="dxa"/>
            <w:tcBorders>
              <w:top w:val="nil"/>
              <w:left w:val="nil"/>
              <w:bottom w:val="nil"/>
              <w:right w:val="nil"/>
            </w:tcBorders>
            <w:noWrap/>
            <w:vAlign w:val="center"/>
          </w:tcPr>
          <w:p w:rsidR="005435E9" w:rsidRDefault="005435E9">
            <w:pPr>
              <w:pStyle w:val="yTableNAm"/>
              <w:jc w:val="center"/>
            </w:pPr>
            <w:r>
              <w:t>23.667</w:t>
            </w:r>
          </w:p>
        </w:tc>
      </w:tr>
      <w:tr w:rsidR="005435E9">
        <w:tc>
          <w:tcPr>
            <w:tcW w:w="2159" w:type="dxa"/>
            <w:tcBorders>
              <w:top w:val="nil"/>
              <w:left w:val="nil"/>
              <w:bottom w:val="nil"/>
              <w:right w:val="nil"/>
            </w:tcBorders>
            <w:noWrap/>
          </w:tcPr>
          <w:p w:rsidR="005435E9" w:rsidRDefault="005435E9">
            <w:pPr>
              <w:pStyle w:val="yTableNAm"/>
            </w:pPr>
            <w:r>
              <w:t>Cervantes</w:t>
            </w:r>
          </w:p>
        </w:tc>
        <w:tc>
          <w:tcPr>
            <w:tcW w:w="1810" w:type="dxa"/>
            <w:tcBorders>
              <w:top w:val="nil"/>
              <w:left w:val="nil"/>
              <w:bottom w:val="nil"/>
              <w:right w:val="nil"/>
            </w:tcBorders>
            <w:noWrap/>
            <w:vAlign w:val="center"/>
          </w:tcPr>
          <w:p w:rsidR="005435E9" w:rsidRDefault="005435E9">
            <w:pPr>
              <w:pStyle w:val="yTableNAm"/>
              <w:jc w:val="center"/>
            </w:pPr>
            <w:r>
              <w:t>12.480</w:t>
            </w:r>
          </w:p>
        </w:tc>
        <w:tc>
          <w:tcPr>
            <w:tcW w:w="2268" w:type="dxa"/>
            <w:tcBorders>
              <w:top w:val="nil"/>
              <w:left w:val="nil"/>
              <w:bottom w:val="nil"/>
              <w:right w:val="nil"/>
            </w:tcBorders>
            <w:noWrap/>
            <w:vAlign w:val="center"/>
          </w:tcPr>
          <w:p w:rsidR="005435E9" w:rsidRDefault="005435E9">
            <w:pPr>
              <w:pStyle w:val="yTableNAm"/>
              <w:jc w:val="center"/>
            </w:pPr>
            <w:r>
              <w:t>12.450</w:t>
            </w:r>
          </w:p>
        </w:tc>
      </w:tr>
      <w:tr w:rsidR="005435E9">
        <w:tc>
          <w:tcPr>
            <w:tcW w:w="2159" w:type="dxa"/>
            <w:tcBorders>
              <w:top w:val="nil"/>
              <w:left w:val="nil"/>
              <w:bottom w:val="nil"/>
              <w:right w:val="nil"/>
            </w:tcBorders>
            <w:noWrap/>
          </w:tcPr>
          <w:p w:rsidR="005435E9" w:rsidRDefault="005435E9">
            <w:pPr>
              <w:pStyle w:val="yTableNAm"/>
            </w:pPr>
            <w:r>
              <w:t>Collie</w:t>
            </w:r>
          </w:p>
        </w:tc>
        <w:tc>
          <w:tcPr>
            <w:tcW w:w="1810" w:type="dxa"/>
            <w:tcBorders>
              <w:top w:val="nil"/>
              <w:left w:val="nil"/>
              <w:bottom w:val="nil"/>
              <w:right w:val="nil"/>
            </w:tcBorders>
            <w:noWrap/>
            <w:vAlign w:val="center"/>
          </w:tcPr>
          <w:p w:rsidR="005435E9" w:rsidRDefault="005435E9">
            <w:pPr>
              <w:pStyle w:val="yTableNAm"/>
              <w:jc w:val="center"/>
            </w:pPr>
            <w:r>
              <w:t>17.403</w:t>
            </w:r>
          </w:p>
        </w:tc>
        <w:tc>
          <w:tcPr>
            <w:tcW w:w="2268" w:type="dxa"/>
            <w:tcBorders>
              <w:top w:val="nil"/>
              <w:left w:val="nil"/>
              <w:bottom w:val="nil"/>
              <w:right w:val="nil"/>
            </w:tcBorders>
            <w:noWrap/>
            <w:vAlign w:val="center"/>
          </w:tcPr>
          <w:p w:rsidR="005435E9" w:rsidRDefault="005435E9">
            <w:pPr>
              <w:pStyle w:val="yTableNAm"/>
              <w:jc w:val="center"/>
            </w:pPr>
            <w:r>
              <w:t>33.628</w:t>
            </w:r>
          </w:p>
        </w:tc>
      </w:tr>
      <w:tr w:rsidR="005435E9">
        <w:tc>
          <w:tcPr>
            <w:tcW w:w="2159" w:type="dxa"/>
            <w:tcBorders>
              <w:top w:val="nil"/>
              <w:left w:val="nil"/>
              <w:bottom w:val="nil"/>
              <w:right w:val="nil"/>
            </w:tcBorders>
            <w:noWrap/>
          </w:tcPr>
          <w:p w:rsidR="005435E9" w:rsidRDefault="005435E9">
            <w:pPr>
              <w:pStyle w:val="yTableNAm"/>
            </w:pPr>
            <w:r>
              <w:t>Coral Bay</w:t>
            </w:r>
          </w:p>
        </w:tc>
        <w:tc>
          <w:tcPr>
            <w:tcW w:w="1810" w:type="dxa"/>
            <w:tcBorders>
              <w:top w:val="nil"/>
              <w:left w:val="nil"/>
              <w:bottom w:val="nil"/>
              <w:right w:val="nil"/>
            </w:tcBorders>
            <w:noWrap/>
            <w:vAlign w:val="center"/>
          </w:tcPr>
          <w:p w:rsidR="005435E9" w:rsidRDefault="005435E9">
            <w:pPr>
              <w:pStyle w:val="yTableNAm"/>
              <w:jc w:val="center"/>
            </w:pPr>
            <w:r>
              <w:t>481.555</w:t>
            </w:r>
          </w:p>
        </w:tc>
        <w:tc>
          <w:tcPr>
            <w:tcW w:w="2268" w:type="dxa"/>
            <w:tcBorders>
              <w:top w:val="nil"/>
              <w:left w:val="nil"/>
              <w:bottom w:val="nil"/>
              <w:right w:val="nil"/>
            </w:tcBorders>
            <w:noWrap/>
            <w:vAlign w:val="center"/>
          </w:tcPr>
          <w:p w:rsidR="005435E9" w:rsidRDefault="005435E9">
            <w:pPr>
              <w:pStyle w:val="yTableNAm"/>
              <w:jc w:val="center"/>
            </w:pPr>
            <w:r>
              <w:t>1 364.007</w:t>
            </w:r>
          </w:p>
        </w:tc>
      </w:tr>
      <w:tr w:rsidR="005435E9">
        <w:tc>
          <w:tcPr>
            <w:tcW w:w="2159" w:type="dxa"/>
            <w:tcBorders>
              <w:top w:val="nil"/>
              <w:left w:val="nil"/>
              <w:bottom w:val="nil"/>
              <w:right w:val="nil"/>
            </w:tcBorders>
            <w:noWrap/>
          </w:tcPr>
          <w:p w:rsidR="005435E9" w:rsidRDefault="005435E9">
            <w:pPr>
              <w:pStyle w:val="yTableNAm"/>
            </w:pPr>
            <w:r>
              <w:t>Corrigin</w:t>
            </w:r>
          </w:p>
        </w:tc>
        <w:tc>
          <w:tcPr>
            <w:tcW w:w="1810" w:type="dxa"/>
            <w:tcBorders>
              <w:top w:val="nil"/>
              <w:left w:val="nil"/>
              <w:bottom w:val="nil"/>
              <w:right w:val="nil"/>
            </w:tcBorders>
            <w:noWrap/>
            <w:vAlign w:val="center"/>
          </w:tcPr>
          <w:p w:rsidR="005435E9" w:rsidRDefault="005435E9">
            <w:pPr>
              <w:pStyle w:val="yTableNAm"/>
              <w:jc w:val="center"/>
            </w:pPr>
            <w:r>
              <w:t>27.744</w:t>
            </w:r>
          </w:p>
        </w:tc>
        <w:tc>
          <w:tcPr>
            <w:tcW w:w="2268" w:type="dxa"/>
            <w:tcBorders>
              <w:top w:val="nil"/>
              <w:left w:val="nil"/>
              <w:bottom w:val="nil"/>
              <w:right w:val="nil"/>
            </w:tcBorders>
            <w:noWrap/>
            <w:vAlign w:val="center"/>
          </w:tcPr>
          <w:p w:rsidR="005435E9" w:rsidRDefault="005435E9">
            <w:pPr>
              <w:pStyle w:val="yTableNAm"/>
              <w:jc w:val="center"/>
            </w:pPr>
            <w:r>
              <w:t>101.038</w:t>
            </w:r>
          </w:p>
        </w:tc>
      </w:tr>
      <w:tr w:rsidR="005435E9">
        <w:tc>
          <w:tcPr>
            <w:tcW w:w="2159" w:type="dxa"/>
            <w:tcBorders>
              <w:top w:val="nil"/>
              <w:left w:val="nil"/>
              <w:bottom w:val="nil"/>
              <w:right w:val="nil"/>
            </w:tcBorders>
            <w:noWrap/>
          </w:tcPr>
          <w:p w:rsidR="005435E9" w:rsidRDefault="005435E9">
            <w:pPr>
              <w:pStyle w:val="yTableNAm"/>
            </w:pPr>
            <w:r>
              <w:t>Cowaramup</w:t>
            </w:r>
          </w:p>
        </w:tc>
        <w:tc>
          <w:tcPr>
            <w:tcW w:w="1810" w:type="dxa"/>
            <w:tcBorders>
              <w:top w:val="nil"/>
              <w:left w:val="nil"/>
              <w:bottom w:val="nil"/>
              <w:right w:val="nil"/>
            </w:tcBorders>
            <w:noWrap/>
            <w:vAlign w:val="center"/>
          </w:tcPr>
          <w:p w:rsidR="005435E9" w:rsidRDefault="005435E9">
            <w:pPr>
              <w:pStyle w:val="yTableNAm"/>
              <w:jc w:val="center"/>
            </w:pPr>
            <w:r>
              <w:t>5.914</w:t>
            </w:r>
          </w:p>
        </w:tc>
        <w:tc>
          <w:tcPr>
            <w:tcW w:w="2268" w:type="dxa"/>
            <w:tcBorders>
              <w:top w:val="nil"/>
              <w:left w:val="nil"/>
              <w:bottom w:val="nil"/>
              <w:right w:val="nil"/>
            </w:tcBorders>
            <w:noWrap/>
            <w:vAlign w:val="center"/>
          </w:tcPr>
          <w:p w:rsidR="005435E9" w:rsidRDefault="005435E9">
            <w:pPr>
              <w:pStyle w:val="yTableNAm"/>
              <w:jc w:val="center"/>
            </w:pPr>
            <w:r>
              <w:t>7.750</w:t>
            </w:r>
          </w:p>
        </w:tc>
      </w:tr>
      <w:tr w:rsidR="005435E9">
        <w:tc>
          <w:tcPr>
            <w:tcW w:w="2159" w:type="dxa"/>
            <w:tcBorders>
              <w:top w:val="nil"/>
              <w:left w:val="nil"/>
              <w:bottom w:val="nil"/>
              <w:right w:val="nil"/>
            </w:tcBorders>
            <w:noWrap/>
          </w:tcPr>
          <w:p w:rsidR="005435E9" w:rsidRDefault="005435E9">
            <w:pPr>
              <w:pStyle w:val="yTableNAm"/>
            </w:pPr>
            <w:r>
              <w:lastRenderedPageBreak/>
              <w:t>Cranbrook</w:t>
            </w:r>
          </w:p>
        </w:tc>
        <w:tc>
          <w:tcPr>
            <w:tcW w:w="1810" w:type="dxa"/>
            <w:tcBorders>
              <w:top w:val="nil"/>
              <w:left w:val="nil"/>
              <w:bottom w:val="nil"/>
              <w:right w:val="nil"/>
            </w:tcBorders>
            <w:noWrap/>
            <w:vAlign w:val="center"/>
          </w:tcPr>
          <w:p w:rsidR="005435E9" w:rsidRDefault="005435E9">
            <w:pPr>
              <w:pStyle w:val="yTableNAm"/>
              <w:jc w:val="center"/>
            </w:pPr>
            <w:r>
              <w:t>16.943</w:t>
            </w:r>
          </w:p>
        </w:tc>
        <w:tc>
          <w:tcPr>
            <w:tcW w:w="2268" w:type="dxa"/>
            <w:tcBorders>
              <w:top w:val="nil"/>
              <w:left w:val="nil"/>
              <w:bottom w:val="nil"/>
              <w:right w:val="nil"/>
            </w:tcBorders>
            <w:noWrap/>
            <w:vAlign w:val="center"/>
          </w:tcPr>
          <w:p w:rsidR="005435E9" w:rsidRDefault="005435E9">
            <w:pPr>
              <w:pStyle w:val="yTableNAm"/>
              <w:jc w:val="center"/>
            </w:pPr>
            <w:r>
              <w:t>73.094</w:t>
            </w:r>
          </w:p>
        </w:tc>
      </w:tr>
      <w:tr w:rsidR="005435E9">
        <w:tc>
          <w:tcPr>
            <w:tcW w:w="2159" w:type="dxa"/>
            <w:tcBorders>
              <w:top w:val="nil"/>
              <w:left w:val="nil"/>
              <w:bottom w:val="nil"/>
              <w:right w:val="nil"/>
            </w:tcBorders>
            <w:noWrap/>
          </w:tcPr>
          <w:p w:rsidR="005435E9" w:rsidRDefault="005435E9">
            <w:pPr>
              <w:pStyle w:val="yTableNAm"/>
            </w:pPr>
            <w:r>
              <w:t>Cunderdin</w:t>
            </w:r>
          </w:p>
        </w:tc>
        <w:tc>
          <w:tcPr>
            <w:tcW w:w="1810" w:type="dxa"/>
            <w:tcBorders>
              <w:top w:val="nil"/>
              <w:left w:val="nil"/>
              <w:bottom w:val="nil"/>
              <w:right w:val="nil"/>
            </w:tcBorders>
            <w:noWrap/>
            <w:vAlign w:val="center"/>
          </w:tcPr>
          <w:p w:rsidR="005435E9" w:rsidRDefault="005435E9">
            <w:pPr>
              <w:pStyle w:val="yTableNAm"/>
              <w:jc w:val="center"/>
            </w:pPr>
            <w:r>
              <w:t>23.249</w:t>
            </w:r>
          </w:p>
        </w:tc>
        <w:tc>
          <w:tcPr>
            <w:tcW w:w="2268" w:type="dxa"/>
            <w:tcBorders>
              <w:top w:val="nil"/>
              <w:left w:val="nil"/>
              <w:bottom w:val="nil"/>
              <w:right w:val="nil"/>
            </w:tcBorders>
            <w:noWrap/>
            <w:vAlign w:val="center"/>
          </w:tcPr>
          <w:p w:rsidR="005435E9" w:rsidRDefault="005435E9">
            <w:pPr>
              <w:pStyle w:val="yTableNAm"/>
              <w:jc w:val="center"/>
            </w:pPr>
            <w:r>
              <w:t>55.658</w:t>
            </w:r>
          </w:p>
        </w:tc>
      </w:tr>
      <w:tr w:rsidR="005435E9">
        <w:tc>
          <w:tcPr>
            <w:tcW w:w="2159" w:type="dxa"/>
            <w:tcBorders>
              <w:top w:val="nil"/>
              <w:left w:val="nil"/>
              <w:bottom w:val="nil"/>
              <w:right w:val="nil"/>
            </w:tcBorders>
            <w:noWrap/>
          </w:tcPr>
          <w:p w:rsidR="005435E9" w:rsidRDefault="005435E9">
            <w:pPr>
              <w:pStyle w:val="yTableNAm"/>
            </w:pPr>
            <w:r>
              <w:t>Dalyellup</w:t>
            </w:r>
          </w:p>
        </w:tc>
        <w:tc>
          <w:tcPr>
            <w:tcW w:w="1810" w:type="dxa"/>
            <w:tcBorders>
              <w:top w:val="nil"/>
              <w:left w:val="nil"/>
              <w:bottom w:val="nil"/>
              <w:right w:val="nil"/>
            </w:tcBorders>
            <w:noWrap/>
            <w:vAlign w:val="center"/>
          </w:tcPr>
          <w:p w:rsidR="005435E9" w:rsidRDefault="005435E9">
            <w:pPr>
              <w:pStyle w:val="yTableNAm"/>
              <w:jc w:val="center"/>
            </w:pPr>
            <w:r>
              <w:t>4.617</w:t>
            </w:r>
          </w:p>
        </w:tc>
        <w:tc>
          <w:tcPr>
            <w:tcW w:w="2268" w:type="dxa"/>
            <w:tcBorders>
              <w:top w:val="nil"/>
              <w:left w:val="nil"/>
              <w:bottom w:val="nil"/>
              <w:right w:val="nil"/>
            </w:tcBorders>
            <w:noWrap/>
            <w:vAlign w:val="center"/>
          </w:tcPr>
          <w:p w:rsidR="005435E9" w:rsidRDefault="005435E9">
            <w:pPr>
              <w:pStyle w:val="yTableNAm"/>
              <w:jc w:val="center"/>
            </w:pPr>
            <w:r>
              <w:t>5.650</w:t>
            </w:r>
          </w:p>
        </w:tc>
      </w:tr>
      <w:tr w:rsidR="005435E9">
        <w:tc>
          <w:tcPr>
            <w:tcW w:w="2159" w:type="dxa"/>
            <w:tcBorders>
              <w:top w:val="nil"/>
              <w:left w:val="nil"/>
              <w:bottom w:val="nil"/>
              <w:right w:val="nil"/>
            </w:tcBorders>
            <w:noWrap/>
          </w:tcPr>
          <w:p w:rsidR="005435E9" w:rsidRDefault="005435E9">
            <w:pPr>
              <w:pStyle w:val="yTableNAm"/>
            </w:pPr>
            <w:r>
              <w:t>Dardanup</w:t>
            </w:r>
          </w:p>
        </w:tc>
        <w:tc>
          <w:tcPr>
            <w:tcW w:w="1810" w:type="dxa"/>
            <w:tcBorders>
              <w:top w:val="nil"/>
              <w:left w:val="nil"/>
              <w:bottom w:val="nil"/>
              <w:right w:val="nil"/>
            </w:tcBorders>
            <w:noWrap/>
            <w:vAlign w:val="center"/>
          </w:tcPr>
          <w:p w:rsidR="005435E9" w:rsidRDefault="005435E9">
            <w:pPr>
              <w:pStyle w:val="yTableNAm"/>
              <w:jc w:val="center"/>
            </w:pPr>
            <w:r>
              <w:t>21.979</w:t>
            </w:r>
          </w:p>
        </w:tc>
        <w:tc>
          <w:tcPr>
            <w:tcW w:w="2268" w:type="dxa"/>
            <w:tcBorders>
              <w:top w:val="nil"/>
              <w:left w:val="nil"/>
              <w:bottom w:val="nil"/>
              <w:right w:val="nil"/>
            </w:tcBorders>
            <w:noWrap/>
            <w:vAlign w:val="center"/>
          </w:tcPr>
          <w:p w:rsidR="005435E9" w:rsidRDefault="005435E9">
            <w:pPr>
              <w:pStyle w:val="yTableNAm"/>
              <w:jc w:val="center"/>
            </w:pPr>
            <w:r>
              <w:t>39.959</w:t>
            </w:r>
          </w:p>
        </w:tc>
      </w:tr>
      <w:tr w:rsidR="005435E9">
        <w:tc>
          <w:tcPr>
            <w:tcW w:w="2159" w:type="dxa"/>
            <w:tcBorders>
              <w:top w:val="nil"/>
              <w:left w:val="nil"/>
              <w:bottom w:val="nil"/>
              <w:right w:val="nil"/>
            </w:tcBorders>
            <w:noWrap/>
          </w:tcPr>
          <w:p w:rsidR="005435E9" w:rsidRDefault="005435E9">
            <w:pPr>
              <w:pStyle w:val="yTableNAm"/>
            </w:pPr>
            <w:r>
              <w:t>Denham</w:t>
            </w:r>
          </w:p>
        </w:tc>
        <w:tc>
          <w:tcPr>
            <w:tcW w:w="1810" w:type="dxa"/>
            <w:tcBorders>
              <w:top w:val="nil"/>
              <w:left w:val="nil"/>
              <w:bottom w:val="nil"/>
              <w:right w:val="nil"/>
            </w:tcBorders>
            <w:noWrap/>
            <w:vAlign w:val="center"/>
          </w:tcPr>
          <w:p w:rsidR="005435E9" w:rsidRDefault="005435E9">
            <w:pPr>
              <w:pStyle w:val="yTableNAm"/>
              <w:jc w:val="center"/>
            </w:pPr>
            <w:r>
              <w:t>11.762</w:t>
            </w:r>
          </w:p>
        </w:tc>
        <w:tc>
          <w:tcPr>
            <w:tcW w:w="2268" w:type="dxa"/>
            <w:tcBorders>
              <w:top w:val="nil"/>
              <w:left w:val="nil"/>
              <w:bottom w:val="nil"/>
              <w:right w:val="nil"/>
            </w:tcBorders>
            <w:noWrap/>
            <w:vAlign w:val="center"/>
          </w:tcPr>
          <w:p w:rsidR="005435E9" w:rsidRDefault="005435E9">
            <w:pPr>
              <w:pStyle w:val="yTableNAm"/>
              <w:jc w:val="center"/>
            </w:pPr>
            <w:r>
              <w:t>17.159</w:t>
            </w:r>
          </w:p>
        </w:tc>
      </w:tr>
      <w:tr w:rsidR="005435E9">
        <w:tc>
          <w:tcPr>
            <w:tcW w:w="2159" w:type="dxa"/>
            <w:tcBorders>
              <w:top w:val="nil"/>
              <w:left w:val="nil"/>
              <w:bottom w:val="nil"/>
              <w:right w:val="nil"/>
            </w:tcBorders>
            <w:noWrap/>
          </w:tcPr>
          <w:p w:rsidR="005435E9" w:rsidRDefault="005435E9">
            <w:pPr>
              <w:pStyle w:val="yTableNAm"/>
            </w:pPr>
            <w:r>
              <w:t>Denmark</w:t>
            </w:r>
          </w:p>
        </w:tc>
        <w:tc>
          <w:tcPr>
            <w:tcW w:w="1810" w:type="dxa"/>
            <w:tcBorders>
              <w:top w:val="nil"/>
              <w:left w:val="nil"/>
              <w:bottom w:val="nil"/>
              <w:right w:val="nil"/>
            </w:tcBorders>
            <w:noWrap/>
            <w:vAlign w:val="center"/>
          </w:tcPr>
          <w:p w:rsidR="005435E9" w:rsidRDefault="005435E9">
            <w:pPr>
              <w:pStyle w:val="yTableNAm"/>
              <w:jc w:val="center"/>
            </w:pPr>
            <w:r>
              <w:t>23.123</w:t>
            </w:r>
          </w:p>
        </w:tc>
        <w:tc>
          <w:tcPr>
            <w:tcW w:w="2268" w:type="dxa"/>
            <w:tcBorders>
              <w:top w:val="nil"/>
              <w:left w:val="nil"/>
              <w:bottom w:val="nil"/>
              <w:right w:val="nil"/>
            </w:tcBorders>
            <w:noWrap/>
            <w:vAlign w:val="center"/>
          </w:tcPr>
          <w:p w:rsidR="005435E9" w:rsidRDefault="005435E9">
            <w:pPr>
              <w:pStyle w:val="yTableNAm"/>
              <w:jc w:val="center"/>
            </w:pPr>
            <w:r>
              <w:t>48.681</w:t>
            </w:r>
          </w:p>
        </w:tc>
      </w:tr>
      <w:tr w:rsidR="005435E9">
        <w:tc>
          <w:tcPr>
            <w:tcW w:w="2159" w:type="dxa"/>
            <w:tcBorders>
              <w:top w:val="nil"/>
              <w:left w:val="nil"/>
              <w:bottom w:val="nil"/>
              <w:right w:val="nil"/>
            </w:tcBorders>
            <w:noWrap/>
          </w:tcPr>
          <w:p w:rsidR="005435E9" w:rsidRDefault="005435E9">
            <w:pPr>
              <w:pStyle w:val="yTableNAm"/>
            </w:pPr>
            <w:r>
              <w:t>Derby</w:t>
            </w:r>
          </w:p>
        </w:tc>
        <w:tc>
          <w:tcPr>
            <w:tcW w:w="1810" w:type="dxa"/>
            <w:tcBorders>
              <w:top w:val="nil"/>
              <w:left w:val="nil"/>
              <w:bottom w:val="nil"/>
              <w:right w:val="nil"/>
            </w:tcBorders>
            <w:noWrap/>
            <w:vAlign w:val="center"/>
          </w:tcPr>
          <w:p w:rsidR="005435E9" w:rsidRDefault="005435E9">
            <w:pPr>
              <w:pStyle w:val="yTableNAm"/>
              <w:jc w:val="center"/>
            </w:pPr>
            <w:r>
              <w:t>11.765</w:t>
            </w:r>
          </w:p>
        </w:tc>
        <w:tc>
          <w:tcPr>
            <w:tcW w:w="2268" w:type="dxa"/>
            <w:tcBorders>
              <w:top w:val="nil"/>
              <w:left w:val="nil"/>
              <w:bottom w:val="nil"/>
              <w:right w:val="nil"/>
            </w:tcBorders>
            <w:noWrap/>
            <w:vAlign w:val="center"/>
          </w:tcPr>
          <w:p w:rsidR="005435E9" w:rsidRDefault="005435E9">
            <w:pPr>
              <w:pStyle w:val="yTableNAm"/>
              <w:jc w:val="center"/>
            </w:pPr>
            <w:r>
              <w:t>16.059</w:t>
            </w:r>
          </w:p>
        </w:tc>
      </w:tr>
      <w:tr w:rsidR="005435E9">
        <w:tc>
          <w:tcPr>
            <w:tcW w:w="2159" w:type="dxa"/>
            <w:tcBorders>
              <w:top w:val="nil"/>
              <w:left w:val="nil"/>
              <w:bottom w:val="nil"/>
              <w:right w:val="nil"/>
            </w:tcBorders>
            <w:noWrap/>
          </w:tcPr>
          <w:p w:rsidR="005435E9" w:rsidRDefault="005435E9">
            <w:pPr>
              <w:pStyle w:val="yTableNAm"/>
            </w:pPr>
            <w:r>
              <w:t>Dongara/Denison</w:t>
            </w:r>
          </w:p>
        </w:tc>
        <w:tc>
          <w:tcPr>
            <w:tcW w:w="1810" w:type="dxa"/>
            <w:tcBorders>
              <w:top w:val="nil"/>
              <w:left w:val="nil"/>
              <w:bottom w:val="nil"/>
              <w:right w:val="nil"/>
            </w:tcBorders>
            <w:noWrap/>
            <w:vAlign w:val="center"/>
          </w:tcPr>
          <w:p w:rsidR="005435E9" w:rsidRDefault="005435E9">
            <w:pPr>
              <w:pStyle w:val="yTableNAm"/>
              <w:jc w:val="center"/>
            </w:pPr>
            <w:r>
              <w:t>16.281</w:t>
            </w:r>
          </w:p>
        </w:tc>
        <w:tc>
          <w:tcPr>
            <w:tcW w:w="2268" w:type="dxa"/>
            <w:tcBorders>
              <w:top w:val="nil"/>
              <w:left w:val="nil"/>
              <w:bottom w:val="nil"/>
              <w:right w:val="nil"/>
            </w:tcBorders>
            <w:noWrap/>
            <w:vAlign w:val="center"/>
          </w:tcPr>
          <w:p w:rsidR="005435E9" w:rsidRDefault="005435E9">
            <w:pPr>
              <w:pStyle w:val="yTableNAm"/>
              <w:jc w:val="center"/>
            </w:pPr>
            <w:r>
              <w:t>27.330</w:t>
            </w:r>
          </w:p>
        </w:tc>
      </w:tr>
      <w:tr w:rsidR="005435E9">
        <w:tc>
          <w:tcPr>
            <w:tcW w:w="2159" w:type="dxa"/>
            <w:tcBorders>
              <w:top w:val="nil"/>
              <w:left w:val="nil"/>
              <w:bottom w:val="nil"/>
              <w:right w:val="nil"/>
            </w:tcBorders>
            <w:noWrap/>
          </w:tcPr>
          <w:p w:rsidR="005435E9" w:rsidRDefault="005435E9">
            <w:pPr>
              <w:pStyle w:val="yTableNAm"/>
            </w:pPr>
            <w:r>
              <w:t>Donnybrook</w:t>
            </w:r>
          </w:p>
        </w:tc>
        <w:tc>
          <w:tcPr>
            <w:tcW w:w="1810" w:type="dxa"/>
            <w:tcBorders>
              <w:top w:val="nil"/>
              <w:left w:val="nil"/>
              <w:bottom w:val="nil"/>
              <w:right w:val="nil"/>
            </w:tcBorders>
            <w:noWrap/>
            <w:vAlign w:val="center"/>
          </w:tcPr>
          <w:p w:rsidR="005435E9" w:rsidRDefault="005435E9">
            <w:pPr>
              <w:pStyle w:val="yTableNAm"/>
              <w:jc w:val="center"/>
            </w:pPr>
            <w:r>
              <w:t>34.764</w:t>
            </w:r>
          </w:p>
        </w:tc>
        <w:tc>
          <w:tcPr>
            <w:tcW w:w="2268" w:type="dxa"/>
            <w:tcBorders>
              <w:top w:val="nil"/>
              <w:left w:val="nil"/>
              <w:bottom w:val="nil"/>
              <w:right w:val="nil"/>
            </w:tcBorders>
            <w:noWrap/>
            <w:vAlign w:val="center"/>
          </w:tcPr>
          <w:p w:rsidR="005435E9" w:rsidRDefault="005435E9">
            <w:pPr>
              <w:pStyle w:val="yTableNAm"/>
              <w:jc w:val="center"/>
            </w:pPr>
            <w:r>
              <w:t>84.989</w:t>
            </w:r>
          </w:p>
        </w:tc>
      </w:tr>
      <w:tr w:rsidR="005435E9">
        <w:tc>
          <w:tcPr>
            <w:tcW w:w="2159" w:type="dxa"/>
            <w:tcBorders>
              <w:top w:val="nil"/>
              <w:left w:val="nil"/>
              <w:bottom w:val="nil"/>
              <w:right w:val="nil"/>
            </w:tcBorders>
            <w:noWrap/>
          </w:tcPr>
          <w:p w:rsidR="005435E9" w:rsidRDefault="005435E9">
            <w:pPr>
              <w:pStyle w:val="yTableNAm"/>
            </w:pPr>
            <w:r>
              <w:t>Dunsborough</w:t>
            </w:r>
          </w:p>
        </w:tc>
        <w:tc>
          <w:tcPr>
            <w:tcW w:w="1810" w:type="dxa"/>
            <w:tcBorders>
              <w:top w:val="nil"/>
              <w:left w:val="nil"/>
              <w:bottom w:val="nil"/>
              <w:right w:val="nil"/>
            </w:tcBorders>
            <w:noWrap/>
            <w:vAlign w:val="center"/>
          </w:tcPr>
          <w:p w:rsidR="005435E9" w:rsidRDefault="005435E9">
            <w:pPr>
              <w:pStyle w:val="yTableNAm"/>
              <w:jc w:val="center"/>
            </w:pPr>
            <w:r>
              <w:t>7.258</w:t>
            </w:r>
          </w:p>
        </w:tc>
        <w:tc>
          <w:tcPr>
            <w:tcW w:w="2268" w:type="dxa"/>
            <w:tcBorders>
              <w:top w:val="nil"/>
              <w:left w:val="nil"/>
              <w:bottom w:val="nil"/>
              <w:right w:val="nil"/>
            </w:tcBorders>
            <w:noWrap/>
            <w:vAlign w:val="center"/>
          </w:tcPr>
          <w:p w:rsidR="005435E9" w:rsidRDefault="005435E9">
            <w:pPr>
              <w:pStyle w:val="yTableNAm"/>
              <w:jc w:val="center"/>
            </w:pPr>
            <w:r>
              <w:t>5.842</w:t>
            </w:r>
          </w:p>
        </w:tc>
      </w:tr>
      <w:tr w:rsidR="005435E9">
        <w:tc>
          <w:tcPr>
            <w:tcW w:w="2159" w:type="dxa"/>
            <w:tcBorders>
              <w:top w:val="nil"/>
              <w:left w:val="nil"/>
              <w:bottom w:val="nil"/>
              <w:right w:val="nil"/>
            </w:tcBorders>
            <w:noWrap/>
          </w:tcPr>
          <w:p w:rsidR="005435E9" w:rsidRDefault="005435E9">
            <w:pPr>
              <w:pStyle w:val="yTableNAm"/>
            </w:pPr>
            <w:r>
              <w:t>Eaton</w:t>
            </w:r>
          </w:p>
        </w:tc>
        <w:tc>
          <w:tcPr>
            <w:tcW w:w="1810" w:type="dxa"/>
            <w:tcBorders>
              <w:top w:val="nil"/>
              <w:left w:val="nil"/>
              <w:bottom w:val="nil"/>
              <w:right w:val="nil"/>
            </w:tcBorders>
            <w:noWrap/>
            <w:vAlign w:val="center"/>
          </w:tcPr>
          <w:p w:rsidR="005435E9" w:rsidRDefault="005435E9">
            <w:pPr>
              <w:pStyle w:val="yTableNAm"/>
              <w:jc w:val="center"/>
            </w:pPr>
            <w:r>
              <w:t>7.799</w:t>
            </w:r>
          </w:p>
        </w:tc>
        <w:tc>
          <w:tcPr>
            <w:tcW w:w="2268" w:type="dxa"/>
            <w:tcBorders>
              <w:top w:val="nil"/>
              <w:left w:val="nil"/>
              <w:bottom w:val="nil"/>
              <w:right w:val="nil"/>
            </w:tcBorders>
            <w:noWrap/>
            <w:vAlign w:val="center"/>
          </w:tcPr>
          <w:p w:rsidR="005435E9" w:rsidRDefault="005435E9">
            <w:pPr>
              <w:pStyle w:val="yTableNAm"/>
              <w:jc w:val="center"/>
            </w:pPr>
            <w:r>
              <w:t>8.286</w:t>
            </w:r>
          </w:p>
        </w:tc>
      </w:tr>
      <w:tr w:rsidR="005435E9">
        <w:tc>
          <w:tcPr>
            <w:tcW w:w="2159" w:type="dxa"/>
            <w:tcBorders>
              <w:top w:val="nil"/>
              <w:left w:val="nil"/>
              <w:bottom w:val="nil"/>
              <w:right w:val="nil"/>
            </w:tcBorders>
            <w:noWrap/>
          </w:tcPr>
          <w:p w:rsidR="005435E9" w:rsidRDefault="005435E9">
            <w:pPr>
              <w:pStyle w:val="yTableNAm"/>
            </w:pPr>
            <w:r>
              <w:t>Eneabba</w:t>
            </w:r>
          </w:p>
        </w:tc>
        <w:tc>
          <w:tcPr>
            <w:tcW w:w="1810" w:type="dxa"/>
            <w:tcBorders>
              <w:top w:val="nil"/>
              <w:left w:val="nil"/>
              <w:bottom w:val="nil"/>
              <w:right w:val="nil"/>
            </w:tcBorders>
            <w:noWrap/>
            <w:vAlign w:val="center"/>
          </w:tcPr>
          <w:p w:rsidR="005435E9" w:rsidRDefault="005435E9">
            <w:pPr>
              <w:pStyle w:val="yTableNAm"/>
              <w:jc w:val="center"/>
            </w:pPr>
            <w:r>
              <w:t>32.871</w:t>
            </w:r>
          </w:p>
        </w:tc>
        <w:tc>
          <w:tcPr>
            <w:tcW w:w="2268" w:type="dxa"/>
            <w:tcBorders>
              <w:top w:val="nil"/>
              <w:left w:val="nil"/>
              <w:bottom w:val="nil"/>
              <w:right w:val="nil"/>
            </w:tcBorders>
            <w:noWrap/>
            <w:vAlign w:val="center"/>
          </w:tcPr>
          <w:p w:rsidR="005435E9" w:rsidRDefault="005435E9">
            <w:pPr>
              <w:pStyle w:val="yTableNAm"/>
              <w:jc w:val="center"/>
            </w:pPr>
            <w:r>
              <w:t>222.998</w:t>
            </w:r>
          </w:p>
        </w:tc>
      </w:tr>
      <w:tr w:rsidR="005435E9">
        <w:tc>
          <w:tcPr>
            <w:tcW w:w="2159" w:type="dxa"/>
            <w:tcBorders>
              <w:top w:val="nil"/>
              <w:left w:val="nil"/>
              <w:bottom w:val="nil"/>
              <w:right w:val="nil"/>
            </w:tcBorders>
            <w:noWrap/>
          </w:tcPr>
          <w:p w:rsidR="005435E9" w:rsidRDefault="005435E9">
            <w:pPr>
              <w:pStyle w:val="yTableNAm"/>
            </w:pPr>
            <w:r>
              <w:t>Esperance</w:t>
            </w:r>
          </w:p>
        </w:tc>
        <w:tc>
          <w:tcPr>
            <w:tcW w:w="1810" w:type="dxa"/>
            <w:tcBorders>
              <w:top w:val="nil"/>
              <w:left w:val="nil"/>
              <w:bottom w:val="nil"/>
              <w:right w:val="nil"/>
            </w:tcBorders>
            <w:noWrap/>
            <w:vAlign w:val="center"/>
          </w:tcPr>
          <w:p w:rsidR="005435E9" w:rsidRDefault="005435E9">
            <w:pPr>
              <w:pStyle w:val="yTableNAm"/>
              <w:jc w:val="center"/>
            </w:pPr>
            <w:r>
              <w:t>9.153</w:t>
            </w:r>
          </w:p>
        </w:tc>
        <w:tc>
          <w:tcPr>
            <w:tcW w:w="2268" w:type="dxa"/>
            <w:tcBorders>
              <w:top w:val="nil"/>
              <w:left w:val="nil"/>
              <w:bottom w:val="nil"/>
              <w:right w:val="nil"/>
            </w:tcBorders>
            <w:noWrap/>
            <w:vAlign w:val="center"/>
          </w:tcPr>
          <w:p w:rsidR="005435E9" w:rsidRDefault="005435E9">
            <w:pPr>
              <w:pStyle w:val="yTableNAm"/>
              <w:jc w:val="center"/>
            </w:pPr>
            <w:r>
              <w:t>13.767</w:t>
            </w:r>
          </w:p>
        </w:tc>
      </w:tr>
      <w:tr w:rsidR="005435E9">
        <w:tc>
          <w:tcPr>
            <w:tcW w:w="2159" w:type="dxa"/>
            <w:tcBorders>
              <w:top w:val="nil"/>
              <w:left w:val="nil"/>
              <w:bottom w:val="nil"/>
              <w:right w:val="nil"/>
            </w:tcBorders>
            <w:noWrap/>
          </w:tcPr>
          <w:p w:rsidR="005435E9" w:rsidRDefault="005435E9">
            <w:pPr>
              <w:pStyle w:val="yTableNAm"/>
            </w:pPr>
            <w:r>
              <w:t>Exmouth</w:t>
            </w:r>
          </w:p>
        </w:tc>
        <w:tc>
          <w:tcPr>
            <w:tcW w:w="1810" w:type="dxa"/>
            <w:tcBorders>
              <w:top w:val="nil"/>
              <w:left w:val="nil"/>
              <w:bottom w:val="nil"/>
              <w:right w:val="nil"/>
            </w:tcBorders>
            <w:noWrap/>
            <w:vAlign w:val="center"/>
          </w:tcPr>
          <w:p w:rsidR="005435E9" w:rsidRDefault="005435E9">
            <w:pPr>
              <w:pStyle w:val="yTableNAm"/>
              <w:jc w:val="center"/>
            </w:pPr>
            <w:r>
              <w:t>3.040</w:t>
            </w:r>
          </w:p>
        </w:tc>
        <w:tc>
          <w:tcPr>
            <w:tcW w:w="2268" w:type="dxa"/>
            <w:tcBorders>
              <w:top w:val="nil"/>
              <w:left w:val="nil"/>
              <w:bottom w:val="nil"/>
              <w:right w:val="nil"/>
            </w:tcBorders>
            <w:noWrap/>
            <w:vAlign w:val="center"/>
          </w:tcPr>
          <w:p w:rsidR="005435E9" w:rsidRDefault="005435E9">
            <w:pPr>
              <w:pStyle w:val="yTableNAm"/>
              <w:jc w:val="center"/>
            </w:pPr>
            <w:r>
              <w:t>5.311</w:t>
            </w:r>
          </w:p>
        </w:tc>
      </w:tr>
      <w:tr w:rsidR="005435E9">
        <w:tc>
          <w:tcPr>
            <w:tcW w:w="2159" w:type="dxa"/>
            <w:tcBorders>
              <w:top w:val="nil"/>
              <w:left w:val="nil"/>
              <w:bottom w:val="nil"/>
              <w:right w:val="nil"/>
            </w:tcBorders>
            <w:noWrap/>
          </w:tcPr>
          <w:p w:rsidR="005435E9" w:rsidRDefault="005435E9">
            <w:pPr>
              <w:pStyle w:val="yTableNAm"/>
            </w:pPr>
            <w:r>
              <w:t>Fitzroy Crossing</w:t>
            </w:r>
          </w:p>
        </w:tc>
        <w:tc>
          <w:tcPr>
            <w:tcW w:w="1810" w:type="dxa"/>
            <w:tcBorders>
              <w:top w:val="nil"/>
              <w:left w:val="nil"/>
              <w:bottom w:val="nil"/>
              <w:right w:val="nil"/>
            </w:tcBorders>
            <w:noWrap/>
            <w:vAlign w:val="center"/>
          </w:tcPr>
          <w:p w:rsidR="005435E9" w:rsidRDefault="005435E9">
            <w:pPr>
              <w:pStyle w:val="yTableNAm"/>
              <w:jc w:val="center"/>
            </w:pPr>
            <w:r>
              <w:t>8.429</w:t>
            </w:r>
          </w:p>
        </w:tc>
        <w:tc>
          <w:tcPr>
            <w:tcW w:w="2268" w:type="dxa"/>
            <w:tcBorders>
              <w:top w:val="nil"/>
              <w:left w:val="nil"/>
              <w:bottom w:val="nil"/>
              <w:right w:val="nil"/>
            </w:tcBorders>
            <w:noWrap/>
            <w:vAlign w:val="center"/>
          </w:tcPr>
          <w:p w:rsidR="005435E9" w:rsidRDefault="005435E9">
            <w:pPr>
              <w:pStyle w:val="yTableNAm"/>
              <w:jc w:val="center"/>
            </w:pPr>
            <w:r>
              <w:t>15.091</w:t>
            </w:r>
          </w:p>
        </w:tc>
      </w:tr>
      <w:tr w:rsidR="005435E9">
        <w:tc>
          <w:tcPr>
            <w:tcW w:w="2159" w:type="dxa"/>
            <w:tcBorders>
              <w:top w:val="nil"/>
              <w:left w:val="nil"/>
              <w:bottom w:val="nil"/>
              <w:right w:val="nil"/>
            </w:tcBorders>
            <w:noWrap/>
          </w:tcPr>
          <w:p w:rsidR="005435E9" w:rsidRDefault="005435E9">
            <w:pPr>
              <w:pStyle w:val="yTableNAm"/>
            </w:pPr>
            <w:r>
              <w:t>Geraldton</w:t>
            </w:r>
          </w:p>
        </w:tc>
        <w:tc>
          <w:tcPr>
            <w:tcW w:w="1810" w:type="dxa"/>
            <w:tcBorders>
              <w:top w:val="nil"/>
              <w:left w:val="nil"/>
              <w:bottom w:val="nil"/>
              <w:right w:val="nil"/>
            </w:tcBorders>
            <w:noWrap/>
            <w:vAlign w:val="center"/>
          </w:tcPr>
          <w:p w:rsidR="005435E9" w:rsidRDefault="005435E9">
            <w:pPr>
              <w:pStyle w:val="yTableNAm"/>
              <w:jc w:val="center"/>
            </w:pPr>
            <w:r>
              <w:t>10.486</w:t>
            </w:r>
          </w:p>
        </w:tc>
        <w:tc>
          <w:tcPr>
            <w:tcW w:w="2268" w:type="dxa"/>
            <w:tcBorders>
              <w:top w:val="nil"/>
              <w:left w:val="nil"/>
              <w:bottom w:val="nil"/>
              <w:right w:val="nil"/>
            </w:tcBorders>
            <w:noWrap/>
            <w:vAlign w:val="center"/>
          </w:tcPr>
          <w:p w:rsidR="005435E9" w:rsidRDefault="005435E9">
            <w:pPr>
              <w:pStyle w:val="yTableNAm"/>
              <w:jc w:val="center"/>
            </w:pPr>
            <w:r>
              <w:t>14.402</w:t>
            </w:r>
          </w:p>
        </w:tc>
      </w:tr>
      <w:tr w:rsidR="005435E9">
        <w:tc>
          <w:tcPr>
            <w:tcW w:w="2159" w:type="dxa"/>
            <w:tcBorders>
              <w:top w:val="nil"/>
              <w:left w:val="nil"/>
              <w:bottom w:val="nil"/>
              <w:right w:val="nil"/>
            </w:tcBorders>
            <w:noWrap/>
          </w:tcPr>
          <w:p w:rsidR="005435E9" w:rsidRDefault="005435E9">
            <w:pPr>
              <w:pStyle w:val="yTableNAm"/>
            </w:pPr>
            <w:r>
              <w:t>Gnowangerup</w:t>
            </w:r>
          </w:p>
        </w:tc>
        <w:tc>
          <w:tcPr>
            <w:tcW w:w="1810" w:type="dxa"/>
            <w:tcBorders>
              <w:top w:val="nil"/>
              <w:left w:val="nil"/>
              <w:bottom w:val="nil"/>
              <w:right w:val="nil"/>
            </w:tcBorders>
            <w:noWrap/>
            <w:vAlign w:val="center"/>
          </w:tcPr>
          <w:p w:rsidR="005435E9" w:rsidRDefault="005435E9">
            <w:pPr>
              <w:pStyle w:val="yTableNAm"/>
              <w:jc w:val="center"/>
            </w:pPr>
            <w:r>
              <w:t>16.848</w:t>
            </w:r>
          </w:p>
        </w:tc>
        <w:tc>
          <w:tcPr>
            <w:tcW w:w="2268" w:type="dxa"/>
            <w:tcBorders>
              <w:top w:val="nil"/>
              <w:left w:val="nil"/>
              <w:bottom w:val="nil"/>
              <w:right w:val="nil"/>
            </w:tcBorders>
            <w:noWrap/>
            <w:vAlign w:val="center"/>
          </w:tcPr>
          <w:p w:rsidR="005435E9" w:rsidRDefault="005435E9">
            <w:pPr>
              <w:pStyle w:val="yTableNAm"/>
              <w:jc w:val="center"/>
            </w:pPr>
            <w:r>
              <w:t>44.929</w:t>
            </w:r>
          </w:p>
        </w:tc>
      </w:tr>
      <w:tr w:rsidR="005435E9">
        <w:tc>
          <w:tcPr>
            <w:tcW w:w="2159" w:type="dxa"/>
            <w:tcBorders>
              <w:top w:val="nil"/>
              <w:left w:val="nil"/>
              <w:bottom w:val="nil"/>
              <w:right w:val="nil"/>
            </w:tcBorders>
            <w:noWrap/>
          </w:tcPr>
          <w:p w:rsidR="005435E9" w:rsidRDefault="005435E9">
            <w:pPr>
              <w:pStyle w:val="yTableNAm"/>
            </w:pPr>
            <w:r>
              <w:t>Greenhead</w:t>
            </w:r>
          </w:p>
        </w:tc>
        <w:tc>
          <w:tcPr>
            <w:tcW w:w="1810" w:type="dxa"/>
            <w:tcBorders>
              <w:top w:val="nil"/>
              <w:left w:val="nil"/>
              <w:bottom w:val="nil"/>
              <w:right w:val="nil"/>
            </w:tcBorders>
            <w:noWrap/>
            <w:vAlign w:val="center"/>
          </w:tcPr>
          <w:p w:rsidR="005435E9" w:rsidRDefault="005435E9">
            <w:pPr>
              <w:pStyle w:val="yTableNAm"/>
              <w:jc w:val="center"/>
            </w:pPr>
            <w:r>
              <w:t>8.518</w:t>
            </w:r>
          </w:p>
        </w:tc>
        <w:tc>
          <w:tcPr>
            <w:tcW w:w="2268" w:type="dxa"/>
            <w:tcBorders>
              <w:top w:val="nil"/>
              <w:left w:val="nil"/>
              <w:bottom w:val="nil"/>
              <w:right w:val="nil"/>
            </w:tcBorders>
            <w:noWrap/>
            <w:vAlign w:val="center"/>
          </w:tcPr>
          <w:p w:rsidR="005435E9" w:rsidRDefault="005435E9">
            <w:pPr>
              <w:pStyle w:val="yTableNAm"/>
              <w:jc w:val="center"/>
            </w:pPr>
            <w:r>
              <w:t>18.928</w:t>
            </w:r>
          </w:p>
        </w:tc>
      </w:tr>
      <w:tr w:rsidR="005435E9">
        <w:tc>
          <w:tcPr>
            <w:tcW w:w="2159" w:type="dxa"/>
            <w:tcBorders>
              <w:top w:val="nil"/>
              <w:left w:val="nil"/>
              <w:bottom w:val="nil"/>
              <w:right w:val="nil"/>
            </w:tcBorders>
            <w:noWrap/>
          </w:tcPr>
          <w:p w:rsidR="005435E9" w:rsidRDefault="005435E9">
            <w:pPr>
              <w:pStyle w:val="yTableNAm"/>
            </w:pPr>
            <w:r>
              <w:t>Halls Creek</w:t>
            </w:r>
          </w:p>
        </w:tc>
        <w:tc>
          <w:tcPr>
            <w:tcW w:w="1810" w:type="dxa"/>
            <w:tcBorders>
              <w:top w:val="nil"/>
              <w:left w:val="nil"/>
              <w:bottom w:val="nil"/>
              <w:right w:val="nil"/>
            </w:tcBorders>
            <w:noWrap/>
            <w:vAlign w:val="center"/>
          </w:tcPr>
          <w:p w:rsidR="005435E9" w:rsidRDefault="005435E9">
            <w:pPr>
              <w:pStyle w:val="yTableNAm"/>
              <w:jc w:val="center"/>
            </w:pPr>
            <w:r>
              <w:t>13.896</w:t>
            </w:r>
          </w:p>
        </w:tc>
        <w:tc>
          <w:tcPr>
            <w:tcW w:w="2268" w:type="dxa"/>
            <w:tcBorders>
              <w:top w:val="nil"/>
              <w:left w:val="nil"/>
              <w:bottom w:val="nil"/>
              <w:right w:val="nil"/>
            </w:tcBorders>
            <w:noWrap/>
            <w:vAlign w:val="center"/>
          </w:tcPr>
          <w:p w:rsidR="005435E9" w:rsidRDefault="005435E9">
            <w:pPr>
              <w:pStyle w:val="yTableNAm"/>
              <w:jc w:val="center"/>
            </w:pPr>
            <w:r>
              <w:t>55.148</w:t>
            </w:r>
          </w:p>
        </w:tc>
      </w:tr>
      <w:tr w:rsidR="005435E9">
        <w:tc>
          <w:tcPr>
            <w:tcW w:w="2159" w:type="dxa"/>
            <w:tcBorders>
              <w:top w:val="nil"/>
              <w:left w:val="nil"/>
              <w:bottom w:val="nil"/>
              <w:right w:val="nil"/>
            </w:tcBorders>
            <w:noWrap/>
          </w:tcPr>
          <w:p w:rsidR="005435E9" w:rsidRDefault="005435E9">
            <w:pPr>
              <w:pStyle w:val="yTableNAm"/>
            </w:pPr>
            <w:r>
              <w:lastRenderedPageBreak/>
              <w:t>Harvey</w:t>
            </w:r>
          </w:p>
        </w:tc>
        <w:tc>
          <w:tcPr>
            <w:tcW w:w="1810" w:type="dxa"/>
            <w:tcBorders>
              <w:top w:val="nil"/>
              <w:left w:val="nil"/>
              <w:bottom w:val="nil"/>
              <w:right w:val="nil"/>
            </w:tcBorders>
            <w:noWrap/>
            <w:vAlign w:val="center"/>
          </w:tcPr>
          <w:p w:rsidR="005435E9" w:rsidRDefault="005435E9">
            <w:pPr>
              <w:pStyle w:val="yTableNAm"/>
              <w:jc w:val="center"/>
            </w:pPr>
            <w:r>
              <w:t>10.202</w:t>
            </w:r>
          </w:p>
        </w:tc>
        <w:tc>
          <w:tcPr>
            <w:tcW w:w="2268" w:type="dxa"/>
            <w:tcBorders>
              <w:top w:val="nil"/>
              <w:left w:val="nil"/>
              <w:bottom w:val="nil"/>
              <w:right w:val="nil"/>
            </w:tcBorders>
            <w:noWrap/>
            <w:vAlign w:val="center"/>
          </w:tcPr>
          <w:p w:rsidR="005435E9" w:rsidRDefault="005435E9">
            <w:pPr>
              <w:pStyle w:val="yTableNAm"/>
              <w:jc w:val="center"/>
            </w:pPr>
            <w:r>
              <w:t>15.056</w:t>
            </w:r>
          </w:p>
        </w:tc>
      </w:tr>
      <w:tr w:rsidR="005435E9">
        <w:tc>
          <w:tcPr>
            <w:tcW w:w="2159" w:type="dxa"/>
            <w:tcBorders>
              <w:top w:val="nil"/>
              <w:left w:val="nil"/>
              <w:bottom w:val="nil"/>
              <w:right w:val="nil"/>
            </w:tcBorders>
            <w:noWrap/>
          </w:tcPr>
          <w:p w:rsidR="005435E9" w:rsidRDefault="005435E9">
            <w:pPr>
              <w:pStyle w:val="yTableNAm"/>
            </w:pPr>
            <w:r>
              <w:t>Hopetoun</w:t>
            </w:r>
          </w:p>
        </w:tc>
        <w:tc>
          <w:tcPr>
            <w:tcW w:w="1810" w:type="dxa"/>
            <w:tcBorders>
              <w:top w:val="nil"/>
              <w:left w:val="nil"/>
              <w:bottom w:val="nil"/>
              <w:right w:val="nil"/>
            </w:tcBorders>
            <w:noWrap/>
            <w:vAlign w:val="center"/>
          </w:tcPr>
          <w:p w:rsidR="005435E9" w:rsidRDefault="005435E9">
            <w:pPr>
              <w:pStyle w:val="yTableNAm"/>
              <w:jc w:val="center"/>
            </w:pPr>
            <w:r>
              <w:t>53.354</w:t>
            </w:r>
          </w:p>
        </w:tc>
        <w:tc>
          <w:tcPr>
            <w:tcW w:w="2268" w:type="dxa"/>
            <w:tcBorders>
              <w:top w:val="nil"/>
              <w:left w:val="nil"/>
              <w:bottom w:val="nil"/>
              <w:right w:val="nil"/>
            </w:tcBorders>
            <w:noWrap/>
            <w:vAlign w:val="center"/>
          </w:tcPr>
          <w:p w:rsidR="005435E9" w:rsidRDefault="005435E9">
            <w:pPr>
              <w:pStyle w:val="yTableNAm"/>
              <w:jc w:val="center"/>
            </w:pPr>
            <w:r>
              <w:t>99.114</w:t>
            </w:r>
          </w:p>
        </w:tc>
      </w:tr>
      <w:tr w:rsidR="005435E9">
        <w:tc>
          <w:tcPr>
            <w:tcW w:w="2159" w:type="dxa"/>
            <w:tcBorders>
              <w:top w:val="nil"/>
              <w:left w:val="nil"/>
              <w:bottom w:val="nil"/>
              <w:right w:val="nil"/>
            </w:tcBorders>
            <w:noWrap/>
          </w:tcPr>
          <w:p w:rsidR="005435E9" w:rsidRDefault="005435E9">
            <w:pPr>
              <w:pStyle w:val="yTableNAm"/>
            </w:pPr>
            <w:r>
              <w:t>Horrocks</w:t>
            </w:r>
          </w:p>
        </w:tc>
        <w:tc>
          <w:tcPr>
            <w:tcW w:w="1810" w:type="dxa"/>
            <w:tcBorders>
              <w:top w:val="nil"/>
              <w:left w:val="nil"/>
              <w:bottom w:val="nil"/>
              <w:right w:val="nil"/>
            </w:tcBorders>
            <w:noWrap/>
            <w:vAlign w:val="center"/>
          </w:tcPr>
          <w:p w:rsidR="005435E9" w:rsidRDefault="005435E9">
            <w:pPr>
              <w:pStyle w:val="yTableNAm"/>
              <w:jc w:val="center"/>
            </w:pPr>
            <w:r>
              <w:t>25.394</w:t>
            </w:r>
          </w:p>
        </w:tc>
        <w:tc>
          <w:tcPr>
            <w:tcW w:w="2268" w:type="dxa"/>
            <w:tcBorders>
              <w:top w:val="nil"/>
              <w:left w:val="nil"/>
              <w:bottom w:val="nil"/>
              <w:right w:val="nil"/>
            </w:tcBorders>
            <w:noWrap/>
            <w:vAlign w:val="center"/>
          </w:tcPr>
          <w:p w:rsidR="005435E9" w:rsidRDefault="005435E9">
            <w:pPr>
              <w:pStyle w:val="yTableNAm"/>
              <w:jc w:val="center"/>
            </w:pPr>
            <w:r>
              <w:t>42.613</w:t>
            </w:r>
          </w:p>
        </w:tc>
      </w:tr>
      <w:tr w:rsidR="005435E9">
        <w:tc>
          <w:tcPr>
            <w:tcW w:w="2159" w:type="dxa"/>
            <w:tcBorders>
              <w:top w:val="nil"/>
              <w:left w:val="nil"/>
              <w:bottom w:val="nil"/>
              <w:right w:val="nil"/>
            </w:tcBorders>
            <w:noWrap/>
          </w:tcPr>
          <w:p w:rsidR="005435E9" w:rsidRDefault="005435E9">
            <w:pPr>
              <w:pStyle w:val="yTableNAm"/>
            </w:pPr>
            <w:r>
              <w:t>Hyden</w:t>
            </w:r>
          </w:p>
        </w:tc>
        <w:tc>
          <w:tcPr>
            <w:tcW w:w="1810" w:type="dxa"/>
            <w:tcBorders>
              <w:top w:val="nil"/>
              <w:left w:val="nil"/>
              <w:bottom w:val="nil"/>
              <w:right w:val="nil"/>
            </w:tcBorders>
            <w:noWrap/>
            <w:vAlign w:val="center"/>
          </w:tcPr>
          <w:p w:rsidR="005435E9" w:rsidRDefault="005435E9">
            <w:pPr>
              <w:pStyle w:val="yTableNAm"/>
              <w:jc w:val="center"/>
            </w:pPr>
            <w:r>
              <w:t>88.177</w:t>
            </w:r>
          </w:p>
        </w:tc>
        <w:tc>
          <w:tcPr>
            <w:tcW w:w="2268" w:type="dxa"/>
            <w:tcBorders>
              <w:top w:val="nil"/>
              <w:left w:val="nil"/>
              <w:bottom w:val="nil"/>
              <w:right w:val="nil"/>
            </w:tcBorders>
            <w:noWrap/>
            <w:vAlign w:val="center"/>
          </w:tcPr>
          <w:p w:rsidR="005435E9" w:rsidRDefault="005435E9">
            <w:pPr>
              <w:pStyle w:val="yTableNAm"/>
              <w:jc w:val="center"/>
            </w:pPr>
            <w:r>
              <w:t>260.033</w:t>
            </w:r>
          </w:p>
        </w:tc>
      </w:tr>
      <w:tr w:rsidR="005435E9">
        <w:tc>
          <w:tcPr>
            <w:tcW w:w="2159" w:type="dxa"/>
            <w:tcBorders>
              <w:top w:val="nil"/>
              <w:left w:val="nil"/>
              <w:bottom w:val="nil"/>
              <w:right w:val="nil"/>
            </w:tcBorders>
            <w:noWrap/>
          </w:tcPr>
          <w:p w:rsidR="005435E9" w:rsidRDefault="005435E9">
            <w:pPr>
              <w:pStyle w:val="yTableNAm"/>
            </w:pPr>
            <w:r>
              <w:t>Jurien</w:t>
            </w:r>
          </w:p>
        </w:tc>
        <w:tc>
          <w:tcPr>
            <w:tcW w:w="1810" w:type="dxa"/>
            <w:tcBorders>
              <w:top w:val="nil"/>
              <w:left w:val="nil"/>
              <w:bottom w:val="nil"/>
              <w:right w:val="nil"/>
            </w:tcBorders>
            <w:noWrap/>
            <w:vAlign w:val="center"/>
          </w:tcPr>
          <w:p w:rsidR="005435E9" w:rsidRDefault="005435E9">
            <w:pPr>
              <w:pStyle w:val="yTableNAm"/>
              <w:jc w:val="center"/>
            </w:pPr>
            <w:r>
              <w:t>4.394</w:t>
            </w:r>
          </w:p>
        </w:tc>
        <w:tc>
          <w:tcPr>
            <w:tcW w:w="2268" w:type="dxa"/>
            <w:tcBorders>
              <w:top w:val="nil"/>
              <w:left w:val="nil"/>
              <w:bottom w:val="nil"/>
              <w:right w:val="nil"/>
            </w:tcBorders>
            <w:noWrap/>
            <w:vAlign w:val="center"/>
          </w:tcPr>
          <w:p w:rsidR="005435E9" w:rsidRDefault="005435E9">
            <w:pPr>
              <w:pStyle w:val="yTableNAm"/>
              <w:jc w:val="center"/>
            </w:pPr>
            <w:r>
              <w:t>10.351</w:t>
            </w:r>
          </w:p>
        </w:tc>
      </w:tr>
      <w:tr w:rsidR="005435E9">
        <w:tc>
          <w:tcPr>
            <w:tcW w:w="2159" w:type="dxa"/>
            <w:tcBorders>
              <w:top w:val="nil"/>
              <w:left w:val="nil"/>
              <w:bottom w:val="nil"/>
              <w:right w:val="nil"/>
            </w:tcBorders>
            <w:noWrap/>
          </w:tcPr>
          <w:p w:rsidR="005435E9" w:rsidRDefault="005435E9">
            <w:pPr>
              <w:pStyle w:val="yTableNAm"/>
            </w:pPr>
            <w:r>
              <w:t>Kalbarri</w:t>
            </w:r>
          </w:p>
        </w:tc>
        <w:tc>
          <w:tcPr>
            <w:tcW w:w="1810" w:type="dxa"/>
            <w:tcBorders>
              <w:top w:val="nil"/>
              <w:left w:val="nil"/>
              <w:bottom w:val="nil"/>
              <w:right w:val="nil"/>
            </w:tcBorders>
            <w:noWrap/>
            <w:vAlign w:val="center"/>
          </w:tcPr>
          <w:p w:rsidR="005435E9" w:rsidRDefault="005435E9">
            <w:pPr>
              <w:pStyle w:val="yTableNAm"/>
              <w:jc w:val="center"/>
            </w:pPr>
            <w:r>
              <w:t>10.557</w:t>
            </w:r>
          </w:p>
        </w:tc>
        <w:tc>
          <w:tcPr>
            <w:tcW w:w="2268" w:type="dxa"/>
            <w:tcBorders>
              <w:top w:val="nil"/>
              <w:left w:val="nil"/>
              <w:bottom w:val="nil"/>
              <w:right w:val="nil"/>
            </w:tcBorders>
            <w:noWrap/>
            <w:vAlign w:val="center"/>
          </w:tcPr>
          <w:p w:rsidR="005435E9" w:rsidRDefault="005435E9">
            <w:pPr>
              <w:pStyle w:val="yTableNAm"/>
              <w:jc w:val="center"/>
            </w:pPr>
            <w:r>
              <w:t>20.663</w:t>
            </w:r>
          </w:p>
        </w:tc>
      </w:tr>
      <w:tr w:rsidR="005435E9">
        <w:tc>
          <w:tcPr>
            <w:tcW w:w="2159" w:type="dxa"/>
            <w:tcBorders>
              <w:top w:val="nil"/>
              <w:left w:val="nil"/>
              <w:bottom w:val="nil"/>
              <w:right w:val="nil"/>
            </w:tcBorders>
            <w:noWrap/>
          </w:tcPr>
          <w:p w:rsidR="005435E9" w:rsidRDefault="005435E9">
            <w:pPr>
              <w:pStyle w:val="yTableNAm"/>
            </w:pPr>
            <w:r>
              <w:t>Kambalda</w:t>
            </w:r>
          </w:p>
        </w:tc>
        <w:tc>
          <w:tcPr>
            <w:tcW w:w="1810" w:type="dxa"/>
            <w:tcBorders>
              <w:top w:val="nil"/>
              <w:left w:val="nil"/>
              <w:bottom w:val="nil"/>
              <w:right w:val="nil"/>
            </w:tcBorders>
            <w:noWrap/>
            <w:vAlign w:val="center"/>
          </w:tcPr>
          <w:p w:rsidR="005435E9" w:rsidRDefault="005435E9">
            <w:pPr>
              <w:pStyle w:val="yTableNAm"/>
              <w:jc w:val="center"/>
            </w:pPr>
            <w:r>
              <w:t>7.205</w:t>
            </w:r>
          </w:p>
        </w:tc>
        <w:tc>
          <w:tcPr>
            <w:tcW w:w="2268" w:type="dxa"/>
            <w:tcBorders>
              <w:top w:val="nil"/>
              <w:left w:val="nil"/>
              <w:bottom w:val="nil"/>
              <w:right w:val="nil"/>
            </w:tcBorders>
            <w:noWrap/>
            <w:vAlign w:val="center"/>
          </w:tcPr>
          <w:p w:rsidR="005435E9" w:rsidRDefault="005435E9">
            <w:pPr>
              <w:pStyle w:val="yTableNAm"/>
              <w:jc w:val="center"/>
            </w:pPr>
            <w:r>
              <w:t>44.696</w:t>
            </w:r>
          </w:p>
        </w:tc>
      </w:tr>
      <w:tr w:rsidR="005435E9">
        <w:tc>
          <w:tcPr>
            <w:tcW w:w="2159" w:type="dxa"/>
            <w:tcBorders>
              <w:top w:val="nil"/>
              <w:left w:val="nil"/>
              <w:bottom w:val="nil"/>
              <w:right w:val="nil"/>
            </w:tcBorders>
            <w:noWrap/>
          </w:tcPr>
          <w:p w:rsidR="005435E9" w:rsidRDefault="005435E9">
            <w:pPr>
              <w:pStyle w:val="yTableNAm"/>
            </w:pPr>
            <w:r>
              <w:t>Karratha</w:t>
            </w:r>
          </w:p>
        </w:tc>
        <w:tc>
          <w:tcPr>
            <w:tcW w:w="1810" w:type="dxa"/>
            <w:tcBorders>
              <w:top w:val="nil"/>
              <w:left w:val="nil"/>
              <w:bottom w:val="nil"/>
              <w:right w:val="nil"/>
            </w:tcBorders>
            <w:noWrap/>
            <w:vAlign w:val="center"/>
          </w:tcPr>
          <w:p w:rsidR="005435E9" w:rsidRDefault="005435E9">
            <w:pPr>
              <w:pStyle w:val="yTableNAm"/>
              <w:jc w:val="center"/>
            </w:pPr>
            <w:r>
              <w:t>4.275</w:t>
            </w:r>
          </w:p>
        </w:tc>
        <w:tc>
          <w:tcPr>
            <w:tcW w:w="2268" w:type="dxa"/>
            <w:tcBorders>
              <w:top w:val="nil"/>
              <w:left w:val="nil"/>
              <w:bottom w:val="nil"/>
              <w:right w:val="nil"/>
            </w:tcBorders>
            <w:noWrap/>
            <w:vAlign w:val="center"/>
          </w:tcPr>
          <w:p w:rsidR="005435E9" w:rsidRDefault="005435E9">
            <w:pPr>
              <w:pStyle w:val="yTableNAm"/>
              <w:jc w:val="center"/>
            </w:pPr>
            <w:r>
              <w:t>10.573</w:t>
            </w:r>
          </w:p>
        </w:tc>
      </w:tr>
      <w:tr w:rsidR="005435E9">
        <w:tc>
          <w:tcPr>
            <w:tcW w:w="2159" w:type="dxa"/>
            <w:tcBorders>
              <w:top w:val="nil"/>
              <w:left w:val="nil"/>
              <w:bottom w:val="nil"/>
              <w:right w:val="nil"/>
            </w:tcBorders>
            <w:noWrap/>
          </w:tcPr>
          <w:p w:rsidR="005435E9" w:rsidRDefault="005435E9">
            <w:pPr>
              <w:pStyle w:val="yTableNAm"/>
            </w:pPr>
            <w:r>
              <w:t>Katanning</w:t>
            </w:r>
          </w:p>
        </w:tc>
        <w:tc>
          <w:tcPr>
            <w:tcW w:w="1810" w:type="dxa"/>
            <w:tcBorders>
              <w:top w:val="nil"/>
              <w:left w:val="nil"/>
              <w:bottom w:val="nil"/>
              <w:right w:val="nil"/>
            </w:tcBorders>
            <w:noWrap/>
            <w:vAlign w:val="center"/>
          </w:tcPr>
          <w:p w:rsidR="005435E9" w:rsidRDefault="005435E9">
            <w:pPr>
              <w:pStyle w:val="yTableNAm"/>
              <w:jc w:val="center"/>
            </w:pPr>
            <w:r>
              <w:t>15.452</w:t>
            </w:r>
          </w:p>
        </w:tc>
        <w:tc>
          <w:tcPr>
            <w:tcW w:w="2268" w:type="dxa"/>
            <w:tcBorders>
              <w:top w:val="nil"/>
              <w:left w:val="nil"/>
              <w:bottom w:val="nil"/>
              <w:right w:val="nil"/>
            </w:tcBorders>
            <w:noWrap/>
            <w:vAlign w:val="center"/>
          </w:tcPr>
          <w:p w:rsidR="005435E9" w:rsidRDefault="005435E9">
            <w:pPr>
              <w:pStyle w:val="yTableNAm"/>
              <w:jc w:val="center"/>
            </w:pPr>
            <w:r>
              <w:t>69.716</w:t>
            </w:r>
          </w:p>
        </w:tc>
      </w:tr>
      <w:tr w:rsidR="005435E9">
        <w:tc>
          <w:tcPr>
            <w:tcW w:w="2159" w:type="dxa"/>
            <w:tcBorders>
              <w:top w:val="nil"/>
              <w:left w:val="nil"/>
              <w:bottom w:val="nil"/>
              <w:right w:val="nil"/>
            </w:tcBorders>
            <w:noWrap/>
          </w:tcPr>
          <w:p w:rsidR="005435E9" w:rsidRDefault="005435E9">
            <w:pPr>
              <w:pStyle w:val="yTableNAm"/>
            </w:pPr>
            <w:r>
              <w:t>Kellerberrin</w:t>
            </w:r>
          </w:p>
        </w:tc>
        <w:tc>
          <w:tcPr>
            <w:tcW w:w="1810" w:type="dxa"/>
            <w:tcBorders>
              <w:top w:val="nil"/>
              <w:left w:val="nil"/>
              <w:bottom w:val="nil"/>
              <w:right w:val="nil"/>
            </w:tcBorders>
            <w:noWrap/>
            <w:vAlign w:val="center"/>
          </w:tcPr>
          <w:p w:rsidR="005435E9" w:rsidRDefault="005435E9">
            <w:pPr>
              <w:pStyle w:val="yTableNAm"/>
              <w:jc w:val="center"/>
            </w:pPr>
            <w:r>
              <w:t>29.811</w:t>
            </w:r>
          </w:p>
        </w:tc>
        <w:tc>
          <w:tcPr>
            <w:tcW w:w="2268" w:type="dxa"/>
            <w:tcBorders>
              <w:top w:val="nil"/>
              <w:left w:val="nil"/>
              <w:bottom w:val="nil"/>
              <w:right w:val="nil"/>
            </w:tcBorders>
            <w:noWrap/>
            <w:vAlign w:val="center"/>
          </w:tcPr>
          <w:p w:rsidR="005435E9" w:rsidRDefault="005435E9">
            <w:pPr>
              <w:pStyle w:val="yTableNAm"/>
              <w:jc w:val="center"/>
            </w:pPr>
            <w:r>
              <w:t>252.860</w:t>
            </w:r>
          </w:p>
        </w:tc>
      </w:tr>
      <w:tr w:rsidR="005435E9">
        <w:tc>
          <w:tcPr>
            <w:tcW w:w="2159" w:type="dxa"/>
            <w:tcBorders>
              <w:top w:val="nil"/>
              <w:left w:val="nil"/>
              <w:bottom w:val="nil"/>
              <w:right w:val="nil"/>
            </w:tcBorders>
            <w:noWrap/>
          </w:tcPr>
          <w:p w:rsidR="005435E9" w:rsidRDefault="005435E9">
            <w:pPr>
              <w:pStyle w:val="yTableNAm"/>
            </w:pPr>
            <w:r>
              <w:t>Kojonup</w:t>
            </w:r>
          </w:p>
        </w:tc>
        <w:tc>
          <w:tcPr>
            <w:tcW w:w="1810" w:type="dxa"/>
            <w:tcBorders>
              <w:top w:val="nil"/>
              <w:left w:val="nil"/>
              <w:bottom w:val="nil"/>
              <w:right w:val="nil"/>
            </w:tcBorders>
            <w:noWrap/>
            <w:vAlign w:val="center"/>
          </w:tcPr>
          <w:p w:rsidR="005435E9" w:rsidRDefault="005435E9">
            <w:pPr>
              <w:pStyle w:val="yTableNAm"/>
              <w:jc w:val="center"/>
            </w:pPr>
            <w:r>
              <w:t>19.430</w:t>
            </w:r>
          </w:p>
        </w:tc>
        <w:tc>
          <w:tcPr>
            <w:tcW w:w="2268" w:type="dxa"/>
            <w:tcBorders>
              <w:top w:val="nil"/>
              <w:left w:val="nil"/>
              <w:bottom w:val="nil"/>
              <w:right w:val="nil"/>
            </w:tcBorders>
            <w:noWrap/>
            <w:vAlign w:val="center"/>
          </w:tcPr>
          <w:p w:rsidR="005435E9" w:rsidRDefault="005435E9">
            <w:pPr>
              <w:pStyle w:val="yTableNAm"/>
              <w:jc w:val="center"/>
            </w:pPr>
            <w:r>
              <w:t>62.309</w:t>
            </w:r>
          </w:p>
        </w:tc>
      </w:tr>
      <w:tr w:rsidR="005435E9">
        <w:tc>
          <w:tcPr>
            <w:tcW w:w="2159" w:type="dxa"/>
            <w:tcBorders>
              <w:top w:val="nil"/>
              <w:left w:val="nil"/>
              <w:bottom w:val="nil"/>
              <w:right w:val="nil"/>
            </w:tcBorders>
            <w:noWrap/>
          </w:tcPr>
          <w:p w:rsidR="005435E9" w:rsidRDefault="005435E9">
            <w:pPr>
              <w:pStyle w:val="yTableNAm"/>
            </w:pPr>
            <w:r>
              <w:t>Kulin</w:t>
            </w:r>
          </w:p>
        </w:tc>
        <w:tc>
          <w:tcPr>
            <w:tcW w:w="1810" w:type="dxa"/>
            <w:tcBorders>
              <w:top w:val="nil"/>
              <w:left w:val="nil"/>
              <w:bottom w:val="nil"/>
              <w:right w:val="nil"/>
            </w:tcBorders>
            <w:noWrap/>
            <w:vAlign w:val="center"/>
          </w:tcPr>
          <w:p w:rsidR="005435E9" w:rsidRDefault="005435E9">
            <w:pPr>
              <w:pStyle w:val="yTableNAm"/>
              <w:jc w:val="center"/>
            </w:pPr>
            <w:r>
              <w:t>46.297</w:t>
            </w:r>
          </w:p>
        </w:tc>
        <w:tc>
          <w:tcPr>
            <w:tcW w:w="2268" w:type="dxa"/>
            <w:tcBorders>
              <w:top w:val="nil"/>
              <w:left w:val="nil"/>
              <w:bottom w:val="nil"/>
              <w:right w:val="nil"/>
            </w:tcBorders>
            <w:noWrap/>
            <w:vAlign w:val="center"/>
          </w:tcPr>
          <w:p w:rsidR="005435E9" w:rsidRDefault="005435E9">
            <w:pPr>
              <w:pStyle w:val="yTableNAm"/>
              <w:jc w:val="center"/>
            </w:pPr>
            <w:r>
              <w:t>401.661</w:t>
            </w:r>
          </w:p>
        </w:tc>
      </w:tr>
      <w:tr w:rsidR="005435E9">
        <w:tc>
          <w:tcPr>
            <w:tcW w:w="2159" w:type="dxa"/>
            <w:tcBorders>
              <w:top w:val="nil"/>
              <w:left w:val="nil"/>
              <w:bottom w:val="nil"/>
              <w:right w:val="nil"/>
            </w:tcBorders>
            <w:noWrap/>
          </w:tcPr>
          <w:p w:rsidR="005435E9" w:rsidRDefault="005435E9">
            <w:pPr>
              <w:pStyle w:val="yTableNAm"/>
            </w:pPr>
            <w:r>
              <w:t>Kununurra</w:t>
            </w:r>
          </w:p>
        </w:tc>
        <w:tc>
          <w:tcPr>
            <w:tcW w:w="1810" w:type="dxa"/>
            <w:tcBorders>
              <w:top w:val="nil"/>
              <w:left w:val="nil"/>
              <w:bottom w:val="nil"/>
              <w:right w:val="nil"/>
            </w:tcBorders>
            <w:noWrap/>
            <w:vAlign w:val="center"/>
          </w:tcPr>
          <w:p w:rsidR="005435E9" w:rsidRDefault="005435E9">
            <w:pPr>
              <w:pStyle w:val="yTableNAm"/>
              <w:jc w:val="center"/>
            </w:pPr>
            <w:r>
              <w:t>8.055</w:t>
            </w:r>
          </w:p>
        </w:tc>
        <w:tc>
          <w:tcPr>
            <w:tcW w:w="2268" w:type="dxa"/>
            <w:tcBorders>
              <w:top w:val="nil"/>
              <w:left w:val="nil"/>
              <w:bottom w:val="nil"/>
              <w:right w:val="nil"/>
            </w:tcBorders>
            <w:noWrap/>
            <w:vAlign w:val="center"/>
          </w:tcPr>
          <w:p w:rsidR="005435E9" w:rsidRDefault="005435E9">
            <w:pPr>
              <w:pStyle w:val="yTableNAm"/>
              <w:jc w:val="center"/>
            </w:pPr>
            <w:r>
              <w:t>15.682</w:t>
            </w:r>
          </w:p>
        </w:tc>
      </w:tr>
      <w:tr w:rsidR="005435E9">
        <w:tc>
          <w:tcPr>
            <w:tcW w:w="2159" w:type="dxa"/>
            <w:tcBorders>
              <w:top w:val="nil"/>
              <w:left w:val="nil"/>
              <w:bottom w:val="nil"/>
              <w:right w:val="nil"/>
            </w:tcBorders>
            <w:noWrap/>
          </w:tcPr>
          <w:p w:rsidR="005435E9" w:rsidRDefault="005435E9">
            <w:pPr>
              <w:pStyle w:val="yTableNAm"/>
            </w:pPr>
            <w:r>
              <w:t>Lancelin</w:t>
            </w:r>
          </w:p>
        </w:tc>
        <w:tc>
          <w:tcPr>
            <w:tcW w:w="1810" w:type="dxa"/>
            <w:tcBorders>
              <w:top w:val="nil"/>
              <w:left w:val="nil"/>
              <w:bottom w:val="nil"/>
              <w:right w:val="nil"/>
            </w:tcBorders>
            <w:noWrap/>
            <w:vAlign w:val="center"/>
          </w:tcPr>
          <w:p w:rsidR="005435E9" w:rsidRDefault="005435E9">
            <w:pPr>
              <w:pStyle w:val="yTableNAm"/>
              <w:jc w:val="center"/>
            </w:pPr>
            <w:r>
              <w:t>19.482</w:t>
            </w:r>
          </w:p>
        </w:tc>
        <w:tc>
          <w:tcPr>
            <w:tcW w:w="2268" w:type="dxa"/>
            <w:tcBorders>
              <w:top w:val="nil"/>
              <w:left w:val="nil"/>
              <w:bottom w:val="nil"/>
              <w:right w:val="nil"/>
            </w:tcBorders>
            <w:noWrap/>
            <w:vAlign w:val="center"/>
          </w:tcPr>
          <w:p w:rsidR="005435E9" w:rsidRDefault="005435E9">
            <w:pPr>
              <w:pStyle w:val="yTableNAm"/>
              <w:jc w:val="center"/>
            </w:pPr>
            <w:r>
              <w:t>11.129</w:t>
            </w:r>
          </w:p>
        </w:tc>
      </w:tr>
      <w:tr w:rsidR="005435E9">
        <w:tc>
          <w:tcPr>
            <w:tcW w:w="2159" w:type="dxa"/>
            <w:tcBorders>
              <w:top w:val="nil"/>
              <w:left w:val="nil"/>
              <w:bottom w:val="nil"/>
              <w:right w:val="nil"/>
            </w:tcBorders>
            <w:noWrap/>
          </w:tcPr>
          <w:p w:rsidR="005435E9" w:rsidRDefault="005435E9">
            <w:pPr>
              <w:pStyle w:val="yTableNAm"/>
            </w:pPr>
            <w:r>
              <w:t>Laverton</w:t>
            </w:r>
          </w:p>
        </w:tc>
        <w:tc>
          <w:tcPr>
            <w:tcW w:w="1810" w:type="dxa"/>
            <w:tcBorders>
              <w:top w:val="nil"/>
              <w:left w:val="nil"/>
              <w:bottom w:val="nil"/>
              <w:right w:val="nil"/>
            </w:tcBorders>
            <w:noWrap/>
            <w:vAlign w:val="center"/>
          </w:tcPr>
          <w:p w:rsidR="005435E9" w:rsidRDefault="005435E9">
            <w:pPr>
              <w:pStyle w:val="yTableNAm"/>
              <w:jc w:val="center"/>
            </w:pPr>
            <w:r>
              <w:t>25.683</w:t>
            </w:r>
          </w:p>
        </w:tc>
        <w:tc>
          <w:tcPr>
            <w:tcW w:w="2268" w:type="dxa"/>
            <w:tcBorders>
              <w:top w:val="nil"/>
              <w:left w:val="nil"/>
              <w:bottom w:val="nil"/>
              <w:right w:val="nil"/>
            </w:tcBorders>
            <w:noWrap/>
            <w:vAlign w:val="center"/>
          </w:tcPr>
          <w:p w:rsidR="005435E9" w:rsidRDefault="005435E9">
            <w:pPr>
              <w:pStyle w:val="yTableNAm"/>
              <w:jc w:val="center"/>
            </w:pPr>
            <w:r>
              <w:t>601.603</w:t>
            </w:r>
          </w:p>
        </w:tc>
      </w:tr>
      <w:tr w:rsidR="005435E9">
        <w:tc>
          <w:tcPr>
            <w:tcW w:w="2159" w:type="dxa"/>
            <w:tcBorders>
              <w:top w:val="nil"/>
              <w:left w:val="nil"/>
              <w:bottom w:val="nil"/>
              <w:right w:val="nil"/>
            </w:tcBorders>
            <w:noWrap/>
          </w:tcPr>
          <w:p w:rsidR="005435E9" w:rsidRDefault="005435E9">
            <w:pPr>
              <w:pStyle w:val="yTableNAm"/>
            </w:pPr>
            <w:r>
              <w:t>Ledge Point</w:t>
            </w:r>
          </w:p>
        </w:tc>
        <w:tc>
          <w:tcPr>
            <w:tcW w:w="1810" w:type="dxa"/>
            <w:tcBorders>
              <w:top w:val="nil"/>
              <w:left w:val="nil"/>
              <w:bottom w:val="nil"/>
              <w:right w:val="nil"/>
            </w:tcBorders>
            <w:noWrap/>
            <w:vAlign w:val="center"/>
          </w:tcPr>
          <w:p w:rsidR="005435E9" w:rsidRDefault="005435E9">
            <w:pPr>
              <w:pStyle w:val="yTableNAm"/>
              <w:jc w:val="center"/>
            </w:pPr>
            <w:r>
              <w:t>8.342</w:t>
            </w:r>
          </w:p>
        </w:tc>
        <w:tc>
          <w:tcPr>
            <w:tcW w:w="2268" w:type="dxa"/>
            <w:tcBorders>
              <w:top w:val="nil"/>
              <w:left w:val="nil"/>
              <w:bottom w:val="nil"/>
              <w:right w:val="nil"/>
            </w:tcBorders>
            <w:noWrap/>
            <w:vAlign w:val="center"/>
          </w:tcPr>
          <w:p w:rsidR="005435E9" w:rsidRDefault="005435E9">
            <w:pPr>
              <w:pStyle w:val="yTableNAm"/>
              <w:jc w:val="center"/>
            </w:pPr>
            <w:r>
              <w:t>9.525</w:t>
            </w:r>
          </w:p>
        </w:tc>
      </w:tr>
      <w:tr w:rsidR="005435E9">
        <w:tc>
          <w:tcPr>
            <w:tcW w:w="2159" w:type="dxa"/>
            <w:tcBorders>
              <w:top w:val="nil"/>
              <w:left w:val="nil"/>
              <w:bottom w:val="nil"/>
              <w:right w:val="nil"/>
            </w:tcBorders>
            <w:noWrap/>
          </w:tcPr>
          <w:p w:rsidR="005435E9" w:rsidRDefault="005435E9">
            <w:pPr>
              <w:pStyle w:val="yTableNAm"/>
            </w:pPr>
            <w:r>
              <w:t>Leeman</w:t>
            </w:r>
          </w:p>
        </w:tc>
        <w:tc>
          <w:tcPr>
            <w:tcW w:w="1810" w:type="dxa"/>
            <w:tcBorders>
              <w:top w:val="nil"/>
              <w:left w:val="nil"/>
              <w:bottom w:val="nil"/>
              <w:right w:val="nil"/>
            </w:tcBorders>
            <w:noWrap/>
            <w:vAlign w:val="center"/>
          </w:tcPr>
          <w:p w:rsidR="005435E9" w:rsidRDefault="005435E9">
            <w:pPr>
              <w:pStyle w:val="yTableNAm"/>
              <w:jc w:val="center"/>
            </w:pPr>
            <w:r>
              <w:t>15.197</w:t>
            </w:r>
          </w:p>
        </w:tc>
        <w:tc>
          <w:tcPr>
            <w:tcW w:w="2268" w:type="dxa"/>
            <w:tcBorders>
              <w:top w:val="nil"/>
              <w:left w:val="nil"/>
              <w:bottom w:val="nil"/>
              <w:right w:val="nil"/>
            </w:tcBorders>
            <w:noWrap/>
            <w:vAlign w:val="center"/>
          </w:tcPr>
          <w:p w:rsidR="005435E9" w:rsidRDefault="005435E9">
            <w:pPr>
              <w:pStyle w:val="yTableNAm"/>
              <w:jc w:val="center"/>
            </w:pPr>
            <w:r>
              <w:t>25.098</w:t>
            </w:r>
          </w:p>
        </w:tc>
      </w:tr>
      <w:tr w:rsidR="005435E9">
        <w:tc>
          <w:tcPr>
            <w:tcW w:w="2159" w:type="dxa"/>
            <w:tcBorders>
              <w:top w:val="nil"/>
              <w:left w:val="nil"/>
              <w:bottom w:val="nil"/>
              <w:right w:val="nil"/>
            </w:tcBorders>
            <w:noWrap/>
          </w:tcPr>
          <w:p w:rsidR="005435E9" w:rsidRDefault="005435E9">
            <w:pPr>
              <w:pStyle w:val="yTableNAm"/>
            </w:pPr>
            <w:r>
              <w:t>Leonora</w:t>
            </w:r>
          </w:p>
        </w:tc>
        <w:tc>
          <w:tcPr>
            <w:tcW w:w="1810" w:type="dxa"/>
            <w:tcBorders>
              <w:top w:val="nil"/>
              <w:left w:val="nil"/>
              <w:bottom w:val="nil"/>
              <w:right w:val="nil"/>
            </w:tcBorders>
            <w:noWrap/>
            <w:vAlign w:val="center"/>
          </w:tcPr>
          <w:p w:rsidR="005435E9" w:rsidRDefault="005435E9">
            <w:pPr>
              <w:pStyle w:val="yTableNAm"/>
              <w:jc w:val="center"/>
            </w:pPr>
            <w:r>
              <w:t>2.697</w:t>
            </w:r>
          </w:p>
        </w:tc>
        <w:tc>
          <w:tcPr>
            <w:tcW w:w="2268" w:type="dxa"/>
            <w:tcBorders>
              <w:top w:val="nil"/>
              <w:left w:val="nil"/>
              <w:bottom w:val="nil"/>
              <w:right w:val="nil"/>
            </w:tcBorders>
            <w:noWrap/>
            <w:vAlign w:val="center"/>
          </w:tcPr>
          <w:p w:rsidR="005435E9" w:rsidRDefault="005435E9">
            <w:pPr>
              <w:pStyle w:val="yTableNAm"/>
              <w:jc w:val="center"/>
            </w:pPr>
            <w:r>
              <w:t>24.551</w:t>
            </w:r>
          </w:p>
        </w:tc>
      </w:tr>
      <w:tr w:rsidR="005435E9">
        <w:tc>
          <w:tcPr>
            <w:tcW w:w="2159" w:type="dxa"/>
            <w:tcBorders>
              <w:top w:val="nil"/>
              <w:left w:val="nil"/>
              <w:bottom w:val="nil"/>
              <w:right w:val="nil"/>
            </w:tcBorders>
            <w:noWrap/>
          </w:tcPr>
          <w:p w:rsidR="005435E9" w:rsidRDefault="005435E9">
            <w:pPr>
              <w:pStyle w:val="yTableNAm"/>
            </w:pPr>
            <w:r>
              <w:t>Mandurah</w:t>
            </w:r>
          </w:p>
        </w:tc>
        <w:tc>
          <w:tcPr>
            <w:tcW w:w="1810" w:type="dxa"/>
            <w:tcBorders>
              <w:top w:val="nil"/>
              <w:left w:val="nil"/>
              <w:bottom w:val="nil"/>
              <w:right w:val="nil"/>
            </w:tcBorders>
            <w:noWrap/>
            <w:vAlign w:val="center"/>
          </w:tcPr>
          <w:p w:rsidR="005435E9" w:rsidRDefault="005435E9">
            <w:pPr>
              <w:pStyle w:val="yTableNAm"/>
              <w:jc w:val="center"/>
            </w:pPr>
            <w:r>
              <w:t>7.799</w:t>
            </w:r>
          </w:p>
        </w:tc>
        <w:tc>
          <w:tcPr>
            <w:tcW w:w="2268" w:type="dxa"/>
            <w:tcBorders>
              <w:top w:val="nil"/>
              <w:left w:val="nil"/>
              <w:bottom w:val="nil"/>
              <w:right w:val="nil"/>
            </w:tcBorders>
            <w:noWrap/>
            <w:vAlign w:val="center"/>
          </w:tcPr>
          <w:p w:rsidR="005435E9" w:rsidRDefault="005435E9">
            <w:pPr>
              <w:pStyle w:val="yTableNAm"/>
              <w:jc w:val="center"/>
            </w:pPr>
            <w:r>
              <w:t>6.967</w:t>
            </w:r>
          </w:p>
        </w:tc>
      </w:tr>
      <w:tr w:rsidR="005435E9">
        <w:tc>
          <w:tcPr>
            <w:tcW w:w="2159" w:type="dxa"/>
            <w:tcBorders>
              <w:top w:val="nil"/>
              <w:left w:val="nil"/>
              <w:bottom w:val="nil"/>
              <w:right w:val="nil"/>
            </w:tcBorders>
            <w:noWrap/>
          </w:tcPr>
          <w:p w:rsidR="005435E9" w:rsidRDefault="005435E9">
            <w:pPr>
              <w:pStyle w:val="yTableNAm"/>
            </w:pPr>
            <w:r>
              <w:lastRenderedPageBreak/>
              <w:t>Manjimup</w:t>
            </w:r>
          </w:p>
        </w:tc>
        <w:tc>
          <w:tcPr>
            <w:tcW w:w="1810" w:type="dxa"/>
            <w:tcBorders>
              <w:top w:val="nil"/>
              <w:left w:val="nil"/>
              <w:bottom w:val="nil"/>
              <w:right w:val="nil"/>
            </w:tcBorders>
            <w:noWrap/>
            <w:vAlign w:val="center"/>
          </w:tcPr>
          <w:p w:rsidR="005435E9" w:rsidRDefault="005435E9">
            <w:pPr>
              <w:pStyle w:val="yTableNAm"/>
              <w:jc w:val="center"/>
            </w:pPr>
            <w:r>
              <w:t>17.507</w:t>
            </w:r>
          </w:p>
        </w:tc>
        <w:tc>
          <w:tcPr>
            <w:tcW w:w="2268" w:type="dxa"/>
            <w:tcBorders>
              <w:top w:val="nil"/>
              <w:left w:val="nil"/>
              <w:bottom w:val="nil"/>
              <w:right w:val="nil"/>
            </w:tcBorders>
            <w:noWrap/>
            <w:vAlign w:val="center"/>
          </w:tcPr>
          <w:p w:rsidR="005435E9" w:rsidRDefault="005435E9">
            <w:pPr>
              <w:pStyle w:val="yTableNAm"/>
              <w:jc w:val="center"/>
            </w:pPr>
            <w:r>
              <w:t>33.971</w:t>
            </w:r>
          </w:p>
        </w:tc>
      </w:tr>
      <w:tr w:rsidR="005435E9">
        <w:tc>
          <w:tcPr>
            <w:tcW w:w="2159" w:type="dxa"/>
            <w:tcBorders>
              <w:top w:val="nil"/>
              <w:left w:val="nil"/>
              <w:bottom w:val="nil"/>
              <w:right w:val="nil"/>
            </w:tcBorders>
            <w:noWrap/>
          </w:tcPr>
          <w:p w:rsidR="005435E9" w:rsidRDefault="005435E9">
            <w:pPr>
              <w:pStyle w:val="yTableNAm"/>
            </w:pPr>
            <w:r>
              <w:t>Margaret River</w:t>
            </w:r>
          </w:p>
        </w:tc>
        <w:tc>
          <w:tcPr>
            <w:tcW w:w="1810" w:type="dxa"/>
            <w:tcBorders>
              <w:top w:val="nil"/>
              <w:left w:val="nil"/>
              <w:bottom w:val="nil"/>
              <w:right w:val="nil"/>
            </w:tcBorders>
            <w:noWrap/>
            <w:vAlign w:val="center"/>
          </w:tcPr>
          <w:p w:rsidR="005435E9" w:rsidRDefault="005435E9">
            <w:pPr>
              <w:pStyle w:val="yTableNAm"/>
              <w:jc w:val="center"/>
            </w:pPr>
            <w:r>
              <w:t>13.346</w:t>
            </w:r>
          </w:p>
        </w:tc>
        <w:tc>
          <w:tcPr>
            <w:tcW w:w="2268" w:type="dxa"/>
            <w:tcBorders>
              <w:top w:val="nil"/>
              <w:left w:val="nil"/>
              <w:bottom w:val="nil"/>
              <w:right w:val="nil"/>
            </w:tcBorders>
            <w:noWrap/>
            <w:vAlign w:val="center"/>
          </w:tcPr>
          <w:p w:rsidR="005435E9" w:rsidRDefault="005435E9">
            <w:pPr>
              <w:pStyle w:val="yTableNAm"/>
              <w:jc w:val="center"/>
            </w:pPr>
            <w:r>
              <w:t>25.471</w:t>
            </w:r>
          </w:p>
        </w:tc>
      </w:tr>
      <w:tr w:rsidR="005435E9">
        <w:tc>
          <w:tcPr>
            <w:tcW w:w="2159" w:type="dxa"/>
            <w:tcBorders>
              <w:top w:val="nil"/>
              <w:left w:val="nil"/>
              <w:bottom w:val="nil"/>
              <w:right w:val="nil"/>
            </w:tcBorders>
            <w:noWrap/>
          </w:tcPr>
          <w:p w:rsidR="005435E9" w:rsidRDefault="005435E9">
            <w:pPr>
              <w:pStyle w:val="yTableNAm"/>
            </w:pPr>
            <w:r>
              <w:t>Meckering</w:t>
            </w:r>
          </w:p>
        </w:tc>
        <w:tc>
          <w:tcPr>
            <w:tcW w:w="1810" w:type="dxa"/>
            <w:tcBorders>
              <w:top w:val="nil"/>
              <w:left w:val="nil"/>
              <w:bottom w:val="nil"/>
              <w:right w:val="nil"/>
            </w:tcBorders>
            <w:noWrap/>
            <w:vAlign w:val="center"/>
          </w:tcPr>
          <w:p w:rsidR="005435E9" w:rsidRDefault="005435E9">
            <w:pPr>
              <w:pStyle w:val="yTableNAm"/>
              <w:jc w:val="center"/>
            </w:pPr>
            <w:r>
              <w:t>97.688</w:t>
            </w:r>
          </w:p>
        </w:tc>
        <w:tc>
          <w:tcPr>
            <w:tcW w:w="2268" w:type="dxa"/>
            <w:tcBorders>
              <w:top w:val="nil"/>
              <w:left w:val="nil"/>
              <w:bottom w:val="nil"/>
              <w:right w:val="nil"/>
            </w:tcBorders>
            <w:noWrap/>
            <w:vAlign w:val="center"/>
          </w:tcPr>
          <w:p w:rsidR="005435E9" w:rsidRDefault="005435E9">
            <w:pPr>
              <w:pStyle w:val="yTableNAm"/>
              <w:jc w:val="center"/>
            </w:pPr>
            <w:r>
              <w:t>262.650</w:t>
            </w:r>
          </w:p>
        </w:tc>
      </w:tr>
      <w:tr w:rsidR="005435E9">
        <w:tc>
          <w:tcPr>
            <w:tcW w:w="2159" w:type="dxa"/>
            <w:tcBorders>
              <w:top w:val="nil"/>
              <w:left w:val="nil"/>
              <w:bottom w:val="nil"/>
              <w:right w:val="nil"/>
            </w:tcBorders>
            <w:noWrap/>
          </w:tcPr>
          <w:p w:rsidR="005435E9" w:rsidRDefault="005435E9">
            <w:pPr>
              <w:pStyle w:val="yTableNAm"/>
            </w:pPr>
            <w:r>
              <w:t>Merredin</w:t>
            </w:r>
          </w:p>
        </w:tc>
        <w:tc>
          <w:tcPr>
            <w:tcW w:w="1810" w:type="dxa"/>
            <w:tcBorders>
              <w:top w:val="nil"/>
              <w:left w:val="nil"/>
              <w:bottom w:val="nil"/>
              <w:right w:val="nil"/>
            </w:tcBorders>
            <w:noWrap/>
            <w:vAlign w:val="center"/>
          </w:tcPr>
          <w:p w:rsidR="005435E9" w:rsidRDefault="005435E9">
            <w:pPr>
              <w:pStyle w:val="yTableNAm"/>
              <w:jc w:val="center"/>
            </w:pPr>
            <w:r>
              <w:t>15.151</w:t>
            </w:r>
          </w:p>
        </w:tc>
        <w:tc>
          <w:tcPr>
            <w:tcW w:w="2268" w:type="dxa"/>
            <w:tcBorders>
              <w:top w:val="nil"/>
              <w:left w:val="nil"/>
              <w:bottom w:val="nil"/>
              <w:right w:val="nil"/>
            </w:tcBorders>
            <w:noWrap/>
            <w:vAlign w:val="center"/>
          </w:tcPr>
          <w:p w:rsidR="005435E9" w:rsidRDefault="005435E9">
            <w:pPr>
              <w:pStyle w:val="yTableNAm"/>
              <w:jc w:val="center"/>
            </w:pPr>
            <w:r>
              <w:t>55.593</w:t>
            </w:r>
          </w:p>
        </w:tc>
      </w:tr>
      <w:tr w:rsidR="005435E9">
        <w:tc>
          <w:tcPr>
            <w:tcW w:w="2159" w:type="dxa"/>
            <w:tcBorders>
              <w:top w:val="nil"/>
              <w:left w:val="nil"/>
              <w:bottom w:val="nil"/>
              <w:right w:val="nil"/>
            </w:tcBorders>
            <w:noWrap/>
          </w:tcPr>
          <w:p w:rsidR="005435E9" w:rsidRDefault="005435E9">
            <w:pPr>
              <w:pStyle w:val="yTableNAm"/>
            </w:pPr>
            <w:r>
              <w:t>Mount Barker</w:t>
            </w:r>
          </w:p>
        </w:tc>
        <w:tc>
          <w:tcPr>
            <w:tcW w:w="1810" w:type="dxa"/>
            <w:tcBorders>
              <w:top w:val="nil"/>
              <w:left w:val="nil"/>
              <w:bottom w:val="nil"/>
              <w:right w:val="nil"/>
            </w:tcBorders>
            <w:noWrap/>
            <w:vAlign w:val="center"/>
          </w:tcPr>
          <w:p w:rsidR="005435E9" w:rsidRDefault="005435E9">
            <w:pPr>
              <w:pStyle w:val="yTableNAm"/>
              <w:jc w:val="center"/>
            </w:pPr>
            <w:r>
              <w:t>14.542</w:t>
            </w:r>
          </w:p>
        </w:tc>
        <w:tc>
          <w:tcPr>
            <w:tcW w:w="2268" w:type="dxa"/>
            <w:tcBorders>
              <w:top w:val="nil"/>
              <w:left w:val="nil"/>
              <w:bottom w:val="nil"/>
              <w:right w:val="nil"/>
            </w:tcBorders>
            <w:noWrap/>
            <w:vAlign w:val="center"/>
          </w:tcPr>
          <w:p w:rsidR="005435E9" w:rsidRDefault="005435E9">
            <w:pPr>
              <w:pStyle w:val="yTableNAm"/>
              <w:jc w:val="center"/>
            </w:pPr>
            <w:r>
              <w:t>27.878</w:t>
            </w:r>
          </w:p>
        </w:tc>
      </w:tr>
      <w:tr w:rsidR="005435E9">
        <w:tc>
          <w:tcPr>
            <w:tcW w:w="2159" w:type="dxa"/>
            <w:tcBorders>
              <w:top w:val="nil"/>
              <w:left w:val="nil"/>
              <w:bottom w:val="nil"/>
              <w:right w:val="nil"/>
            </w:tcBorders>
            <w:noWrap/>
          </w:tcPr>
          <w:p w:rsidR="005435E9" w:rsidRDefault="005435E9">
            <w:pPr>
              <w:pStyle w:val="yTableNAm"/>
            </w:pPr>
            <w:r>
              <w:t>Mukinbudin</w:t>
            </w:r>
          </w:p>
        </w:tc>
        <w:tc>
          <w:tcPr>
            <w:tcW w:w="1810" w:type="dxa"/>
            <w:tcBorders>
              <w:top w:val="nil"/>
              <w:left w:val="nil"/>
              <w:bottom w:val="nil"/>
              <w:right w:val="nil"/>
            </w:tcBorders>
            <w:noWrap/>
            <w:vAlign w:val="center"/>
          </w:tcPr>
          <w:p w:rsidR="005435E9" w:rsidRDefault="005435E9">
            <w:pPr>
              <w:pStyle w:val="yTableNAm"/>
              <w:jc w:val="center"/>
            </w:pPr>
            <w:r>
              <w:t>35.234</w:t>
            </w:r>
          </w:p>
        </w:tc>
        <w:tc>
          <w:tcPr>
            <w:tcW w:w="2268" w:type="dxa"/>
            <w:tcBorders>
              <w:top w:val="nil"/>
              <w:left w:val="nil"/>
              <w:bottom w:val="nil"/>
              <w:right w:val="nil"/>
            </w:tcBorders>
            <w:noWrap/>
            <w:vAlign w:val="center"/>
          </w:tcPr>
          <w:p w:rsidR="005435E9" w:rsidRDefault="005435E9">
            <w:pPr>
              <w:pStyle w:val="yTableNAm"/>
              <w:jc w:val="center"/>
            </w:pPr>
            <w:r>
              <w:t>262.984</w:t>
            </w:r>
          </w:p>
        </w:tc>
      </w:tr>
      <w:tr w:rsidR="005435E9">
        <w:tc>
          <w:tcPr>
            <w:tcW w:w="2159" w:type="dxa"/>
            <w:tcBorders>
              <w:top w:val="nil"/>
              <w:left w:val="nil"/>
              <w:bottom w:val="nil"/>
              <w:right w:val="nil"/>
            </w:tcBorders>
            <w:noWrap/>
          </w:tcPr>
          <w:p w:rsidR="005435E9" w:rsidRDefault="005435E9">
            <w:pPr>
              <w:pStyle w:val="yTableNAm"/>
            </w:pPr>
            <w:r>
              <w:t>Nannup</w:t>
            </w:r>
          </w:p>
        </w:tc>
        <w:tc>
          <w:tcPr>
            <w:tcW w:w="1810" w:type="dxa"/>
            <w:tcBorders>
              <w:top w:val="nil"/>
              <w:left w:val="nil"/>
              <w:bottom w:val="nil"/>
              <w:right w:val="nil"/>
            </w:tcBorders>
            <w:noWrap/>
            <w:vAlign w:val="center"/>
          </w:tcPr>
          <w:p w:rsidR="005435E9" w:rsidRDefault="005435E9">
            <w:pPr>
              <w:pStyle w:val="yTableNAm"/>
              <w:jc w:val="center"/>
            </w:pPr>
            <w:r>
              <w:t>12.205</w:t>
            </w:r>
          </w:p>
        </w:tc>
        <w:tc>
          <w:tcPr>
            <w:tcW w:w="2268" w:type="dxa"/>
            <w:tcBorders>
              <w:top w:val="nil"/>
              <w:left w:val="nil"/>
              <w:bottom w:val="nil"/>
              <w:right w:val="nil"/>
            </w:tcBorders>
            <w:noWrap/>
            <w:vAlign w:val="center"/>
          </w:tcPr>
          <w:p w:rsidR="005435E9" w:rsidRDefault="005435E9">
            <w:pPr>
              <w:pStyle w:val="yTableNAm"/>
              <w:jc w:val="center"/>
            </w:pPr>
            <w:r>
              <w:t>19.128</w:t>
            </w:r>
          </w:p>
        </w:tc>
      </w:tr>
      <w:tr w:rsidR="005435E9">
        <w:tc>
          <w:tcPr>
            <w:tcW w:w="2159" w:type="dxa"/>
            <w:tcBorders>
              <w:top w:val="nil"/>
              <w:left w:val="nil"/>
              <w:bottom w:val="nil"/>
              <w:right w:val="nil"/>
            </w:tcBorders>
            <w:noWrap/>
          </w:tcPr>
          <w:p w:rsidR="005435E9" w:rsidRDefault="005435E9">
            <w:pPr>
              <w:pStyle w:val="yTableNAm"/>
            </w:pPr>
            <w:r>
              <w:t>Narembeen</w:t>
            </w:r>
          </w:p>
        </w:tc>
        <w:tc>
          <w:tcPr>
            <w:tcW w:w="1810" w:type="dxa"/>
            <w:tcBorders>
              <w:top w:val="nil"/>
              <w:left w:val="nil"/>
              <w:bottom w:val="nil"/>
              <w:right w:val="nil"/>
            </w:tcBorders>
            <w:noWrap/>
            <w:vAlign w:val="center"/>
          </w:tcPr>
          <w:p w:rsidR="005435E9" w:rsidRDefault="005435E9">
            <w:pPr>
              <w:pStyle w:val="yTableNAm"/>
              <w:jc w:val="center"/>
            </w:pPr>
            <w:r>
              <w:t>31.286</w:t>
            </w:r>
          </w:p>
        </w:tc>
        <w:tc>
          <w:tcPr>
            <w:tcW w:w="2268" w:type="dxa"/>
            <w:tcBorders>
              <w:top w:val="nil"/>
              <w:left w:val="nil"/>
              <w:bottom w:val="nil"/>
              <w:right w:val="nil"/>
            </w:tcBorders>
            <w:noWrap/>
            <w:vAlign w:val="center"/>
          </w:tcPr>
          <w:p w:rsidR="005435E9" w:rsidRDefault="005435E9">
            <w:pPr>
              <w:pStyle w:val="yTableNAm"/>
              <w:jc w:val="center"/>
            </w:pPr>
            <w:r>
              <w:t>166.221</w:t>
            </w:r>
          </w:p>
        </w:tc>
      </w:tr>
      <w:tr w:rsidR="005435E9">
        <w:tc>
          <w:tcPr>
            <w:tcW w:w="2159" w:type="dxa"/>
            <w:tcBorders>
              <w:top w:val="nil"/>
              <w:left w:val="nil"/>
              <w:bottom w:val="nil"/>
              <w:right w:val="nil"/>
            </w:tcBorders>
            <w:noWrap/>
          </w:tcPr>
          <w:p w:rsidR="005435E9" w:rsidRDefault="005435E9">
            <w:pPr>
              <w:pStyle w:val="yTableNAm"/>
            </w:pPr>
            <w:r>
              <w:t>Narrogin</w:t>
            </w:r>
          </w:p>
        </w:tc>
        <w:tc>
          <w:tcPr>
            <w:tcW w:w="1810" w:type="dxa"/>
            <w:tcBorders>
              <w:top w:val="nil"/>
              <w:left w:val="nil"/>
              <w:bottom w:val="nil"/>
              <w:right w:val="nil"/>
            </w:tcBorders>
            <w:noWrap/>
            <w:vAlign w:val="center"/>
          </w:tcPr>
          <w:p w:rsidR="005435E9" w:rsidRDefault="005435E9">
            <w:pPr>
              <w:pStyle w:val="yTableNAm"/>
              <w:jc w:val="center"/>
            </w:pPr>
            <w:r>
              <w:t>11.593</w:t>
            </w:r>
          </w:p>
        </w:tc>
        <w:tc>
          <w:tcPr>
            <w:tcW w:w="2268" w:type="dxa"/>
            <w:tcBorders>
              <w:top w:val="nil"/>
              <w:left w:val="nil"/>
              <w:bottom w:val="nil"/>
              <w:right w:val="nil"/>
            </w:tcBorders>
            <w:noWrap/>
            <w:vAlign w:val="center"/>
          </w:tcPr>
          <w:p w:rsidR="005435E9" w:rsidRDefault="005435E9">
            <w:pPr>
              <w:pStyle w:val="yTableNAm"/>
              <w:jc w:val="center"/>
            </w:pPr>
            <w:r>
              <w:t>21.817</w:t>
            </w:r>
          </w:p>
        </w:tc>
      </w:tr>
      <w:tr w:rsidR="005435E9">
        <w:tc>
          <w:tcPr>
            <w:tcW w:w="2159" w:type="dxa"/>
            <w:tcBorders>
              <w:top w:val="nil"/>
              <w:left w:val="nil"/>
              <w:bottom w:val="nil"/>
              <w:right w:val="nil"/>
            </w:tcBorders>
            <w:noWrap/>
          </w:tcPr>
          <w:p w:rsidR="005435E9" w:rsidRDefault="005435E9">
            <w:pPr>
              <w:pStyle w:val="yTableNAm"/>
            </w:pPr>
            <w:r>
              <w:t>Newdegate</w:t>
            </w:r>
          </w:p>
        </w:tc>
        <w:tc>
          <w:tcPr>
            <w:tcW w:w="1810" w:type="dxa"/>
            <w:tcBorders>
              <w:top w:val="nil"/>
              <w:left w:val="nil"/>
              <w:bottom w:val="nil"/>
              <w:right w:val="nil"/>
            </w:tcBorders>
            <w:noWrap/>
            <w:vAlign w:val="center"/>
          </w:tcPr>
          <w:p w:rsidR="005435E9" w:rsidRDefault="005435E9">
            <w:pPr>
              <w:pStyle w:val="yTableNAm"/>
              <w:jc w:val="center"/>
            </w:pPr>
            <w:r>
              <w:t>37.585</w:t>
            </w:r>
          </w:p>
        </w:tc>
        <w:tc>
          <w:tcPr>
            <w:tcW w:w="2268" w:type="dxa"/>
            <w:tcBorders>
              <w:top w:val="nil"/>
              <w:left w:val="nil"/>
              <w:bottom w:val="nil"/>
              <w:right w:val="nil"/>
            </w:tcBorders>
            <w:noWrap/>
            <w:vAlign w:val="center"/>
          </w:tcPr>
          <w:p w:rsidR="005435E9" w:rsidRDefault="005435E9">
            <w:pPr>
              <w:pStyle w:val="yTableNAm"/>
              <w:jc w:val="center"/>
            </w:pPr>
            <w:r>
              <w:t>317.247</w:t>
            </w:r>
          </w:p>
        </w:tc>
      </w:tr>
      <w:tr w:rsidR="005435E9">
        <w:tc>
          <w:tcPr>
            <w:tcW w:w="2159" w:type="dxa"/>
            <w:tcBorders>
              <w:top w:val="nil"/>
              <w:left w:val="nil"/>
              <w:bottom w:val="nil"/>
              <w:right w:val="nil"/>
            </w:tcBorders>
            <w:noWrap/>
          </w:tcPr>
          <w:p w:rsidR="005435E9" w:rsidRDefault="005435E9">
            <w:pPr>
              <w:pStyle w:val="yTableNAm"/>
            </w:pPr>
            <w:r>
              <w:t>Newman</w:t>
            </w:r>
          </w:p>
        </w:tc>
        <w:tc>
          <w:tcPr>
            <w:tcW w:w="1810" w:type="dxa"/>
            <w:tcBorders>
              <w:top w:val="nil"/>
              <w:left w:val="nil"/>
              <w:bottom w:val="nil"/>
              <w:right w:val="nil"/>
            </w:tcBorders>
            <w:noWrap/>
            <w:vAlign w:val="center"/>
          </w:tcPr>
          <w:p w:rsidR="005435E9" w:rsidRDefault="005435E9">
            <w:pPr>
              <w:pStyle w:val="yTableNAm"/>
              <w:jc w:val="center"/>
            </w:pPr>
            <w:r>
              <w:t>1.177</w:t>
            </w:r>
          </w:p>
        </w:tc>
        <w:tc>
          <w:tcPr>
            <w:tcW w:w="2268" w:type="dxa"/>
            <w:tcBorders>
              <w:top w:val="nil"/>
              <w:left w:val="nil"/>
              <w:bottom w:val="nil"/>
              <w:right w:val="nil"/>
            </w:tcBorders>
            <w:noWrap/>
            <w:vAlign w:val="center"/>
          </w:tcPr>
          <w:p w:rsidR="005435E9" w:rsidRDefault="005435E9">
            <w:pPr>
              <w:pStyle w:val="yTableNAm"/>
              <w:jc w:val="center"/>
            </w:pPr>
            <w:r>
              <w:t>1.022</w:t>
            </w:r>
          </w:p>
        </w:tc>
      </w:tr>
      <w:tr w:rsidR="005435E9">
        <w:tc>
          <w:tcPr>
            <w:tcW w:w="2159" w:type="dxa"/>
            <w:tcBorders>
              <w:top w:val="nil"/>
              <w:left w:val="nil"/>
              <w:bottom w:val="nil"/>
              <w:right w:val="nil"/>
            </w:tcBorders>
            <w:noWrap/>
          </w:tcPr>
          <w:p w:rsidR="005435E9" w:rsidRDefault="005435E9">
            <w:pPr>
              <w:pStyle w:val="yTableNAm"/>
            </w:pPr>
            <w:r>
              <w:t>Northam</w:t>
            </w:r>
          </w:p>
        </w:tc>
        <w:tc>
          <w:tcPr>
            <w:tcW w:w="1810" w:type="dxa"/>
            <w:tcBorders>
              <w:top w:val="nil"/>
              <w:left w:val="nil"/>
              <w:bottom w:val="nil"/>
              <w:right w:val="nil"/>
            </w:tcBorders>
            <w:noWrap/>
            <w:vAlign w:val="center"/>
          </w:tcPr>
          <w:p w:rsidR="005435E9" w:rsidRDefault="005435E9">
            <w:pPr>
              <w:pStyle w:val="yTableNAm"/>
              <w:jc w:val="center"/>
            </w:pPr>
            <w:r>
              <w:t>12.073</w:t>
            </w:r>
          </w:p>
        </w:tc>
        <w:tc>
          <w:tcPr>
            <w:tcW w:w="2268" w:type="dxa"/>
            <w:tcBorders>
              <w:top w:val="nil"/>
              <w:left w:val="nil"/>
              <w:bottom w:val="nil"/>
              <w:right w:val="nil"/>
            </w:tcBorders>
            <w:noWrap/>
            <w:vAlign w:val="center"/>
          </w:tcPr>
          <w:p w:rsidR="005435E9" w:rsidRDefault="005435E9">
            <w:pPr>
              <w:pStyle w:val="yTableNAm"/>
              <w:jc w:val="center"/>
            </w:pPr>
            <w:r>
              <w:t>32.713</w:t>
            </w:r>
          </w:p>
        </w:tc>
      </w:tr>
      <w:tr w:rsidR="005435E9">
        <w:tc>
          <w:tcPr>
            <w:tcW w:w="2159" w:type="dxa"/>
            <w:tcBorders>
              <w:top w:val="nil"/>
              <w:left w:val="nil"/>
              <w:bottom w:val="nil"/>
              <w:right w:val="nil"/>
            </w:tcBorders>
            <w:noWrap/>
          </w:tcPr>
          <w:p w:rsidR="005435E9" w:rsidRDefault="005435E9">
            <w:pPr>
              <w:pStyle w:val="yTableNAm"/>
            </w:pPr>
            <w:r>
              <w:t>Onslow</w:t>
            </w:r>
          </w:p>
        </w:tc>
        <w:tc>
          <w:tcPr>
            <w:tcW w:w="1810" w:type="dxa"/>
            <w:tcBorders>
              <w:top w:val="nil"/>
              <w:left w:val="nil"/>
              <w:bottom w:val="nil"/>
              <w:right w:val="nil"/>
            </w:tcBorders>
            <w:noWrap/>
            <w:vAlign w:val="center"/>
          </w:tcPr>
          <w:p w:rsidR="005435E9" w:rsidRDefault="005435E9">
            <w:pPr>
              <w:pStyle w:val="yTableNAm"/>
              <w:jc w:val="center"/>
            </w:pPr>
            <w:r>
              <w:t>2.923</w:t>
            </w:r>
          </w:p>
        </w:tc>
        <w:tc>
          <w:tcPr>
            <w:tcW w:w="2268" w:type="dxa"/>
            <w:tcBorders>
              <w:top w:val="nil"/>
              <w:left w:val="nil"/>
              <w:bottom w:val="nil"/>
              <w:right w:val="nil"/>
            </w:tcBorders>
            <w:noWrap/>
            <w:vAlign w:val="center"/>
          </w:tcPr>
          <w:p w:rsidR="005435E9" w:rsidRDefault="005435E9">
            <w:pPr>
              <w:pStyle w:val="yTableNAm"/>
              <w:jc w:val="center"/>
            </w:pPr>
            <w:r>
              <w:t>18.222</w:t>
            </w:r>
          </w:p>
        </w:tc>
      </w:tr>
      <w:tr w:rsidR="005435E9">
        <w:tc>
          <w:tcPr>
            <w:tcW w:w="2159" w:type="dxa"/>
            <w:tcBorders>
              <w:top w:val="nil"/>
              <w:left w:val="nil"/>
              <w:bottom w:val="nil"/>
              <w:right w:val="nil"/>
            </w:tcBorders>
            <w:noWrap/>
          </w:tcPr>
          <w:p w:rsidR="005435E9" w:rsidRDefault="005435E9">
            <w:pPr>
              <w:pStyle w:val="yTableNAm"/>
            </w:pPr>
            <w:r>
              <w:t>Pemberton</w:t>
            </w:r>
          </w:p>
        </w:tc>
        <w:tc>
          <w:tcPr>
            <w:tcW w:w="1810" w:type="dxa"/>
            <w:tcBorders>
              <w:top w:val="nil"/>
              <w:left w:val="nil"/>
              <w:bottom w:val="nil"/>
              <w:right w:val="nil"/>
            </w:tcBorders>
            <w:noWrap/>
            <w:vAlign w:val="center"/>
          </w:tcPr>
          <w:p w:rsidR="005435E9" w:rsidRDefault="005435E9">
            <w:pPr>
              <w:pStyle w:val="yTableNAm"/>
              <w:jc w:val="center"/>
            </w:pPr>
            <w:r>
              <w:t>32.352</w:t>
            </w:r>
          </w:p>
        </w:tc>
        <w:tc>
          <w:tcPr>
            <w:tcW w:w="2268" w:type="dxa"/>
            <w:tcBorders>
              <w:top w:val="nil"/>
              <w:left w:val="nil"/>
              <w:bottom w:val="nil"/>
              <w:right w:val="nil"/>
            </w:tcBorders>
            <w:noWrap/>
            <w:vAlign w:val="center"/>
          </w:tcPr>
          <w:p w:rsidR="005435E9" w:rsidRDefault="005435E9">
            <w:pPr>
              <w:pStyle w:val="yTableNAm"/>
              <w:jc w:val="center"/>
            </w:pPr>
            <w:r>
              <w:t>67.670</w:t>
            </w:r>
          </w:p>
        </w:tc>
      </w:tr>
      <w:tr w:rsidR="005435E9">
        <w:tc>
          <w:tcPr>
            <w:tcW w:w="2159" w:type="dxa"/>
            <w:tcBorders>
              <w:top w:val="nil"/>
              <w:left w:val="nil"/>
              <w:bottom w:val="nil"/>
              <w:right w:val="nil"/>
            </w:tcBorders>
            <w:noWrap/>
          </w:tcPr>
          <w:p w:rsidR="005435E9" w:rsidRDefault="005435E9">
            <w:pPr>
              <w:pStyle w:val="yTableNAm"/>
            </w:pPr>
            <w:r>
              <w:t>Pingelly</w:t>
            </w:r>
          </w:p>
        </w:tc>
        <w:tc>
          <w:tcPr>
            <w:tcW w:w="1810" w:type="dxa"/>
            <w:tcBorders>
              <w:top w:val="nil"/>
              <w:left w:val="nil"/>
              <w:bottom w:val="nil"/>
              <w:right w:val="nil"/>
            </w:tcBorders>
            <w:noWrap/>
            <w:vAlign w:val="center"/>
          </w:tcPr>
          <w:p w:rsidR="005435E9" w:rsidRDefault="005435E9">
            <w:pPr>
              <w:pStyle w:val="yTableNAm"/>
              <w:jc w:val="center"/>
            </w:pPr>
            <w:r>
              <w:t>19.400</w:t>
            </w:r>
          </w:p>
        </w:tc>
        <w:tc>
          <w:tcPr>
            <w:tcW w:w="2268" w:type="dxa"/>
            <w:tcBorders>
              <w:top w:val="nil"/>
              <w:left w:val="nil"/>
              <w:bottom w:val="nil"/>
              <w:right w:val="nil"/>
            </w:tcBorders>
            <w:noWrap/>
            <w:vAlign w:val="center"/>
          </w:tcPr>
          <w:p w:rsidR="005435E9" w:rsidRDefault="005435E9">
            <w:pPr>
              <w:pStyle w:val="yTableNAm"/>
              <w:jc w:val="center"/>
            </w:pPr>
            <w:r>
              <w:t>64.781</w:t>
            </w:r>
          </w:p>
        </w:tc>
      </w:tr>
      <w:tr w:rsidR="005435E9">
        <w:tc>
          <w:tcPr>
            <w:tcW w:w="2159" w:type="dxa"/>
            <w:tcBorders>
              <w:top w:val="nil"/>
              <w:left w:val="nil"/>
              <w:bottom w:val="nil"/>
              <w:right w:val="nil"/>
            </w:tcBorders>
            <w:noWrap/>
          </w:tcPr>
          <w:p w:rsidR="005435E9" w:rsidRDefault="005435E9">
            <w:pPr>
              <w:pStyle w:val="yTableNAm"/>
            </w:pPr>
            <w:r>
              <w:t>Pinjarra</w:t>
            </w:r>
          </w:p>
        </w:tc>
        <w:tc>
          <w:tcPr>
            <w:tcW w:w="1810" w:type="dxa"/>
            <w:tcBorders>
              <w:top w:val="nil"/>
              <w:left w:val="nil"/>
              <w:bottom w:val="nil"/>
              <w:right w:val="nil"/>
            </w:tcBorders>
            <w:noWrap/>
            <w:vAlign w:val="center"/>
          </w:tcPr>
          <w:p w:rsidR="005435E9" w:rsidRDefault="005435E9">
            <w:pPr>
              <w:pStyle w:val="yTableNAm"/>
              <w:jc w:val="center"/>
            </w:pPr>
            <w:r>
              <w:t>11.124</w:t>
            </w:r>
          </w:p>
        </w:tc>
        <w:tc>
          <w:tcPr>
            <w:tcW w:w="2268" w:type="dxa"/>
            <w:tcBorders>
              <w:top w:val="nil"/>
              <w:left w:val="nil"/>
              <w:bottom w:val="nil"/>
              <w:right w:val="nil"/>
            </w:tcBorders>
            <w:noWrap/>
            <w:vAlign w:val="center"/>
          </w:tcPr>
          <w:p w:rsidR="005435E9" w:rsidRDefault="005435E9">
            <w:pPr>
              <w:pStyle w:val="yTableNAm"/>
              <w:jc w:val="center"/>
            </w:pPr>
            <w:r>
              <w:t>8.911</w:t>
            </w:r>
          </w:p>
        </w:tc>
      </w:tr>
      <w:tr w:rsidR="005435E9">
        <w:tc>
          <w:tcPr>
            <w:tcW w:w="2159" w:type="dxa"/>
            <w:tcBorders>
              <w:top w:val="nil"/>
              <w:left w:val="nil"/>
              <w:bottom w:val="nil"/>
              <w:right w:val="nil"/>
            </w:tcBorders>
            <w:noWrap/>
          </w:tcPr>
          <w:p w:rsidR="005435E9" w:rsidRDefault="005435E9">
            <w:pPr>
              <w:pStyle w:val="yTableNAm"/>
            </w:pPr>
            <w:r>
              <w:t>Port Hedland</w:t>
            </w:r>
          </w:p>
        </w:tc>
        <w:tc>
          <w:tcPr>
            <w:tcW w:w="1810" w:type="dxa"/>
            <w:tcBorders>
              <w:top w:val="nil"/>
              <w:left w:val="nil"/>
              <w:bottom w:val="nil"/>
              <w:right w:val="nil"/>
            </w:tcBorders>
            <w:noWrap/>
            <w:vAlign w:val="center"/>
          </w:tcPr>
          <w:p w:rsidR="005435E9" w:rsidRDefault="005435E9">
            <w:pPr>
              <w:pStyle w:val="yTableNAm"/>
              <w:jc w:val="center"/>
            </w:pPr>
            <w:r>
              <w:t>8.747</w:t>
            </w:r>
          </w:p>
        </w:tc>
        <w:tc>
          <w:tcPr>
            <w:tcW w:w="2268" w:type="dxa"/>
            <w:tcBorders>
              <w:top w:val="nil"/>
              <w:left w:val="nil"/>
              <w:bottom w:val="nil"/>
              <w:right w:val="nil"/>
            </w:tcBorders>
            <w:noWrap/>
            <w:vAlign w:val="center"/>
          </w:tcPr>
          <w:p w:rsidR="005435E9" w:rsidRDefault="005435E9">
            <w:pPr>
              <w:pStyle w:val="yTableNAm"/>
              <w:jc w:val="center"/>
            </w:pPr>
            <w:r>
              <w:t>33.246</w:t>
            </w:r>
          </w:p>
        </w:tc>
      </w:tr>
      <w:tr w:rsidR="005435E9">
        <w:tc>
          <w:tcPr>
            <w:tcW w:w="2159" w:type="dxa"/>
            <w:tcBorders>
              <w:top w:val="nil"/>
              <w:left w:val="nil"/>
              <w:bottom w:val="nil"/>
              <w:right w:val="nil"/>
            </w:tcBorders>
            <w:noWrap/>
          </w:tcPr>
          <w:p w:rsidR="005435E9" w:rsidRDefault="005435E9">
            <w:pPr>
              <w:pStyle w:val="yTableNAm"/>
            </w:pPr>
            <w:r>
              <w:t>Prevelly</w:t>
            </w:r>
          </w:p>
        </w:tc>
        <w:tc>
          <w:tcPr>
            <w:tcW w:w="1810" w:type="dxa"/>
            <w:tcBorders>
              <w:top w:val="nil"/>
              <w:left w:val="nil"/>
              <w:bottom w:val="nil"/>
              <w:right w:val="nil"/>
            </w:tcBorders>
            <w:noWrap/>
            <w:vAlign w:val="center"/>
          </w:tcPr>
          <w:p w:rsidR="005435E9" w:rsidRDefault="005435E9">
            <w:pPr>
              <w:pStyle w:val="yTableNAm"/>
              <w:jc w:val="center"/>
            </w:pPr>
            <w:r>
              <w:t>9.162</w:t>
            </w:r>
          </w:p>
        </w:tc>
        <w:tc>
          <w:tcPr>
            <w:tcW w:w="2268" w:type="dxa"/>
            <w:tcBorders>
              <w:top w:val="nil"/>
              <w:left w:val="nil"/>
              <w:bottom w:val="nil"/>
              <w:right w:val="nil"/>
            </w:tcBorders>
            <w:noWrap/>
            <w:vAlign w:val="center"/>
          </w:tcPr>
          <w:p w:rsidR="005435E9" w:rsidRDefault="005435E9">
            <w:pPr>
              <w:pStyle w:val="yTableNAm"/>
              <w:jc w:val="center"/>
            </w:pPr>
            <w:r>
              <w:t>11.738</w:t>
            </w:r>
          </w:p>
        </w:tc>
      </w:tr>
      <w:tr w:rsidR="005435E9">
        <w:tc>
          <w:tcPr>
            <w:tcW w:w="2159" w:type="dxa"/>
            <w:tcBorders>
              <w:top w:val="nil"/>
              <w:left w:val="nil"/>
              <w:bottom w:val="nil"/>
              <w:right w:val="nil"/>
            </w:tcBorders>
            <w:noWrap/>
          </w:tcPr>
          <w:p w:rsidR="005435E9" w:rsidRDefault="005435E9">
            <w:pPr>
              <w:pStyle w:val="yTableNAm"/>
            </w:pPr>
            <w:r>
              <w:t>Quairading</w:t>
            </w:r>
          </w:p>
        </w:tc>
        <w:tc>
          <w:tcPr>
            <w:tcW w:w="1810" w:type="dxa"/>
            <w:tcBorders>
              <w:top w:val="nil"/>
              <w:left w:val="nil"/>
              <w:bottom w:val="nil"/>
              <w:right w:val="nil"/>
            </w:tcBorders>
            <w:noWrap/>
            <w:vAlign w:val="center"/>
          </w:tcPr>
          <w:p w:rsidR="005435E9" w:rsidRDefault="005435E9">
            <w:pPr>
              <w:pStyle w:val="yTableNAm"/>
              <w:jc w:val="center"/>
            </w:pPr>
            <w:r>
              <w:t>26.314</w:t>
            </w:r>
          </w:p>
        </w:tc>
        <w:tc>
          <w:tcPr>
            <w:tcW w:w="2268" w:type="dxa"/>
            <w:tcBorders>
              <w:top w:val="nil"/>
              <w:left w:val="nil"/>
              <w:bottom w:val="nil"/>
              <w:right w:val="nil"/>
            </w:tcBorders>
            <w:noWrap/>
            <w:vAlign w:val="center"/>
          </w:tcPr>
          <w:p w:rsidR="005435E9" w:rsidRDefault="005435E9">
            <w:pPr>
              <w:pStyle w:val="yTableNAm"/>
              <w:jc w:val="center"/>
            </w:pPr>
            <w:r>
              <w:t>67.174</w:t>
            </w:r>
          </w:p>
        </w:tc>
      </w:tr>
      <w:tr w:rsidR="005435E9">
        <w:tc>
          <w:tcPr>
            <w:tcW w:w="2159" w:type="dxa"/>
            <w:tcBorders>
              <w:top w:val="nil"/>
              <w:left w:val="nil"/>
              <w:bottom w:val="nil"/>
              <w:right w:val="nil"/>
            </w:tcBorders>
            <w:noWrap/>
          </w:tcPr>
          <w:p w:rsidR="005435E9" w:rsidRDefault="005435E9">
            <w:pPr>
              <w:pStyle w:val="yTableNAm"/>
            </w:pPr>
            <w:r>
              <w:lastRenderedPageBreak/>
              <w:t>Roebourne</w:t>
            </w:r>
          </w:p>
        </w:tc>
        <w:tc>
          <w:tcPr>
            <w:tcW w:w="1810" w:type="dxa"/>
            <w:tcBorders>
              <w:top w:val="nil"/>
              <w:left w:val="nil"/>
              <w:bottom w:val="nil"/>
              <w:right w:val="nil"/>
            </w:tcBorders>
            <w:noWrap/>
            <w:vAlign w:val="center"/>
          </w:tcPr>
          <w:p w:rsidR="005435E9" w:rsidRDefault="005435E9">
            <w:pPr>
              <w:pStyle w:val="yTableNAm"/>
              <w:jc w:val="center"/>
            </w:pPr>
            <w:r>
              <w:t>38.476</w:t>
            </w:r>
          </w:p>
        </w:tc>
        <w:tc>
          <w:tcPr>
            <w:tcW w:w="2268" w:type="dxa"/>
            <w:tcBorders>
              <w:top w:val="nil"/>
              <w:left w:val="nil"/>
              <w:bottom w:val="nil"/>
              <w:right w:val="nil"/>
            </w:tcBorders>
            <w:noWrap/>
            <w:vAlign w:val="center"/>
          </w:tcPr>
          <w:p w:rsidR="005435E9" w:rsidRDefault="005435E9">
            <w:pPr>
              <w:pStyle w:val="yTableNAm"/>
              <w:jc w:val="center"/>
            </w:pPr>
            <w:r>
              <w:t>213.107</w:t>
            </w:r>
          </w:p>
        </w:tc>
      </w:tr>
      <w:tr w:rsidR="005435E9">
        <w:tc>
          <w:tcPr>
            <w:tcW w:w="2159" w:type="dxa"/>
            <w:tcBorders>
              <w:top w:val="nil"/>
              <w:left w:val="nil"/>
              <w:bottom w:val="nil"/>
              <w:right w:val="nil"/>
            </w:tcBorders>
            <w:noWrap/>
          </w:tcPr>
          <w:p w:rsidR="005435E9" w:rsidRDefault="005435E9">
            <w:pPr>
              <w:pStyle w:val="yTableNAm"/>
            </w:pPr>
            <w:r>
              <w:t>Seabird</w:t>
            </w:r>
          </w:p>
        </w:tc>
        <w:tc>
          <w:tcPr>
            <w:tcW w:w="1810" w:type="dxa"/>
            <w:tcBorders>
              <w:top w:val="nil"/>
              <w:left w:val="nil"/>
              <w:bottom w:val="nil"/>
              <w:right w:val="nil"/>
            </w:tcBorders>
            <w:noWrap/>
            <w:vAlign w:val="center"/>
          </w:tcPr>
          <w:p w:rsidR="005435E9" w:rsidRDefault="005435E9">
            <w:pPr>
              <w:pStyle w:val="yTableNAm"/>
              <w:jc w:val="center"/>
            </w:pPr>
            <w:r>
              <w:t>64.299</w:t>
            </w:r>
          </w:p>
        </w:tc>
        <w:tc>
          <w:tcPr>
            <w:tcW w:w="2268" w:type="dxa"/>
            <w:tcBorders>
              <w:top w:val="nil"/>
              <w:left w:val="nil"/>
              <w:bottom w:val="nil"/>
              <w:right w:val="nil"/>
            </w:tcBorders>
            <w:noWrap/>
            <w:vAlign w:val="center"/>
          </w:tcPr>
          <w:p w:rsidR="005435E9" w:rsidRDefault="005435E9">
            <w:pPr>
              <w:pStyle w:val="yTableNAm"/>
              <w:jc w:val="center"/>
            </w:pPr>
            <w:r>
              <w:t>94.813</w:t>
            </w:r>
          </w:p>
        </w:tc>
      </w:tr>
      <w:tr w:rsidR="005435E9">
        <w:tc>
          <w:tcPr>
            <w:tcW w:w="2159" w:type="dxa"/>
            <w:tcBorders>
              <w:top w:val="nil"/>
              <w:left w:val="nil"/>
              <w:bottom w:val="nil"/>
              <w:right w:val="nil"/>
            </w:tcBorders>
            <w:noWrap/>
          </w:tcPr>
          <w:p w:rsidR="005435E9" w:rsidRDefault="005435E9">
            <w:pPr>
              <w:pStyle w:val="yTableNAm"/>
            </w:pPr>
            <w:r>
              <w:t>Tambellup</w:t>
            </w:r>
          </w:p>
        </w:tc>
        <w:tc>
          <w:tcPr>
            <w:tcW w:w="1810" w:type="dxa"/>
            <w:tcBorders>
              <w:top w:val="nil"/>
              <w:left w:val="nil"/>
              <w:bottom w:val="nil"/>
              <w:right w:val="nil"/>
            </w:tcBorders>
            <w:noWrap/>
            <w:vAlign w:val="center"/>
          </w:tcPr>
          <w:p w:rsidR="005435E9" w:rsidRDefault="005435E9">
            <w:pPr>
              <w:pStyle w:val="yTableNAm"/>
              <w:jc w:val="center"/>
            </w:pPr>
            <w:r>
              <w:t>51.163</w:t>
            </w:r>
          </w:p>
        </w:tc>
        <w:tc>
          <w:tcPr>
            <w:tcW w:w="2268" w:type="dxa"/>
            <w:tcBorders>
              <w:top w:val="nil"/>
              <w:left w:val="nil"/>
              <w:bottom w:val="nil"/>
              <w:right w:val="nil"/>
            </w:tcBorders>
            <w:noWrap/>
            <w:vAlign w:val="center"/>
          </w:tcPr>
          <w:p w:rsidR="005435E9" w:rsidRDefault="005435E9">
            <w:pPr>
              <w:pStyle w:val="yTableNAm"/>
              <w:jc w:val="center"/>
            </w:pPr>
            <w:r>
              <w:t>260.002</w:t>
            </w:r>
          </w:p>
        </w:tc>
      </w:tr>
      <w:tr w:rsidR="005435E9">
        <w:tc>
          <w:tcPr>
            <w:tcW w:w="2159" w:type="dxa"/>
            <w:tcBorders>
              <w:top w:val="nil"/>
              <w:left w:val="nil"/>
              <w:bottom w:val="nil"/>
              <w:right w:val="nil"/>
            </w:tcBorders>
            <w:noWrap/>
          </w:tcPr>
          <w:p w:rsidR="005435E9" w:rsidRDefault="005435E9">
            <w:pPr>
              <w:pStyle w:val="yTableNAm"/>
            </w:pPr>
            <w:r>
              <w:t>Three Springs</w:t>
            </w:r>
          </w:p>
        </w:tc>
        <w:tc>
          <w:tcPr>
            <w:tcW w:w="1810" w:type="dxa"/>
            <w:tcBorders>
              <w:top w:val="nil"/>
              <w:left w:val="nil"/>
              <w:bottom w:val="nil"/>
              <w:right w:val="nil"/>
            </w:tcBorders>
            <w:noWrap/>
            <w:vAlign w:val="center"/>
          </w:tcPr>
          <w:p w:rsidR="005435E9" w:rsidRDefault="005435E9">
            <w:pPr>
              <w:pStyle w:val="yTableNAm"/>
              <w:jc w:val="center"/>
            </w:pPr>
            <w:r>
              <w:t>4.935</w:t>
            </w:r>
          </w:p>
        </w:tc>
        <w:tc>
          <w:tcPr>
            <w:tcW w:w="2268" w:type="dxa"/>
            <w:tcBorders>
              <w:top w:val="nil"/>
              <w:left w:val="nil"/>
              <w:bottom w:val="nil"/>
              <w:right w:val="nil"/>
            </w:tcBorders>
            <w:noWrap/>
            <w:vAlign w:val="center"/>
          </w:tcPr>
          <w:p w:rsidR="005435E9" w:rsidRDefault="005435E9">
            <w:pPr>
              <w:pStyle w:val="yTableNAm"/>
              <w:jc w:val="center"/>
            </w:pPr>
            <w:r>
              <w:t>76.678</w:t>
            </w:r>
          </w:p>
        </w:tc>
      </w:tr>
      <w:tr w:rsidR="005435E9">
        <w:tc>
          <w:tcPr>
            <w:tcW w:w="2159" w:type="dxa"/>
            <w:tcBorders>
              <w:top w:val="nil"/>
              <w:left w:val="nil"/>
              <w:bottom w:val="nil"/>
              <w:right w:val="nil"/>
            </w:tcBorders>
            <w:noWrap/>
          </w:tcPr>
          <w:p w:rsidR="005435E9" w:rsidRDefault="005435E9">
            <w:pPr>
              <w:pStyle w:val="yTableNAm"/>
            </w:pPr>
            <w:r>
              <w:t>Toodyay</w:t>
            </w:r>
          </w:p>
        </w:tc>
        <w:tc>
          <w:tcPr>
            <w:tcW w:w="1810" w:type="dxa"/>
            <w:tcBorders>
              <w:top w:val="nil"/>
              <w:left w:val="nil"/>
              <w:bottom w:val="nil"/>
              <w:right w:val="nil"/>
            </w:tcBorders>
            <w:noWrap/>
            <w:vAlign w:val="center"/>
          </w:tcPr>
          <w:p w:rsidR="005435E9" w:rsidRDefault="005435E9">
            <w:pPr>
              <w:pStyle w:val="yTableNAm"/>
              <w:jc w:val="center"/>
            </w:pPr>
            <w:r>
              <w:t>11.295</w:t>
            </w:r>
          </w:p>
        </w:tc>
        <w:tc>
          <w:tcPr>
            <w:tcW w:w="2268" w:type="dxa"/>
            <w:tcBorders>
              <w:top w:val="nil"/>
              <w:left w:val="nil"/>
              <w:bottom w:val="nil"/>
              <w:right w:val="nil"/>
            </w:tcBorders>
            <w:noWrap/>
            <w:vAlign w:val="center"/>
          </w:tcPr>
          <w:p w:rsidR="005435E9" w:rsidRDefault="005435E9">
            <w:pPr>
              <w:pStyle w:val="yTableNAm"/>
              <w:jc w:val="center"/>
            </w:pPr>
            <w:r>
              <w:t>35.415</w:t>
            </w:r>
          </w:p>
        </w:tc>
      </w:tr>
      <w:tr w:rsidR="005435E9">
        <w:tc>
          <w:tcPr>
            <w:tcW w:w="2159" w:type="dxa"/>
            <w:tcBorders>
              <w:top w:val="nil"/>
              <w:left w:val="nil"/>
              <w:bottom w:val="nil"/>
              <w:right w:val="nil"/>
            </w:tcBorders>
            <w:noWrap/>
          </w:tcPr>
          <w:p w:rsidR="005435E9" w:rsidRDefault="005435E9">
            <w:pPr>
              <w:pStyle w:val="yTableNAm"/>
            </w:pPr>
            <w:r>
              <w:t>Wagin</w:t>
            </w:r>
          </w:p>
        </w:tc>
        <w:tc>
          <w:tcPr>
            <w:tcW w:w="1810" w:type="dxa"/>
            <w:tcBorders>
              <w:top w:val="nil"/>
              <w:left w:val="nil"/>
              <w:bottom w:val="nil"/>
              <w:right w:val="nil"/>
            </w:tcBorders>
            <w:noWrap/>
            <w:vAlign w:val="center"/>
          </w:tcPr>
          <w:p w:rsidR="005435E9" w:rsidRDefault="005435E9">
            <w:pPr>
              <w:pStyle w:val="yTableNAm"/>
              <w:jc w:val="center"/>
            </w:pPr>
            <w:r>
              <w:t>17.447</w:t>
            </w:r>
          </w:p>
        </w:tc>
        <w:tc>
          <w:tcPr>
            <w:tcW w:w="2268" w:type="dxa"/>
            <w:tcBorders>
              <w:top w:val="nil"/>
              <w:left w:val="nil"/>
              <w:bottom w:val="nil"/>
              <w:right w:val="nil"/>
            </w:tcBorders>
            <w:noWrap/>
            <w:vAlign w:val="center"/>
          </w:tcPr>
          <w:p w:rsidR="005435E9" w:rsidRDefault="005435E9">
            <w:pPr>
              <w:pStyle w:val="yTableNAm"/>
              <w:jc w:val="center"/>
            </w:pPr>
            <w:r>
              <w:t>41.882</w:t>
            </w:r>
          </w:p>
        </w:tc>
      </w:tr>
      <w:tr w:rsidR="005435E9">
        <w:tc>
          <w:tcPr>
            <w:tcW w:w="2159" w:type="dxa"/>
            <w:tcBorders>
              <w:top w:val="nil"/>
              <w:left w:val="nil"/>
              <w:bottom w:val="nil"/>
              <w:right w:val="nil"/>
            </w:tcBorders>
            <w:noWrap/>
          </w:tcPr>
          <w:p w:rsidR="005435E9" w:rsidRDefault="005435E9">
            <w:pPr>
              <w:pStyle w:val="yTableNAm"/>
            </w:pPr>
            <w:r>
              <w:t>Walpole</w:t>
            </w:r>
          </w:p>
        </w:tc>
        <w:tc>
          <w:tcPr>
            <w:tcW w:w="1810" w:type="dxa"/>
            <w:tcBorders>
              <w:top w:val="nil"/>
              <w:left w:val="nil"/>
              <w:bottom w:val="nil"/>
              <w:right w:val="nil"/>
            </w:tcBorders>
            <w:noWrap/>
            <w:vAlign w:val="center"/>
          </w:tcPr>
          <w:p w:rsidR="005435E9" w:rsidRDefault="005435E9">
            <w:pPr>
              <w:pStyle w:val="yTableNAm"/>
              <w:jc w:val="center"/>
            </w:pPr>
            <w:r>
              <w:t>23.918</w:t>
            </w:r>
          </w:p>
        </w:tc>
        <w:tc>
          <w:tcPr>
            <w:tcW w:w="2268" w:type="dxa"/>
            <w:tcBorders>
              <w:top w:val="nil"/>
              <w:left w:val="nil"/>
              <w:bottom w:val="nil"/>
              <w:right w:val="nil"/>
            </w:tcBorders>
            <w:noWrap/>
            <w:vAlign w:val="center"/>
          </w:tcPr>
          <w:p w:rsidR="005435E9" w:rsidRDefault="005435E9">
            <w:pPr>
              <w:pStyle w:val="yTableNAm"/>
              <w:jc w:val="center"/>
            </w:pPr>
            <w:r>
              <w:t>39.134</w:t>
            </w:r>
          </w:p>
        </w:tc>
      </w:tr>
      <w:tr w:rsidR="005435E9">
        <w:tc>
          <w:tcPr>
            <w:tcW w:w="2159" w:type="dxa"/>
            <w:tcBorders>
              <w:top w:val="nil"/>
              <w:left w:val="nil"/>
              <w:bottom w:val="nil"/>
              <w:right w:val="nil"/>
            </w:tcBorders>
            <w:noWrap/>
          </w:tcPr>
          <w:p w:rsidR="005435E9" w:rsidRDefault="005435E9">
            <w:pPr>
              <w:pStyle w:val="yTableNAm"/>
            </w:pPr>
            <w:r>
              <w:t>Waroona</w:t>
            </w:r>
          </w:p>
        </w:tc>
        <w:tc>
          <w:tcPr>
            <w:tcW w:w="1810" w:type="dxa"/>
            <w:tcBorders>
              <w:top w:val="nil"/>
              <w:left w:val="nil"/>
              <w:bottom w:val="nil"/>
              <w:right w:val="nil"/>
            </w:tcBorders>
            <w:noWrap/>
            <w:vAlign w:val="center"/>
          </w:tcPr>
          <w:p w:rsidR="005435E9" w:rsidRDefault="005435E9">
            <w:pPr>
              <w:pStyle w:val="yTableNAm"/>
              <w:jc w:val="center"/>
            </w:pPr>
            <w:r>
              <w:t>8.756</w:t>
            </w:r>
          </w:p>
        </w:tc>
        <w:tc>
          <w:tcPr>
            <w:tcW w:w="2268" w:type="dxa"/>
            <w:tcBorders>
              <w:top w:val="nil"/>
              <w:left w:val="nil"/>
              <w:bottom w:val="nil"/>
              <w:right w:val="nil"/>
            </w:tcBorders>
            <w:noWrap/>
            <w:vAlign w:val="center"/>
          </w:tcPr>
          <w:p w:rsidR="005435E9" w:rsidRDefault="005435E9">
            <w:pPr>
              <w:pStyle w:val="yTableNAm"/>
              <w:jc w:val="center"/>
            </w:pPr>
            <w:r>
              <w:t>15.655</w:t>
            </w:r>
          </w:p>
        </w:tc>
      </w:tr>
      <w:tr w:rsidR="005435E9">
        <w:tc>
          <w:tcPr>
            <w:tcW w:w="2159" w:type="dxa"/>
            <w:tcBorders>
              <w:top w:val="nil"/>
              <w:left w:val="nil"/>
              <w:bottom w:val="nil"/>
              <w:right w:val="nil"/>
            </w:tcBorders>
            <w:noWrap/>
          </w:tcPr>
          <w:p w:rsidR="005435E9" w:rsidRDefault="005435E9">
            <w:pPr>
              <w:pStyle w:val="yTableNAm"/>
            </w:pPr>
            <w:r>
              <w:t>Wickham</w:t>
            </w:r>
          </w:p>
        </w:tc>
        <w:tc>
          <w:tcPr>
            <w:tcW w:w="1810" w:type="dxa"/>
            <w:tcBorders>
              <w:top w:val="nil"/>
              <w:left w:val="nil"/>
              <w:bottom w:val="nil"/>
              <w:right w:val="nil"/>
            </w:tcBorders>
            <w:noWrap/>
            <w:vAlign w:val="center"/>
          </w:tcPr>
          <w:p w:rsidR="005435E9" w:rsidRDefault="005435E9">
            <w:pPr>
              <w:pStyle w:val="yTableNAm"/>
              <w:jc w:val="center"/>
            </w:pPr>
            <w:r>
              <w:t>11.123</w:t>
            </w:r>
          </w:p>
        </w:tc>
        <w:tc>
          <w:tcPr>
            <w:tcW w:w="2268" w:type="dxa"/>
            <w:tcBorders>
              <w:top w:val="nil"/>
              <w:left w:val="nil"/>
              <w:bottom w:val="nil"/>
              <w:right w:val="nil"/>
            </w:tcBorders>
            <w:noWrap/>
            <w:vAlign w:val="center"/>
          </w:tcPr>
          <w:p w:rsidR="005435E9" w:rsidRDefault="005435E9">
            <w:pPr>
              <w:pStyle w:val="yTableNAm"/>
              <w:jc w:val="center"/>
            </w:pPr>
            <w:r>
              <w:t>70.772</w:t>
            </w:r>
          </w:p>
        </w:tc>
      </w:tr>
      <w:tr w:rsidR="005435E9">
        <w:tc>
          <w:tcPr>
            <w:tcW w:w="2159" w:type="dxa"/>
            <w:tcBorders>
              <w:top w:val="nil"/>
              <w:left w:val="nil"/>
              <w:bottom w:val="nil"/>
              <w:right w:val="nil"/>
            </w:tcBorders>
            <w:noWrap/>
          </w:tcPr>
          <w:p w:rsidR="005435E9" w:rsidRDefault="005435E9">
            <w:pPr>
              <w:pStyle w:val="yTableNAm"/>
            </w:pPr>
            <w:r>
              <w:t>Williams</w:t>
            </w:r>
          </w:p>
        </w:tc>
        <w:tc>
          <w:tcPr>
            <w:tcW w:w="1810" w:type="dxa"/>
            <w:tcBorders>
              <w:top w:val="nil"/>
              <w:left w:val="nil"/>
              <w:bottom w:val="nil"/>
              <w:right w:val="nil"/>
            </w:tcBorders>
            <w:noWrap/>
            <w:vAlign w:val="center"/>
          </w:tcPr>
          <w:p w:rsidR="005435E9" w:rsidRDefault="005435E9">
            <w:pPr>
              <w:pStyle w:val="yTableNAm"/>
              <w:jc w:val="center"/>
            </w:pPr>
            <w:r>
              <w:t>22.933</w:t>
            </w:r>
          </w:p>
        </w:tc>
        <w:tc>
          <w:tcPr>
            <w:tcW w:w="2268" w:type="dxa"/>
            <w:tcBorders>
              <w:top w:val="nil"/>
              <w:left w:val="nil"/>
              <w:bottom w:val="nil"/>
              <w:right w:val="nil"/>
            </w:tcBorders>
            <w:noWrap/>
            <w:vAlign w:val="center"/>
          </w:tcPr>
          <w:p w:rsidR="005435E9" w:rsidRDefault="005435E9">
            <w:pPr>
              <w:pStyle w:val="yTableNAm"/>
              <w:jc w:val="center"/>
            </w:pPr>
            <w:r>
              <w:t>32.122</w:t>
            </w:r>
          </w:p>
        </w:tc>
      </w:tr>
      <w:tr w:rsidR="005435E9">
        <w:tc>
          <w:tcPr>
            <w:tcW w:w="2159" w:type="dxa"/>
            <w:tcBorders>
              <w:top w:val="nil"/>
              <w:left w:val="nil"/>
              <w:bottom w:val="nil"/>
              <w:right w:val="nil"/>
            </w:tcBorders>
            <w:noWrap/>
          </w:tcPr>
          <w:p w:rsidR="005435E9" w:rsidRDefault="005435E9">
            <w:pPr>
              <w:pStyle w:val="yTableNAm"/>
            </w:pPr>
            <w:r>
              <w:t>Wiluna</w:t>
            </w:r>
          </w:p>
        </w:tc>
        <w:tc>
          <w:tcPr>
            <w:tcW w:w="1810" w:type="dxa"/>
            <w:tcBorders>
              <w:top w:val="nil"/>
              <w:left w:val="nil"/>
              <w:bottom w:val="nil"/>
              <w:right w:val="nil"/>
            </w:tcBorders>
            <w:noWrap/>
            <w:vAlign w:val="center"/>
          </w:tcPr>
          <w:p w:rsidR="005435E9" w:rsidRDefault="005435E9">
            <w:pPr>
              <w:pStyle w:val="yTableNAm"/>
              <w:jc w:val="center"/>
            </w:pPr>
            <w:r>
              <w:t>15.091</w:t>
            </w:r>
          </w:p>
        </w:tc>
        <w:tc>
          <w:tcPr>
            <w:tcW w:w="2268" w:type="dxa"/>
            <w:tcBorders>
              <w:top w:val="nil"/>
              <w:left w:val="nil"/>
              <w:bottom w:val="nil"/>
              <w:right w:val="nil"/>
            </w:tcBorders>
            <w:noWrap/>
            <w:vAlign w:val="center"/>
          </w:tcPr>
          <w:p w:rsidR="005435E9" w:rsidRDefault="005435E9">
            <w:pPr>
              <w:pStyle w:val="yTableNAm"/>
              <w:jc w:val="center"/>
            </w:pPr>
            <w:r>
              <w:t>14.442</w:t>
            </w:r>
          </w:p>
        </w:tc>
      </w:tr>
      <w:tr w:rsidR="005435E9">
        <w:tc>
          <w:tcPr>
            <w:tcW w:w="2159" w:type="dxa"/>
            <w:tcBorders>
              <w:top w:val="nil"/>
              <w:left w:val="nil"/>
              <w:bottom w:val="nil"/>
              <w:right w:val="nil"/>
            </w:tcBorders>
            <w:noWrap/>
          </w:tcPr>
          <w:p w:rsidR="005435E9" w:rsidRDefault="005435E9">
            <w:pPr>
              <w:pStyle w:val="yTableNAm"/>
            </w:pPr>
            <w:r>
              <w:t>Wongan Hills</w:t>
            </w:r>
          </w:p>
        </w:tc>
        <w:tc>
          <w:tcPr>
            <w:tcW w:w="1810" w:type="dxa"/>
            <w:tcBorders>
              <w:top w:val="nil"/>
              <w:left w:val="nil"/>
              <w:bottom w:val="nil"/>
              <w:right w:val="nil"/>
            </w:tcBorders>
            <w:noWrap/>
            <w:vAlign w:val="center"/>
          </w:tcPr>
          <w:p w:rsidR="005435E9" w:rsidRDefault="005435E9">
            <w:pPr>
              <w:pStyle w:val="yTableNAm"/>
              <w:jc w:val="center"/>
            </w:pPr>
            <w:r>
              <w:t>18.083</w:t>
            </w:r>
          </w:p>
        </w:tc>
        <w:tc>
          <w:tcPr>
            <w:tcW w:w="2268" w:type="dxa"/>
            <w:tcBorders>
              <w:top w:val="nil"/>
              <w:left w:val="nil"/>
              <w:bottom w:val="nil"/>
              <w:right w:val="nil"/>
            </w:tcBorders>
            <w:noWrap/>
            <w:vAlign w:val="center"/>
          </w:tcPr>
          <w:p w:rsidR="005435E9" w:rsidRDefault="005435E9">
            <w:pPr>
              <w:pStyle w:val="yTableNAm"/>
              <w:jc w:val="center"/>
            </w:pPr>
            <w:r>
              <w:t>36.504</w:t>
            </w:r>
          </w:p>
        </w:tc>
      </w:tr>
      <w:tr w:rsidR="005435E9">
        <w:tc>
          <w:tcPr>
            <w:tcW w:w="2159" w:type="dxa"/>
            <w:tcBorders>
              <w:top w:val="nil"/>
              <w:left w:val="nil"/>
              <w:bottom w:val="nil"/>
              <w:right w:val="nil"/>
            </w:tcBorders>
            <w:noWrap/>
          </w:tcPr>
          <w:p w:rsidR="005435E9" w:rsidRDefault="005435E9">
            <w:pPr>
              <w:pStyle w:val="yTableNAm"/>
            </w:pPr>
            <w:r>
              <w:t>Wundowie</w:t>
            </w:r>
          </w:p>
        </w:tc>
        <w:tc>
          <w:tcPr>
            <w:tcW w:w="1810" w:type="dxa"/>
            <w:tcBorders>
              <w:top w:val="nil"/>
              <w:left w:val="nil"/>
              <w:bottom w:val="nil"/>
              <w:right w:val="nil"/>
            </w:tcBorders>
            <w:noWrap/>
            <w:vAlign w:val="center"/>
          </w:tcPr>
          <w:p w:rsidR="005435E9" w:rsidRDefault="005435E9">
            <w:pPr>
              <w:pStyle w:val="yTableNAm"/>
              <w:jc w:val="center"/>
            </w:pPr>
            <w:r>
              <w:t>17.552</w:t>
            </w:r>
          </w:p>
        </w:tc>
        <w:tc>
          <w:tcPr>
            <w:tcW w:w="2268" w:type="dxa"/>
            <w:tcBorders>
              <w:top w:val="nil"/>
              <w:left w:val="nil"/>
              <w:bottom w:val="nil"/>
              <w:right w:val="nil"/>
            </w:tcBorders>
            <w:noWrap/>
            <w:vAlign w:val="center"/>
          </w:tcPr>
          <w:p w:rsidR="005435E9" w:rsidRDefault="005435E9">
            <w:pPr>
              <w:pStyle w:val="yTableNAm"/>
              <w:jc w:val="center"/>
            </w:pPr>
            <w:r>
              <w:t>28.367</w:t>
            </w:r>
          </w:p>
        </w:tc>
      </w:tr>
      <w:tr w:rsidR="005435E9">
        <w:tc>
          <w:tcPr>
            <w:tcW w:w="2159" w:type="dxa"/>
            <w:tcBorders>
              <w:top w:val="nil"/>
              <w:left w:val="nil"/>
              <w:bottom w:val="nil"/>
              <w:right w:val="nil"/>
            </w:tcBorders>
            <w:noWrap/>
          </w:tcPr>
          <w:p w:rsidR="005435E9" w:rsidRDefault="005435E9">
            <w:pPr>
              <w:pStyle w:val="yTableNAm"/>
            </w:pPr>
            <w:r>
              <w:t>Wyalkatchem</w:t>
            </w:r>
          </w:p>
        </w:tc>
        <w:tc>
          <w:tcPr>
            <w:tcW w:w="1810" w:type="dxa"/>
            <w:tcBorders>
              <w:top w:val="nil"/>
              <w:left w:val="nil"/>
              <w:bottom w:val="nil"/>
              <w:right w:val="nil"/>
            </w:tcBorders>
            <w:noWrap/>
            <w:vAlign w:val="center"/>
          </w:tcPr>
          <w:p w:rsidR="005435E9" w:rsidRDefault="005435E9">
            <w:pPr>
              <w:pStyle w:val="yTableNAm"/>
              <w:jc w:val="center"/>
            </w:pPr>
            <w:r>
              <w:t>38.374</w:t>
            </w:r>
          </w:p>
        </w:tc>
        <w:tc>
          <w:tcPr>
            <w:tcW w:w="2268" w:type="dxa"/>
            <w:tcBorders>
              <w:top w:val="nil"/>
              <w:left w:val="nil"/>
              <w:bottom w:val="nil"/>
              <w:right w:val="nil"/>
            </w:tcBorders>
            <w:noWrap/>
            <w:vAlign w:val="center"/>
          </w:tcPr>
          <w:p w:rsidR="005435E9" w:rsidRDefault="005435E9">
            <w:pPr>
              <w:pStyle w:val="yTableNAm"/>
              <w:jc w:val="center"/>
            </w:pPr>
            <w:r>
              <w:t>187.182</w:t>
            </w:r>
          </w:p>
        </w:tc>
      </w:tr>
      <w:tr w:rsidR="005435E9">
        <w:tc>
          <w:tcPr>
            <w:tcW w:w="2159" w:type="dxa"/>
            <w:tcBorders>
              <w:top w:val="nil"/>
              <w:left w:val="nil"/>
              <w:bottom w:val="nil"/>
              <w:right w:val="nil"/>
            </w:tcBorders>
            <w:noWrap/>
          </w:tcPr>
          <w:p w:rsidR="005435E9" w:rsidRDefault="005435E9">
            <w:pPr>
              <w:pStyle w:val="yTableNAm"/>
            </w:pPr>
            <w:r>
              <w:t>Wyndham</w:t>
            </w:r>
          </w:p>
        </w:tc>
        <w:tc>
          <w:tcPr>
            <w:tcW w:w="1810" w:type="dxa"/>
            <w:tcBorders>
              <w:top w:val="nil"/>
              <w:left w:val="nil"/>
              <w:bottom w:val="nil"/>
              <w:right w:val="nil"/>
            </w:tcBorders>
            <w:noWrap/>
            <w:vAlign w:val="center"/>
          </w:tcPr>
          <w:p w:rsidR="005435E9" w:rsidRDefault="005435E9">
            <w:pPr>
              <w:pStyle w:val="yTableNAm"/>
              <w:jc w:val="center"/>
            </w:pPr>
            <w:r>
              <w:t>49.693</w:t>
            </w:r>
          </w:p>
        </w:tc>
        <w:tc>
          <w:tcPr>
            <w:tcW w:w="2268" w:type="dxa"/>
            <w:tcBorders>
              <w:top w:val="nil"/>
              <w:left w:val="nil"/>
              <w:bottom w:val="nil"/>
              <w:right w:val="nil"/>
            </w:tcBorders>
            <w:noWrap/>
            <w:vAlign w:val="center"/>
          </w:tcPr>
          <w:p w:rsidR="005435E9" w:rsidRDefault="005435E9">
            <w:pPr>
              <w:pStyle w:val="yTableNAm"/>
              <w:jc w:val="center"/>
            </w:pPr>
            <w:r>
              <w:t>205.779</w:t>
            </w:r>
          </w:p>
        </w:tc>
      </w:tr>
      <w:tr w:rsidR="005435E9">
        <w:tc>
          <w:tcPr>
            <w:tcW w:w="2159" w:type="dxa"/>
            <w:tcBorders>
              <w:top w:val="nil"/>
              <w:left w:val="nil"/>
              <w:bottom w:val="nil"/>
              <w:right w:val="nil"/>
            </w:tcBorders>
            <w:noWrap/>
          </w:tcPr>
          <w:p w:rsidR="005435E9" w:rsidRDefault="005435E9">
            <w:pPr>
              <w:pStyle w:val="yTableNAm"/>
            </w:pPr>
            <w:r>
              <w:t>York</w:t>
            </w:r>
          </w:p>
        </w:tc>
        <w:tc>
          <w:tcPr>
            <w:tcW w:w="1810" w:type="dxa"/>
            <w:tcBorders>
              <w:top w:val="nil"/>
              <w:left w:val="nil"/>
              <w:bottom w:val="nil"/>
              <w:right w:val="nil"/>
            </w:tcBorders>
            <w:noWrap/>
            <w:vAlign w:val="center"/>
          </w:tcPr>
          <w:p w:rsidR="005435E9" w:rsidRDefault="005435E9">
            <w:pPr>
              <w:pStyle w:val="yTableNAm"/>
              <w:jc w:val="center"/>
            </w:pPr>
            <w:r>
              <w:t>1.537</w:t>
            </w:r>
          </w:p>
        </w:tc>
        <w:tc>
          <w:tcPr>
            <w:tcW w:w="2268" w:type="dxa"/>
            <w:tcBorders>
              <w:top w:val="nil"/>
              <w:left w:val="nil"/>
              <w:bottom w:val="nil"/>
              <w:right w:val="nil"/>
            </w:tcBorders>
            <w:noWrap/>
            <w:vAlign w:val="center"/>
          </w:tcPr>
          <w:p w:rsidR="005435E9" w:rsidRDefault="005435E9">
            <w:pPr>
              <w:pStyle w:val="yTableNAm"/>
              <w:jc w:val="center"/>
            </w:pPr>
            <w:r>
              <w:t>3.222</w:t>
            </w:r>
          </w:p>
        </w:tc>
      </w:tr>
      <w:tr w:rsidR="005435E9">
        <w:tc>
          <w:tcPr>
            <w:tcW w:w="2159" w:type="dxa"/>
            <w:tcBorders>
              <w:top w:val="nil"/>
              <w:left w:val="nil"/>
              <w:bottom w:val="single" w:sz="4" w:space="0" w:color="auto"/>
              <w:right w:val="nil"/>
            </w:tcBorders>
            <w:noWrap/>
          </w:tcPr>
          <w:p w:rsidR="005435E9" w:rsidRDefault="005435E9">
            <w:pPr>
              <w:pStyle w:val="yTableNAm"/>
            </w:pPr>
            <w:r>
              <w:t>Yunderup</w:t>
            </w:r>
          </w:p>
        </w:tc>
        <w:tc>
          <w:tcPr>
            <w:tcW w:w="1810" w:type="dxa"/>
            <w:tcBorders>
              <w:top w:val="nil"/>
              <w:left w:val="nil"/>
              <w:bottom w:val="single" w:sz="4" w:space="0" w:color="auto"/>
              <w:right w:val="nil"/>
            </w:tcBorders>
            <w:noWrap/>
            <w:vAlign w:val="center"/>
          </w:tcPr>
          <w:p w:rsidR="005435E9" w:rsidRDefault="005435E9">
            <w:pPr>
              <w:pStyle w:val="yTableNAm"/>
              <w:jc w:val="center"/>
            </w:pPr>
            <w:r>
              <w:t>7.115</w:t>
            </w:r>
          </w:p>
        </w:tc>
        <w:tc>
          <w:tcPr>
            <w:tcW w:w="2268" w:type="dxa"/>
            <w:tcBorders>
              <w:top w:val="nil"/>
              <w:left w:val="nil"/>
              <w:bottom w:val="single" w:sz="4" w:space="0" w:color="auto"/>
              <w:right w:val="nil"/>
            </w:tcBorders>
            <w:noWrap/>
            <w:vAlign w:val="center"/>
          </w:tcPr>
          <w:p w:rsidR="005435E9" w:rsidRDefault="005435E9">
            <w:pPr>
              <w:pStyle w:val="yTableNAm"/>
              <w:jc w:val="center"/>
            </w:pPr>
            <w:r>
              <w:t>8.490</w:t>
            </w:r>
          </w:p>
        </w:tc>
      </w:tr>
    </w:tbl>
    <w:p w:rsidR="005435E9" w:rsidRDefault="005435E9">
      <w:pPr>
        <w:pStyle w:val="yFootnotesection"/>
      </w:pPr>
      <w:r>
        <w:tab/>
        <w:t>[Division 1 inserted: SL 2020/95 r. 9; amended: SL 2020/177 r. 4</w:t>
      </w:r>
      <w:r w:rsidR="00D727DC">
        <w:t>; SL 2021/79 r. 12(1)</w:t>
      </w:r>
      <w:r>
        <w:t>.]</w:t>
      </w:r>
    </w:p>
    <w:p w:rsidR="005435E9" w:rsidRDefault="005435E9">
      <w:pPr>
        <w:pStyle w:val="yHeading3"/>
      </w:pPr>
      <w:bookmarkStart w:id="274" w:name="_Toc75266311"/>
      <w:bookmarkStart w:id="275" w:name="_Toc75269592"/>
      <w:bookmarkStart w:id="276" w:name="_Toc75351091"/>
      <w:bookmarkStart w:id="277" w:name="_Toc75519760"/>
      <w:r>
        <w:rPr>
          <w:rStyle w:val="CharSDivNo"/>
        </w:rPr>
        <w:lastRenderedPageBreak/>
        <w:t>Division 2</w:t>
      </w:r>
      <w:r>
        <w:t> — </w:t>
      </w:r>
      <w:r>
        <w:rPr>
          <w:rStyle w:val="CharSDivText"/>
        </w:rPr>
        <w:t>Combined charges for certain non</w:t>
      </w:r>
      <w:r>
        <w:rPr>
          <w:rStyle w:val="CharSDivText"/>
        </w:rPr>
        <w:noBreakHyphen/>
        <w:t>residential property</w:t>
      </w:r>
      <w:bookmarkEnd w:id="274"/>
      <w:bookmarkEnd w:id="275"/>
      <w:bookmarkEnd w:id="276"/>
      <w:bookmarkEnd w:id="277"/>
    </w:p>
    <w:p w:rsidR="005435E9" w:rsidRDefault="005435E9">
      <w:pPr>
        <w:pStyle w:val="yFootnoteheading"/>
        <w:keepNext/>
      </w:pPr>
      <w:r>
        <w:tab/>
        <w:t>[Heading inserted: SL 2020/95 r. 9.]</w:t>
      </w:r>
    </w:p>
    <w:p w:rsidR="005435E9" w:rsidRDefault="005435E9">
      <w:pPr>
        <w:pStyle w:val="yHeading4"/>
      </w:pPr>
      <w:bookmarkStart w:id="278" w:name="_Toc75266312"/>
      <w:bookmarkStart w:id="279" w:name="_Toc75269593"/>
      <w:bookmarkStart w:id="280" w:name="_Toc75351092"/>
      <w:bookmarkStart w:id="281" w:name="_Toc75519761"/>
      <w:r>
        <w:t>Subdivision 1 — Preliminary</w:t>
      </w:r>
      <w:bookmarkEnd w:id="278"/>
      <w:bookmarkEnd w:id="279"/>
      <w:bookmarkEnd w:id="280"/>
      <w:bookmarkEnd w:id="281"/>
    </w:p>
    <w:p w:rsidR="005435E9" w:rsidRDefault="005435E9">
      <w:pPr>
        <w:pStyle w:val="yFootnoteheading"/>
      </w:pPr>
      <w:r>
        <w:tab/>
        <w:t>[Heading inserted: SL 2020/95 r. 9.]</w:t>
      </w:r>
    </w:p>
    <w:p w:rsidR="005435E9" w:rsidRDefault="005435E9">
      <w:pPr>
        <w:pStyle w:val="yHeading5"/>
      </w:pPr>
      <w:bookmarkStart w:id="282" w:name="_Toc75519762"/>
      <w:r>
        <w:rPr>
          <w:rStyle w:val="CharSClsNo"/>
        </w:rPr>
        <w:t>12</w:t>
      </w:r>
      <w:r>
        <w:t>.</w:t>
      </w:r>
      <w:r>
        <w:tab/>
        <w:t>Combined charges for 2020/21 year and subsequent years</w:t>
      </w:r>
      <w:bookmarkEnd w:id="282"/>
    </w:p>
    <w:p w:rsidR="005435E9" w:rsidRDefault="005435E9">
      <w:pPr>
        <w:pStyle w:val="ySubsection"/>
      </w:pPr>
      <w:r>
        <w:tab/>
      </w:r>
      <w:r>
        <w:tab/>
        <w:t>The charges set out in this Division apply for sewerage services provided and wastewater discharged in the 2020/21 financial year and each subsequent year.</w:t>
      </w:r>
    </w:p>
    <w:p w:rsidR="005435E9" w:rsidRDefault="005435E9">
      <w:pPr>
        <w:pStyle w:val="yHeading4"/>
      </w:pPr>
      <w:bookmarkStart w:id="283" w:name="_Toc75266314"/>
      <w:bookmarkStart w:id="284" w:name="_Toc75269595"/>
      <w:bookmarkStart w:id="285" w:name="_Toc75351094"/>
      <w:bookmarkStart w:id="286" w:name="_Toc75519763"/>
      <w:r>
        <w:t>Subdivision 2 — Combined charges: metropolitan</w:t>
      </w:r>
      <w:bookmarkEnd w:id="283"/>
      <w:bookmarkEnd w:id="284"/>
      <w:bookmarkEnd w:id="285"/>
      <w:bookmarkEnd w:id="286"/>
    </w:p>
    <w:p w:rsidR="005435E9" w:rsidRDefault="005435E9">
      <w:pPr>
        <w:pStyle w:val="yFootnoteheading"/>
      </w:pPr>
      <w:r>
        <w:tab/>
        <w:t>[Heading inserted: SL 2020/95 r. 9.]</w:t>
      </w:r>
    </w:p>
    <w:p w:rsidR="005435E9" w:rsidRDefault="005435E9">
      <w:pPr>
        <w:pStyle w:val="yHeading5"/>
      </w:pPr>
      <w:bookmarkStart w:id="287" w:name="_Toc75519764"/>
      <w:r>
        <w:rPr>
          <w:rStyle w:val="CharSClsNo"/>
        </w:rPr>
        <w:t>13</w:t>
      </w:r>
      <w:r>
        <w:t>.</w:t>
      </w:r>
      <w:r>
        <w:tab/>
        <w:t>Metropolitan non</w:t>
      </w:r>
      <w:r>
        <w:noBreakHyphen/>
        <w:t>residential</w:t>
      </w:r>
      <w:bookmarkEnd w:id="287"/>
    </w:p>
    <w:p w:rsidR="005435E9" w:rsidRDefault="005435E9">
      <w:pPr>
        <w:pStyle w:val="ySubsection"/>
      </w:pPr>
      <w:r>
        <w:tab/>
      </w:r>
      <w:r>
        <w:tab/>
        <w:t>For land in the metropolitan area that —</w:t>
      </w:r>
    </w:p>
    <w:p w:rsidR="005435E9" w:rsidRDefault="005435E9">
      <w:pPr>
        <w:pStyle w:val="yIndenta"/>
      </w:pPr>
      <w:r>
        <w:tab/>
        <w:t>(a)</w:t>
      </w:r>
      <w:r>
        <w:tab/>
        <w:t>is not contained in a residential property; and</w:t>
      </w:r>
    </w:p>
    <w:p w:rsidR="005435E9" w:rsidRDefault="005435E9">
      <w:pPr>
        <w:pStyle w:val="yIndenta"/>
      </w:pPr>
      <w:r>
        <w:tab/>
        <w:t>(b)</w:t>
      </w:r>
      <w:r>
        <w:tab/>
        <w:t>is not covered by item 3, 4, 5, 6, 14, 15, 16 or 17,</w:t>
      </w:r>
    </w:p>
    <w:p w:rsidR="005435E9" w:rsidRDefault="005435E9">
      <w:pPr>
        <w:pStyle w:val="ySubsection"/>
      </w:pPr>
      <w:r>
        <w:tab/>
      </w:r>
      <w:r>
        <w:tab/>
        <w:t>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tabs>
          <w:tab w:val="left" w:pos="284"/>
          <w:tab w:val="right" w:leader="dot" w:pos="6804"/>
        </w:tabs>
        <w:ind w:left="879" w:hanging="312"/>
      </w:pPr>
      <w:r>
        <w:tab/>
        <w:t xml:space="preserve">where — </w:t>
      </w:r>
    </w:p>
    <w:p w:rsidR="005435E9" w:rsidRDefault="005435E9">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rsidR="005435E9" w:rsidRDefault="005435E9">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rsidR="005435E9" w:rsidRDefault="005435E9">
      <w:pPr>
        <w:pStyle w:val="yHeading5"/>
      </w:pPr>
      <w:bookmarkStart w:id="288" w:name="_Toc75519765"/>
      <w:r>
        <w:rPr>
          <w:rStyle w:val="CharSClsNo"/>
        </w:rPr>
        <w:t>14</w:t>
      </w:r>
      <w:r>
        <w:t>.</w:t>
      </w:r>
      <w:r>
        <w:tab/>
        <w:t>Metropolitan government trading organisation and non</w:t>
      </w:r>
      <w:r>
        <w:noBreakHyphen/>
        <w:t>commercial government property</w:t>
      </w:r>
      <w:bookmarkEnd w:id="288"/>
    </w:p>
    <w:p w:rsidR="005435E9" w:rsidRDefault="005435E9">
      <w:pPr>
        <w:pStyle w:val="ySubsection"/>
      </w:pPr>
      <w:r>
        <w:tab/>
        <w:t>(1)</w:t>
      </w:r>
      <w:r>
        <w:tab/>
        <w:t>For land in the metropolitan area held by a government trading organisation or a public authority that holds non</w:t>
      </w:r>
      <w:r>
        <w:noBreakHyphen/>
        <w:t>commercial government property, the charge is —</w:t>
      </w:r>
    </w:p>
    <w:p w:rsidR="005435E9" w:rsidRDefault="005435E9" w:rsidP="00FA1C7C">
      <w:pPr>
        <w:pStyle w:val="Equation"/>
        <w:keepNext/>
        <w:spacing w:before="120"/>
        <w:ind w:left="879"/>
        <w:rPr>
          <w:sz w:val="22"/>
        </w:rPr>
      </w:pPr>
      <m:oMathPara>
        <m:oMathParaPr>
          <m:jc m:val="left"/>
        </m:oMathParaPr>
        <m:oMath>
          <m:r>
            <m:rPr>
              <m:sty m:val="b"/>
            </m:rPr>
            <w:rPr>
              <w:rFonts w:ascii="Cambria Math" w:hAnsi="Cambria Math"/>
              <w:sz w:val="22"/>
            </w:rPr>
            <w:lastRenderedPageBreak/>
            <m:t>Y</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keepNext/>
        <w:tabs>
          <w:tab w:val="left" w:pos="284"/>
          <w:tab w:val="right" w:leader="dot" w:pos="6804"/>
        </w:tabs>
        <w:ind w:left="879" w:hanging="312"/>
      </w:pPr>
      <w:r>
        <w:tab/>
        <w:t xml:space="preserve">where — </w:t>
      </w:r>
    </w:p>
    <w:p w:rsidR="005435E9" w:rsidRDefault="005435E9">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rsidR="005435E9" w:rsidRDefault="005435E9">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rsidR="005435E9" w:rsidRDefault="005435E9">
      <w:pPr>
        <w:pStyle w:val="ySubsection"/>
      </w:pPr>
      <w:r>
        <w:tab/>
        <w:t>(2)</w:t>
      </w:r>
      <w:r>
        <w:tab/>
        <w:t>Sub</w:t>
      </w:r>
      <w:r>
        <w:noBreakHyphen/>
        <w:t>item (1) does not apply to public land.</w:t>
      </w:r>
    </w:p>
    <w:p w:rsidR="005435E9" w:rsidRDefault="005435E9">
      <w:pPr>
        <w:pStyle w:val="yHeading5"/>
      </w:pPr>
      <w:bookmarkStart w:id="289" w:name="_Toc75519766"/>
      <w:r>
        <w:rPr>
          <w:rStyle w:val="CharSClsNo"/>
        </w:rPr>
        <w:t>15</w:t>
      </w:r>
      <w:r>
        <w:t>.</w:t>
      </w:r>
      <w:r>
        <w:tab/>
        <w:t>Metropolitan non</w:t>
      </w:r>
      <w:r>
        <w:noBreakHyphen/>
        <w:t>strata titled caravan park with long</w:t>
      </w:r>
      <w:r>
        <w:noBreakHyphen/>
        <w:t>term residential caravan bays</w:t>
      </w:r>
      <w:bookmarkEnd w:id="289"/>
    </w:p>
    <w:p w:rsidR="005435E9" w:rsidRDefault="005435E9">
      <w:pPr>
        <w:pStyle w:val="ySubsection"/>
      </w:pPr>
      <w:r>
        <w:tab/>
      </w:r>
      <w:r>
        <w:tab/>
        <w:t>For a caravan park in the metropolitan area that —</w:t>
      </w:r>
    </w:p>
    <w:p w:rsidR="005435E9" w:rsidRDefault="005435E9">
      <w:pPr>
        <w:pStyle w:val="yIndenta"/>
      </w:pPr>
      <w:r>
        <w:tab/>
        <w:t>(a)</w:t>
      </w:r>
      <w:r>
        <w:tab/>
        <w:t>does not consist wholly of strata</w:t>
      </w:r>
      <w:r>
        <w:noBreakHyphen/>
        <w:t>titled caravan bays; and</w:t>
      </w:r>
    </w:p>
    <w:p w:rsidR="005435E9" w:rsidRDefault="005435E9">
      <w:pPr>
        <w:pStyle w:val="yIndenta"/>
      </w:pPr>
      <w:r>
        <w:tab/>
        <w:t>(b)</w:t>
      </w:r>
      <w:r>
        <w:tab/>
        <w:t>has long</w:t>
      </w:r>
      <w:r>
        <w:noBreakHyphen/>
        <w:t>term residential caravan bays,</w:t>
      </w:r>
    </w:p>
    <w:p w:rsidR="005435E9" w:rsidRDefault="005435E9">
      <w:pPr>
        <w:pStyle w:val="ySubsection"/>
      </w:pPr>
      <w:r>
        <w:tab/>
      </w:r>
      <w:r>
        <w:tab/>
        <w:t>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rsidR="005435E9" w:rsidRDefault="005435E9">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rsidR="005435E9" w:rsidRDefault="005435E9">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keepNext/>
        <w:keepLines/>
        <w:tabs>
          <w:tab w:val="left" w:pos="284"/>
          <w:tab w:val="right" w:leader="dot" w:pos="6804"/>
        </w:tabs>
        <w:ind w:left="1418"/>
      </w:pPr>
      <w:r>
        <w:t xml:space="preserve">where — </w:t>
      </w:r>
    </w:p>
    <w:p w:rsidR="005435E9" w:rsidRDefault="005435E9">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rsidR="005435E9" w:rsidRDefault="005435E9">
      <w:pPr>
        <w:pStyle w:val="yMiscellaneousBody"/>
        <w:tabs>
          <w:tab w:val="left" w:pos="284"/>
          <w:tab w:val="left" w:pos="1418"/>
          <w:tab w:val="left" w:pos="1701"/>
        </w:tabs>
        <w:ind w:left="1418"/>
      </w:pPr>
      <w:r>
        <w:rPr>
          <w:b/>
        </w:rPr>
        <w:t>Q</w:t>
      </w:r>
      <w:r>
        <w:tab/>
        <w:t xml:space="preserve">is the discharge charge calculated in accordance </w:t>
      </w:r>
      <w:r>
        <w:tab/>
        <w:t>with item 19.</w:t>
      </w:r>
    </w:p>
    <w:p w:rsidR="005435E9" w:rsidRDefault="005435E9">
      <w:pPr>
        <w:pStyle w:val="yHeading5"/>
      </w:pPr>
      <w:bookmarkStart w:id="290" w:name="_Toc75519767"/>
      <w:r>
        <w:rPr>
          <w:rStyle w:val="CharSClsNo"/>
        </w:rPr>
        <w:t>16</w:t>
      </w:r>
      <w:r>
        <w:t>.</w:t>
      </w:r>
      <w:r>
        <w:tab/>
        <w:t>Metropolitan nursing home</w:t>
      </w:r>
      <w:bookmarkEnd w:id="290"/>
    </w:p>
    <w:p w:rsidR="005435E9" w:rsidRDefault="005435E9">
      <w:pPr>
        <w:pStyle w:val="ySubsection"/>
      </w:pPr>
      <w:r>
        <w:tab/>
      </w:r>
      <w:r>
        <w:tab/>
        <w:t>For a nursing home in the metropolitan area, other than a nursing home that is, or is part of, an aged home, the charge is —</w:t>
      </w:r>
    </w:p>
    <w:p w:rsidR="005435E9" w:rsidRDefault="005435E9" w:rsidP="00FA1C7C">
      <w:pPr>
        <w:pStyle w:val="Equation"/>
        <w:keepNext/>
        <w:spacing w:before="120"/>
        <w:ind w:left="879"/>
        <w:rPr>
          <w:sz w:val="22"/>
        </w:rPr>
      </w:pPr>
      <m:oMathPara>
        <m:oMathParaPr>
          <m:jc m:val="left"/>
        </m:oMathParaPr>
        <m:oMath>
          <m:r>
            <m:rPr>
              <m:sty m:val="b"/>
            </m:rPr>
            <w:rPr>
              <w:rFonts w:ascii="Cambria Math" w:hAnsi="Cambria Math"/>
              <w:sz w:val="22"/>
            </w:rPr>
            <w:lastRenderedPageBreak/>
            <m:t>T</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keepNext/>
        <w:tabs>
          <w:tab w:val="left" w:pos="284"/>
          <w:tab w:val="right" w:leader="dot" w:pos="6804"/>
        </w:tabs>
        <w:ind w:left="879"/>
      </w:pPr>
      <w:r>
        <w:t xml:space="preserve">where — </w:t>
      </w:r>
    </w:p>
    <w:p w:rsidR="005435E9" w:rsidRDefault="005435E9">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rsidR="005435E9" w:rsidRDefault="005435E9">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rsidR="005435E9" w:rsidRDefault="005435E9">
      <w:pPr>
        <w:pStyle w:val="yMiscellaneousBody"/>
        <w:tabs>
          <w:tab w:val="left" w:pos="284"/>
          <w:tab w:val="left" w:pos="1418"/>
          <w:tab w:val="left" w:pos="1701"/>
        </w:tabs>
        <w:ind w:left="907" w:hanging="28"/>
      </w:pPr>
      <w:r>
        <w:rPr>
          <w:b/>
        </w:rPr>
        <w:t>U</w:t>
      </w:r>
      <w:r>
        <w:tab/>
        <w:t>is the number of beds in the nursing home;</w:t>
      </w:r>
    </w:p>
    <w:p w:rsidR="005435E9" w:rsidRDefault="005435E9">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rsidR="005435E9" w:rsidRDefault="005435E9">
      <w:pPr>
        <w:pStyle w:val="yHeading5"/>
      </w:pPr>
      <w:bookmarkStart w:id="291" w:name="_Toc75519768"/>
      <w:r>
        <w:rPr>
          <w:rStyle w:val="CharSClsNo"/>
        </w:rPr>
        <w:t>17</w:t>
      </w:r>
      <w:r>
        <w:t>.</w:t>
      </w:r>
      <w:r>
        <w:tab/>
      </w:r>
      <w:r w:rsidR="002041B1">
        <w:t>Certain metropolitan units</w:t>
      </w:r>
      <w:bookmarkEnd w:id="291"/>
    </w:p>
    <w:p w:rsidR="005435E9" w:rsidRDefault="005435E9">
      <w:pPr>
        <w:pStyle w:val="ySubsection"/>
      </w:pPr>
      <w:r>
        <w:tab/>
      </w:r>
      <w:r>
        <w:tab/>
        <w:t>For land in the metropolitan area —</w:t>
      </w:r>
    </w:p>
    <w:p w:rsidR="005435E9" w:rsidRDefault="005435E9">
      <w:pPr>
        <w:pStyle w:val="yIndenta"/>
      </w:pPr>
      <w:r>
        <w:tab/>
        <w:t>(a)</w:t>
      </w:r>
      <w:r>
        <w:tab/>
        <w:t>that is contained in a lot; and</w:t>
      </w:r>
    </w:p>
    <w:p w:rsidR="005435E9" w:rsidRDefault="005435E9">
      <w:pPr>
        <w:pStyle w:val="yIndenta"/>
      </w:pPr>
      <w:r>
        <w:tab/>
        <w:t>(b)</w:t>
      </w:r>
      <w:r>
        <w:tab/>
        <w:t>that is classified as non</w:t>
      </w:r>
      <w:r>
        <w:noBreakHyphen/>
        <w:t>residential; and</w:t>
      </w:r>
    </w:p>
    <w:p w:rsidR="005435E9" w:rsidRDefault="005435E9">
      <w:pPr>
        <w:pStyle w:val="yIndenta"/>
      </w:pPr>
      <w:r>
        <w:tab/>
        <w:t>(c)</w:t>
      </w:r>
      <w:r>
        <w:tab/>
        <w:t>that is not covered by item 5 or 6; and</w:t>
      </w:r>
    </w:p>
    <w:p w:rsidR="005435E9" w:rsidRDefault="005435E9">
      <w:pPr>
        <w:pStyle w:val="yIndenta"/>
      </w:pPr>
      <w:r>
        <w:tab/>
        <w:t>(d)</w:t>
      </w:r>
      <w:r>
        <w:tab/>
        <w:t>that shares one or more major fixtures, that discharge into a sewer of the Water Corporation, with other such land and has no other major fixtures that discharge into such a sewer; and</w:t>
      </w:r>
    </w:p>
    <w:p w:rsidR="005435E9" w:rsidRDefault="005435E9">
      <w:pPr>
        <w:pStyle w:val="yIndenta"/>
      </w:pPr>
      <w:r>
        <w:tab/>
        <w:t>(e)</w:t>
      </w:r>
      <w:r>
        <w:tab/>
        <w:t xml:space="preserve">for which the number of major fixtures shared by all units on the relevant </w:t>
      </w:r>
      <w:r w:rsidR="00BA1836">
        <w:t>scheme plan for a strata titles scheme or a community titles scheme</w:t>
      </w:r>
      <w:r>
        <w:t xml:space="preserve"> is less than the number of those units,</w:t>
      </w:r>
    </w:p>
    <w:p w:rsidR="005435E9" w:rsidRDefault="005435E9">
      <w:pPr>
        <w:pStyle w:val="ySubsection"/>
      </w:pPr>
      <w:r>
        <w:tab/>
      </w:r>
      <w:r>
        <w:tab/>
        <w:t>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418"/>
          <w:tab w:val="left" w:pos="1701"/>
        </w:tabs>
        <w:ind w:left="907" w:hanging="28"/>
      </w:pPr>
      <w:r>
        <w:rPr>
          <w:b/>
        </w:rPr>
        <w:t>T</w:t>
      </w:r>
      <w:r>
        <w:tab/>
        <w:t xml:space="preserve">is </w:t>
      </w:r>
      <w:r>
        <w:rPr>
          <w:szCs w:val="22"/>
        </w:rPr>
        <w:t>$650.68</w:t>
      </w:r>
      <w:r>
        <w:t>;</w:t>
      </w:r>
    </w:p>
    <w:p w:rsidR="005435E9" w:rsidRDefault="005435E9">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rsidR="005435E9" w:rsidRDefault="005435E9">
      <w:pPr>
        <w:pStyle w:val="yHeading4"/>
      </w:pPr>
      <w:bookmarkStart w:id="292" w:name="_Toc75266320"/>
      <w:bookmarkStart w:id="293" w:name="_Toc75269601"/>
      <w:bookmarkStart w:id="294" w:name="_Toc75351100"/>
      <w:bookmarkStart w:id="295" w:name="_Toc75519769"/>
      <w:r>
        <w:lastRenderedPageBreak/>
        <w:t>Subdivision 3 — Calculation of certain factors for the purposes of Subdivision 2</w:t>
      </w:r>
      <w:bookmarkEnd w:id="292"/>
      <w:bookmarkEnd w:id="293"/>
      <w:bookmarkEnd w:id="294"/>
      <w:bookmarkEnd w:id="295"/>
    </w:p>
    <w:p w:rsidR="005435E9" w:rsidRDefault="005435E9" w:rsidP="00FA1C7C">
      <w:pPr>
        <w:pStyle w:val="yFootnoteheading"/>
        <w:keepNext/>
      </w:pPr>
      <w:r>
        <w:tab/>
        <w:t>[Heading inserted: SL 2020/95 r. 9.]</w:t>
      </w:r>
    </w:p>
    <w:p w:rsidR="005435E9" w:rsidRDefault="005435E9">
      <w:pPr>
        <w:pStyle w:val="yHeading5"/>
      </w:pPr>
      <w:bookmarkStart w:id="296" w:name="_Toc75519770"/>
      <w:r>
        <w:rPr>
          <w:rStyle w:val="CharSClsNo"/>
        </w:rPr>
        <w:t>18</w:t>
      </w:r>
      <w:r>
        <w:t>.</w:t>
      </w:r>
      <w:r>
        <w:tab/>
        <w:t>Service charge</w:t>
      </w:r>
      <w:bookmarkEnd w:id="296"/>
    </w:p>
    <w:p w:rsidR="005435E9" w:rsidRDefault="005435E9">
      <w:pPr>
        <w:pStyle w:val="ySubsection"/>
      </w:pPr>
      <w:r>
        <w:tab/>
      </w:r>
      <w:r>
        <w:tab/>
        <w:t>The service charge (</w:t>
      </w:r>
      <w:r>
        <w:rPr>
          <w:b/>
          <w:i/>
        </w:rPr>
        <w:t>P</w:t>
      </w:r>
      <w:r>
        <w:t>) is the charge, according to the number of major fixtures for the land, that is the sum of the charges for each fixture as set out in the Table.</w:t>
      </w:r>
    </w:p>
    <w:p w:rsidR="005435E9" w:rsidRDefault="005435E9">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5435E9">
        <w:trPr>
          <w:tblHeader/>
        </w:trPr>
        <w:tc>
          <w:tcPr>
            <w:tcW w:w="2268" w:type="dxa"/>
            <w:tcBorders>
              <w:top w:val="single" w:sz="4" w:space="0" w:color="auto"/>
              <w:bottom w:val="single" w:sz="4" w:space="0" w:color="auto"/>
            </w:tcBorders>
            <w:noWrap/>
          </w:tcPr>
          <w:p w:rsidR="005435E9" w:rsidRDefault="005435E9">
            <w:pPr>
              <w:pStyle w:val="yTableNAm"/>
              <w:keepNext/>
              <w:jc w:val="center"/>
              <w:rPr>
                <w:b/>
              </w:rPr>
            </w:pPr>
          </w:p>
        </w:tc>
        <w:tc>
          <w:tcPr>
            <w:tcW w:w="2268" w:type="dxa"/>
            <w:tcBorders>
              <w:top w:val="single" w:sz="4" w:space="0" w:color="auto"/>
              <w:bottom w:val="single" w:sz="4" w:space="0" w:color="auto"/>
            </w:tcBorders>
            <w:noWrap/>
          </w:tcPr>
          <w:p w:rsidR="005435E9" w:rsidRDefault="005435E9">
            <w:pPr>
              <w:pStyle w:val="yTableNAm"/>
              <w:keepNext/>
              <w:jc w:val="center"/>
              <w:rPr>
                <w:b/>
              </w:rPr>
            </w:pPr>
            <w:r>
              <w:rPr>
                <w:b/>
              </w:rPr>
              <w:t>Charge</w:t>
            </w:r>
          </w:p>
        </w:tc>
      </w:tr>
      <w:tr w:rsidR="005435E9">
        <w:tc>
          <w:tcPr>
            <w:tcW w:w="2268" w:type="dxa"/>
            <w:noWrap/>
            <w:tcMar>
              <w:left w:w="482" w:type="dxa"/>
            </w:tcMar>
          </w:tcPr>
          <w:p w:rsidR="005435E9" w:rsidRDefault="005435E9">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rsidR="005435E9" w:rsidRDefault="005435E9">
            <w:pPr>
              <w:pStyle w:val="yTableNAm"/>
              <w:jc w:val="center"/>
            </w:pPr>
            <w:r>
              <w:rPr>
                <w:szCs w:val="22"/>
              </w:rPr>
              <w:t>$1</w:t>
            </w:r>
            <w:r>
              <w:t> </w:t>
            </w:r>
            <w:r>
              <w:rPr>
                <w:szCs w:val="22"/>
              </w:rPr>
              <w:t>046.71</w:t>
            </w:r>
          </w:p>
        </w:tc>
      </w:tr>
      <w:tr w:rsidR="005435E9">
        <w:tc>
          <w:tcPr>
            <w:tcW w:w="2268" w:type="dxa"/>
            <w:noWrap/>
            <w:tcMar>
              <w:left w:w="482" w:type="dxa"/>
            </w:tcMar>
          </w:tcPr>
          <w:p w:rsidR="005435E9" w:rsidRDefault="005435E9">
            <w:pPr>
              <w:pStyle w:val="yTableNAm"/>
              <w:tabs>
                <w:tab w:val="clear" w:pos="567"/>
                <w:tab w:val="left" w:pos="384"/>
              </w:tabs>
              <w:ind w:left="370" w:hanging="370"/>
            </w:pPr>
            <w:r>
              <w:t>2</w:t>
            </w:r>
            <w:r>
              <w:rPr>
                <w:vertAlign w:val="superscript"/>
              </w:rPr>
              <w:t>nd</w:t>
            </w:r>
            <w:r>
              <w:tab/>
              <w:t>fixture</w:t>
            </w:r>
          </w:p>
        </w:tc>
        <w:tc>
          <w:tcPr>
            <w:tcW w:w="2268" w:type="dxa"/>
            <w:noWrap/>
          </w:tcPr>
          <w:p w:rsidR="005435E9" w:rsidRDefault="005435E9">
            <w:pPr>
              <w:pStyle w:val="yTableNAm"/>
              <w:jc w:val="center"/>
            </w:pPr>
            <w:r>
              <w:rPr>
                <w:szCs w:val="22"/>
              </w:rPr>
              <w:t>$448.05</w:t>
            </w:r>
          </w:p>
        </w:tc>
      </w:tr>
      <w:tr w:rsidR="005435E9">
        <w:tc>
          <w:tcPr>
            <w:tcW w:w="2268" w:type="dxa"/>
            <w:noWrap/>
            <w:tcMar>
              <w:left w:w="482" w:type="dxa"/>
            </w:tcMar>
          </w:tcPr>
          <w:p w:rsidR="005435E9" w:rsidRDefault="005435E9">
            <w:pPr>
              <w:pStyle w:val="yTableNAm"/>
              <w:tabs>
                <w:tab w:val="clear" w:pos="567"/>
                <w:tab w:val="left" w:pos="384"/>
              </w:tabs>
              <w:ind w:left="370" w:hanging="370"/>
            </w:pPr>
            <w:r>
              <w:t>3</w:t>
            </w:r>
            <w:r>
              <w:rPr>
                <w:vertAlign w:val="superscript"/>
              </w:rPr>
              <w:t>rd</w:t>
            </w:r>
            <w:r>
              <w:tab/>
              <w:t>fixture</w:t>
            </w:r>
          </w:p>
        </w:tc>
        <w:tc>
          <w:tcPr>
            <w:tcW w:w="2268" w:type="dxa"/>
            <w:noWrap/>
          </w:tcPr>
          <w:p w:rsidR="005435E9" w:rsidRDefault="005435E9">
            <w:pPr>
              <w:pStyle w:val="yTableNAm"/>
              <w:jc w:val="center"/>
            </w:pPr>
            <w:r>
              <w:rPr>
                <w:szCs w:val="22"/>
              </w:rPr>
              <w:t>$598.36</w:t>
            </w:r>
          </w:p>
        </w:tc>
      </w:tr>
      <w:tr w:rsidR="005435E9">
        <w:tc>
          <w:tcPr>
            <w:tcW w:w="2268" w:type="dxa"/>
            <w:tcBorders>
              <w:bottom w:val="single" w:sz="4" w:space="0" w:color="auto"/>
            </w:tcBorders>
            <w:noWrap/>
            <w:tcMar>
              <w:left w:w="482" w:type="dxa"/>
            </w:tcMar>
          </w:tcPr>
          <w:p w:rsidR="005435E9" w:rsidRDefault="005435E9">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rsidR="005435E9" w:rsidRDefault="005435E9">
            <w:pPr>
              <w:pStyle w:val="yTableNAm"/>
              <w:jc w:val="center"/>
            </w:pPr>
            <w:r>
              <w:rPr>
                <w:szCs w:val="22"/>
              </w:rPr>
              <w:t>$650.68</w:t>
            </w:r>
          </w:p>
        </w:tc>
      </w:tr>
    </w:tbl>
    <w:p w:rsidR="005435E9" w:rsidRDefault="005435E9">
      <w:pPr>
        <w:pStyle w:val="yHeading5"/>
      </w:pPr>
      <w:bookmarkStart w:id="297" w:name="_Toc75519771"/>
      <w:r>
        <w:rPr>
          <w:rStyle w:val="CharSClsNo"/>
        </w:rPr>
        <w:t>19</w:t>
      </w:r>
      <w:r>
        <w:rPr>
          <w:szCs w:val="22"/>
        </w:rPr>
        <w:t>.</w:t>
      </w:r>
      <w:r>
        <w:rPr>
          <w:szCs w:val="22"/>
        </w:rPr>
        <w:tab/>
        <w:t>Discharge charge</w:t>
      </w:r>
      <w:bookmarkEnd w:id="297"/>
    </w:p>
    <w:p w:rsidR="005435E9" w:rsidRDefault="005435E9">
      <w:pPr>
        <w:pStyle w:val="ySubsection"/>
      </w:pPr>
      <w:r>
        <w:rPr>
          <w:szCs w:val="22"/>
        </w:rPr>
        <w:tab/>
      </w:r>
      <w:r>
        <w:rPr>
          <w:szCs w:val="22"/>
        </w:rPr>
        <w:tab/>
        <w:t>The discharge charge (</w:t>
      </w:r>
      <w:r>
        <w:rPr>
          <w:b/>
          <w:i/>
          <w:szCs w:val="22"/>
        </w:rPr>
        <w:t>Q</w:t>
      </w:r>
      <w:r>
        <w:rPr>
          <w:szCs w:val="22"/>
        </w:rPr>
        <w:t>) is —</w:t>
      </w:r>
    </w:p>
    <w:p w:rsidR="005435E9" w:rsidRDefault="005435E9">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rsidR="005435E9" w:rsidRDefault="005435E9">
      <w:pPr>
        <w:pStyle w:val="yMiscellaneousBody"/>
        <w:tabs>
          <w:tab w:val="left" w:pos="284"/>
          <w:tab w:val="right" w:leader="dot" w:pos="6804"/>
        </w:tabs>
        <w:ind w:left="1276" w:hanging="142"/>
        <w:rPr>
          <w:szCs w:val="22"/>
        </w:rPr>
      </w:pPr>
      <w:r>
        <w:rPr>
          <w:szCs w:val="22"/>
        </w:rPr>
        <w:tab/>
        <w:t>then nil</w:t>
      </w:r>
    </w:p>
    <w:p w:rsidR="005435E9" w:rsidRDefault="005435E9">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rsidR="005435E9" w:rsidRDefault="005435E9">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rsidR="005435E9" w:rsidRDefault="005435E9">
      <w:pPr>
        <w:pStyle w:val="yMiscellaneousBody"/>
        <w:keepNext/>
        <w:keepLines/>
        <w:tabs>
          <w:tab w:val="left" w:pos="284"/>
          <w:tab w:val="right" w:leader="dot" w:pos="6804"/>
        </w:tabs>
        <w:ind w:left="1276" w:hanging="142"/>
        <w:rPr>
          <w:szCs w:val="22"/>
        </w:rPr>
      </w:pPr>
      <w:r>
        <w:rPr>
          <w:szCs w:val="22"/>
        </w:rPr>
        <w:t xml:space="preserve">where — </w:t>
      </w:r>
    </w:p>
    <w:p w:rsidR="005435E9" w:rsidRDefault="005435E9">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rsidR="005435E9" w:rsidRDefault="005435E9">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rsidR="005435E9" w:rsidRDefault="005435E9">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rsidR="005435E9" w:rsidRDefault="005435E9">
      <w:pPr>
        <w:pStyle w:val="yMiscellaneousBody"/>
        <w:tabs>
          <w:tab w:val="left" w:pos="2127"/>
          <w:tab w:val="right" w:leader="dot" w:pos="6804"/>
        </w:tabs>
        <w:ind w:left="1701" w:hanging="425"/>
      </w:pPr>
      <w:r>
        <w:rPr>
          <w:b/>
        </w:rPr>
        <w:lastRenderedPageBreak/>
        <w:t>I</w:t>
      </w:r>
      <w:r>
        <w:tab/>
        <w:t xml:space="preserve">is </w:t>
      </w:r>
      <w:r>
        <w:rPr>
          <w:szCs w:val="22"/>
        </w:rPr>
        <w:t>$3.</w:t>
      </w:r>
      <w:r>
        <w:t>846,</w:t>
      </w:r>
    </w:p>
    <w:p w:rsidR="005435E9" w:rsidRDefault="005435E9">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5435E9" w:rsidRDefault="005435E9">
      <w:pPr>
        <w:pStyle w:val="yHeading5"/>
      </w:pPr>
      <w:bookmarkStart w:id="298" w:name="_Toc75519772"/>
      <w:r>
        <w:rPr>
          <w:rStyle w:val="CharSClsNo"/>
        </w:rPr>
        <w:t>20</w:t>
      </w:r>
      <w:r>
        <w:t>.</w:t>
      </w:r>
      <w:r>
        <w:tab/>
        <w:t>Discharge allowance</w:t>
      </w:r>
      <w:bookmarkEnd w:id="298"/>
    </w:p>
    <w:p w:rsidR="005435E9" w:rsidRDefault="005435E9">
      <w:pPr>
        <w:pStyle w:val="ySubsection"/>
      </w:pPr>
      <w:r>
        <w:tab/>
        <w:t>(1)</w:t>
      </w:r>
      <w:r>
        <w:tab/>
        <w:t>The discharge allowance for the current discharge year is —</w:t>
      </w:r>
    </w:p>
    <w:p w:rsidR="005435E9" w:rsidRDefault="005435E9">
      <w:pPr>
        <w:pStyle w:val="yIndenta"/>
      </w:pPr>
      <w:r>
        <w:tab/>
        <w:t>(a)</w:t>
      </w:r>
      <w:r>
        <w:tab/>
        <w:t>for land to which item 13 applies that is not covered by paragraph (e) — 200 kL;</w:t>
      </w:r>
    </w:p>
    <w:p w:rsidR="005435E9" w:rsidRDefault="005435E9">
      <w:pPr>
        <w:pStyle w:val="yIndenta"/>
      </w:pPr>
      <w:r>
        <w:tab/>
        <w:t>(b)</w:t>
      </w:r>
      <w:r>
        <w:tab/>
        <w:t>for land held by a government trading organisation or by a public authority that holds non</w:t>
      </w:r>
      <w:r>
        <w:noBreakHyphen/>
        <w:t>commercial government property — 200 kL;</w:t>
      </w:r>
    </w:p>
    <w:p w:rsidR="005435E9" w:rsidRDefault="005435E9">
      <w:pPr>
        <w:pStyle w:val="yIndenta"/>
      </w:pPr>
      <w:r>
        <w:tab/>
        <w:t>(c)</w:t>
      </w:r>
      <w:r>
        <w:tab/>
        <w:t>for a caravan park referred to in item 15, the amount (in kL) calculated in accordance with the formula in sub</w:t>
      </w:r>
      <w:r>
        <w:noBreakHyphen/>
        <w:t>item (2);</w:t>
      </w:r>
    </w:p>
    <w:p w:rsidR="005435E9" w:rsidRDefault="005435E9">
      <w:pPr>
        <w:pStyle w:val="yIndenta"/>
      </w:pPr>
      <w:r>
        <w:tab/>
        <w:t>(d)</w:t>
      </w:r>
      <w:r>
        <w:tab/>
        <w:t>for a nursing home referred to in item 16 — 75 kL per bed;</w:t>
      </w:r>
    </w:p>
    <w:p w:rsidR="005435E9" w:rsidRDefault="005435E9">
      <w:pPr>
        <w:pStyle w:val="yIndenta"/>
      </w:pPr>
      <w:r>
        <w:tab/>
        <w:t>(e)</w:t>
      </w:r>
      <w:r>
        <w:tab/>
        <w:t>for properties that share a metered property water supply connection — 200 kL for each property.</w:t>
      </w:r>
    </w:p>
    <w:p w:rsidR="005435E9" w:rsidRDefault="005435E9">
      <w:pPr>
        <w:pStyle w:val="ySubsection"/>
      </w:pPr>
      <w:r>
        <w:tab/>
        <w:t>(2)</w:t>
      </w:r>
      <w:r>
        <w:tab/>
        <w:t>The formula for the purposes of sub</w:t>
      </w:r>
      <w:r>
        <w:noBreakHyphen/>
        <w:t>item (1)(c)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418"/>
          <w:tab w:val="left" w:pos="1843"/>
        </w:tabs>
        <w:ind w:left="879"/>
      </w:pPr>
      <w:r>
        <w:rPr>
          <w:b/>
        </w:rPr>
        <w:t>M</w:t>
      </w:r>
      <w:r>
        <w:tab/>
        <w:t>is 75 kL for each long</w:t>
      </w:r>
      <w:r>
        <w:noBreakHyphen/>
        <w:t>term residential caravan bay.</w:t>
      </w:r>
    </w:p>
    <w:p w:rsidR="005435E9" w:rsidRDefault="005435E9">
      <w:pPr>
        <w:pStyle w:val="yHeading4"/>
      </w:pPr>
      <w:bookmarkStart w:id="299" w:name="_Toc75266324"/>
      <w:bookmarkStart w:id="300" w:name="_Toc75269605"/>
      <w:bookmarkStart w:id="301" w:name="_Toc75351104"/>
      <w:bookmarkStart w:id="302" w:name="_Toc75519773"/>
      <w:r>
        <w:t>Subdivision 4 — Combined charges: non</w:t>
      </w:r>
      <w:r>
        <w:noBreakHyphen/>
        <w:t>metropolitan</w:t>
      </w:r>
      <w:bookmarkEnd w:id="299"/>
      <w:bookmarkEnd w:id="300"/>
      <w:bookmarkEnd w:id="301"/>
      <w:bookmarkEnd w:id="302"/>
    </w:p>
    <w:p w:rsidR="005435E9" w:rsidRDefault="005435E9">
      <w:pPr>
        <w:pStyle w:val="yFootnoteheading"/>
      </w:pPr>
      <w:r>
        <w:tab/>
        <w:t>[Heading inserted: SL 2020/95 r. 9.]</w:t>
      </w:r>
    </w:p>
    <w:p w:rsidR="005435E9" w:rsidRDefault="005435E9">
      <w:pPr>
        <w:pStyle w:val="yHeading5"/>
      </w:pPr>
      <w:bookmarkStart w:id="303" w:name="_Toc75519774"/>
      <w:r>
        <w:rPr>
          <w:rStyle w:val="CharSClsNo"/>
        </w:rPr>
        <w:t>21</w:t>
      </w:r>
      <w:r>
        <w:t>.</w:t>
      </w:r>
      <w:r>
        <w:tab/>
        <w:t>Non</w:t>
      </w:r>
      <w:r>
        <w:noBreakHyphen/>
        <w:t>metropolitan non</w:t>
      </w:r>
      <w:r>
        <w:noBreakHyphen/>
        <w:t>residential</w:t>
      </w:r>
      <w:bookmarkEnd w:id="303"/>
    </w:p>
    <w:p w:rsidR="005435E9" w:rsidRDefault="005435E9">
      <w:pPr>
        <w:pStyle w:val="ySubsection"/>
      </w:pPr>
      <w:r>
        <w:tab/>
      </w:r>
      <w:r>
        <w:tab/>
        <w:t>For land in the non</w:t>
      </w:r>
      <w:r>
        <w:noBreakHyphen/>
        <w:t>metropolitan area that —</w:t>
      </w:r>
    </w:p>
    <w:p w:rsidR="005435E9" w:rsidRDefault="005435E9">
      <w:pPr>
        <w:pStyle w:val="yIndenta"/>
      </w:pPr>
      <w:r>
        <w:tab/>
        <w:t>(a)</w:t>
      </w:r>
      <w:r>
        <w:tab/>
        <w:t>is classified as non</w:t>
      </w:r>
      <w:r>
        <w:noBreakHyphen/>
        <w:t>residential property; and</w:t>
      </w:r>
    </w:p>
    <w:p w:rsidR="005435E9" w:rsidRDefault="005435E9">
      <w:pPr>
        <w:pStyle w:val="yIndenta"/>
      </w:pPr>
      <w:r>
        <w:tab/>
        <w:t>(b)</w:t>
      </w:r>
      <w:r>
        <w:tab/>
        <w:t>is not covered by item 5, 6, 10, 22, 23, 24 or 24A,</w:t>
      </w:r>
    </w:p>
    <w:p w:rsidR="005435E9" w:rsidRDefault="005435E9">
      <w:pPr>
        <w:pStyle w:val="ySubsection"/>
      </w:pPr>
      <w:r>
        <w:tab/>
      </w:r>
      <w:r>
        <w:tab/>
        <w:t>the charge is —</w:t>
      </w:r>
    </w:p>
    <w:p w:rsidR="005435E9" w:rsidRDefault="005435E9">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rsidR="005435E9" w:rsidRDefault="005435E9">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rsidR="005435E9" w:rsidRDefault="005435E9">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5435E9" w:rsidRDefault="005435E9">
      <w:pPr>
        <w:pStyle w:val="yMiscellaneousBody"/>
        <w:tabs>
          <w:tab w:val="left" w:pos="284"/>
          <w:tab w:val="right" w:leader="dot" w:pos="6804"/>
        </w:tabs>
        <w:ind w:left="1134" w:hanging="141"/>
      </w:pPr>
      <m:oMath>
        <m:r>
          <m:rPr>
            <m:sty m:val="b"/>
          </m:rPr>
          <w:rPr>
            <w:rFonts w:ascii="Cambria Math" w:hAnsi="Cambria Math"/>
          </w:rPr>
          <w:lastRenderedPageBreak/>
          <m:t>N</m:t>
        </m:r>
        <m:r>
          <m:rPr>
            <m:sty m:val="p"/>
          </m:rPr>
          <w:rPr>
            <w:rFonts w:ascii="Cambria Math" w:hAnsi="Cambria Math"/>
          </w:rPr>
          <m:t>≤</m:t>
        </m:r>
        <m:r>
          <m:rPr>
            <m:sty m:val="b"/>
          </m:rPr>
          <w:rPr>
            <w:rFonts w:ascii="Cambria Math" w:hAnsi="Cambria Math"/>
          </w:rPr>
          <m:t>W</m:t>
        </m:r>
      </m:oMath>
      <w:r>
        <w:t>,</w:t>
      </w:r>
    </w:p>
    <w:p w:rsidR="005435E9" w:rsidRDefault="005435E9">
      <w:pPr>
        <w:pStyle w:val="yMiscellaneousBody"/>
        <w:tabs>
          <w:tab w:val="left" w:pos="284"/>
          <w:tab w:val="right" w:leader="dot" w:pos="6804"/>
        </w:tabs>
        <w:ind w:left="1134" w:hanging="255"/>
      </w:pPr>
      <w:r>
        <w:tab/>
        <w:t xml:space="preserve">then </w:t>
      </w:r>
      <w:r>
        <w:rPr>
          <w:b/>
        </w:rPr>
        <w:t>R</w:t>
      </w:r>
    </w:p>
    <w:p w:rsidR="005435E9" w:rsidRDefault="005435E9">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5435E9" w:rsidRDefault="005435E9">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rsidR="005435E9" w:rsidRDefault="005435E9">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5435E9" w:rsidRDefault="005435E9">
      <w:pPr>
        <w:pStyle w:val="yMiscellaneousBody"/>
        <w:tabs>
          <w:tab w:val="left" w:pos="284"/>
          <w:tab w:val="right" w:leader="dot" w:pos="6804"/>
        </w:tabs>
        <w:ind w:left="1134" w:hanging="255"/>
      </w:pPr>
      <w:r>
        <w:t xml:space="preserve">where — </w:t>
      </w:r>
    </w:p>
    <w:p w:rsidR="005435E9" w:rsidRDefault="005435E9">
      <w:pPr>
        <w:pStyle w:val="yMiscellaneousBody"/>
        <w:tabs>
          <w:tab w:val="left" w:pos="284"/>
          <w:tab w:val="left" w:pos="1418"/>
          <w:tab w:val="left" w:pos="1985"/>
        </w:tabs>
        <w:ind w:left="1418" w:hanging="539"/>
      </w:pPr>
      <w:r>
        <w:rPr>
          <w:b/>
        </w:rPr>
        <w:t>P</w:t>
      </w:r>
      <w:r>
        <w:tab/>
        <w:t>is the service charge calculated in accordance with item 25;</w:t>
      </w:r>
    </w:p>
    <w:p w:rsidR="005435E9" w:rsidRDefault="005435E9">
      <w:pPr>
        <w:pStyle w:val="yMiscellaneousBody"/>
        <w:tabs>
          <w:tab w:val="left" w:pos="284"/>
          <w:tab w:val="left" w:pos="1418"/>
          <w:tab w:val="left" w:pos="1985"/>
        </w:tabs>
        <w:ind w:left="1418" w:hanging="539"/>
      </w:pPr>
      <w:r>
        <w:rPr>
          <w:b/>
        </w:rPr>
        <w:t>Q</w:t>
      </w:r>
      <w:r>
        <w:tab/>
        <w:t>is the discharge charge calculated in accordance with item 26;</w:t>
      </w:r>
    </w:p>
    <w:p w:rsidR="005435E9" w:rsidRDefault="005435E9">
      <w:pPr>
        <w:pStyle w:val="yMiscellaneousBody"/>
        <w:tabs>
          <w:tab w:val="left" w:pos="284"/>
          <w:tab w:val="left" w:pos="1418"/>
          <w:tab w:val="left" w:pos="1985"/>
        </w:tabs>
        <w:ind w:left="1418" w:hanging="539"/>
      </w:pPr>
      <w:r>
        <w:rPr>
          <w:b/>
        </w:rPr>
        <w:t>R</w:t>
      </w:r>
      <w:r>
        <w:tab/>
        <w:t>is the maximum charge calculated in accordance with item 28;</w:t>
      </w:r>
    </w:p>
    <w:p w:rsidR="005435E9" w:rsidRDefault="005435E9">
      <w:pPr>
        <w:pStyle w:val="yMiscellaneousBody"/>
        <w:tabs>
          <w:tab w:val="left" w:pos="284"/>
          <w:tab w:val="left" w:pos="1418"/>
          <w:tab w:val="left" w:pos="1985"/>
        </w:tabs>
        <w:ind w:left="1418" w:hanging="539"/>
      </w:pPr>
      <w:r>
        <w:rPr>
          <w:b/>
        </w:rPr>
        <w:t>N</w:t>
      </w:r>
      <w:r>
        <w:tab/>
        <w:t>is the discharge volume for the current discharge year;</w:t>
      </w:r>
    </w:p>
    <w:p w:rsidR="005435E9" w:rsidRDefault="005435E9">
      <w:pPr>
        <w:pStyle w:val="yMiscellaneousBody"/>
        <w:tabs>
          <w:tab w:val="left" w:pos="284"/>
          <w:tab w:val="left" w:pos="1418"/>
          <w:tab w:val="left" w:pos="1985"/>
        </w:tabs>
        <w:ind w:left="1418" w:hanging="539"/>
      </w:pPr>
      <w:r>
        <w:rPr>
          <w:b/>
        </w:rPr>
        <w:t>W</w:t>
      </w:r>
      <w:r>
        <w:tab/>
        <w:t>is the discharge volume for the most recently completed discharge year;</w:t>
      </w:r>
    </w:p>
    <w:p w:rsidR="005435E9" w:rsidRDefault="005435E9">
      <w:pPr>
        <w:pStyle w:val="yMiscellaneousBody"/>
        <w:tabs>
          <w:tab w:val="left" w:pos="284"/>
          <w:tab w:val="left" w:pos="1418"/>
          <w:tab w:val="left" w:pos="1985"/>
        </w:tabs>
        <w:ind w:left="1418" w:hanging="539"/>
      </w:pPr>
      <w:r>
        <w:rPr>
          <w:b/>
        </w:rPr>
        <w:t>I</w:t>
      </w:r>
      <w:r>
        <w:tab/>
        <w:t xml:space="preserve">is </w:t>
      </w:r>
      <w:r>
        <w:rPr>
          <w:szCs w:val="22"/>
        </w:rPr>
        <w:t>$3.</w:t>
      </w:r>
      <w:r>
        <w:t>846.</w:t>
      </w:r>
    </w:p>
    <w:p w:rsidR="005435E9" w:rsidRDefault="005435E9">
      <w:pPr>
        <w:pStyle w:val="yHeading5"/>
      </w:pPr>
      <w:bookmarkStart w:id="304" w:name="_Toc75519775"/>
      <w:r>
        <w:t>22.</w:t>
      </w:r>
      <w:r>
        <w:tab/>
        <w:t>Non</w:t>
      </w:r>
      <w:r>
        <w:noBreakHyphen/>
        <w:t>metropolitan non</w:t>
      </w:r>
      <w:r>
        <w:noBreakHyphen/>
        <w:t>strata titled caravan park with long</w:t>
      </w:r>
      <w:r>
        <w:noBreakHyphen/>
        <w:t>term residential caravan bays</w:t>
      </w:r>
      <w:bookmarkEnd w:id="304"/>
    </w:p>
    <w:p w:rsidR="005435E9" w:rsidRDefault="005435E9">
      <w:pPr>
        <w:pStyle w:val="ySubsection"/>
      </w:pPr>
      <w:r>
        <w:tab/>
      </w:r>
      <w:r>
        <w:tab/>
        <w:t>For a caravan park in the non</w:t>
      </w:r>
      <w:r>
        <w:noBreakHyphen/>
        <w:t xml:space="preserve">metropolitan area that — </w:t>
      </w:r>
    </w:p>
    <w:p w:rsidR="005435E9" w:rsidRDefault="005435E9">
      <w:pPr>
        <w:pStyle w:val="yIndenta"/>
      </w:pPr>
      <w:r>
        <w:tab/>
        <w:t>(a)</w:t>
      </w:r>
      <w:r>
        <w:tab/>
        <w:t>does not consist wholly of strata</w:t>
      </w:r>
      <w:r>
        <w:noBreakHyphen/>
        <w:t>titled caravan bays; and</w:t>
      </w:r>
    </w:p>
    <w:p w:rsidR="005435E9" w:rsidRDefault="005435E9">
      <w:pPr>
        <w:pStyle w:val="yIndenta"/>
      </w:pPr>
      <w:r>
        <w:tab/>
        <w:t>(b)</w:t>
      </w:r>
      <w:r>
        <w:tab/>
        <w:t>has long</w:t>
      </w:r>
      <w:r>
        <w:noBreakHyphen/>
        <w:t>term residential caravan bays,</w:t>
      </w:r>
    </w:p>
    <w:p w:rsidR="005435E9" w:rsidRDefault="005435E9">
      <w:pPr>
        <w:pStyle w:val="ySubsection"/>
      </w:pPr>
      <w:r>
        <w:tab/>
      </w:r>
      <w:r>
        <w:tab/>
        <w:t>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rsidR="005435E9" w:rsidRDefault="005435E9">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rsidR="005435E9" w:rsidRDefault="005435E9">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rsidR="005435E9" w:rsidRDefault="005435E9">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rsidR="005435E9" w:rsidRDefault="005435E9">
      <w:pPr>
        <w:pStyle w:val="yMiscellaneousBody"/>
        <w:tabs>
          <w:tab w:val="left" w:pos="284"/>
          <w:tab w:val="left" w:pos="1418"/>
          <w:tab w:val="left" w:pos="1701"/>
        </w:tabs>
        <w:ind w:left="1418"/>
      </w:pPr>
      <w:r>
        <w:lastRenderedPageBreak/>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5435E9" w:rsidRDefault="005435E9">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rsidR="005435E9" w:rsidRDefault="005435E9">
      <w:pPr>
        <w:pStyle w:val="yMiscellaneousBody"/>
        <w:tabs>
          <w:tab w:val="left" w:pos="284"/>
          <w:tab w:val="left" w:pos="1418"/>
          <w:tab w:val="left" w:pos="1701"/>
          <w:tab w:val="left" w:pos="2127"/>
        </w:tabs>
        <w:ind w:left="1418"/>
        <w:rPr>
          <w:b/>
        </w:rPr>
      </w:pPr>
      <w:r>
        <w:tab/>
        <w:t xml:space="preserve">then </w:t>
      </w:r>
      <w:r>
        <w:rPr>
          <w:b/>
        </w:rPr>
        <w:t>R</w:t>
      </w:r>
    </w:p>
    <w:p w:rsidR="005435E9" w:rsidRDefault="005435E9">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5435E9" w:rsidRDefault="005435E9">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rsidR="005435E9" w:rsidRDefault="005435E9">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5435E9" w:rsidRDefault="005435E9">
      <w:pPr>
        <w:pStyle w:val="yMiscellaneousBody"/>
        <w:tabs>
          <w:tab w:val="left" w:pos="284"/>
          <w:tab w:val="left" w:pos="1985"/>
        </w:tabs>
        <w:ind w:left="1418"/>
      </w:pPr>
      <w:r>
        <w:t xml:space="preserve">where — </w:t>
      </w:r>
    </w:p>
    <w:p w:rsidR="005435E9" w:rsidRDefault="005435E9">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rsidR="005435E9" w:rsidRDefault="005435E9">
      <w:pPr>
        <w:pStyle w:val="yMiscellaneousBody"/>
        <w:tabs>
          <w:tab w:val="left" w:pos="284"/>
          <w:tab w:val="left" w:pos="1985"/>
        </w:tabs>
        <w:ind w:left="1985" w:hanging="567"/>
      </w:pPr>
      <w:r>
        <w:rPr>
          <w:b/>
        </w:rPr>
        <w:t>Q</w:t>
      </w:r>
      <w:r>
        <w:tab/>
        <w:t>is the discharge charge calculated in accordance with item 26;</w:t>
      </w:r>
    </w:p>
    <w:p w:rsidR="005435E9" w:rsidRDefault="005435E9">
      <w:pPr>
        <w:pStyle w:val="yMiscellaneousBody"/>
        <w:tabs>
          <w:tab w:val="left" w:pos="284"/>
          <w:tab w:val="left" w:pos="1985"/>
        </w:tabs>
        <w:ind w:left="1985" w:hanging="567"/>
      </w:pPr>
      <w:r>
        <w:rPr>
          <w:b/>
        </w:rPr>
        <w:t>R</w:t>
      </w:r>
      <w:r>
        <w:tab/>
        <w:t>is the maximum charge calculated in accordance with item 28;</w:t>
      </w:r>
    </w:p>
    <w:p w:rsidR="005435E9" w:rsidRDefault="005435E9">
      <w:pPr>
        <w:pStyle w:val="yMiscellaneousBody"/>
        <w:tabs>
          <w:tab w:val="left" w:pos="284"/>
          <w:tab w:val="left" w:pos="1985"/>
        </w:tabs>
        <w:ind w:left="1985" w:hanging="567"/>
      </w:pPr>
      <w:r>
        <w:rPr>
          <w:b/>
        </w:rPr>
        <w:t>N</w:t>
      </w:r>
      <w:r>
        <w:tab/>
        <w:t>is the discharge volume for the current discharge year;</w:t>
      </w:r>
    </w:p>
    <w:p w:rsidR="005435E9" w:rsidRDefault="005435E9">
      <w:pPr>
        <w:pStyle w:val="yMiscellaneousBody"/>
        <w:tabs>
          <w:tab w:val="left" w:pos="284"/>
          <w:tab w:val="left" w:pos="1985"/>
        </w:tabs>
        <w:ind w:left="1985" w:hanging="567"/>
      </w:pPr>
      <w:r>
        <w:rPr>
          <w:b/>
        </w:rPr>
        <w:t>W</w:t>
      </w:r>
      <w:r>
        <w:tab/>
        <w:t>is the discharge volume for the most recently completed discharge year;</w:t>
      </w:r>
    </w:p>
    <w:p w:rsidR="005435E9" w:rsidRDefault="005435E9">
      <w:pPr>
        <w:pStyle w:val="yMiscellaneousBody"/>
        <w:tabs>
          <w:tab w:val="left" w:pos="284"/>
          <w:tab w:val="left" w:pos="1985"/>
        </w:tabs>
        <w:ind w:left="1985" w:hanging="567"/>
      </w:pPr>
      <w:r>
        <w:rPr>
          <w:b/>
        </w:rPr>
        <w:t>I</w:t>
      </w:r>
      <w:r>
        <w:rPr>
          <w:b/>
        </w:rPr>
        <w:tab/>
      </w:r>
      <w:r>
        <w:t xml:space="preserve">is </w:t>
      </w:r>
      <w:r>
        <w:rPr>
          <w:szCs w:val="22"/>
        </w:rPr>
        <w:t>$3.</w:t>
      </w:r>
      <w:r>
        <w:t>846.</w:t>
      </w:r>
    </w:p>
    <w:p w:rsidR="005435E9" w:rsidRDefault="005435E9">
      <w:pPr>
        <w:pStyle w:val="yHeading5"/>
      </w:pPr>
      <w:bookmarkStart w:id="305" w:name="_Toc75519776"/>
      <w:r>
        <w:rPr>
          <w:rStyle w:val="CharSClsNo"/>
        </w:rPr>
        <w:t>23</w:t>
      </w:r>
      <w:r>
        <w:t>.</w:t>
      </w:r>
      <w:r>
        <w:tab/>
        <w:t>Non</w:t>
      </w:r>
      <w:r>
        <w:noBreakHyphen/>
        <w:t>metropolitan nursing home</w:t>
      </w:r>
      <w:bookmarkEnd w:id="305"/>
    </w:p>
    <w:p w:rsidR="005435E9" w:rsidRDefault="005435E9">
      <w:pPr>
        <w:pStyle w:val="ySubsection"/>
      </w:pPr>
      <w:r>
        <w:tab/>
      </w:r>
      <w:r>
        <w:tab/>
        <w:t>For a nursing home in the non</w:t>
      </w:r>
      <w:r>
        <w:noBreakHyphen/>
        <w:t>metropolitan area, other than a nursing home that is, or is part of, an aged home, 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276"/>
          <w:tab w:val="left" w:pos="1843"/>
        </w:tabs>
        <w:ind w:left="1871" w:hanging="992"/>
      </w:pPr>
      <w:r>
        <w:rPr>
          <w:b/>
        </w:rPr>
        <w:t>Q</w:t>
      </w:r>
      <w:r>
        <w:tab/>
        <w:t>is the discharge charge calculated in accordance with item 26;</w:t>
      </w:r>
    </w:p>
    <w:p w:rsidR="005435E9" w:rsidRDefault="005435E9">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rsidR="005435E9" w:rsidRDefault="005435E9">
      <w:pPr>
        <w:pStyle w:val="yMiscellaneousBody"/>
        <w:tabs>
          <w:tab w:val="left" w:pos="284"/>
          <w:tab w:val="left" w:pos="1276"/>
          <w:tab w:val="left" w:pos="1843"/>
        </w:tabs>
        <w:ind w:left="1871" w:hanging="992"/>
      </w:pPr>
      <w:r>
        <w:rPr>
          <w:b/>
        </w:rPr>
        <w:t>U</w:t>
      </w:r>
      <w:r>
        <w:tab/>
        <w:t>is the number of beds in the nursing home;</w:t>
      </w:r>
    </w:p>
    <w:p w:rsidR="005435E9" w:rsidRDefault="005435E9">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rsidR="005435E9" w:rsidRDefault="005435E9">
      <w:pPr>
        <w:pStyle w:val="yHeading5"/>
      </w:pPr>
      <w:bookmarkStart w:id="306" w:name="_Toc75519777"/>
      <w:r>
        <w:rPr>
          <w:rStyle w:val="CharSClsNo"/>
        </w:rPr>
        <w:lastRenderedPageBreak/>
        <w:t>24</w:t>
      </w:r>
      <w:r>
        <w:t>.</w:t>
      </w:r>
      <w:r>
        <w:tab/>
      </w:r>
      <w:r w:rsidR="002041B1">
        <w:t>Certain non</w:t>
      </w:r>
      <w:r w:rsidR="002041B1">
        <w:noBreakHyphen/>
        <w:t>metropolitan units</w:t>
      </w:r>
      <w:bookmarkEnd w:id="306"/>
    </w:p>
    <w:p w:rsidR="005435E9" w:rsidRDefault="005435E9">
      <w:pPr>
        <w:pStyle w:val="ySubsection"/>
      </w:pPr>
      <w:r>
        <w:tab/>
      </w:r>
      <w:r>
        <w:tab/>
        <w:t>For land in the non</w:t>
      </w:r>
      <w:r>
        <w:noBreakHyphen/>
        <w:t xml:space="preserve">metropolitan area — </w:t>
      </w:r>
    </w:p>
    <w:p w:rsidR="005435E9" w:rsidRDefault="005435E9">
      <w:pPr>
        <w:pStyle w:val="yIndenta"/>
      </w:pPr>
      <w:r>
        <w:tab/>
        <w:t>(a)</w:t>
      </w:r>
      <w:r>
        <w:tab/>
        <w:t>that is contained in a lot; and</w:t>
      </w:r>
    </w:p>
    <w:p w:rsidR="005435E9" w:rsidRDefault="005435E9">
      <w:pPr>
        <w:pStyle w:val="yIndenta"/>
      </w:pPr>
      <w:r>
        <w:tab/>
        <w:t>(b)</w:t>
      </w:r>
      <w:r>
        <w:tab/>
        <w:t>that is classified as non</w:t>
      </w:r>
      <w:r>
        <w:noBreakHyphen/>
        <w:t>residential; and</w:t>
      </w:r>
    </w:p>
    <w:p w:rsidR="005435E9" w:rsidRDefault="005435E9">
      <w:pPr>
        <w:pStyle w:val="yIndenta"/>
      </w:pPr>
      <w:r>
        <w:tab/>
        <w:t>(c)</w:t>
      </w:r>
      <w:r>
        <w:tab/>
        <w:t>that is not covered by item 5 or 6; and</w:t>
      </w:r>
    </w:p>
    <w:p w:rsidR="005435E9" w:rsidRDefault="005435E9">
      <w:pPr>
        <w:pStyle w:val="yIndenta"/>
      </w:pPr>
      <w:r>
        <w:tab/>
        <w:t>(d)</w:t>
      </w:r>
      <w:r>
        <w:tab/>
        <w:t>that shares one or more major fixtures, that discharge into a sewer of the Water Corporation, with other such land and has no other major fixtures that discharge into such a sewer; and</w:t>
      </w:r>
    </w:p>
    <w:p w:rsidR="005435E9" w:rsidRDefault="005435E9">
      <w:pPr>
        <w:pStyle w:val="yIndenta"/>
      </w:pPr>
      <w:r>
        <w:tab/>
        <w:t>(e)</w:t>
      </w:r>
      <w:r>
        <w:tab/>
        <w:t xml:space="preserve">for which the number of major fixtures shared by all units on the relevant </w:t>
      </w:r>
      <w:bookmarkStart w:id="307" w:name="_Hlk75267266"/>
      <w:r w:rsidR="00C009D3">
        <w:t>scheme plan for a strata titles scheme or a community titles scheme</w:t>
      </w:r>
      <w:bookmarkEnd w:id="307"/>
      <w:r>
        <w:t xml:space="preserve"> is less than the number of those units,</w:t>
      </w:r>
    </w:p>
    <w:p w:rsidR="005435E9" w:rsidRDefault="005435E9">
      <w:pPr>
        <w:pStyle w:val="ySubsection"/>
      </w:pPr>
      <w:r>
        <w:tab/>
      </w:r>
      <w:r>
        <w:tab/>
        <w:t>the charge is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rsidR="005435E9" w:rsidRDefault="005435E9">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rsidR="005435E9" w:rsidRDefault="005435E9">
      <w:pPr>
        <w:pStyle w:val="yHeading5"/>
      </w:pPr>
      <w:bookmarkStart w:id="308" w:name="_Toc75519778"/>
      <w:r>
        <w:rPr>
          <w:rStyle w:val="CharSClsNo"/>
        </w:rPr>
        <w:t>24A</w:t>
      </w:r>
      <w:r>
        <w:t>.</w:t>
      </w:r>
      <w:r>
        <w:tab/>
        <w:t>Non</w:t>
      </w:r>
      <w:r>
        <w:noBreakHyphen/>
        <w:t>metropolitan government trading organisation and non</w:t>
      </w:r>
      <w:r>
        <w:noBreakHyphen/>
        <w:t>commercial government property</w:t>
      </w:r>
      <w:bookmarkEnd w:id="308"/>
    </w:p>
    <w:p w:rsidR="005435E9" w:rsidRDefault="005435E9">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rsidR="005435E9" w:rsidRDefault="005435E9">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rsidR="005435E9" w:rsidRDefault="005435E9">
      <w:pPr>
        <w:pStyle w:val="yMiscellaneousBody"/>
        <w:tabs>
          <w:tab w:val="left" w:pos="284"/>
          <w:tab w:val="left" w:pos="1276"/>
          <w:tab w:val="left" w:pos="1843"/>
        </w:tabs>
        <w:ind w:left="1871" w:hanging="992"/>
      </w:pPr>
      <w:r>
        <w:rPr>
          <w:b/>
        </w:rPr>
        <w:t>Q</w:t>
      </w:r>
      <w:r>
        <w:tab/>
        <w:t>is the discharge charge calculated in accordance with item 26.</w:t>
      </w:r>
    </w:p>
    <w:p w:rsidR="005435E9" w:rsidRDefault="005435E9">
      <w:pPr>
        <w:pStyle w:val="ySubsection"/>
      </w:pPr>
      <w:r>
        <w:tab/>
        <w:t>(2)</w:t>
      </w:r>
      <w:r>
        <w:tab/>
        <w:t>Sub</w:t>
      </w:r>
      <w:r>
        <w:noBreakHyphen/>
        <w:t>item (1) does not apply to public land.</w:t>
      </w:r>
    </w:p>
    <w:p w:rsidR="005435E9" w:rsidRDefault="005435E9">
      <w:pPr>
        <w:pStyle w:val="yHeading4"/>
      </w:pPr>
      <w:bookmarkStart w:id="309" w:name="_Toc75266330"/>
      <w:bookmarkStart w:id="310" w:name="_Toc75269611"/>
      <w:bookmarkStart w:id="311" w:name="_Toc75351110"/>
      <w:bookmarkStart w:id="312" w:name="_Toc75519779"/>
      <w:r>
        <w:lastRenderedPageBreak/>
        <w:t>Subdivision 5 — Calculation of certain factors for the purposes of Subdivision 4</w:t>
      </w:r>
      <w:bookmarkEnd w:id="309"/>
      <w:bookmarkEnd w:id="310"/>
      <w:bookmarkEnd w:id="311"/>
      <w:bookmarkEnd w:id="312"/>
    </w:p>
    <w:p w:rsidR="005435E9" w:rsidRDefault="005435E9">
      <w:pPr>
        <w:pStyle w:val="yFootnoteheading"/>
      </w:pPr>
      <w:r>
        <w:tab/>
        <w:t>[Heading inserted: SL 2020/95 r. 9.]</w:t>
      </w:r>
    </w:p>
    <w:p w:rsidR="005435E9" w:rsidRDefault="005435E9">
      <w:pPr>
        <w:pStyle w:val="yHeading5"/>
      </w:pPr>
      <w:bookmarkStart w:id="313" w:name="_Toc75519780"/>
      <w:r>
        <w:rPr>
          <w:rStyle w:val="CharSClsNo"/>
        </w:rPr>
        <w:t>25</w:t>
      </w:r>
      <w:r>
        <w:t>.</w:t>
      </w:r>
      <w:r>
        <w:tab/>
        <w:t>Service charge</w:t>
      </w:r>
      <w:bookmarkEnd w:id="313"/>
    </w:p>
    <w:p w:rsidR="005435E9" w:rsidRDefault="005435E9">
      <w:pPr>
        <w:pStyle w:val="ySubsection"/>
      </w:pPr>
      <w:r>
        <w:tab/>
      </w:r>
      <w:r>
        <w:tab/>
        <w:t>The service charge (</w:t>
      </w:r>
      <w:r>
        <w:rPr>
          <w:b/>
          <w:i/>
        </w:rPr>
        <w:t>P</w:t>
      </w:r>
      <w:r>
        <w:t>) is —</w:t>
      </w:r>
    </w:p>
    <w:p w:rsidR="005435E9" w:rsidRDefault="005435E9">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rsidR="005435E9" w:rsidRDefault="005435E9">
      <w:pPr>
        <w:pStyle w:val="yMiscellaneousBody"/>
        <w:tabs>
          <w:tab w:val="left" w:pos="284"/>
          <w:tab w:val="right" w:leader="dot" w:pos="6804"/>
        </w:tabs>
        <w:ind w:left="1276" w:hanging="142"/>
      </w:pPr>
      <w:r>
        <w:tab/>
        <w:t xml:space="preserve">then </w:t>
      </w:r>
      <w:r>
        <w:rPr>
          <w:b/>
        </w:rPr>
        <w:t>R</w:t>
      </w:r>
    </w:p>
    <w:p w:rsidR="005435E9" w:rsidRDefault="005435E9">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rsidR="005435E9" w:rsidRDefault="005435E9">
      <w:pPr>
        <w:pStyle w:val="yMiscellaneousBody"/>
        <w:tabs>
          <w:tab w:val="left" w:pos="284"/>
          <w:tab w:val="right" w:leader="dot" w:pos="6804"/>
        </w:tabs>
        <w:ind w:left="1276" w:hanging="142"/>
      </w:pPr>
      <w:r>
        <w:tab/>
        <w:t xml:space="preserve">then </w:t>
      </w:r>
      <w:r>
        <w:rPr>
          <w:b/>
        </w:rPr>
        <w:t>C</w:t>
      </w:r>
    </w:p>
    <w:p w:rsidR="005435E9" w:rsidRDefault="005435E9">
      <w:pPr>
        <w:pStyle w:val="yMiscellaneousBody"/>
        <w:keepNext/>
        <w:keepLines/>
        <w:tabs>
          <w:tab w:val="left" w:pos="284"/>
          <w:tab w:val="right" w:leader="dot" w:pos="6804"/>
        </w:tabs>
        <w:ind w:left="1276" w:hanging="142"/>
      </w:pPr>
      <w:r>
        <w:t xml:space="preserve">where — </w:t>
      </w:r>
    </w:p>
    <w:p w:rsidR="005435E9" w:rsidRDefault="005435E9">
      <w:pPr>
        <w:pStyle w:val="yMiscellaneousBody"/>
        <w:tabs>
          <w:tab w:val="left" w:pos="284"/>
          <w:tab w:val="left" w:pos="1560"/>
        </w:tabs>
        <w:ind w:left="1560" w:hanging="426"/>
      </w:pPr>
      <w:r>
        <w:rPr>
          <w:b/>
        </w:rPr>
        <w:t>R</w:t>
      </w:r>
      <w:r>
        <w:tab/>
        <w:t>is the maximum charge calculated in accordance with item 28;</w:t>
      </w:r>
    </w:p>
    <w:p w:rsidR="005435E9" w:rsidRDefault="005435E9">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rsidR="005435E9" w:rsidRDefault="005435E9">
      <w:pPr>
        <w:pStyle w:val="yMiscellaneousBody"/>
        <w:tabs>
          <w:tab w:val="left" w:pos="284"/>
          <w:tab w:val="left" w:pos="1560"/>
        </w:tabs>
        <w:ind w:left="1560" w:hanging="426"/>
      </w:pPr>
      <w:r>
        <w:rPr>
          <w:b/>
        </w:rPr>
        <w:t>D</w:t>
      </w:r>
      <w:r>
        <w:tab/>
        <w:t>is the discharge charge calculated in accordance with item 26.</w:t>
      </w:r>
    </w:p>
    <w:p w:rsidR="005435E9" w:rsidRDefault="005435E9">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5435E9">
        <w:trPr>
          <w:tblHeader/>
        </w:trPr>
        <w:tc>
          <w:tcPr>
            <w:tcW w:w="2268" w:type="dxa"/>
            <w:tcBorders>
              <w:top w:val="single" w:sz="4" w:space="0" w:color="auto"/>
              <w:bottom w:val="single" w:sz="4" w:space="0" w:color="auto"/>
            </w:tcBorders>
            <w:noWrap/>
          </w:tcPr>
          <w:p w:rsidR="005435E9" w:rsidRDefault="005435E9">
            <w:pPr>
              <w:pStyle w:val="yTableNAm"/>
              <w:keepNext/>
              <w:jc w:val="center"/>
            </w:pPr>
          </w:p>
        </w:tc>
        <w:tc>
          <w:tcPr>
            <w:tcW w:w="2268" w:type="dxa"/>
            <w:tcBorders>
              <w:top w:val="single" w:sz="4" w:space="0" w:color="auto"/>
              <w:bottom w:val="single" w:sz="4" w:space="0" w:color="auto"/>
            </w:tcBorders>
            <w:noWrap/>
          </w:tcPr>
          <w:p w:rsidR="005435E9" w:rsidRDefault="005435E9">
            <w:pPr>
              <w:pStyle w:val="yTableNAm"/>
              <w:keepNext/>
              <w:jc w:val="center"/>
              <w:rPr>
                <w:b/>
              </w:rPr>
            </w:pPr>
            <w:r>
              <w:rPr>
                <w:b/>
              </w:rPr>
              <w:t>Charge</w:t>
            </w:r>
          </w:p>
        </w:tc>
      </w:tr>
      <w:tr w:rsidR="005435E9">
        <w:tc>
          <w:tcPr>
            <w:tcW w:w="2268" w:type="dxa"/>
            <w:noWrap/>
            <w:tcMar>
              <w:left w:w="284" w:type="dxa"/>
            </w:tcMar>
          </w:tcPr>
          <w:p w:rsidR="005435E9" w:rsidRDefault="005435E9">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rsidR="005435E9" w:rsidRDefault="005435E9">
            <w:pPr>
              <w:pStyle w:val="yTableNAm"/>
              <w:keepNext/>
              <w:jc w:val="center"/>
            </w:pPr>
            <w:r>
              <w:t>$1 046.71</w:t>
            </w:r>
          </w:p>
        </w:tc>
      </w:tr>
      <w:tr w:rsidR="005435E9">
        <w:tc>
          <w:tcPr>
            <w:tcW w:w="2268" w:type="dxa"/>
            <w:noWrap/>
            <w:tcMar>
              <w:left w:w="284" w:type="dxa"/>
            </w:tcMar>
          </w:tcPr>
          <w:p w:rsidR="005435E9" w:rsidRDefault="005435E9">
            <w:pPr>
              <w:pStyle w:val="yTableNAm"/>
              <w:tabs>
                <w:tab w:val="clear" w:pos="567"/>
                <w:tab w:val="left" w:pos="384"/>
              </w:tabs>
              <w:ind w:left="370" w:hanging="370"/>
            </w:pPr>
            <w:r>
              <w:t>2</w:t>
            </w:r>
            <w:r>
              <w:rPr>
                <w:vertAlign w:val="superscript"/>
              </w:rPr>
              <w:t>nd</w:t>
            </w:r>
            <w:r>
              <w:tab/>
              <w:t>fixture</w:t>
            </w:r>
          </w:p>
        </w:tc>
        <w:tc>
          <w:tcPr>
            <w:tcW w:w="2268" w:type="dxa"/>
            <w:noWrap/>
          </w:tcPr>
          <w:p w:rsidR="005435E9" w:rsidRDefault="005435E9">
            <w:pPr>
              <w:pStyle w:val="yTableNAm"/>
              <w:keepNext/>
              <w:jc w:val="center"/>
            </w:pPr>
            <w:r>
              <w:t>$448.05</w:t>
            </w:r>
          </w:p>
        </w:tc>
      </w:tr>
      <w:tr w:rsidR="005435E9">
        <w:tc>
          <w:tcPr>
            <w:tcW w:w="2268" w:type="dxa"/>
            <w:noWrap/>
            <w:tcMar>
              <w:left w:w="284" w:type="dxa"/>
            </w:tcMar>
          </w:tcPr>
          <w:p w:rsidR="005435E9" w:rsidRDefault="005435E9">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rsidR="005435E9" w:rsidRDefault="005435E9">
            <w:pPr>
              <w:pStyle w:val="yTableNAm"/>
              <w:keepNext/>
              <w:jc w:val="center"/>
            </w:pPr>
            <w:r>
              <w:t>$598.36</w:t>
            </w:r>
          </w:p>
        </w:tc>
      </w:tr>
      <w:tr w:rsidR="005435E9">
        <w:tc>
          <w:tcPr>
            <w:tcW w:w="2268" w:type="dxa"/>
            <w:tcBorders>
              <w:bottom w:val="single" w:sz="4" w:space="0" w:color="auto"/>
            </w:tcBorders>
            <w:noWrap/>
            <w:tcMar>
              <w:left w:w="284" w:type="dxa"/>
            </w:tcMar>
          </w:tcPr>
          <w:p w:rsidR="005435E9" w:rsidRDefault="005435E9">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rsidR="005435E9" w:rsidRDefault="005435E9">
            <w:pPr>
              <w:pStyle w:val="yTableNAm"/>
              <w:keepNext/>
              <w:jc w:val="center"/>
            </w:pPr>
            <w:r>
              <w:t>$650.68</w:t>
            </w:r>
          </w:p>
        </w:tc>
      </w:tr>
    </w:tbl>
    <w:p w:rsidR="005435E9" w:rsidRDefault="005435E9">
      <w:pPr>
        <w:pStyle w:val="yHeading5"/>
      </w:pPr>
      <w:bookmarkStart w:id="314" w:name="_Toc75519781"/>
      <w:r>
        <w:rPr>
          <w:rStyle w:val="CharSClsNo"/>
        </w:rPr>
        <w:t>26</w:t>
      </w:r>
      <w:r>
        <w:t>.</w:t>
      </w:r>
      <w:r>
        <w:tab/>
        <w:t>Discharge charge</w:t>
      </w:r>
      <w:bookmarkEnd w:id="314"/>
    </w:p>
    <w:p w:rsidR="005435E9" w:rsidRDefault="005435E9">
      <w:pPr>
        <w:pStyle w:val="ySubsection"/>
      </w:pPr>
      <w:r>
        <w:tab/>
      </w:r>
      <w:r>
        <w:tab/>
        <w:t>The discharge charge (</w:t>
      </w:r>
      <w:r>
        <w:rPr>
          <w:b/>
          <w:i/>
        </w:rPr>
        <w:t>Q</w:t>
      </w:r>
      <w:r>
        <w:t>) is —</w:t>
      </w:r>
    </w:p>
    <w:p w:rsidR="005435E9" w:rsidRDefault="005435E9">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rsidR="005435E9" w:rsidRDefault="005435E9">
      <w:pPr>
        <w:pStyle w:val="yMiscellaneousBody"/>
        <w:tabs>
          <w:tab w:val="left" w:pos="284"/>
          <w:tab w:val="right" w:leader="dot" w:pos="6804"/>
        </w:tabs>
        <w:ind w:left="1276" w:hanging="142"/>
      </w:pPr>
      <w:r>
        <w:tab/>
        <w:t>then nil</w:t>
      </w:r>
    </w:p>
    <w:p w:rsidR="005435E9" w:rsidRDefault="005435E9">
      <w:pPr>
        <w:pStyle w:val="yMiscellaneousBody"/>
        <w:tabs>
          <w:tab w:val="left" w:pos="284"/>
          <w:tab w:val="right" w:leader="dot" w:pos="6804"/>
        </w:tabs>
        <w:ind w:left="1276" w:hanging="142"/>
      </w:pPr>
      <w:r>
        <w:lastRenderedPageBreak/>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rsidR="005435E9" w:rsidRDefault="005435E9">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rsidR="005435E9" w:rsidRDefault="005435E9">
      <w:pPr>
        <w:pStyle w:val="yMiscellaneousBody"/>
        <w:keepNext/>
        <w:keepLines/>
        <w:tabs>
          <w:tab w:val="left" w:pos="284"/>
          <w:tab w:val="right" w:leader="dot" w:pos="6804"/>
        </w:tabs>
        <w:ind w:left="1276" w:hanging="142"/>
      </w:pPr>
      <w:r>
        <w:t xml:space="preserve">where — </w:t>
      </w:r>
    </w:p>
    <w:p w:rsidR="005435E9" w:rsidRDefault="005435E9">
      <w:pPr>
        <w:pStyle w:val="yMiscellaneousBody"/>
        <w:tabs>
          <w:tab w:val="left" w:pos="284"/>
          <w:tab w:val="left" w:pos="1560"/>
        </w:tabs>
        <w:ind w:left="1560" w:hanging="426"/>
      </w:pPr>
      <w:r>
        <w:rPr>
          <w:b/>
        </w:rPr>
        <w:t>F</w:t>
      </w:r>
      <w:r>
        <w:tab/>
        <w:t>is the volume of water supplied to the land in the current consumption year;</w:t>
      </w:r>
    </w:p>
    <w:p w:rsidR="005435E9" w:rsidRDefault="005435E9">
      <w:pPr>
        <w:pStyle w:val="yMiscellaneousBody"/>
        <w:tabs>
          <w:tab w:val="left" w:pos="284"/>
          <w:tab w:val="left" w:pos="1560"/>
        </w:tabs>
        <w:ind w:left="1560" w:hanging="426"/>
      </w:pPr>
      <w:r>
        <w:rPr>
          <w:b/>
        </w:rPr>
        <w:t>G</w:t>
      </w:r>
      <w:r>
        <w:tab/>
        <w:t>is the discharge factor applicable for the land for the current discharge year;</w:t>
      </w:r>
    </w:p>
    <w:p w:rsidR="005435E9" w:rsidRDefault="005435E9">
      <w:pPr>
        <w:pStyle w:val="yMiscellaneousBody"/>
        <w:tabs>
          <w:tab w:val="left" w:pos="284"/>
          <w:tab w:val="left" w:pos="1560"/>
        </w:tabs>
        <w:ind w:left="1560" w:hanging="426"/>
      </w:pPr>
      <w:r>
        <w:rPr>
          <w:b/>
        </w:rPr>
        <w:t>H</w:t>
      </w:r>
      <w:r>
        <w:tab/>
        <w:t>is the discharge allowance for the current discharge year worked out in accordance with item 27;</w:t>
      </w:r>
    </w:p>
    <w:p w:rsidR="005435E9" w:rsidRDefault="005435E9">
      <w:pPr>
        <w:pStyle w:val="yMiscellaneousBody"/>
        <w:tabs>
          <w:tab w:val="left" w:pos="284"/>
          <w:tab w:val="left" w:pos="1560"/>
        </w:tabs>
        <w:ind w:left="1560" w:hanging="426"/>
      </w:pPr>
      <w:r>
        <w:rPr>
          <w:b/>
        </w:rPr>
        <w:t>I</w:t>
      </w:r>
      <w:r>
        <w:tab/>
        <w:t xml:space="preserve">is </w:t>
      </w:r>
      <w:r>
        <w:rPr>
          <w:szCs w:val="22"/>
        </w:rPr>
        <w:t>$3.</w:t>
      </w:r>
      <w:r>
        <w:t>846,</w:t>
      </w:r>
    </w:p>
    <w:p w:rsidR="005435E9" w:rsidRDefault="005435E9">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5435E9" w:rsidRDefault="005435E9">
      <w:pPr>
        <w:pStyle w:val="yHeading5"/>
      </w:pPr>
      <w:bookmarkStart w:id="315" w:name="_Toc75519782"/>
      <w:r>
        <w:rPr>
          <w:rStyle w:val="CharSClsNo"/>
        </w:rPr>
        <w:t>27</w:t>
      </w:r>
      <w:r>
        <w:t>.</w:t>
      </w:r>
      <w:r>
        <w:tab/>
        <w:t>Discharge allowance</w:t>
      </w:r>
      <w:bookmarkEnd w:id="315"/>
    </w:p>
    <w:p w:rsidR="005435E9" w:rsidRDefault="005435E9">
      <w:pPr>
        <w:pStyle w:val="ySubsection"/>
      </w:pPr>
      <w:r>
        <w:tab/>
        <w:t>(1)</w:t>
      </w:r>
      <w:r>
        <w:tab/>
        <w:t>The discharge allowance for the current discharge year is —</w:t>
      </w:r>
    </w:p>
    <w:p w:rsidR="005435E9" w:rsidRDefault="005435E9">
      <w:pPr>
        <w:pStyle w:val="yIndenta"/>
      </w:pPr>
      <w:r>
        <w:tab/>
        <w:t>(a)</w:t>
      </w:r>
      <w:r>
        <w:tab/>
        <w:t>for land to which item 21 applies that is not covered by paragraph (e) — 200 kL;</w:t>
      </w:r>
    </w:p>
    <w:p w:rsidR="005435E9" w:rsidRDefault="005435E9">
      <w:pPr>
        <w:pStyle w:val="yIndenta"/>
      </w:pPr>
      <w:r>
        <w:tab/>
        <w:t>(b)</w:t>
      </w:r>
      <w:r>
        <w:tab/>
        <w:t>for land held by a government trading organisation or by a public authority that holds non</w:t>
      </w:r>
      <w:r>
        <w:noBreakHyphen/>
        <w:t>commercial government property — 200 kL;</w:t>
      </w:r>
    </w:p>
    <w:p w:rsidR="005435E9" w:rsidRDefault="005435E9">
      <w:pPr>
        <w:pStyle w:val="yIndenta"/>
      </w:pPr>
      <w:r>
        <w:tab/>
        <w:t>(c)</w:t>
      </w:r>
      <w:r>
        <w:tab/>
        <w:t>for a caravan park referred to in item 22 — the amount (in kL) calculated in accordance with the formula in sub</w:t>
      </w:r>
      <w:r>
        <w:noBreakHyphen/>
        <w:t>item (2);</w:t>
      </w:r>
    </w:p>
    <w:p w:rsidR="005435E9" w:rsidRDefault="005435E9">
      <w:pPr>
        <w:pStyle w:val="yIndenta"/>
      </w:pPr>
      <w:r>
        <w:tab/>
        <w:t>(d)</w:t>
      </w:r>
      <w:r>
        <w:tab/>
        <w:t>for a nursing home referred to in item 23 — 75 kL per bed;</w:t>
      </w:r>
    </w:p>
    <w:p w:rsidR="005435E9" w:rsidRDefault="005435E9">
      <w:pPr>
        <w:pStyle w:val="yIndenta"/>
      </w:pPr>
      <w:r>
        <w:tab/>
        <w:t>(e)</w:t>
      </w:r>
      <w:r>
        <w:tab/>
        <w:t>for properties that share a metered property water supply connection — 200 kL for each property.</w:t>
      </w:r>
    </w:p>
    <w:p w:rsidR="005435E9" w:rsidRDefault="005435E9">
      <w:pPr>
        <w:pStyle w:val="ySubsection"/>
      </w:pPr>
      <w:r>
        <w:tab/>
        <w:t>(2)</w:t>
      </w:r>
      <w:r>
        <w:tab/>
        <w:t>The formula for the purposes of sub</w:t>
      </w:r>
      <w:r>
        <w:noBreakHyphen/>
        <w:t>item (1)(c) is —</w:t>
      </w:r>
    </w:p>
    <w:p w:rsidR="005435E9" w:rsidRDefault="005435E9">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rsidR="005435E9" w:rsidRDefault="005435E9">
      <w:pPr>
        <w:pStyle w:val="yMiscellaneousBody"/>
        <w:tabs>
          <w:tab w:val="left" w:pos="284"/>
          <w:tab w:val="right" w:leader="dot" w:pos="6804"/>
        </w:tabs>
        <w:ind w:left="879"/>
      </w:pPr>
      <w:r>
        <w:t xml:space="preserve">where — </w:t>
      </w:r>
    </w:p>
    <w:p w:rsidR="005435E9" w:rsidRDefault="005435E9">
      <w:pPr>
        <w:pStyle w:val="yMiscellaneousBody"/>
        <w:tabs>
          <w:tab w:val="left" w:pos="284"/>
          <w:tab w:val="right" w:leader="dot" w:pos="6804"/>
        </w:tabs>
        <w:ind w:left="1304" w:hanging="425"/>
      </w:pPr>
      <w:r>
        <w:rPr>
          <w:b/>
        </w:rPr>
        <w:t>M</w:t>
      </w:r>
      <w:r>
        <w:tab/>
        <w:t>is 75 kL of water for each long</w:t>
      </w:r>
      <w:r>
        <w:noBreakHyphen/>
        <w:t>term residential caravan bay.</w:t>
      </w:r>
    </w:p>
    <w:p w:rsidR="005435E9" w:rsidRDefault="005435E9">
      <w:pPr>
        <w:pStyle w:val="yHeading5"/>
      </w:pPr>
      <w:bookmarkStart w:id="316" w:name="_Toc75519783"/>
      <w:r>
        <w:rPr>
          <w:rStyle w:val="CharSClsNo"/>
        </w:rPr>
        <w:lastRenderedPageBreak/>
        <w:t>28</w:t>
      </w:r>
      <w:r>
        <w:t>.</w:t>
      </w:r>
      <w:r>
        <w:tab/>
        <w:t>Maximum charge</w:t>
      </w:r>
      <w:bookmarkEnd w:id="316"/>
    </w:p>
    <w:p w:rsidR="005435E9" w:rsidRDefault="005435E9">
      <w:pPr>
        <w:pStyle w:val="ySubsection"/>
      </w:pPr>
      <w:r>
        <w:tab/>
      </w:r>
      <w:r>
        <w:tab/>
        <w:t>The maximum charge (</w:t>
      </w:r>
      <w:r>
        <w:rPr>
          <w:b/>
          <w:i/>
        </w:rPr>
        <w:t>R</w:t>
      </w:r>
      <w:r>
        <w:t>) is —</w:t>
      </w:r>
    </w:p>
    <w:p w:rsidR="005435E9" w:rsidRDefault="005435E9">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rsidR="005435E9" w:rsidRDefault="005435E9">
      <w:pPr>
        <w:pStyle w:val="yMiscellaneousBody"/>
        <w:tabs>
          <w:tab w:val="left" w:pos="284"/>
          <w:tab w:val="right" w:leader="dot" w:pos="6804"/>
        </w:tabs>
        <w:ind w:left="1276" w:hanging="142"/>
      </w:pPr>
      <w:r>
        <w:tab/>
        <w:t xml:space="preserve">then — </w:t>
      </w:r>
    </w:p>
    <w:p w:rsidR="005435E9" w:rsidRDefault="005435E9">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5435E9" w:rsidRDefault="005435E9">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rsidR="005435E9" w:rsidRDefault="005435E9">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5435E9" w:rsidRDefault="005435E9">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rsidR="005435E9" w:rsidRDefault="005435E9">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rsidR="005435E9" w:rsidRDefault="005435E9">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rsidR="005435E9" w:rsidRDefault="005435E9">
      <w:pPr>
        <w:pStyle w:val="yMiscellaneousBody"/>
        <w:tabs>
          <w:tab w:val="left" w:pos="284"/>
          <w:tab w:val="right" w:leader="dot" w:pos="6804"/>
        </w:tabs>
        <w:ind w:left="1276" w:hanging="283"/>
      </w:pPr>
      <w:r>
        <w:t xml:space="preserve">where — </w:t>
      </w:r>
    </w:p>
    <w:p w:rsidR="005435E9" w:rsidRDefault="005435E9">
      <w:pPr>
        <w:pStyle w:val="yMiscellaneousBody"/>
        <w:tabs>
          <w:tab w:val="left" w:pos="284"/>
          <w:tab w:val="right" w:leader="dot" w:pos="6804"/>
        </w:tabs>
        <w:ind w:left="1276" w:hanging="283"/>
      </w:pPr>
      <w:r>
        <w:rPr>
          <w:b/>
        </w:rPr>
        <w:t>P</w:t>
      </w:r>
      <w:r>
        <w:tab/>
        <w:t>is the service charge calculated in accordance with item 25;</w:t>
      </w:r>
    </w:p>
    <w:p w:rsidR="005435E9" w:rsidRDefault="005435E9">
      <w:pPr>
        <w:pStyle w:val="yMiscellaneousBody"/>
        <w:tabs>
          <w:tab w:val="left" w:pos="284"/>
          <w:tab w:val="right" w:leader="dot" w:pos="6804"/>
        </w:tabs>
        <w:ind w:left="1276" w:hanging="283"/>
      </w:pPr>
      <w:r>
        <w:rPr>
          <w:b/>
        </w:rPr>
        <w:t>Q</w:t>
      </w:r>
      <w:r>
        <w:tab/>
        <w:t>is the discharge charge calculated in accordance with item 26;</w:t>
      </w:r>
    </w:p>
    <w:p w:rsidR="005435E9" w:rsidRDefault="005435E9">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rsidR="005435E9" w:rsidRDefault="005435E9">
      <w:pPr>
        <w:pStyle w:val="yMiscellaneousBody"/>
        <w:tabs>
          <w:tab w:val="left" w:pos="284"/>
          <w:tab w:val="right" w:leader="dot" w:pos="6804"/>
        </w:tabs>
        <w:ind w:left="1276" w:hanging="283"/>
      </w:pPr>
      <w:r>
        <w:rPr>
          <w:b/>
        </w:rPr>
        <w:t>S</w:t>
      </w:r>
      <w:r>
        <w:tab/>
        <w:t xml:space="preserve">is </w:t>
      </w:r>
      <w:r>
        <w:rPr>
          <w:szCs w:val="22"/>
        </w:rPr>
        <w:t>1.</w:t>
      </w:r>
      <w:r>
        <w:t>12;</w:t>
      </w:r>
    </w:p>
    <w:p w:rsidR="005435E9" w:rsidRDefault="005435E9">
      <w:pPr>
        <w:pStyle w:val="yMiscellaneousBody"/>
        <w:tabs>
          <w:tab w:val="left" w:pos="284"/>
          <w:tab w:val="right" w:leader="dot" w:pos="6804"/>
        </w:tabs>
        <w:ind w:left="1276" w:hanging="283"/>
      </w:pPr>
      <w:r>
        <w:rPr>
          <w:b/>
        </w:rPr>
        <w:t>B</w:t>
      </w:r>
      <w:r>
        <w:tab/>
        <w:t>is $166.67.</w:t>
      </w:r>
    </w:p>
    <w:p w:rsidR="005435E9" w:rsidRDefault="005435E9">
      <w:pPr>
        <w:pStyle w:val="yFootnotesection"/>
      </w:pPr>
      <w:r>
        <w:tab/>
        <w:t>[Division 2 inserted: SL 2020/95 r. 9</w:t>
      </w:r>
      <w:r w:rsidR="00D727DC">
        <w:t>; amended: SL 2021/79 r. 12(2)</w:t>
      </w:r>
      <w:r>
        <w:t>.]</w:t>
      </w:r>
    </w:p>
    <w:p w:rsidR="005435E9" w:rsidRDefault="005435E9">
      <w:pPr>
        <w:pStyle w:val="yHeading3"/>
      </w:pPr>
      <w:bookmarkStart w:id="317" w:name="_Toc75266335"/>
      <w:bookmarkStart w:id="318" w:name="_Toc75269616"/>
      <w:bookmarkStart w:id="319" w:name="_Toc75351115"/>
      <w:bookmarkStart w:id="320" w:name="_Toc75519784"/>
      <w:r>
        <w:rPr>
          <w:rStyle w:val="CharSDivNo"/>
        </w:rPr>
        <w:t>Division 3</w:t>
      </w:r>
      <w:r>
        <w:t> — </w:t>
      </w:r>
      <w:r>
        <w:rPr>
          <w:rStyle w:val="CharSDivText"/>
        </w:rPr>
        <w:t>Discharge charges: trade waste and effluent</w:t>
      </w:r>
      <w:bookmarkEnd w:id="317"/>
      <w:bookmarkEnd w:id="318"/>
      <w:bookmarkEnd w:id="319"/>
      <w:bookmarkEnd w:id="320"/>
    </w:p>
    <w:p w:rsidR="005435E9" w:rsidRDefault="005435E9">
      <w:pPr>
        <w:pStyle w:val="yFootnoteheading"/>
        <w:keepNext/>
      </w:pPr>
      <w:r>
        <w:tab/>
        <w:t>[Heading inserted: SL 2020/95 r. 9.]</w:t>
      </w:r>
    </w:p>
    <w:p w:rsidR="005435E9" w:rsidRDefault="005435E9">
      <w:pPr>
        <w:pStyle w:val="yHeading5"/>
      </w:pPr>
      <w:bookmarkStart w:id="321" w:name="_Toc75519785"/>
      <w:r>
        <w:rPr>
          <w:rStyle w:val="CharSClsNo"/>
        </w:rPr>
        <w:t>29</w:t>
      </w:r>
      <w:r>
        <w:t>.</w:t>
      </w:r>
      <w:r>
        <w:tab/>
        <w:t>Discharge charges for 2020/21 year and subsequent years</w:t>
      </w:r>
      <w:bookmarkEnd w:id="321"/>
    </w:p>
    <w:p w:rsidR="005435E9" w:rsidRDefault="005435E9">
      <w:pPr>
        <w:pStyle w:val="ySubsection"/>
      </w:pPr>
      <w:r>
        <w:tab/>
      </w:r>
      <w:r>
        <w:tab/>
        <w:t>The charges set out in this Division apply for trade waste or effluent discharged in the 2020/21 financial year and each subsequent year.</w:t>
      </w:r>
    </w:p>
    <w:p w:rsidR="005435E9" w:rsidRDefault="005435E9">
      <w:pPr>
        <w:pStyle w:val="yHeading5"/>
      </w:pPr>
      <w:bookmarkStart w:id="322" w:name="_Toc75519786"/>
      <w:r>
        <w:rPr>
          <w:rStyle w:val="CharSClsNo"/>
        </w:rPr>
        <w:t>30</w:t>
      </w:r>
      <w:r>
        <w:t>.</w:t>
      </w:r>
      <w:r>
        <w:tab/>
        <w:t>Trade waste discharged into sewer under approval</w:t>
      </w:r>
      <w:bookmarkEnd w:id="322"/>
    </w:p>
    <w:p w:rsidR="005435E9" w:rsidRDefault="005435E9">
      <w:pPr>
        <w:pStyle w:val="ySubsection"/>
      </w:pPr>
      <w:r>
        <w:tab/>
        <w:t>(1)</w:t>
      </w:r>
      <w:r>
        <w:tab/>
        <w:t xml:space="preserve">In this item — </w:t>
      </w:r>
    </w:p>
    <w:p w:rsidR="005435E9" w:rsidRDefault="005435E9">
      <w:pPr>
        <w:pStyle w:val="yDefstart"/>
      </w:pPr>
      <w:r>
        <w:tab/>
      </w:r>
      <w:r>
        <w:rPr>
          <w:rStyle w:val="CharDefText"/>
        </w:rPr>
        <w:t>B.O.D.</w:t>
      </w:r>
      <w:r>
        <w:t xml:space="preserve"> means biochemical oxygen demand;</w:t>
      </w:r>
    </w:p>
    <w:p w:rsidR="005435E9" w:rsidRDefault="005435E9">
      <w:pPr>
        <w:pStyle w:val="yDefstart"/>
      </w:pPr>
      <w:r>
        <w:lastRenderedPageBreak/>
        <w:tab/>
      </w:r>
      <w:r>
        <w:rPr>
          <w:rStyle w:val="CharDefText"/>
        </w:rPr>
        <w:t>c/kg</w:t>
      </w:r>
      <w:r>
        <w:t xml:space="preserve"> means cents </w:t>
      </w:r>
      <w:r>
        <w:rPr>
          <w:szCs w:val="22"/>
        </w:rPr>
        <w:t>per</w:t>
      </w:r>
      <w:r>
        <w:t xml:space="preserve"> kilogram;</w:t>
      </w:r>
    </w:p>
    <w:p w:rsidR="005435E9" w:rsidRDefault="005435E9">
      <w:pPr>
        <w:pStyle w:val="yDefstart"/>
      </w:pPr>
      <w:r>
        <w:tab/>
      </w:r>
      <w:r>
        <w:rPr>
          <w:rStyle w:val="CharDefText"/>
        </w:rPr>
        <w:t>c/kL</w:t>
      </w:r>
      <w:r>
        <w:t xml:space="preserve"> means cents </w:t>
      </w:r>
      <w:r>
        <w:rPr>
          <w:szCs w:val="22"/>
        </w:rPr>
        <w:t>per</w:t>
      </w:r>
      <w:r>
        <w:t xml:space="preserve"> kilolitre.</w:t>
      </w:r>
    </w:p>
    <w:p w:rsidR="005435E9" w:rsidRDefault="005435E9">
      <w:pPr>
        <w:pStyle w:val="ySubsection"/>
      </w:pPr>
      <w:r>
        <w:tab/>
        <w:t>(2)</w:t>
      </w:r>
      <w:r>
        <w:tab/>
        <w:t>For trade waste discharged into a sewer of the Water Corporation under an approval of the Water Corporation, the charge is —</w:t>
      </w:r>
    </w:p>
    <w:p w:rsidR="005435E9" w:rsidRDefault="005435E9">
      <w:pPr>
        <w:pStyle w:val="yIndenta"/>
        <w:tabs>
          <w:tab w:val="right" w:leader="dot" w:pos="6804"/>
        </w:tabs>
      </w:pPr>
      <w:r>
        <w:tab/>
        <w:t>(a)</w:t>
      </w:r>
      <w:r>
        <w:tab/>
        <w:t xml:space="preserve">for volume </w:t>
      </w:r>
      <w:r>
        <w:tab/>
        <w:t>150.9 c/kL</w:t>
      </w:r>
    </w:p>
    <w:p w:rsidR="005435E9" w:rsidRDefault="005435E9">
      <w:pPr>
        <w:pStyle w:val="yIndenta"/>
      </w:pPr>
      <w:r>
        <w:tab/>
        <w:t>(b)</w:t>
      </w:r>
      <w:r>
        <w:tab/>
        <w:t>for B.O.D. with a concentration of —</w:t>
      </w:r>
    </w:p>
    <w:p w:rsidR="005435E9" w:rsidRDefault="005435E9">
      <w:pPr>
        <w:pStyle w:val="yIndenti0"/>
        <w:tabs>
          <w:tab w:val="right" w:leader="dot" w:pos="6804"/>
        </w:tabs>
      </w:pPr>
      <w:r>
        <w:tab/>
        <w:t>(i)</w:t>
      </w:r>
      <w:r>
        <w:tab/>
        <w:t xml:space="preserve">up to 5 kg/kL </w:t>
      </w:r>
      <w:r>
        <w:tab/>
        <w:t xml:space="preserve"> 125.9 c/kg</w:t>
      </w:r>
    </w:p>
    <w:p w:rsidR="005435E9" w:rsidRDefault="005435E9">
      <w:pPr>
        <w:pStyle w:val="yIndenti0"/>
        <w:tabs>
          <w:tab w:val="right" w:leader="dot" w:pos="6804"/>
        </w:tabs>
      </w:pPr>
      <w:r>
        <w:tab/>
        <w:t>(ii)</w:t>
      </w:r>
      <w:r>
        <w:tab/>
        <w:t xml:space="preserve">over 5 kg/kL </w:t>
      </w:r>
      <w:r>
        <w:tab/>
        <w:t xml:space="preserve"> 257.0 c/kg</w:t>
      </w:r>
    </w:p>
    <w:p w:rsidR="005435E9" w:rsidRDefault="005435E9">
      <w:pPr>
        <w:pStyle w:val="yIndenta"/>
      </w:pPr>
      <w:r>
        <w:tab/>
        <w:t>(c)</w:t>
      </w:r>
      <w:r>
        <w:tab/>
        <w:t>for suspended solids with a concentration of —</w:t>
      </w:r>
    </w:p>
    <w:p w:rsidR="005435E9" w:rsidRDefault="005435E9">
      <w:pPr>
        <w:pStyle w:val="yIndenti0"/>
        <w:tabs>
          <w:tab w:val="right" w:leader="dot" w:pos="6804"/>
        </w:tabs>
      </w:pPr>
      <w:r>
        <w:tab/>
        <w:t>(i)</w:t>
      </w:r>
      <w:r>
        <w:tab/>
        <w:t xml:space="preserve">up to 2 kg/kL </w:t>
      </w:r>
      <w:r>
        <w:tab/>
        <w:t xml:space="preserve"> 171.7 c/kg</w:t>
      </w:r>
    </w:p>
    <w:p w:rsidR="005435E9" w:rsidRDefault="005435E9">
      <w:pPr>
        <w:pStyle w:val="yIndenti0"/>
        <w:tabs>
          <w:tab w:val="right" w:leader="dot" w:pos="6804"/>
        </w:tabs>
      </w:pPr>
      <w:r>
        <w:tab/>
        <w:t>(ii)</w:t>
      </w:r>
      <w:r>
        <w:tab/>
        <w:t xml:space="preserve">over 2 kg/kL </w:t>
      </w:r>
      <w:r>
        <w:tab/>
        <w:t xml:space="preserve"> 345.4 c/kg</w:t>
      </w:r>
    </w:p>
    <w:p w:rsidR="005435E9" w:rsidRDefault="005435E9">
      <w:pPr>
        <w:pStyle w:val="yIndenta"/>
      </w:pPr>
      <w:r>
        <w:tab/>
        <w:t>(d)</w:t>
      </w:r>
      <w:r>
        <w:tab/>
        <w:t>for chemical oxygen demand with a concentration of —</w:t>
      </w:r>
    </w:p>
    <w:p w:rsidR="005435E9" w:rsidRDefault="005435E9">
      <w:pPr>
        <w:pStyle w:val="yIndenti0"/>
        <w:tabs>
          <w:tab w:val="right" w:leader="dot" w:pos="6804"/>
        </w:tabs>
      </w:pPr>
      <w:r>
        <w:tab/>
        <w:t>(i)</w:t>
      </w:r>
      <w:r>
        <w:tab/>
        <w:t xml:space="preserve">up to 10 kg/kL </w:t>
      </w:r>
      <w:r>
        <w:tab/>
        <w:t xml:space="preserve"> 49.9 c/kg</w:t>
      </w:r>
    </w:p>
    <w:p w:rsidR="005435E9" w:rsidRDefault="005435E9">
      <w:pPr>
        <w:pStyle w:val="yIndenti0"/>
        <w:tabs>
          <w:tab w:val="right" w:leader="dot" w:pos="6804"/>
        </w:tabs>
      </w:pPr>
      <w:r>
        <w:tab/>
        <w:t>(ii)</w:t>
      </w:r>
      <w:r>
        <w:tab/>
        <w:t xml:space="preserve">over 10 kg/kL </w:t>
      </w:r>
      <w:r>
        <w:tab/>
        <w:t xml:space="preserve"> 102.0 c/kg</w:t>
      </w:r>
    </w:p>
    <w:p w:rsidR="005435E9" w:rsidRDefault="005435E9">
      <w:pPr>
        <w:pStyle w:val="yIndenta"/>
      </w:pPr>
      <w:r>
        <w:tab/>
        <w:t>(e)</w:t>
      </w:r>
      <w:r>
        <w:tab/>
        <w:t>for oil and grease with a concentration of —</w:t>
      </w:r>
    </w:p>
    <w:p w:rsidR="005435E9" w:rsidRDefault="005435E9">
      <w:pPr>
        <w:pStyle w:val="yIndenti0"/>
        <w:tabs>
          <w:tab w:val="right" w:leader="dot" w:pos="6804"/>
        </w:tabs>
      </w:pPr>
      <w:r>
        <w:tab/>
        <w:t>(i)</w:t>
      </w:r>
      <w:r>
        <w:tab/>
        <w:t xml:space="preserve">up to 0.3 kg/kL </w:t>
      </w:r>
      <w:r>
        <w:tab/>
        <w:t xml:space="preserve"> 155.0 c/kg</w:t>
      </w:r>
    </w:p>
    <w:p w:rsidR="005435E9" w:rsidRDefault="005435E9">
      <w:pPr>
        <w:pStyle w:val="yIndenti0"/>
        <w:tabs>
          <w:tab w:val="right" w:leader="dot" w:pos="6804"/>
        </w:tabs>
      </w:pPr>
      <w:r>
        <w:tab/>
        <w:t>(ii)</w:t>
      </w:r>
      <w:r>
        <w:tab/>
        <w:t xml:space="preserve">over 0.3 kg/kL but </w:t>
      </w:r>
      <w:r>
        <w:br/>
        <w:t xml:space="preserve">not over 0.6 kg/kL </w:t>
      </w:r>
      <w:r>
        <w:tab/>
        <w:t xml:space="preserve"> 303.8 c/kg</w:t>
      </w:r>
    </w:p>
    <w:p w:rsidR="005435E9" w:rsidRDefault="005435E9">
      <w:pPr>
        <w:pStyle w:val="yIndenti0"/>
        <w:tabs>
          <w:tab w:val="right" w:leader="dot" w:pos="6804"/>
        </w:tabs>
      </w:pPr>
      <w:r>
        <w:tab/>
        <w:t>(iii)</w:t>
      </w:r>
      <w:r>
        <w:tab/>
        <w:t xml:space="preserve">over 0.6 kg/kL </w:t>
      </w:r>
      <w:r>
        <w:tab/>
        <w:t xml:space="preserve"> 612.8 c/kg</w:t>
      </w:r>
    </w:p>
    <w:p w:rsidR="005435E9" w:rsidRDefault="005435E9">
      <w:pPr>
        <w:pStyle w:val="yIndenta"/>
      </w:pPr>
      <w:r>
        <w:tab/>
        <w:t>(f)</w:t>
      </w:r>
      <w:r>
        <w:tab/>
        <w:t>for acidity to pH 6 (expressed as calcium carbonate) —</w:t>
      </w:r>
    </w:p>
    <w:p w:rsidR="005435E9" w:rsidRDefault="005435E9">
      <w:pPr>
        <w:pStyle w:val="yIndenti0"/>
        <w:tabs>
          <w:tab w:val="right" w:leader="dot" w:pos="6804"/>
        </w:tabs>
      </w:pPr>
      <w:r>
        <w:tab/>
        <w:t>(i)</w:t>
      </w:r>
      <w:r>
        <w:tab/>
        <w:t xml:space="preserve">up to 0.1 kg/kL </w:t>
      </w:r>
      <w:r>
        <w:tab/>
        <w:t xml:space="preserve"> 42.7 c/kg</w:t>
      </w:r>
    </w:p>
    <w:p w:rsidR="005435E9" w:rsidRDefault="005435E9">
      <w:pPr>
        <w:pStyle w:val="yIndenti0"/>
        <w:tabs>
          <w:tab w:val="right" w:leader="dot" w:pos="6804"/>
        </w:tabs>
      </w:pPr>
      <w:r>
        <w:tab/>
        <w:t>(ii)</w:t>
      </w:r>
      <w:r>
        <w:tab/>
        <w:t xml:space="preserve">over 0.1 kg/kL but </w:t>
      </w:r>
      <w:r>
        <w:br/>
        <w:t xml:space="preserve">not over 0.3 kg/kL </w:t>
      </w:r>
      <w:r>
        <w:tab/>
        <w:t xml:space="preserve"> 89.5 c/kg</w:t>
      </w:r>
    </w:p>
    <w:p w:rsidR="005435E9" w:rsidRDefault="005435E9">
      <w:pPr>
        <w:pStyle w:val="yIndenti0"/>
        <w:tabs>
          <w:tab w:val="right" w:leader="dot" w:pos="6804"/>
        </w:tabs>
      </w:pPr>
      <w:r>
        <w:tab/>
        <w:t>(iii)</w:t>
      </w:r>
      <w:r>
        <w:tab/>
        <w:t xml:space="preserve">over 0.3 kg/kL </w:t>
      </w:r>
      <w:r>
        <w:tab/>
        <w:t xml:space="preserve"> 177.9 c/kg</w:t>
      </w:r>
    </w:p>
    <w:p w:rsidR="005435E9" w:rsidRDefault="005435E9">
      <w:pPr>
        <w:pStyle w:val="yIndenta"/>
      </w:pPr>
      <w:r>
        <w:tab/>
        <w:t>(g)</w:t>
      </w:r>
      <w:r>
        <w:tab/>
        <w:t>for alkalinity to pH 10 (expressed as calcium carbonate) —</w:t>
      </w:r>
    </w:p>
    <w:p w:rsidR="005435E9" w:rsidRDefault="005435E9">
      <w:pPr>
        <w:pStyle w:val="yIndenti0"/>
        <w:tabs>
          <w:tab w:val="right" w:leader="dot" w:pos="6804"/>
        </w:tabs>
      </w:pPr>
      <w:r>
        <w:tab/>
        <w:t>(i)</w:t>
      </w:r>
      <w:r>
        <w:tab/>
        <w:t xml:space="preserve">up to 0.1 kg/kL </w:t>
      </w:r>
      <w:r>
        <w:tab/>
        <w:t xml:space="preserve"> 13.5 c/kg</w:t>
      </w:r>
    </w:p>
    <w:p w:rsidR="005435E9" w:rsidRDefault="005435E9">
      <w:pPr>
        <w:pStyle w:val="yIndenti0"/>
        <w:tabs>
          <w:tab w:val="right" w:leader="dot" w:pos="6804"/>
        </w:tabs>
      </w:pPr>
      <w:r>
        <w:tab/>
        <w:t>(ii)</w:t>
      </w:r>
      <w:r>
        <w:tab/>
        <w:t xml:space="preserve">over 0.1 kg/kL but </w:t>
      </w:r>
      <w:r>
        <w:br/>
        <w:t xml:space="preserve">not over 0.2 kg/kL </w:t>
      </w:r>
      <w:r>
        <w:tab/>
        <w:t>32.3 c/kg</w:t>
      </w:r>
    </w:p>
    <w:p w:rsidR="005435E9" w:rsidRDefault="005435E9">
      <w:pPr>
        <w:pStyle w:val="yIndenti0"/>
        <w:tabs>
          <w:tab w:val="right" w:leader="dot" w:pos="6804"/>
        </w:tabs>
      </w:pPr>
      <w:r>
        <w:tab/>
        <w:t>(iii)</w:t>
      </w:r>
      <w:r>
        <w:tab/>
        <w:t xml:space="preserve">over 0.2 kg/kL </w:t>
      </w:r>
      <w:r>
        <w:tab/>
        <w:t xml:space="preserve"> 64.5 c/kg</w:t>
      </w:r>
    </w:p>
    <w:p w:rsidR="005435E9" w:rsidRDefault="005435E9">
      <w:pPr>
        <w:pStyle w:val="yIndenta"/>
        <w:tabs>
          <w:tab w:val="right" w:leader="dot" w:pos="6804"/>
        </w:tabs>
      </w:pPr>
      <w:r>
        <w:tab/>
        <w:t>(h)</w:t>
      </w:r>
      <w:r>
        <w:tab/>
        <w:t xml:space="preserve">for nitrogen </w:t>
      </w:r>
      <w:r>
        <w:tab/>
        <w:t xml:space="preserve"> 137.3 c/kg</w:t>
      </w:r>
    </w:p>
    <w:p w:rsidR="005435E9" w:rsidRDefault="005435E9">
      <w:pPr>
        <w:pStyle w:val="yIndenta"/>
        <w:tabs>
          <w:tab w:val="right" w:leader="dot" w:pos="6804"/>
        </w:tabs>
      </w:pPr>
      <w:r>
        <w:tab/>
        <w:t>(i)</w:t>
      </w:r>
      <w:r>
        <w:tab/>
        <w:t xml:space="preserve">for phosphorus </w:t>
      </w:r>
      <w:r>
        <w:tab/>
        <w:t xml:space="preserve"> 38.5 c/kg</w:t>
      </w:r>
    </w:p>
    <w:p w:rsidR="005435E9" w:rsidRDefault="005435E9" w:rsidP="00FA1C7C">
      <w:pPr>
        <w:pStyle w:val="yIndenta"/>
        <w:keepNext/>
        <w:rPr>
          <w:szCs w:val="22"/>
        </w:rPr>
      </w:pPr>
      <w:r>
        <w:rPr>
          <w:szCs w:val="22"/>
        </w:rPr>
        <w:lastRenderedPageBreak/>
        <w:tab/>
        <w:t>(j)</w:t>
      </w:r>
      <w:r>
        <w:rPr>
          <w:szCs w:val="22"/>
        </w:rPr>
        <w:tab/>
        <w:t xml:space="preserve">for </w:t>
      </w:r>
      <w:r>
        <w:t>sulphate</w:t>
      </w:r>
      <w:r>
        <w:rPr>
          <w:szCs w:val="22"/>
        </w:rPr>
        <w:t xml:space="preserve"> with a concentration of —</w:t>
      </w:r>
    </w:p>
    <w:p w:rsidR="005435E9" w:rsidRDefault="005435E9">
      <w:pPr>
        <w:pStyle w:val="yIndenti0"/>
        <w:tabs>
          <w:tab w:val="right" w:leader="dot" w:pos="6804"/>
        </w:tabs>
      </w:pPr>
      <w:r>
        <w:tab/>
        <w:t>(i)</w:t>
      </w:r>
      <w:r>
        <w:tab/>
        <w:t xml:space="preserve">up to 0.05 kg/kL </w:t>
      </w:r>
      <w:r>
        <w:tab/>
        <w:t xml:space="preserve"> no charge</w:t>
      </w:r>
    </w:p>
    <w:p w:rsidR="005435E9" w:rsidRDefault="005435E9">
      <w:pPr>
        <w:pStyle w:val="yIndenti0"/>
        <w:tabs>
          <w:tab w:val="right" w:leader="dot" w:pos="6804"/>
        </w:tabs>
      </w:pPr>
      <w:r>
        <w:tab/>
        <w:t>(ii)</w:t>
      </w:r>
      <w:r>
        <w:tab/>
        <w:t xml:space="preserve">over 0.05 kg/kL </w:t>
      </w:r>
      <w:r>
        <w:tab/>
        <w:t xml:space="preserve"> 72.8 c/kg</w:t>
      </w:r>
    </w:p>
    <w:p w:rsidR="005435E9" w:rsidRDefault="005435E9">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rsidR="005435E9" w:rsidRDefault="005435E9">
      <w:pPr>
        <w:pStyle w:val="yIndenti0"/>
        <w:tabs>
          <w:tab w:val="right" w:leader="dot" w:pos="6804"/>
        </w:tabs>
      </w:pPr>
      <w:r>
        <w:tab/>
        <w:t>(i)</w:t>
      </w:r>
      <w:r>
        <w:tab/>
        <w:t xml:space="preserve">up to 1 kg/kL </w:t>
      </w:r>
      <w:r>
        <w:tab/>
        <w:t xml:space="preserve"> no charge</w:t>
      </w:r>
    </w:p>
    <w:p w:rsidR="005435E9" w:rsidRDefault="005435E9">
      <w:pPr>
        <w:pStyle w:val="yIndenti0"/>
        <w:tabs>
          <w:tab w:val="right" w:leader="dot" w:pos="6804"/>
        </w:tabs>
      </w:pPr>
      <w:r>
        <w:tab/>
        <w:t>(ii)</w:t>
      </w:r>
      <w:r>
        <w:tab/>
        <w:t xml:space="preserve">over 1 kg/kL but not </w:t>
      </w:r>
      <w:r>
        <w:br/>
        <w:t xml:space="preserve">over 3 kg/kL </w:t>
      </w:r>
      <w:r>
        <w:tab/>
        <w:t>0.1 c/kg</w:t>
      </w:r>
    </w:p>
    <w:p w:rsidR="005435E9" w:rsidRDefault="005435E9">
      <w:pPr>
        <w:pStyle w:val="yIndenti0"/>
        <w:tabs>
          <w:tab w:val="right" w:leader="dot" w:pos="6804"/>
        </w:tabs>
      </w:pPr>
      <w:r>
        <w:tab/>
        <w:t>(iii)</w:t>
      </w:r>
      <w:r>
        <w:tab/>
        <w:t xml:space="preserve">over 3 kg/kL but not </w:t>
      </w:r>
      <w:r>
        <w:br/>
        <w:t xml:space="preserve">over 6 kg/kL </w:t>
      </w:r>
      <w:r>
        <w:tab/>
        <w:t>4.1 c/kg</w:t>
      </w:r>
    </w:p>
    <w:p w:rsidR="005435E9" w:rsidRDefault="005435E9">
      <w:pPr>
        <w:pStyle w:val="yIndenti0"/>
        <w:tabs>
          <w:tab w:val="right" w:leader="dot" w:pos="6804"/>
        </w:tabs>
      </w:pPr>
      <w:r>
        <w:tab/>
        <w:t>(iv)</w:t>
      </w:r>
      <w:r>
        <w:tab/>
        <w:t xml:space="preserve">over 6 kg/kL </w:t>
      </w:r>
      <w:r>
        <w:tab/>
        <w:t>14.5 c/kg</w:t>
      </w:r>
    </w:p>
    <w:p w:rsidR="005435E9" w:rsidRDefault="005435E9">
      <w:pPr>
        <w:pStyle w:val="yIndenta"/>
      </w:pPr>
      <w:r>
        <w:rPr>
          <w:szCs w:val="22"/>
        </w:rPr>
        <w:tab/>
        <w:t>(l)</w:t>
      </w:r>
      <w:r>
        <w:rPr>
          <w:szCs w:val="22"/>
        </w:rPr>
        <w:tab/>
        <w:t xml:space="preserve">for chromium </w:t>
      </w:r>
      <w:r>
        <w:t>with</w:t>
      </w:r>
      <w:r>
        <w:rPr>
          <w:szCs w:val="22"/>
        </w:rPr>
        <w:t xml:space="preserve"> a discharge rate of —</w:t>
      </w:r>
    </w:p>
    <w:p w:rsidR="005435E9" w:rsidRDefault="005435E9">
      <w:pPr>
        <w:pStyle w:val="yIndenti0"/>
        <w:tabs>
          <w:tab w:val="right" w:leader="dot" w:pos="6804"/>
        </w:tabs>
      </w:pPr>
      <w:r>
        <w:tab/>
        <w:t>(i)</w:t>
      </w:r>
      <w:r>
        <w:tab/>
        <w:t xml:space="preserve">up to 0.03 kg/day </w:t>
      </w:r>
      <w:r>
        <w:tab/>
        <w:t>1 140.3 c/kg</w:t>
      </w:r>
    </w:p>
    <w:p w:rsidR="005435E9" w:rsidRDefault="005435E9">
      <w:pPr>
        <w:pStyle w:val="yIndenti0"/>
        <w:tabs>
          <w:tab w:val="right" w:leader="dot" w:pos="6804"/>
        </w:tabs>
      </w:pPr>
      <w:r>
        <w:tab/>
        <w:t>(ii)</w:t>
      </w:r>
      <w:r>
        <w:tab/>
        <w:t xml:space="preserve">over 0.03 kg/day but not </w:t>
      </w:r>
      <w:r>
        <w:br/>
        <w:t>over 1 kg/day</w:t>
      </w:r>
      <w:r>
        <w:tab/>
        <w:t>2 274.3 c/kg</w:t>
      </w:r>
    </w:p>
    <w:p w:rsidR="005435E9" w:rsidRDefault="005435E9">
      <w:pPr>
        <w:pStyle w:val="yIndenti0"/>
        <w:tabs>
          <w:tab w:val="right" w:leader="dot" w:pos="6804"/>
        </w:tabs>
      </w:pPr>
      <w:r>
        <w:tab/>
        <w:t>(iii)</w:t>
      </w:r>
      <w:r>
        <w:tab/>
        <w:t xml:space="preserve">over 1 kg/day </w:t>
      </w:r>
      <w:r>
        <w:tab/>
        <w:t>9 112.9 c/kg</w:t>
      </w:r>
    </w:p>
    <w:p w:rsidR="005435E9" w:rsidRDefault="005435E9">
      <w:pPr>
        <w:pStyle w:val="yIndenta"/>
      </w:pPr>
      <w:r>
        <w:rPr>
          <w:szCs w:val="22"/>
        </w:rPr>
        <w:tab/>
        <w:t>(m)</w:t>
      </w:r>
      <w:r>
        <w:rPr>
          <w:szCs w:val="22"/>
        </w:rPr>
        <w:tab/>
        <w:t>for copper with a discharge rate of —</w:t>
      </w:r>
    </w:p>
    <w:p w:rsidR="005435E9" w:rsidRDefault="005435E9">
      <w:pPr>
        <w:pStyle w:val="yIndenti0"/>
        <w:tabs>
          <w:tab w:val="right" w:leader="dot" w:pos="6804"/>
        </w:tabs>
      </w:pPr>
      <w:r>
        <w:tab/>
        <w:t>(i)</w:t>
      </w:r>
      <w:r>
        <w:tab/>
        <w:t xml:space="preserve">up to 0.03 kg/day </w:t>
      </w:r>
      <w:r>
        <w:tab/>
        <w:t>1 140.3 c/kg</w:t>
      </w:r>
    </w:p>
    <w:p w:rsidR="005435E9" w:rsidRDefault="005435E9">
      <w:pPr>
        <w:pStyle w:val="yIndenti0"/>
        <w:tabs>
          <w:tab w:val="right" w:leader="dot" w:pos="6804"/>
        </w:tabs>
      </w:pPr>
      <w:r>
        <w:tab/>
        <w:t>(ii)</w:t>
      </w:r>
      <w:r>
        <w:tab/>
        <w:t xml:space="preserve">over 0.03 kg/day but </w:t>
      </w:r>
      <w:r>
        <w:br/>
        <w:t>not over 0.12 kg/day</w:t>
      </w:r>
      <w:r>
        <w:tab/>
        <w:t>2 274.3 c/kg</w:t>
      </w:r>
    </w:p>
    <w:p w:rsidR="005435E9" w:rsidRDefault="005435E9">
      <w:pPr>
        <w:pStyle w:val="yIndenti0"/>
        <w:tabs>
          <w:tab w:val="right" w:leader="dot" w:pos="6804"/>
        </w:tabs>
      </w:pPr>
      <w:r>
        <w:tab/>
        <w:t>(iii)</w:t>
      </w:r>
      <w:r>
        <w:tab/>
        <w:t xml:space="preserve">over 0.12 kg/day </w:t>
      </w:r>
      <w:r>
        <w:tab/>
        <w:t>9 112.9 c/kg</w:t>
      </w:r>
    </w:p>
    <w:p w:rsidR="005435E9" w:rsidRDefault="005435E9">
      <w:pPr>
        <w:pStyle w:val="yIndenta"/>
      </w:pPr>
      <w:r>
        <w:rPr>
          <w:szCs w:val="22"/>
        </w:rPr>
        <w:tab/>
        <w:t>(n)</w:t>
      </w:r>
      <w:r>
        <w:rPr>
          <w:szCs w:val="22"/>
        </w:rPr>
        <w:tab/>
        <w:t>for lead with a discharge rate of —</w:t>
      </w:r>
    </w:p>
    <w:p w:rsidR="005435E9" w:rsidRDefault="005435E9">
      <w:pPr>
        <w:pStyle w:val="yIndenti0"/>
        <w:tabs>
          <w:tab w:val="right" w:leader="dot" w:pos="6804"/>
        </w:tabs>
      </w:pPr>
      <w:r>
        <w:tab/>
        <w:t>(i)</w:t>
      </w:r>
      <w:r>
        <w:tab/>
        <w:t xml:space="preserve">up to 0.03 kg/day </w:t>
      </w:r>
      <w:r>
        <w:tab/>
        <w:t>1 140.3 c/kg</w:t>
      </w:r>
    </w:p>
    <w:p w:rsidR="005435E9" w:rsidRDefault="005435E9">
      <w:pPr>
        <w:pStyle w:val="yIndenti0"/>
        <w:tabs>
          <w:tab w:val="right" w:leader="dot" w:pos="6804"/>
        </w:tabs>
      </w:pPr>
      <w:r>
        <w:tab/>
        <w:t>(ii)</w:t>
      </w:r>
      <w:r>
        <w:tab/>
        <w:t xml:space="preserve">over 0.03 kg/day but </w:t>
      </w:r>
      <w:r>
        <w:br/>
        <w:t xml:space="preserve">not over 0.3 kg/day </w:t>
      </w:r>
      <w:r>
        <w:tab/>
        <w:t>2 274.3 c/kg</w:t>
      </w:r>
    </w:p>
    <w:p w:rsidR="005435E9" w:rsidRDefault="005435E9">
      <w:pPr>
        <w:pStyle w:val="yIndenti0"/>
        <w:tabs>
          <w:tab w:val="right" w:leader="dot" w:pos="6804"/>
        </w:tabs>
      </w:pPr>
      <w:r>
        <w:tab/>
        <w:t>(iii)</w:t>
      </w:r>
      <w:r>
        <w:tab/>
        <w:t xml:space="preserve">over 0.3 kg/day </w:t>
      </w:r>
      <w:r>
        <w:tab/>
        <w:t>9 112.9 c/kg</w:t>
      </w:r>
    </w:p>
    <w:p w:rsidR="005435E9" w:rsidRDefault="005435E9">
      <w:pPr>
        <w:pStyle w:val="yIndenta"/>
      </w:pPr>
      <w:r>
        <w:tab/>
        <w:t>(o)</w:t>
      </w:r>
      <w:r>
        <w:tab/>
        <w:t>for nickel with a discharge rate of —</w:t>
      </w:r>
    </w:p>
    <w:p w:rsidR="005435E9" w:rsidRDefault="005435E9">
      <w:pPr>
        <w:pStyle w:val="yIndenti0"/>
        <w:tabs>
          <w:tab w:val="right" w:leader="dot" w:pos="6804"/>
        </w:tabs>
      </w:pPr>
      <w:r>
        <w:tab/>
        <w:t>(i)</w:t>
      </w:r>
      <w:r>
        <w:tab/>
        <w:t xml:space="preserve">up to 0.006 kg/day </w:t>
      </w:r>
      <w:r>
        <w:tab/>
        <w:t>1 140.3 c/kg</w:t>
      </w:r>
    </w:p>
    <w:p w:rsidR="005435E9" w:rsidRDefault="005435E9">
      <w:pPr>
        <w:pStyle w:val="yIndenti0"/>
        <w:tabs>
          <w:tab w:val="right" w:leader="dot" w:pos="6804"/>
        </w:tabs>
      </w:pPr>
      <w:r>
        <w:tab/>
        <w:t>(ii)</w:t>
      </w:r>
      <w:r>
        <w:tab/>
        <w:t xml:space="preserve">over 0.006 kg/day but </w:t>
      </w:r>
      <w:r>
        <w:br/>
        <w:t xml:space="preserve">not over 0.15 kg/day </w:t>
      </w:r>
      <w:r>
        <w:tab/>
        <w:t>2 274.3 c/kg</w:t>
      </w:r>
    </w:p>
    <w:p w:rsidR="005435E9" w:rsidRDefault="005435E9">
      <w:pPr>
        <w:pStyle w:val="yIndenti0"/>
        <w:tabs>
          <w:tab w:val="right" w:leader="dot" w:pos="6804"/>
        </w:tabs>
      </w:pPr>
      <w:r>
        <w:tab/>
        <w:t>(iii)</w:t>
      </w:r>
      <w:r>
        <w:tab/>
        <w:t xml:space="preserve">over 0.15 kg/day </w:t>
      </w:r>
      <w:r>
        <w:tab/>
        <w:t>9 112.9 c/kg</w:t>
      </w:r>
    </w:p>
    <w:p w:rsidR="005435E9" w:rsidRDefault="005435E9">
      <w:pPr>
        <w:pStyle w:val="yIndenta"/>
      </w:pPr>
      <w:r>
        <w:tab/>
        <w:t>(p)</w:t>
      </w:r>
      <w:r>
        <w:tab/>
        <w:t>for zinc with a discharge rate of —</w:t>
      </w:r>
    </w:p>
    <w:p w:rsidR="005435E9" w:rsidRDefault="005435E9">
      <w:pPr>
        <w:pStyle w:val="yIndenti0"/>
        <w:tabs>
          <w:tab w:val="right" w:leader="dot" w:pos="6804"/>
        </w:tabs>
      </w:pPr>
      <w:r>
        <w:tab/>
        <w:t>(i)</w:t>
      </w:r>
      <w:r>
        <w:tab/>
        <w:t xml:space="preserve">up to 0.05 kg/day </w:t>
      </w:r>
      <w:r>
        <w:tab/>
        <w:t>1 140.3 c/kg</w:t>
      </w:r>
    </w:p>
    <w:p w:rsidR="005435E9" w:rsidRDefault="005435E9">
      <w:pPr>
        <w:pStyle w:val="yIndenti0"/>
        <w:tabs>
          <w:tab w:val="right" w:leader="dot" w:pos="6804"/>
        </w:tabs>
      </w:pPr>
      <w:r>
        <w:lastRenderedPageBreak/>
        <w:tab/>
        <w:t>(ii)</w:t>
      </w:r>
      <w:r>
        <w:tab/>
        <w:t>over 0.05 kg/day but</w:t>
      </w:r>
      <w:r>
        <w:br/>
        <w:t xml:space="preserve"> not over 0.5 kg/day </w:t>
      </w:r>
      <w:r>
        <w:tab/>
        <w:t>2 274.3 c/kg</w:t>
      </w:r>
    </w:p>
    <w:p w:rsidR="005435E9" w:rsidRDefault="005435E9">
      <w:pPr>
        <w:pStyle w:val="yIndenti0"/>
        <w:tabs>
          <w:tab w:val="right" w:leader="dot" w:pos="6804"/>
        </w:tabs>
      </w:pPr>
      <w:r>
        <w:tab/>
        <w:t>(iii)</w:t>
      </w:r>
      <w:r>
        <w:tab/>
        <w:t xml:space="preserve">over 0.5 kg/day </w:t>
      </w:r>
      <w:r>
        <w:tab/>
        <w:t>9 112.9 c/kg</w:t>
      </w:r>
    </w:p>
    <w:p w:rsidR="005435E9" w:rsidRDefault="005435E9">
      <w:pPr>
        <w:pStyle w:val="yIndenta"/>
      </w:pPr>
      <w:r>
        <w:tab/>
        <w:t>(q)</w:t>
      </w:r>
      <w:r>
        <w:tab/>
        <w:t>for arsenic with a discharge rate of —</w:t>
      </w:r>
    </w:p>
    <w:p w:rsidR="005435E9" w:rsidRDefault="005435E9">
      <w:pPr>
        <w:pStyle w:val="yIndenti0"/>
        <w:tabs>
          <w:tab w:val="right" w:leader="dot" w:pos="6804"/>
        </w:tabs>
      </w:pPr>
      <w:r>
        <w:tab/>
        <w:t>(i)</w:t>
      </w:r>
      <w:r>
        <w:tab/>
        <w:t xml:space="preserve">up to 0.001 kg/day </w:t>
      </w:r>
      <w:r>
        <w:tab/>
        <w:t>1 140.3 c/kg</w:t>
      </w:r>
    </w:p>
    <w:p w:rsidR="005435E9" w:rsidRDefault="005435E9">
      <w:pPr>
        <w:pStyle w:val="yIndenti0"/>
        <w:tabs>
          <w:tab w:val="right" w:leader="dot" w:pos="6804"/>
        </w:tabs>
      </w:pPr>
      <w:r>
        <w:tab/>
        <w:t>(ii)</w:t>
      </w:r>
      <w:r>
        <w:tab/>
        <w:t xml:space="preserve">over 0.001 kg/day but </w:t>
      </w:r>
      <w:r>
        <w:br/>
        <w:t xml:space="preserve">not over 0.04 kg/day </w:t>
      </w:r>
      <w:r>
        <w:tab/>
        <w:t>11 388.2 c/kg</w:t>
      </w:r>
    </w:p>
    <w:p w:rsidR="005435E9" w:rsidRDefault="005435E9">
      <w:pPr>
        <w:pStyle w:val="yIndenti0"/>
        <w:tabs>
          <w:tab w:val="right" w:leader="dot" w:pos="6804"/>
        </w:tabs>
      </w:pPr>
      <w:r>
        <w:tab/>
        <w:t>(iii)</w:t>
      </w:r>
      <w:r>
        <w:tab/>
        <w:t xml:space="preserve">over 0.04 kg/day </w:t>
      </w:r>
      <w:r>
        <w:tab/>
        <w:t>113 880.1 c/kg</w:t>
      </w:r>
    </w:p>
    <w:p w:rsidR="005435E9" w:rsidRDefault="005435E9">
      <w:pPr>
        <w:pStyle w:val="yIndenta"/>
      </w:pPr>
      <w:r>
        <w:tab/>
        <w:t>(r)</w:t>
      </w:r>
      <w:r>
        <w:tab/>
        <w:t>for cadmium with a discharge rate of —</w:t>
      </w:r>
    </w:p>
    <w:p w:rsidR="005435E9" w:rsidRDefault="005435E9">
      <w:pPr>
        <w:pStyle w:val="yIndenti0"/>
        <w:tabs>
          <w:tab w:val="right" w:leader="dot" w:pos="6804"/>
        </w:tabs>
      </w:pPr>
      <w:r>
        <w:tab/>
        <w:t>(i)</w:t>
      </w:r>
      <w:r>
        <w:tab/>
        <w:t xml:space="preserve">up to 0.001 kg/day </w:t>
      </w:r>
      <w:r>
        <w:tab/>
        <w:t>1 140.3 c/kg</w:t>
      </w:r>
    </w:p>
    <w:p w:rsidR="005435E9" w:rsidRDefault="005435E9">
      <w:pPr>
        <w:pStyle w:val="yIndenti0"/>
        <w:tabs>
          <w:tab w:val="right" w:leader="dot" w:pos="6804"/>
        </w:tabs>
      </w:pPr>
      <w:r>
        <w:tab/>
        <w:t>(ii)</w:t>
      </w:r>
      <w:r>
        <w:tab/>
        <w:t xml:space="preserve">over 0.001 kg/day but </w:t>
      </w:r>
      <w:r>
        <w:br/>
        <w:t xml:space="preserve">not over 0.015 kg/day </w:t>
      </w:r>
      <w:r>
        <w:tab/>
        <w:t>11 388.2 c/kg</w:t>
      </w:r>
    </w:p>
    <w:p w:rsidR="005435E9" w:rsidRDefault="005435E9">
      <w:pPr>
        <w:pStyle w:val="yIndenti0"/>
        <w:tabs>
          <w:tab w:val="right" w:leader="dot" w:pos="6804"/>
        </w:tabs>
      </w:pPr>
      <w:r>
        <w:tab/>
        <w:t>(iii)</w:t>
      </w:r>
      <w:r>
        <w:tab/>
        <w:t xml:space="preserve">over 0.015 kg/day </w:t>
      </w:r>
      <w:r>
        <w:tab/>
        <w:t>113 880.1 c/kg</w:t>
      </w:r>
    </w:p>
    <w:p w:rsidR="005435E9" w:rsidRDefault="005435E9">
      <w:pPr>
        <w:pStyle w:val="yIndenta"/>
      </w:pPr>
      <w:r>
        <w:tab/>
        <w:t>(s)</w:t>
      </w:r>
      <w:r>
        <w:tab/>
        <w:t>for molybdenum or selenium with a discharge rate of —</w:t>
      </w:r>
    </w:p>
    <w:p w:rsidR="005435E9" w:rsidRDefault="005435E9">
      <w:pPr>
        <w:pStyle w:val="yIndenti0"/>
        <w:tabs>
          <w:tab w:val="right" w:leader="dot" w:pos="6804"/>
        </w:tabs>
      </w:pPr>
      <w:r>
        <w:tab/>
        <w:t>(i)</w:t>
      </w:r>
      <w:r>
        <w:tab/>
        <w:t xml:space="preserve">up to 0.001 kg/day </w:t>
      </w:r>
      <w:r>
        <w:tab/>
        <w:t>1 140.3 c/kg</w:t>
      </w:r>
    </w:p>
    <w:p w:rsidR="005435E9" w:rsidRDefault="005435E9">
      <w:pPr>
        <w:pStyle w:val="yIndenti0"/>
        <w:tabs>
          <w:tab w:val="right" w:leader="dot" w:pos="6804"/>
        </w:tabs>
      </w:pPr>
      <w:r>
        <w:tab/>
        <w:t>(ii)</w:t>
      </w:r>
      <w:r>
        <w:tab/>
        <w:t xml:space="preserve">over 0.001 kg/day but </w:t>
      </w:r>
      <w:r>
        <w:br/>
        <w:t xml:space="preserve">not over 0.02 kg/day </w:t>
      </w:r>
      <w:r>
        <w:tab/>
        <w:t>11 388.2 c/kg</w:t>
      </w:r>
    </w:p>
    <w:p w:rsidR="005435E9" w:rsidRDefault="005435E9">
      <w:pPr>
        <w:pStyle w:val="yIndenti0"/>
        <w:tabs>
          <w:tab w:val="right" w:leader="dot" w:pos="6804"/>
        </w:tabs>
      </w:pPr>
      <w:r>
        <w:tab/>
        <w:t>(iii)</w:t>
      </w:r>
      <w:r>
        <w:tab/>
        <w:t xml:space="preserve">over 0.02 kg/day </w:t>
      </w:r>
      <w:r>
        <w:tab/>
        <w:t>113 880.1 c/kg</w:t>
      </w:r>
    </w:p>
    <w:p w:rsidR="005435E9" w:rsidRDefault="005435E9">
      <w:pPr>
        <w:pStyle w:val="yIndenta"/>
      </w:pPr>
      <w:r>
        <w:tab/>
        <w:t>(t)</w:t>
      </w:r>
      <w:r>
        <w:tab/>
        <w:t>for silver with a discharge rate of —</w:t>
      </w:r>
    </w:p>
    <w:p w:rsidR="005435E9" w:rsidRDefault="005435E9">
      <w:pPr>
        <w:pStyle w:val="yIndenti0"/>
        <w:tabs>
          <w:tab w:val="right" w:leader="dot" w:pos="6804"/>
        </w:tabs>
      </w:pPr>
      <w:r>
        <w:tab/>
        <w:t>(i)</w:t>
      </w:r>
      <w:r>
        <w:tab/>
        <w:t xml:space="preserve">up to 0.002 kg/day </w:t>
      </w:r>
      <w:r>
        <w:tab/>
        <w:t>1 140.3 c/kg</w:t>
      </w:r>
    </w:p>
    <w:p w:rsidR="005435E9" w:rsidRDefault="005435E9">
      <w:pPr>
        <w:pStyle w:val="yIndenti0"/>
        <w:tabs>
          <w:tab w:val="right" w:leader="dot" w:pos="6804"/>
        </w:tabs>
      </w:pPr>
      <w:r>
        <w:tab/>
        <w:t>(ii)</w:t>
      </w:r>
      <w:r>
        <w:tab/>
        <w:t xml:space="preserve">over 0.002 kg/day but </w:t>
      </w:r>
      <w:r>
        <w:br/>
        <w:t xml:space="preserve">not over 0.01 kg/day </w:t>
      </w:r>
      <w:r>
        <w:tab/>
        <w:t>11 388.2 c/kg</w:t>
      </w:r>
    </w:p>
    <w:p w:rsidR="005435E9" w:rsidRDefault="005435E9">
      <w:pPr>
        <w:pStyle w:val="yIndenti0"/>
        <w:tabs>
          <w:tab w:val="right" w:leader="dot" w:pos="6804"/>
        </w:tabs>
      </w:pPr>
      <w:r>
        <w:tab/>
        <w:t>(iii)</w:t>
      </w:r>
      <w:r>
        <w:tab/>
        <w:t xml:space="preserve">over 0.01 kg/day </w:t>
      </w:r>
      <w:r>
        <w:tab/>
        <w:t>113 880.1 c/kg</w:t>
      </w:r>
    </w:p>
    <w:p w:rsidR="005435E9" w:rsidRDefault="005435E9">
      <w:pPr>
        <w:pStyle w:val="yIndenta"/>
      </w:pPr>
      <w:r>
        <w:tab/>
        <w:t>(u)</w:t>
      </w:r>
      <w:r>
        <w:tab/>
        <w:t>for mercury with a discharge rate of —</w:t>
      </w:r>
    </w:p>
    <w:p w:rsidR="005435E9" w:rsidRDefault="005435E9">
      <w:pPr>
        <w:pStyle w:val="yIndenti0"/>
        <w:tabs>
          <w:tab w:val="right" w:leader="dot" w:pos="6804"/>
        </w:tabs>
      </w:pPr>
      <w:r>
        <w:tab/>
        <w:t>(i)</w:t>
      </w:r>
      <w:r>
        <w:tab/>
        <w:t xml:space="preserve">up to 0.0001 kg/day </w:t>
      </w:r>
      <w:r>
        <w:tab/>
        <w:t>1 140.3 c/kg</w:t>
      </w:r>
    </w:p>
    <w:p w:rsidR="005435E9" w:rsidRDefault="005435E9">
      <w:pPr>
        <w:pStyle w:val="yIndenti0"/>
        <w:tabs>
          <w:tab w:val="right" w:leader="dot" w:pos="6804"/>
        </w:tabs>
      </w:pPr>
      <w:r>
        <w:tab/>
        <w:t>(ii)</w:t>
      </w:r>
      <w:r>
        <w:tab/>
        <w:t xml:space="preserve">over 0.0001 kg/day but </w:t>
      </w:r>
      <w:r>
        <w:br/>
        <w:t xml:space="preserve">not over 0.001 kg/day </w:t>
      </w:r>
      <w:r>
        <w:tab/>
        <w:t>113 880.1 c/kg</w:t>
      </w:r>
    </w:p>
    <w:p w:rsidR="005435E9" w:rsidRDefault="005435E9">
      <w:pPr>
        <w:pStyle w:val="yIndenti0"/>
        <w:tabs>
          <w:tab w:val="right" w:leader="dot" w:pos="6804"/>
        </w:tabs>
      </w:pPr>
      <w:r>
        <w:tab/>
        <w:t>(iii)</w:t>
      </w:r>
      <w:r>
        <w:tab/>
        <w:t xml:space="preserve">over 0.001 kg/day </w:t>
      </w:r>
      <w:r>
        <w:tab/>
        <w:t>854 133.0 c/kg</w:t>
      </w:r>
    </w:p>
    <w:p w:rsidR="005435E9" w:rsidRDefault="005435E9">
      <w:pPr>
        <w:pStyle w:val="yHeading5"/>
      </w:pPr>
      <w:bookmarkStart w:id="323" w:name="_Toc75519787"/>
      <w:r>
        <w:rPr>
          <w:rStyle w:val="CharSClsNo"/>
        </w:rPr>
        <w:t>31</w:t>
      </w:r>
      <w:r>
        <w:t>.</w:t>
      </w:r>
      <w:r>
        <w:tab/>
        <w:t>Effluent discharged from septic tank effluent pumping system into sewer</w:t>
      </w:r>
      <w:bookmarkEnd w:id="323"/>
    </w:p>
    <w:p w:rsidR="005435E9" w:rsidRDefault="005435E9">
      <w:pPr>
        <w:pStyle w:val="ySubsection"/>
        <w:tabs>
          <w:tab w:val="right" w:leader="dot" w:pos="6804"/>
        </w:tabs>
      </w:pPr>
      <w:r>
        <w:tab/>
      </w:r>
      <w:r>
        <w:tab/>
        <w:t xml:space="preserve">For effluent discharged from a </w:t>
      </w:r>
      <w:r>
        <w:br/>
        <w:t xml:space="preserve">septic tank effluent pumping system </w:t>
      </w:r>
      <w:r>
        <w:br/>
      </w:r>
      <w:r>
        <w:lastRenderedPageBreak/>
        <w:t xml:space="preserve">into a sewer of the Water Corporation, </w:t>
      </w:r>
      <w:r>
        <w:br/>
        <w:t xml:space="preserve">the charge is </w:t>
      </w:r>
      <w:r>
        <w:tab/>
        <w:t>172.7 cents/kL</w:t>
      </w:r>
    </w:p>
    <w:p w:rsidR="005435E9" w:rsidRDefault="005435E9">
      <w:pPr>
        <w:pStyle w:val="yFootnotesection"/>
      </w:pPr>
      <w:r>
        <w:tab/>
        <w:t>[Division 3 inserted: SL 2020/95 r. 9.]</w:t>
      </w:r>
    </w:p>
    <w:p w:rsidR="005435E9" w:rsidRDefault="005435E9">
      <w:pPr>
        <w:pStyle w:val="yScheduleHeading"/>
      </w:pPr>
      <w:bookmarkStart w:id="324" w:name="_Toc75266339"/>
      <w:bookmarkStart w:id="325" w:name="_Toc75269620"/>
      <w:bookmarkStart w:id="326" w:name="_Toc75351119"/>
      <w:bookmarkStart w:id="327" w:name="_Toc75519788"/>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324"/>
      <w:bookmarkEnd w:id="325"/>
      <w:bookmarkEnd w:id="326"/>
      <w:bookmarkEnd w:id="327"/>
    </w:p>
    <w:p w:rsidR="005435E9" w:rsidRDefault="005435E9">
      <w:pPr>
        <w:pStyle w:val="yShoulderClause"/>
      </w:pPr>
      <w:r>
        <w:t>[r. 47]</w:t>
      </w:r>
    </w:p>
    <w:p w:rsidR="005435E9" w:rsidRDefault="005435E9">
      <w:pPr>
        <w:pStyle w:val="yFootnoteheading"/>
      </w:pPr>
      <w:r>
        <w:tab/>
        <w:t>[Heading inserted: SL 2020/95 r. 9.]</w:t>
      </w:r>
    </w:p>
    <w:p w:rsidR="005435E9" w:rsidRDefault="005435E9">
      <w:pPr>
        <w:pStyle w:val="yHeading5"/>
      </w:pPr>
      <w:bookmarkStart w:id="328" w:name="_Toc75519789"/>
      <w:r>
        <w:rPr>
          <w:rStyle w:val="CharSClsNo"/>
        </w:rPr>
        <w:t>1</w:t>
      </w:r>
      <w:r>
        <w:t>.</w:t>
      </w:r>
      <w:r>
        <w:tab/>
        <w:t>Drainage charges for 2020/21 year and subsequent years</w:t>
      </w:r>
      <w:bookmarkEnd w:id="328"/>
    </w:p>
    <w:p w:rsidR="005435E9" w:rsidRDefault="005435E9">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rsidR="005435E9" w:rsidRDefault="005435E9">
      <w:pPr>
        <w:pStyle w:val="yHeading5"/>
      </w:pPr>
      <w:bookmarkStart w:id="329" w:name="_Toc75519790"/>
      <w:r>
        <w:rPr>
          <w:rStyle w:val="CharSClsNo"/>
        </w:rPr>
        <w:t>2</w:t>
      </w:r>
      <w:r>
        <w:t>.</w:t>
      </w:r>
      <w:r>
        <w:tab/>
        <w:t>Strata</w:t>
      </w:r>
      <w:r>
        <w:noBreakHyphen/>
        <w:t>titled caravan bays</w:t>
      </w:r>
      <w:bookmarkEnd w:id="329"/>
    </w:p>
    <w:p w:rsidR="005435E9" w:rsidRDefault="005435E9">
      <w:pPr>
        <w:pStyle w:val="ySubsection"/>
        <w:tabs>
          <w:tab w:val="right" w:leader="dot" w:pos="6804"/>
        </w:tabs>
      </w:pPr>
      <w:r>
        <w:tab/>
      </w:r>
      <w:r>
        <w:tab/>
        <w:t>For a strata</w:t>
      </w:r>
      <w:r>
        <w:noBreakHyphen/>
        <w:t xml:space="preserve">titled caravan bay or a park home, </w:t>
      </w:r>
      <w:r>
        <w:br/>
        <w:t xml:space="preserve">the charge is </w:t>
      </w:r>
      <w:r>
        <w:tab/>
        <w:t>$37.43</w:t>
      </w:r>
    </w:p>
    <w:p w:rsidR="005435E9" w:rsidRDefault="005435E9">
      <w:pPr>
        <w:pStyle w:val="yHeading5"/>
      </w:pPr>
      <w:bookmarkStart w:id="330" w:name="_Toc75519791"/>
      <w:r>
        <w:rPr>
          <w:rStyle w:val="CharSClsNo"/>
        </w:rPr>
        <w:t>3</w:t>
      </w:r>
      <w:r>
        <w:t>.</w:t>
      </w:r>
      <w:r>
        <w:tab/>
      </w:r>
      <w:r w:rsidR="00241656">
        <w:t>Storage units or parking bays in strata titles scheme or community titles scheme</w:t>
      </w:r>
      <w:bookmarkEnd w:id="330"/>
    </w:p>
    <w:p w:rsidR="005435E9" w:rsidRDefault="005435E9">
      <w:pPr>
        <w:pStyle w:val="ySubsection"/>
        <w:tabs>
          <w:tab w:val="right" w:leader="dot" w:pos="6804"/>
        </w:tabs>
      </w:pPr>
      <w:r>
        <w:tab/>
      </w:r>
      <w:r>
        <w:tab/>
        <w:t xml:space="preserve">For a lot that is used for storage purposes or as a </w:t>
      </w:r>
      <w:r>
        <w:br/>
        <w:t xml:space="preserve">parking bay, </w:t>
      </w:r>
      <w:r w:rsidR="00D727DC">
        <w:t xml:space="preserve">in a strata titles scheme or a community titles scheme, </w:t>
      </w:r>
      <w:r>
        <w:t xml:space="preserve">the charge is </w:t>
      </w:r>
      <w:r>
        <w:tab/>
        <w:t xml:space="preserve"> $14.30</w:t>
      </w:r>
    </w:p>
    <w:p w:rsidR="005435E9" w:rsidRDefault="005435E9">
      <w:pPr>
        <w:pStyle w:val="yHeading5"/>
      </w:pPr>
      <w:bookmarkStart w:id="331" w:name="_Toc75519792"/>
      <w:r>
        <w:rPr>
          <w:rStyle w:val="CharSClsNo"/>
        </w:rPr>
        <w:t>4</w:t>
      </w:r>
      <w:r>
        <w:t>.</w:t>
      </w:r>
      <w:r>
        <w:tab/>
        <w:t>Residential or semi</w:t>
      </w:r>
      <w:r>
        <w:noBreakHyphen/>
        <w:t>rural residential</w:t>
      </w:r>
      <w:bookmarkEnd w:id="331"/>
    </w:p>
    <w:p w:rsidR="005435E9" w:rsidRDefault="005435E9">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rsidR="005435E9" w:rsidRDefault="005435E9">
      <w:pPr>
        <w:pStyle w:val="yMiscellaneousBody"/>
        <w:tabs>
          <w:tab w:val="left" w:pos="1701"/>
          <w:tab w:val="right" w:leader="dot" w:pos="6804"/>
        </w:tabs>
        <w:spacing w:before="0"/>
        <w:ind w:left="1701" w:right="283" w:hanging="1134"/>
        <w:jc w:val="right"/>
      </w:pPr>
      <w:r>
        <w:t>of GRV</w:t>
      </w:r>
    </w:p>
    <w:p w:rsidR="005435E9" w:rsidRDefault="005435E9">
      <w:pPr>
        <w:pStyle w:val="ySubsection"/>
        <w:tabs>
          <w:tab w:val="right" w:leader="dot" w:pos="6804"/>
        </w:tabs>
      </w:pPr>
      <w:r>
        <w:tab/>
        <w:t>(2)</w:t>
      </w:r>
      <w:r>
        <w:tab/>
        <w:t xml:space="preserve">The minimum charge under this item is </w:t>
      </w:r>
      <w:r>
        <w:tab/>
        <w:t xml:space="preserve"> </w:t>
      </w:r>
      <w:r>
        <w:rPr>
          <w:szCs w:val="22"/>
        </w:rPr>
        <w:t>$123.79</w:t>
      </w:r>
    </w:p>
    <w:p w:rsidR="005435E9" w:rsidRDefault="005435E9">
      <w:pPr>
        <w:pStyle w:val="yHeading5"/>
      </w:pPr>
      <w:bookmarkStart w:id="332" w:name="_Toc75519793"/>
      <w:r>
        <w:rPr>
          <w:rStyle w:val="CharSClsNo"/>
        </w:rPr>
        <w:t>5</w:t>
      </w:r>
      <w:r>
        <w:t>.</w:t>
      </w:r>
      <w:r>
        <w:tab/>
        <w:t>Vacant land</w:t>
      </w:r>
      <w:bookmarkEnd w:id="332"/>
    </w:p>
    <w:p w:rsidR="005435E9" w:rsidRDefault="005435E9">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rsidR="005435E9" w:rsidRDefault="005435E9">
      <w:pPr>
        <w:pStyle w:val="yMiscellaneousBody"/>
        <w:tabs>
          <w:tab w:val="left" w:pos="1701"/>
          <w:tab w:val="right" w:leader="dot" w:pos="6804"/>
        </w:tabs>
        <w:spacing w:before="0"/>
        <w:ind w:left="1701" w:right="283" w:hanging="1134"/>
        <w:jc w:val="right"/>
      </w:pPr>
      <w:r>
        <w:t>of GRV</w:t>
      </w:r>
    </w:p>
    <w:p w:rsidR="005435E9" w:rsidRDefault="005435E9">
      <w:pPr>
        <w:pStyle w:val="ySubsection"/>
        <w:tabs>
          <w:tab w:val="right" w:leader="dot" w:pos="6804"/>
        </w:tabs>
      </w:pPr>
      <w:r>
        <w:tab/>
        <w:t>(2)</w:t>
      </w:r>
      <w:r>
        <w:tab/>
        <w:t xml:space="preserve">The minimum charge under this item is </w:t>
      </w:r>
      <w:r>
        <w:tab/>
        <w:t xml:space="preserve"> </w:t>
      </w:r>
      <w:r>
        <w:rPr>
          <w:szCs w:val="22"/>
        </w:rPr>
        <w:t>$123.79</w:t>
      </w:r>
    </w:p>
    <w:p w:rsidR="005435E9" w:rsidRDefault="005435E9">
      <w:pPr>
        <w:pStyle w:val="yHeading5"/>
      </w:pPr>
      <w:bookmarkStart w:id="333" w:name="_Toc75519794"/>
      <w:r>
        <w:rPr>
          <w:rStyle w:val="CharSClsNo"/>
        </w:rPr>
        <w:lastRenderedPageBreak/>
        <w:t>6</w:t>
      </w:r>
      <w:r>
        <w:t>.</w:t>
      </w:r>
      <w:r>
        <w:tab/>
      </w:r>
      <w:r w:rsidR="00345E83">
        <w:t>Non</w:t>
      </w:r>
      <w:r w:rsidR="00345E83">
        <w:noBreakHyphen/>
        <w:t>residential (except strata</w:t>
      </w:r>
      <w:r w:rsidR="00345E83">
        <w:noBreakHyphen/>
        <w:t>titled caravan bays and storage units or parking bays in strata titles scheme or community titles scheme)</w:t>
      </w:r>
      <w:bookmarkEnd w:id="333"/>
    </w:p>
    <w:p w:rsidR="005435E9" w:rsidRDefault="005435E9">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rsidR="005435E9" w:rsidRDefault="005435E9">
      <w:pPr>
        <w:pStyle w:val="yMiscellaneousBody"/>
        <w:tabs>
          <w:tab w:val="left" w:pos="1701"/>
          <w:tab w:val="right" w:leader="dot" w:pos="6804"/>
        </w:tabs>
        <w:spacing w:before="0"/>
        <w:ind w:left="1701" w:right="283" w:hanging="1134"/>
        <w:jc w:val="right"/>
      </w:pPr>
      <w:r>
        <w:t>of GRV</w:t>
      </w:r>
    </w:p>
    <w:p w:rsidR="005435E9" w:rsidRDefault="005435E9">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rsidR="005435E9" w:rsidRDefault="005435E9">
      <w:pPr>
        <w:pStyle w:val="yFootnotesection"/>
      </w:pPr>
      <w:r>
        <w:tab/>
        <w:t>[Schedule 5 inserted: SL 2020/95 r. 9</w:t>
      </w:r>
      <w:r w:rsidR="00E919A0">
        <w:t>; amended: SL 2021/79 r. 13</w:t>
      </w:r>
      <w:r>
        <w:t>.]</w:t>
      </w:r>
    </w:p>
    <w:p w:rsidR="005435E9" w:rsidRDefault="005435E9">
      <w:pPr>
        <w:pStyle w:val="yScheduleHeading"/>
      </w:pPr>
      <w:bookmarkStart w:id="334" w:name="_Toc75266346"/>
      <w:bookmarkStart w:id="335" w:name="_Toc75269627"/>
      <w:bookmarkStart w:id="336" w:name="_Toc75351126"/>
      <w:bookmarkStart w:id="337" w:name="_Toc75519795"/>
      <w:r>
        <w:rPr>
          <w:rStyle w:val="CharSchNo"/>
        </w:rPr>
        <w:lastRenderedPageBreak/>
        <w:t>Schedule 6</w:t>
      </w:r>
      <w:r>
        <w:t> — </w:t>
      </w:r>
      <w:r>
        <w:rPr>
          <w:rStyle w:val="CharSchText"/>
        </w:rPr>
        <w:t>Irrigation charges for the Water Corporation (Ord Irrigation District)</w:t>
      </w:r>
      <w:bookmarkEnd w:id="334"/>
      <w:bookmarkEnd w:id="335"/>
      <w:bookmarkEnd w:id="336"/>
      <w:bookmarkEnd w:id="337"/>
    </w:p>
    <w:p w:rsidR="005435E9" w:rsidRDefault="005435E9">
      <w:pPr>
        <w:pStyle w:val="yShoulderClause"/>
      </w:pPr>
      <w:r>
        <w:t>[r. 50]</w:t>
      </w:r>
    </w:p>
    <w:p w:rsidR="005435E9" w:rsidRDefault="005435E9">
      <w:pPr>
        <w:pStyle w:val="yFootnoteheading"/>
      </w:pPr>
      <w:r>
        <w:tab/>
        <w:t>[Heading inserted: SL 2020/95 r. 9.]</w:t>
      </w:r>
    </w:p>
    <w:p w:rsidR="005435E9" w:rsidRDefault="005435E9">
      <w:pPr>
        <w:pStyle w:val="yHeading5"/>
      </w:pPr>
      <w:bookmarkStart w:id="338" w:name="_Toc75519796"/>
      <w:r>
        <w:rPr>
          <w:rStyle w:val="CharSClsNo"/>
        </w:rPr>
        <w:t>1</w:t>
      </w:r>
      <w:r>
        <w:t>.</w:t>
      </w:r>
      <w:r>
        <w:tab/>
        <w:t>Irrigation charges for 2020/21 year and subsequent years</w:t>
      </w:r>
      <w:bookmarkEnd w:id="338"/>
    </w:p>
    <w:p w:rsidR="005435E9" w:rsidRDefault="005435E9">
      <w:pPr>
        <w:pStyle w:val="ySubsection"/>
      </w:pPr>
      <w:r>
        <w:tab/>
      </w:r>
      <w:r>
        <w:tab/>
        <w:t xml:space="preserve">The charges set out in this Schedule apply for irrigation services provided in the </w:t>
      </w:r>
      <w:r>
        <w:rPr>
          <w:szCs w:val="22"/>
        </w:rPr>
        <w:t>2020/21</w:t>
      </w:r>
      <w:r>
        <w:t> financial year and each subsequent year.</w:t>
      </w:r>
    </w:p>
    <w:p w:rsidR="005435E9" w:rsidRDefault="005435E9">
      <w:pPr>
        <w:pStyle w:val="yHeading5"/>
      </w:pPr>
      <w:bookmarkStart w:id="339" w:name="_Toc75519797"/>
      <w:r>
        <w:rPr>
          <w:rStyle w:val="CharSClsNo"/>
        </w:rPr>
        <w:t>2</w:t>
      </w:r>
      <w:r>
        <w:t>.</w:t>
      </w:r>
      <w:r>
        <w:tab/>
        <w:t>Water supplied for irrigation</w:t>
      </w:r>
      <w:bookmarkEnd w:id="339"/>
    </w:p>
    <w:p w:rsidR="005435E9" w:rsidRDefault="005435E9">
      <w:pPr>
        <w:pStyle w:val="ySubsection"/>
      </w:pPr>
      <w:r>
        <w:tab/>
      </w:r>
      <w:r>
        <w:tab/>
        <w:t>For land to which water is supplied from irrigation works of the Water Corporation in the Ord Irrigation District for the purpose of irrigation, the charge, per hectare of land supplied, is —</w:t>
      </w:r>
    </w:p>
    <w:p w:rsidR="005435E9" w:rsidRDefault="005435E9">
      <w:pPr>
        <w:pStyle w:val="yIndenta"/>
        <w:tabs>
          <w:tab w:val="right" w:leader="dot" w:pos="6804"/>
        </w:tabs>
      </w:pPr>
      <w:r>
        <w:tab/>
        <w:t>(a)</w:t>
      </w:r>
      <w:r>
        <w:tab/>
        <w:t xml:space="preserve">if the supply is assured </w:t>
      </w:r>
      <w:r>
        <w:tab/>
        <w:t xml:space="preserve"> $158.02</w:t>
      </w:r>
    </w:p>
    <w:p w:rsidR="005435E9" w:rsidRDefault="005435E9">
      <w:pPr>
        <w:pStyle w:val="yIndenta"/>
        <w:tabs>
          <w:tab w:val="right" w:leader="dot" w:pos="6804"/>
        </w:tabs>
      </w:pPr>
      <w:r>
        <w:tab/>
        <w:t>(b)</w:t>
      </w:r>
      <w:r>
        <w:tab/>
        <w:t xml:space="preserve">if the supply is not assured </w:t>
      </w:r>
      <w:r>
        <w:tab/>
        <w:t xml:space="preserve"> </w:t>
      </w:r>
      <w:r>
        <w:rPr>
          <w:szCs w:val="22"/>
        </w:rPr>
        <w:t>$119.05</w:t>
      </w:r>
    </w:p>
    <w:p w:rsidR="005435E9" w:rsidRDefault="005435E9">
      <w:pPr>
        <w:pStyle w:val="yHeading5"/>
      </w:pPr>
      <w:bookmarkStart w:id="340" w:name="_Toc75519798"/>
      <w:r>
        <w:rPr>
          <w:rStyle w:val="CharSClsNo"/>
        </w:rPr>
        <w:t>3</w:t>
      </w:r>
      <w:r>
        <w:t>.</w:t>
      </w:r>
      <w:r>
        <w:tab/>
        <w:t>Water supplied for watering stock or dust prevention</w:t>
      </w:r>
      <w:bookmarkEnd w:id="340"/>
    </w:p>
    <w:p w:rsidR="005435E9" w:rsidRDefault="005435E9">
      <w:pPr>
        <w:pStyle w:val="ySubsection"/>
      </w:pPr>
      <w:r>
        <w:tab/>
      </w:r>
      <w:r>
        <w:tab/>
        <w:t>For land to which water is supplied from irrigation works of the Water Corporation in the Ord Irrigation District for the purpose of watering stock or dust prevention in feed lots, the charge is —</w:t>
      </w:r>
    </w:p>
    <w:p w:rsidR="005435E9" w:rsidRDefault="005435E9">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rsidR="005435E9" w:rsidRDefault="005435E9">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rsidR="005435E9" w:rsidRDefault="005435E9">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rsidR="005435E9" w:rsidRDefault="005435E9">
      <w:pPr>
        <w:pStyle w:val="yHeading5"/>
      </w:pPr>
      <w:bookmarkStart w:id="341" w:name="_Toc75519799"/>
      <w:r>
        <w:rPr>
          <w:rStyle w:val="CharSClsNo"/>
        </w:rPr>
        <w:t>4</w:t>
      </w:r>
      <w:r>
        <w:t>.</w:t>
      </w:r>
      <w:r>
        <w:tab/>
        <w:t>Water supplied for purposes other than irrigation, watering stock or dust prevention</w:t>
      </w:r>
      <w:bookmarkEnd w:id="341"/>
    </w:p>
    <w:p w:rsidR="005435E9" w:rsidRDefault="005435E9">
      <w:pPr>
        <w:pStyle w:val="ySubsection"/>
      </w:pPr>
      <w:r>
        <w:tab/>
      </w:r>
      <w:r>
        <w:tab/>
        <w:t xml:space="preserve">For land to which water is supplied from irrigation works of the Water Corporation in the Ord Irrigation District for purposes other than </w:t>
      </w:r>
      <w:r>
        <w:lastRenderedPageBreak/>
        <w:t>irrigation, watering stock or dust prevention in feed lots, the charge, per supply point, is —</w:t>
      </w:r>
    </w:p>
    <w:p w:rsidR="005435E9" w:rsidRDefault="005435E9">
      <w:pPr>
        <w:pStyle w:val="yIndenta"/>
        <w:tabs>
          <w:tab w:val="right" w:leader="dot" w:pos="6804"/>
        </w:tabs>
      </w:pPr>
      <w:r>
        <w:tab/>
        <w:t>(a)</w:t>
      </w:r>
      <w:r>
        <w:tab/>
        <w:t>if the supply is assured</w:t>
      </w:r>
      <w:r>
        <w:tab/>
        <w:t xml:space="preserve"> </w:t>
      </w:r>
      <w:r>
        <w:rPr>
          <w:szCs w:val="22"/>
        </w:rPr>
        <w:t>$275.41</w:t>
      </w:r>
    </w:p>
    <w:p w:rsidR="005435E9" w:rsidRDefault="005435E9">
      <w:pPr>
        <w:pStyle w:val="yIndenta"/>
        <w:tabs>
          <w:tab w:val="right" w:leader="dot" w:pos="6804"/>
        </w:tabs>
        <w:rPr>
          <w:szCs w:val="22"/>
        </w:rPr>
      </w:pPr>
      <w:r>
        <w:tab/>
        <w:t>(b)</w:t>
      </w:r>
      <w:r>
        <w:tab/>
        <w:t>if the supply is not assured</w:t>
      </w:r>
      <w:r>
        <w:tab/>
        <w:t xml:space="preserve"> </w:t>
      </w:r>
      <w:r>
        <w:rPr>
          <w:szCs w:val="22"/>
        </w:rPr>
        <w:t>$201.42</w:t>
      </w:r>
    </w:p>
    <w:p w:rsidR="005435E9" w:rsidRDefault="005435E9">
      <w:pPr>
        <w:pStyle w:val="yFootnotesection"/>
      </w:pPr>
      <w:r>
        <w:tab/>
        <w:t>[Schedule 6 inserted: SL 2020/95 r. 9.]</w:t>
      </w:r>
    </w:p>
    <w:p w:rsidR="005435E9" w:rsidRDefault="005435E9">
      <w:pPr>
        <w:pStyle w:val="yScheduleHeading"/>
      </w:pPr>
      <w:bookmarkStart w:id="342" w:name="_Toc75266351"/>
      <w:bookmarkStart w:id="343" w:name="_Toc75269632"/>
      <w:bookmarkStart w:id="344" w:name="_Toc75351131"/>
      <w:bookmarkStart w:id="345" w:name="_Toc75519800"/>
      <w:r>
        <w:rPr>
          <w:rStyle w:val="CharSchNo"/>
        </w:rPr>
        <w:lastRenderedPageBreak/>
        <w:t>Schedule 7</w:t>
      </w:r>
      <w:r>
        <w:t> — </w:t>
      </w:r>
      <w:r>
        <w:rPr>
          <w:rStyle w:val="CharSchText"/>
        </w:rPr>
        <w:t>Miscellaneous charges for the Water Corporation</w:t>
      </w:r>
      <w:bookmarkEnd w:id="342"/>
      <w:bookmarkEnd w:id="343"/>
      <w:bookmarkEnd w:id="344"/>
      <w:bookmarkEnd w:id="345"/>
    </w:p>
    <w:p w:rsidR="005435E9" w:rsidRDefault="005435E9">
      <w:pPr>
        <w:pStyle w:val="yShoulderClause"/>
      </w:pPr>
      <w:r>
        <w:t>[r.  51]</w:t>
      </w:r>
    </w:p>
    <w:p w:rsidR="005435E9" w:rsidRDefault="005435E9">
      <w:pPr>
        <w:pStyle w:val="yFootnoteheading"/>
      </w:pPr>
      <w:r>
        <w:tab/>
        <w:t>[Heading inserted: SL 2020/95 r. 9.]</w:t>
      </w:r>
    </w:p>
    <w:p w:rsidR="005435E9" w:rsidRDefault="005435E9">
      <w:pPr>
        <w:pStyle w:val="yHeading5"/>
      </w:pPr>
      <w:bookmarkStart w:id="346" w:name="_Toc75519801"/>
      <w:r>
        <w:rPr>
          <w:rStyle w:val="CharSClsNo"/>
        </w:rPr>
        <w:t>1</w:t>
      </w:r>
      <w:r>
        <w:t>.</w:t>
      </w:r>
      <w:r>
        <w:tab/>
        <w:t>Meters: multi</w:t>
      </w:r>
      <w:r>
        <w:noBreakHyphen/>
        <w:t>unit developments</w:t>
      </w:r>
      <w:bookmarkEnd w:id="346"/>
    </w:p>
    <w:p w:rsidR="005435E9" w:rsidRDefault="005435E9">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rsidR="005435E9" w:rsidRDefault="005435E9">
      <w:pPr>
        <w:pStyle w:val="yHeading5"/>
      </w:pPr>
      <w:bookmarkStart w:id="347" w:name="_Toc75519802"/>
      <w:r>
        <w:rPr>
          <w:rStyle w:val="CharSClsNo"/>
        </w:rPr>
        <w:t>2</w:t>
      </w:r>
      <w:r>
        <w:t>.</w:t>
      </w:r>
      <w:r>
        <w:tab/>
        <w:t>Assessing meters: multi</w:t>
      </w:r>
      <w:r>
        <w:noBreakHyphen/>
        <w:t>unit developments</w:t>
      </w:r>
      <w:bookmarkEnd w:id="347"/>
    </w:p>
    <w:p w:rsidR="005435E9" w:rsidRDefault="005435E9">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rsidR="005435E9" w:rsidRDefault="005435E9">
      <w:pPr>
        <w:pStyle w:val="yHeading5"/>
      </w:pPr>
      <w:bookmarkStart w:id="348" w:name="_Toc75519803"/>
      <w:r>
        <w:rPr>
          <w:rStyle w:val="CharSClsNo"/>
        </w:rPr>
        <w:t>3</w:t>
      </w:r>
      <w:r>
        <w:t>.</w:t>
      </w:r>
      <w:r>
        <w:tab/>
        <w:t>Testing meters</w:t>
      </w:r>
      <w:bookmarkEnd w:id="348"/>
    </w:p>
    <w:p w:rsidR="005435E9" w:rsidRDefault="005435E9">
      <w:pPr>
        <w:pStyle w:val="ySubsection"/>
      </w:pPr>
      <w:r>
        <w:tab/>
      </w:r>
      <w:r>
        <w:tab/>
        <w:t xml:space="preserve">For testing a meter under the </w:t>
      </w:r>
      <w:r>
        <w:rPr>
          <w:i/>
        </w:rPr>
        <w:t>Water Services Regulations 2013</w:t>
      </w:r>
      <w:r>
        <w:t xml:space="preserve"> regulation 26(3), the charge, according to the size of the meter, is —</w:t>
      </w:r>
    </w:p>
    <w:p w:rsidR="005435E9" w:rsidRDefault="005435E9">
      <w:pPr>
        <w:pStyle w:val="yMiscellaneousBody"/>
        <w:tabs>
          <w:tab w:val="right" w:leader="dot" w:pos="6804"/>
        </w:tabs>
        <w:ind w:left="1134"/>
      </w:pPr>
      <w:r>
        <w:t>20</w:t>
      </w:r>
      <w:r>
        <w:noBreakHyphen/>
        <w:t xml:space="preserve">25 mm </w:t>
      </w:r>
      <w:r>
        <w:tab/>
        <w:t xml:space="preserve"> </w:t>
      </w:r>
      <w:r>
        <w:rPr>
          <w:szCs w:val="22"/>
        </w:rPr>
        <w:t>$113.50</w:t>
      </w:r>
    </w:p>
    <w:p w:rsidR="005435E9" w:rsidRDefault="005435E9">
      <w:pPr>
        <w:pStyle w:val="yMiscellaneousBody"/>
        <w:tabs>
          <w:tab w:val="right" w:leader="dot" w:pos="6804"/>
        </w:tabs>
        <w:ind w:left="1134"/>
      </w:pPr>
      <w:r>
        <w:t xml:space="preserve">more than 25 mm </w:t>
      </w:r>
      <w:r>
        <w:tab/>
        <w:t xml:space="preserve"> an amount</w:t>
      </w:r>
    </w:p>
    <w:p w:rsidR="005435E9" w:rsidRDefault="005435E9">
      <w:pPr>
        <w:pStyle w:val="yMiscellaneousBody"/>
        <w:tabs>
          <w:tab w:val="left" w:pos="1701"/>
          <w:tab w:val="right" w:leader="dot" w:pos="6804"/>
        </w:tabs>
        <w:spacing w:before="0"/>
        <w:ind w:left="1134" w:right="283" w:hanging="1134"/>
        <w:jc w:val="right"/>
      </w:pPr>
      <w:r>
        <w:t>equal to the</w:t>
      </w:r>
      <w:r>
        <w:br/>
        <w:t>cost of testing</w:t>
      </w:r>
    </w:p>
    <w:p w:rsidR="005435E9" w:rsidRDefault="005435E9">
      <w:pPr>
        <w:pStyle w:val="yHeading5"/>
      </w:pPr>
      <w:bookmarkStart w:id="349" w:name="_Toc75519804"/>
      <w:r>
        <w:rPr>
          <w:rStyle w:val="CharSClsNo"/>
        </w:rPr>
        <w:t>4</w:t>
      </w:r>
      <w:r>
        <w:t>.</w:t>
      </w:r>
      <w:r>
        <w:tab/>
        <w:t>Installing water supply connection</w:t>
      </w:r>
      <w:bookmarkEnd w:id="349"/>
    </w:p>
    <w:p w:rsidR="005435E9" w:rsidRDefault="005435E9">
      <w:pPr>
        <w:pStyle w:val="ySubsection"/>
      </w:pPr>
      <w:r>
        <w:tab/>
        <w:t>(1)</w:t>
      </w:r>
      <w:r>
        <w:tab/>
        <w:t>For installing a water supply connection in relation to land in the metropolitan area (other than in the central business districts), the charge, according to the size of the connection, is —</w:t>
      </w:r>
    </w:p>
    <w:p w:rsidR="005435E9" w:rsidRDefault="005435E9">
      <w:pPr>
        <w:pStyle w:val="yMiscellaneousBody"/>
        <w:tabs>
          <w:tab w:val="right" w:leader="dot" w:pos="6804"/>
        </w:tabs>
        <w:ind w:left="1134"/>
      </w:pPr>
      <w:r>
        <w:t xml:space="preserve">20 mm </w:t>
      </w:r>
      <w:r>
        <w:tab/>
        <w:t xml:space="preserve"> $1 267.47</w:t>
      </w:r>
    </w:p>
    <w:p w:rsidR="005435E9" w:rsidRDefault="005435E9">
      <w:pPr>
        <w:pStyle w:val="yMiscellaneousBody"/>
        <w:tabs>
          <w:tab w:val="right" w:leader="dot" w:pos="6804"/>
        </w:tabs>
        <w:ind w:left="1134"/>
      </w:pPr>
      <w:r>
        <w:t xml:space="preserve">25 mm </w:t>
      </w:r>
      <w:r>
        <w:tab/>
        <w:t xml:space="preserve"> $1 284.18</w:t>
      </w:r>
    </w:p>
    <w:p w:rsidR="005435E9" w:rsidRDefault="005435E9">
      <w:pPr>
        <w:pStyle w:val="yMiscellaneousBody"/>
        <w:keepNext/>
        <w:tabs>
          <w:tab w:val="right" w:leader="dot" w:pos="6804"/>
        </w:tabs>
        <w:ind w:left="1134"/>
      </w:pPr>
      <w:r>
        <w:lastRenderedPageBreak/>
        <w:t xml:space="preserve">40 mm </w:t>
      </w:r>
      <w:r>
        <w:tab/>
        <w:t xml:space="preserve"> $1 869.49</w:t>
      </w:r>
    </w:p>
    <w:p w:rsidR="005435E9" w:rsidRDefault="005435E9">
      <w:pPr>
        <w:pStyle w:val="yMiscellaneousBody"/>
        <w:tabs>
          <w:tab w:val="right" w:leader="dot" w:pos="6804"/>
        </w:tabs>
        <w:ind w:left="1134"/>
      </w:pPr>
      <w:r>
        <w:t xml:space="preserve">50 mm </w:t>
      </w:r>
      <w:r>
        <w:tab/>
        <w:t xml:space="preserve"> $2 310.17</w:t>
      </w:r>
    </w:p>
    <w:p w:rsidR="005435E9" w:rsidRDefault="005435E9">
      <w:pPr>
        <w:pStyle w:val="yMiscellaneousBody"/>
        <w:tabs>
          <w:tab w:val="right" w:leader="dot" w:pos="6804"/>
        </w:tabs>
        <w:ind w:left="1134"/>
      </w:pPr>
      <w:r>
        <w:t>80</w:t>
      </w:r>
      <w:r>
        <w:noBreakHyphen/>
        <w:t xml:space="preserve">100 mm </w:t>
      </w:r>
      <w:r>
        <w:tab/>
        <w:t xml:space="preserve"> $4 473.43</w:t>
      </w:r>
    </w:p>
    <w:p w:rsidR="005435E9" w:rsidRDefault="005435E9">
      <w:pPr>
        <w:pStyle w:val="yMiscellaneousBody"/>
        <w:tabs>
          <w:tab w:val="right" w:leader="dot" w:pos="6804"/>
        </w:tabs>
        <w:ind w:left="1134"/>
      </w:pPr>
      <w:r>
        <w:t xml:space="preserve">150 mm </w:t>
      </w:r>
      <w:r>
        <w:tab/>
        <w:t xml:space="preserve"> $5 339.94</w:t>
      </w:r>
    </w:p>
    <w:p w:rsidR="005435E9" w:rsidRDefault="005435E9">
      <w:pPr>
        <w:pStyle w:val="yMiscellaneousBody"/>
        <w:tabs>
          <w:tab w:val="right" w:leader="dot" w:pos="6804"/>
        </w:tabs>
        <w:ind w:left="1134"/>
      </w:pPr>
      <w:r>
        <w:t xml:space="preserve">more than 150 mm </w:t>
      </w:r>
      <w:r>
        <w:tab/>
        <w:t xml:space="preserve"> an amount</w:t>
      </w:r>
    </w:p>
    <w:p w:rsidR="005435E9" w:rsidRDefault="005435E9">
      <w:pPr>
        <w:pStyle w:val="yMiscellaneousBody"/>
        <w:tabs>
          <w:tab w:val="left" w:pos="1701"/>
          <w:tab w:val="right" w:leader="dot" w:pos="6804"/>
        </w:tabs>
        <w:spacing w:before="0"/>
        <w:ind w:left="1701" w:right="283" w:hanging="1134"/>
        <w:jc w:val="right"/>
      </w:pPr>
      <w:r>
        <w:t>equal to the</w:t>
      </w:r>
      <w:r>
        <w:br/>
        <w:t>cost of</w:t>
      </w:r>
      <w:r>
        <w:br/>
        <w:t>installation</w:t>
      </w:r>
    </w:p>
    <w:p w:rsidR="005435E9" w:rsidRDefault="005435E9">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rsidR="005435E9" w:rsidRDefault="005435E9">
      <w:pPr>
        <w:pStyle w:val="yMiscellaneousBody"/>
        <w:tabs>
          <w:tab w:val="left" w:pos="1701"/>
          <w:tab w:val="right" w:leader="dot" w:pos="6804"/>
        </w:tabs>
        <w:spacing w:before="0"/>
        <w:ind w:left="1701" w:right="283" w:hanging="1134"/>
        <w:jc w:val="right"/>
      </w:pPr>
      <w:r>
        <w:t>equal to the</w:t>
      </w:r>
      <w:r>
        <w:br/>
        <w:t>cost of</w:t>
      </w:r>
      <w:r>
        <w:br/>
        <w:t>installation</w:t>
      </w:r>
    </w:p>
    <w:p w:rsidR="005435E9" w:rsidRDefault="005435E9">
      <w:pPr>
        <w:pStyle w:val="yHeading5"/>
      </w:pPr>
      <w:bookmarkStart w:id="350" w:name="_Toc75519805"/>
      <w:r>
        <w:rPr>
          <w:rStyle w:val="CharSClsNo"/>
        </w:rPr>
        <w:t>5</w:t>
      </w:r>
      <w:r>
        <w:t>.</w:t>
      </w:r>
      <w:r>
        <w:tab/>
        <w:t>Activating water supply connection</w:t>
      </w:r>
      <w:bookmarkEnd w:id="350"/>
    </w:p>
    <w:p w:rsidR="005435E9" w:rsidRDefault="005435E9">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rsidR="005435E9" w:rsidRDefault="005435E9">
      <w:pPr>
        <w:pStyle w:val="ySubsection"/>
      </w:pPr>
      <w:r>
        <w:tab/>
        <w:t>(2)</w:t>
      </w:r>
      <w:r>
        <w:tab/>
        <w:t>The charge under this item covers the supply of a meter, stopcock and, if required, a temporary standpipe.</w:t>
      </w:r>
    </w:p>
    <w:p w:rsidR="005435E9" w:rsidRDefault="005435E9">
      <w:pPr>
        <w:pStyle w:val="yHeading5"/>
      </w:pPr>
      <w:bookmarkStart w:id="351" w:name="_Toc75519806"/>
      <w:r>
        <w:rPr>
          <w:rStyle w:val="CharSClsNo"/>
        </w:rPr>
        <w:t>6</w:t>
      </w:r>
      <w:r>
        <w:t>.</w:t>
      </w:r>
      <w:r>
        <w:tab/>
        <w:t>Disconnecting water supply connection</w:t>
      </w:r>
      <w:bookmarkEnd w:id="351"/>
    </w:p>
    <w:p w:rsidR="005435E9" w:rsidRDefault="005435E9">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rsidR="005435E9" w:rsidRDefault="005435E9">
      <w:pPr>
        <w:pStyle w:val="ySubsection"/>
      </w:pPr>
      <w:r>
        <w:tab/>
        <w:t>(2)</w:t>
      </w:r>
      <w:r>
        <w:tab/>
        <w:t>For the purposes of this item, cutting off or reducing the rate of flow of a supply of water under section 95 of the Act is not disconnecting a water supply connection.</w:t>
      </w:r>
    </w:p>
    <w:p w:rsidR="005435E9" w:rsidRDefault="005435E9">
      <w:pPr>
        <w:pStyle w:val="yHeading5"/>
      </w:pPr>
      <w:bookmarkStart w:id="352" w:name="_Toc75519807"/>
      <w:r>
        <w:rPr>
          <w:rStyle w:val="CharSClsNo"/>
        </w:rPr>
        <w:t>7</w:t>
      </w:r>
      <w:r>
        <w:t>.</w:t>
      </w:r>
      <w:r>
        <w:tab/>
        <w:t>Reconnecting water supply connection</w:t>
      </w:r>
      <w:bookmarkEnd w:id="352"/>
    </w:p>
    <w:p w:rsidR="005435E9" w:rsidRDefault="005435E9">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rsidR="005435E9" w:rsidRDefault="005435E9">
      <w:pPr>
        <w:pStyle w:val="ySubsection"/>
      </w:pPr>
      <w:r>
        <w:lastRenderedPageBreak/>
        <w:tab/>
        <w:t>(2)</w:t>
      </w:r>
      <w:r>
        <w:tab/>
        <w:t>For the purposes of this item, restoring the supply of water or the rate of flow of water after it has been cut off or reduced under section 95 of the Act is not reconnecting a water supply connection.</w:t>
      </w:r>
    </w:p>
    <w:p w:rsidR="005435E9" w:rsidRDefault="005435E9">
      <w:pPr>
        <w:pStyle w:val="yHeading5"/>
      </w:pPr>
      <w:bookmarkStart w:id="353" w:name="_Toc75519808"/>
      <w:r>
        <w:rPr>
          <w:rStyle w:val="CharSClsNo"/>
        </w:rPr>
        <w:t>8</w:t>
      </w:r>
      <w:r>
        <w:t>.</w:t>
      </w:r>
      <w:r>
        <w:tab/>
        <w:t>Relocating water supply connection</w:t>
      </w:r>
      <w:bookmarkEnd w:id="353"/>
    </w:p>
    <w:p w:rsidR="005435E9" w:rsidRDefault="005435E9">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rsidR="005435E9" w:rsidRDefault="005435E9">
      <w:pPr>
        <w:pStyle w:val="yMiscellaneousBody"/>
        <w:tabs>
          <w:tab w:val="right" w:leader="dot" w:pos="6804"/>
        </w:tabs>
        <w:ind w:left="1134"/>
      </w:pPr>
      <w:r>
        <w:t xml:space="preserve">20 mm </w:t>
      </w:r>
      <w:r>
        <w:tab/>
        <w:t xml:space="preserve"> $478.50</w:t>
      </w:r>
    </w:p>
    <w:p w:rsidR="005435E9" w:rsidRDefault="005435E9">
      <w:pPr>
        <w:pStyle w:val="yMiscellaneousBody"/>
        <w:tabs>
          <w:tab w:val="right" w:leader="dot" w:pos="6804"/>
        </w:tabs>
        <w:ind w:left="1134"/>
      </w:pPr>
      <w:r>
        <w:t xml:space="preserve">25 mm </w:t>
      </w:r>
      <w:r>
        <w:tab/>
        <w:t xml:space="preserve"> $545.81</w:t>
      </w:r>
    </w:p>
    <w:p w:rsidR="005435E9" w:rsidRDefault="005435E9">
      <w:pPr>
        <w:pStyle w:val="yMiscellaneousBody"/>
        <w:tabs>
          <w:tab w:val="right" w:leader="dot" w:pos="6804"/>
        </w:tabs>
        <w:ind w:left="1134"/>
      </w:pPr>
      <w:r>
        <w:t xml:space="preserve">40 mm </w:t>
      </w:r>
      <w:r>
        <w:tab/>
        <w:t xml:space="preserve"> $778.96</w:t>
      </w:r>
    </w:p>
    <w:p w:rsidR="005435E9" w:rsidRDefault="005435E9">
      <w:pPr>
        <w:pStyle w:val="yMiscellaneousBody"/>
        <w:keepNext/>
        <w:keepLines/>
        <w:tabs>
          <w:tab w:val="right" w:leader="dot" w:pos="6804"/>
        </w:tabs>
        <w:ind w:left="1134"/>
      </w:pPr>
      <w:r>
        <w:t xml:space="preserve">50 mm </w:t>
      </w:r>
      <w:r>
        <w:tab/>
        <w:t xml:space="preserve"> $913.03</w:t>
      </w:r>
    </w:p>
    <w:p w:rsidR="005435E9" w:rsidRDefault="005435E9">
      <w:pPr>
        <w:pStyle w:val="yMiscellaneousBody"/>
        <w:tabs>
          <w:tab w:val="right" w:leader="dot" w:pos="6804"/>
        </w:tabs>
        <w:ind w:left="1134"/>
      </w:pPr>
      <w:r>
        <w:t xml:space="preserve">more than 50 mm </w:t>
      </w:r>
      <w:r>
        <w:tab/>
        <w:t xml:space="preserve"> an amount</w:t>
      </w:r>
    </w:p>
    <w:p w:rsidR="005435E9" w:rsidRDefault="005435E9">
      <w:pPr>
        <w:pStyle w:val="yMiscellaneousBody"/>
        <w:tabs>
          <w:tab w:val="left" w:pos="1701"/>
          <w:tab w:val="right" w:leader="dot" w:pos="6804"/>
        </w:tabs>
        <w:spacing w:before="0"/>
        <w:ind w:left="1276" w:right="283" w:hanging="1134"/>
        <w:jc w:val="right"/>
      </w:pPr>
      <w:r>
        <w:t>equal to</w:t>
      </w:r>
      <w:r>
        <w:br/>
        <w:t>the cost of</w:t>
      </w:r>
      <w:r>
        <w:br/>
        <w:t>relocation</w:t>
      </w:r>
    </w:p>
    <w:p w:rsidR="005435E9" w:rsidRDefault="005435E9">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rsidR="005435E9" w:rsidRDefault="005435E9">
      <w:pPr>
        <w:pStyle w:val="yMiscellaneousBody"/>
        <w:tabs>
          <w:tab w:val="right" w:leader="dot" w:pos="6804"/>
        </w:tabs>
        <w:ind w:left="1134"/>
      </w:pPr>
      <w:r>
        <w:t xml:space="preserve">20 mm </w:t>
      </w:r>
      <w:r>
        <w:tab/>
        <w:t xml:space="preserve"> $1 407.68</w:t>
      </w:r>
    </w:p>
    <w:p w:rsidR="005435E9" w:rsidRDefault="005435E9">
      <w:pPr>
        <w:pStyle w:val="yMiscellaneousBody"/>
        <w:tabs>
          <w:tab w:val="right" w:leader="dot" w:pos="6804"/>
        </w:tabs>
        <w:ind w:left="1134"/>
      </w:pPr>
      <w:r>
        <w:t xml:space="preserve">25 mm </w:t>
      </w:r>
      <w:r>
        <w:tab/>
        <w:t xml:space="preserve"> $1 424.37</w:t>
      </w:r>
    </w:p>
    <w:p w:rsidR="005435E9" w:rsidRDefault="005435E9">
      <w:pPr>
        <w:pStyle w:val="yMiscellaneousBody"/>
        <w:tabs>
          <w:tab w:val="right" w:leader="dot" w:pos="6804"/>
        </w:tabs>
        <w:ind w:left="1134"/>
      </w:pPr>
      <w:r>
        <w:t xml:space="preserve">40 mm </w:t>
      </w:r>
      <w:r>
        <w:tab/>
        <w:t xml:space="preserve"> $2 010.81</w:t>
      </w:r>
    </w:p>
    <w:p w:rsidR="005435E9" w:rsidRDefault="005435E9">
      <w:pPr>
        <w:pStyle w:val="yMiscellaneousBody"/>
        <w:tabs>
          <w:tab w:val="right" w:leader="dot" w:pos="6804"/>
        </w:tabs>
        <w:ind w:left="1134"/>
      </w:pPr>
      <w:r>
        <w:t xml:space="preserve">50 mm </w:t>
      </w:r>
      <w:r>
        <w:tab/>
        <w:t xml:space="preserve"> $2 450.93</w:t>
      </w:r>
    </w:p>
    <w:p w:rsidR="005435E9" w:rsidRDefault="005435E9">
      <w:pPr>
        <w:pStyle w:val="yMiscellaneousBody"/>
        <w:tabs>
          <w:tab w:val="right" w:leader="dot" w:pos="6804"/>
        </w:tabs>
        <w:ind w:left="1134"/>
      </w:pPr>
      <w:r>
        <w:t>80</w:t>
      </w:r>
      <w:r>
        <w:noBreakHyphen/>
        <w:t xml:space="preserve">100 mm </w:t>
      </w:r>
      <w:r>
        <w:tab/>
        <w:t xml:space="preserve"> $4 615.29</w:t>
      </w:r>
    </w:p>
    <w:p w:rsidR="005435E9" w:rsidRDefault="005435E9">
      <w:pPr>
        <w:pStyle w:val="yMiscellaneousBody"/>
        <w:tabs>
          <w:tab w:val="right" w:leader="dot" w:pos="6804"/>
        </w:tabs>
        <w:ind w:left="1134"/>
      </w:pPr>
      <w:r>
        <w:t xml:space="preserve">150 mm </w:t>
      </w:r>
      <w:r>
        <w:tab/>
        <w:t xml:space="preserve"> $5 481.04</w:t>
      </w:r>
    </w:p>
    <w:p w:rsidR="005435E9" w:rsidRDefault="005435E9">
      <w:pPr>
        <w:pStyle w:val="yMiscellaneousBody"/>
        <w:tabs>
          <w:tab w:val="right" w:leader="dot" w:pos="6804"/>
        </w:tabs>
        <w:ind w:left="1134"/>
      </w:pPr>
      <w:r>
        <w:t xml:space="preserve">more than 150 mm </w:t>
      </w:r>
      <w:r>
        <w:tab/>
        <w:t xml:space="preserve"> an amount</w:t>
      </w:r>
    </w:p>
    <w:p w:rsidR="005435E9" w:rsidRDefault="005435E9">
      <w:pPr>
        <w:pStyle w:val="yMiscellaneousBody"/>
        <w:tabs>
          <w:tab w:val="left" w:pos="1701"/>
          <w:tab w:val="right" w:leader="dot" w:pos="6804"/>
        </w:tabs>
        <w:spacing w:before="0"/>
        <w:ind w:left="1701" w:right="283" w:hanging="1134"/>
        <w:jc w:val="right"/>
      </w:pPr>
      <w:r>
        <w:t>equal to</w:t>
      </w:r>
      <w:r>
        <w:br/>
        <w:t>the cost of</w:t>
      </w:r>
      <w:r>
        <w:br/>
        <w:t>relocation</w:t>
      </w:r>
    </w:p>
    <w:p w:rsidR="005435E9" w:rsidRDefault="005435E9">
      <w:pPr>
        <w:pStyle w:val="ySubsection"/>
        <w:keepNext/>
        <w:tabs>
          <w:tab w:val="right" w:leader="dot" w:pos="6804"/>
        </w:tabs>
      </w:pPr>
      <w:r>
        <w:lastRenderedPageBreak/>
        <w:tab/>
        <w:t>(3)</w:t>
      </w:r>
      <w:r>
        <w:tab/>
        <w:t xml:space="preserve">For relocating a water supply connection </w:t>
      </w:r>
      <w:r>
        <w:br/>
        <w:t xml:space="preserve">in relation to land in the central business </w:t>
      </w:r>
      <w:r>
        <w:br/>
        <w:t xml:space="preserve">districts, the charge is </w:t>
      </w:r>
      <w:r>
        <w:tab/>
        <w:t xml:space="preserve"> an amount</w:t>
      </w:r>
    </w:p>
    <w:p w:rsidR="005435E9" w:rsidRDefault="005435E9">
      <w:pPr>
        <w:pStyle w:val="yMiscellaneousBody"/>
        <w:tabs>
          <w:tab w:val="left" w:pos="1701"/>
          <w:tab w:val="right" w:leader="dot" w:pos="6804"/>
        </w:tabs>
        <w:spacing w:before="0"/>
        <w:ind w:left="1701" w:right="283" w:hanging="1134"/>
        <w:jc w:val="right"/>
      </w:pPr>
      <w:r>
        <w:t>equal to the</w:t>
      </w:r>
      <w:r>
        <w:br/>
        <w:t>cost of</w:t>
      </w:r>
      <w:r>
        <w:br/>
        <w:t>relocation</w:t>
      </w:r>
    </w:p>
    <w:p w:rsidR="005435E9" w:rsidRDefault="005435E9">
      <w:pPr>
        <w:pStyle w:val="yHeading5"/>
      </w:pPr>
      <w:bookmarkStart w:id="354" w:name="_Toc75519809"/>
      <w:r>
        <w:rPr>
          <w:rStyle w:val="CharSClsNo"/>
        </w:rPr>
        <w:t>9</w:t>
      </w:r>
      <w:r>
        <w:t>.</w:t>
      </w:r>
      <w:r>
        <w:tab/>
        <w:t>Proposal to connect to sewer</w:t>
      </w:r>
      <w:bookmarkEnd w:id="354"/>
    </w:p>
    <w:p w:rsidR="005435E9" w:rsidRDefault="005435E9">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rsidR="005435E9" w:rsidRDefault="005435E9">
      <w:pPr>
        <w:pStyle w:val="yHeading5"/>
      </w:pPr>
      <w:bookmarkStart w:id="355" w:name="_Toc75519810"/>
      <w:r>
        <w:rPr>
          <w:rStyle w:val="CharSClsNo"/>
        </w:rPr>
        <w:t>10</w:t>
      </w:r>
      <w:r>
        <w:t>.</w:t>
      </w:r>
      <w:r>
        <w:tab/>
        <w:t>Installing sewer junction</w:t>
      </w:r>
      <w:bookmarkEnd w:id="355"/>
    </w:p>
    <w:p w:rsidR="005435E9" w:rsidRDefault="005435E9">
      <w:pPr>
        <w:pStyle w:val="ySubsection"/>
      </w:pPr>
      <w:r>
        <w:tab/>
      </w:r>
      <w:r>
        <w:tab/>
        <w:t>For installing a sewer junction for land, the charge, according to the size of the sewer, is —</w:t>
      </w:r>
    </w:p>
    <w:p w:rsidR="005435E9" w:rsidRDefault="005435E9">
      <w:pPr>
        <w:pStyle w:val="yMiscellaneousBody"/>
        <w:tabs>
          <w:tab w:val="right" w:leader="dot" w:pos="6804"/>
        </w:tabs>
        <w:ind w:left="1134"/>
      </w:pPr>
      <w:r>
        <w:t xml:space="preserve">100 mm </w:t>
      </w:r>
      <w:r>
        <w:tab/>
        <w:t xml:space="preserve"> $545.04</w:t>
      </w:r>
    </w:p>
    <w:p w:rsidR="005435E9" w:rsidRDefault="005435E9">
      <w:pPr>
        <w:pStyle w:val="yMiscellaneousBody"/>
        <w:tabs>
          <w:tab w:val="right" w:leader="dot" w:pos="6804"/>
        </w:tabs>
        <w:ind w:left="1134"/>
      </w:pPr>
      <w:r>
        <w:t xml:space="preserve">150 mm </w:t>
      </w:r>
      <w:r>
        <w:tab/>
        <w:t xml:space="preserve"> $679.45</w:t>
      </w:r>
    </w:p>
    <w:p w:rsidR="005435E9" w:rsidRDefault="005435E9">
      <w:pPr>
        <w:pStyle w:val="yHeading5"/>
      </w:pPr>
      <w:bookmarkStart w:id="356" w:name="_Toc75519811"/>
      <w:r>
        <w:rPr>
          <w:rStyle w:val="CharSClsNo"/>
        </w:rPr>
        <w:t>11</w:t>
      </w:r>
      <w:r>
        <w:t>.</w:t>
      </w:r>
      <w:r>
        <w:tab/>
        <w:t>Hire of standpipe for fire hydrant</w:t>
      </w:r>
      <w:bookmarkEnd w:id="356"/>
    </w:p>
    <w:p w:rsidR="005435E9" w:rsidRDefault="005435E9">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rsidR="005435E9" w:rsidRDefault="005435E9">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rsidR="005435E9" w:rsidRDefault="005435E9">
      <w:pPr>
        <w:pStyle w:val="yMiscellaneousBody"/>
        <w:tabs>
          <w:tab w:val="right" w:leader="dot" w:pos="6804"/>
        </w:tabs>
        <w:ind w:left="1134"/>
      </w:pPr>
      <w:r>
        <w:t xml:space="preserve">25 mm or less </w:t>
      </w:r>
      <w:r>
        <w:tab/>
        <w:t xml:space="preserve"> </w:t>
      </w:r>
      <w:r>
        <w:rPr>
          <w:szCs w:val="22"/>
        </w:rPr>
        <w:t>$243.70</w:t>
      </w:r>
      <w:r>
        <w:t>/month</w:t>
      </w:r>
    </w:p>
    <w:p w:rsidR="005435E9" w:rsidRDefault="005435E9">
      <w:pPr>
        <w:pStyle w:val="yMiscellaneousBody"/>
        <w:tabs>
          <w:tab w:val="right" w:pos="6804"/>
        </w:tabs>
        <w:spacing w:before="0"/>
      </w:pPr>
      <w:r>
        <w:tab/>
        <w:t>pro rata</w:t>
      </w:r>
    </w:p>
    <w:p w:rsidR="005435E9" w:rsidRDefault="005435E9">
      <w:pPr>
        <w:pStyle w:val="yMiscellaneousBody"/>
        <w:tabs>
          <w:tab w:val="right" w:leader="dot" w:pos="6804"/>
        </w:tabs>
        <w:ind w:left="1134"/>
      </w:pPr>
      <w:r>
        <w:t xml:space="preserve">more than 25 mm </w:t>
      </w:r>
      <w:r>
        <w:tab/>
        <w:t xml:space="preserve"> </w:t>
      </w:r>
      <w:r>
        <w:rPr>
          <w:szCs w:val="22"/>
        </w:rPr>
        <w:t>$407.83</w:t>
      </w:r>
      <w:r>
        <w:t>/month</w:t>
      </w:r>
    </w:p>
    <w:p w:rsidR="005435E9" w:rsidRDefault="005435E9">
      <w:pPr>
        <w:pStyle w:val="yMiscellaneousBody"/>
        <w:tabs>
          <w:tab w:val="right" w:pos="6804"/>
        </w:tabs>
        <w:spacing w:before="0"/>
      </w:pPr>
      <w:r>
        <w:tab/>
        <w:t>pro rata</w:t>
      </w:r>
    </w:p>
    <w:p w:rsidR="005435E9" w:rsidRDefault="005435E9">
      <w:pPr>
        <w:pStyle w:val="yHeading5"/>
      </w:pPr>
      <w:bookmarkStart w:id="357" w:name="_Toc75519812"/>
      <w:r>
        <w:rPr>
          <w:rStyle w:val="CharSClsNo"/>
        </w:rPr>
        <w:lastRenderedPageBreak/>
        <w:t>12</w:t>
      </w:r>
      <w:r>
        <w:t>.</w:t>
      </w:r>
      <w:r>
        <w:tab/>
        <w:t>Trade waste: routine services</w:t>
      </w:r>
      <w:bookmarkEnd w:id="357"/>
    </w:p>
    <w:p w:rsidR="005435E9" w:rsidRDefault="005435E9">
      <w:pPr>
        <w:pStyle w:val="ySubsection"/>
      </w:pPr>
      <w:r>
        <w:tab/>
      </w:r>
      <w:r>
        <w:tab/>
        <w:t>For the following scheduled services in relation to the discharge of trade waste into a sewer of the Water Corporation, the charge is —</w:t>
      </w:r>
    </w:p>
    <w:p w:rsidR="005435E9" w:rsidRDefault="005435E9">
      <w:pPr>
        <w:pStyle w:val="yIndenta"/>
        <w:tabs>
          <w:tab w:val="right" w:leader="dot" w:pos="6804"/>
        </w:tabs>
      </w:pPr>
      <w:r>
        <w:tab/>
        <w:t>(a)</w:t>
      </w:r>
      <w:r>
        <w:tab/>
        <w:t xml:space="preserve">for inspection </w:t>
      </w:r>
      <w:r>
        <w:tab/>
        <w:t xml:space="preserve"> </w:t>
      </w:r>
      <w:r>
        <w:rPr>
          <w:szCs w:val="22"/>
        </w:rPr>
        <w:t>$149.82</w:t>
      </w:r>
      <w:r>
        <w:t>/hour</w:t>
      </w:r>
    </w:p>
    <w:p w:rsidR="005435E9" w:rsidRDefault="005435E9">
      <w:pPr>
        <w:pStyle w:val="yIndenta"/>
        <w:tabs>
          <w:tab w:val="right" w:leader="dot" w:pos="6804"/>
        </w:tabs>
      </w:pPr>
      <w:r>
        <w:tab/>
        <w:t>(b)</w:t>
      </w:r>
      <w:r>
        <w:tab/>
        <w:t xml:space="preserve">for a meter reading </w:t>
      </w:r>
      <w:r>
        <w:tab/>
        <w:t xml:space="preserve"> </w:t>
      </w:r>
      <w:r>
        <w:rPr>
          <w:szCs w:val="22"/>
        </w:rPr>
        <w:t>$27.36</w:t>
      </w:r>
    </w:p>
    <w:p w:rsidR="005435E9" w:rsidRDefault="005435E9">
      <w:pPr>
        <w:pStyle w:val="yIndenta"/>
        <w:tabs>
          <w:tab w:val="right" w:leader="dot" w:pos="6804"/>
        </w:tabs>
        <w:rPr>
          <w:szCs w:val="22"/>
        </w:rPr>
      </w:pPr>
      <w:r>
        <w:tab/>
        <w:t>(c)</w:t>
      </w:r>
      <w:r>
        <w:tab/>
        <w:t xml:space="preserve">for a grab sample </w:t>
      </w:r>
      <w:r>
        <w:tab/>
        <w:t xml:space="preserve"> </w:t>
      </w:r>
      <w:r>
        <w:rPr>
          <w:szCs w:val="22"/>
        </w:rPr>
        <w:t>$318.23</w:t>
      </w:r>
    </w:p>
    <w:p w:rsidR="005435E9" w:rsidRDefault="005435E9">
      <w:pPr>
        <w:pStyle w:val="yIndenta"/>
        <w:tabs>
          <w:tab w:val="right" w:leader="dot" w:pos="6804"/>
        </w:tabs>
      </w:pPr>
      <w:r>
        <w:tab/>
        <w:t>(d)</w:t>
      </w:r>
      <w:r>
        <w:tab/>
        <w:t xml:space="preserve">for a composite sample </w:t>
      </w:r>
      <w:r>
        <w:tab/>
        <w:t xml:space="preserve"> </w:t>
      </w:r>
      <w:r>
        <w:rPr>
          <w:szCs w:val="22"/>
        </w:rPr>
        <w:t>$747.89</w:t>
      </w:r>
    </w:p>
    <w:p w:rsidR="005435E9" w:rsidRDefault="005435E9">
      <w:pPr>
        <w:pStyle w:val="yHeading5"/>
      </w:pPr>
      <w:bookmarkStart w:id="358" w:name="_Toc75519813"/>
      <w:r>
        <w:rPr>
          <w:rStyle w:val="CharSClsNo"/>
        </w:rPr>
        <w:t>13</w:t>
      </w:r>
      <w:r>
        <w:t>.</w:t>
      </w:r>
      <w:r>
        <w:tab/>
        <w:t>Trade waste: ad hoc services</w:t>
      </w:r>
      <w:bookmarkEnd w:id="358"/>
    </w:p>
    <w:p w:rsidR="005435E9" w:rsidRDefault="005435E9">
      <w:pPr>
        <w:pStyle w:val="ySubsection"/>
      </w:pPr>
      <w:r>
        <w:tab/>
        <w:t>(1)</w:t>
      </w:r>
      <w:r>
        <w:tab/>
        <w:t xml:space="preserve">In this item — </w:t>
      </w:r>
    </w:p>
    <w:p w:rsidR="005435E9" w:rsidRDefault="005435E9">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rsidR="005435E9" w:rsidRDefault="005435E9">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rsidR="005435E9" w:rsidRDefault="005435E9">
      <w:pPr>
        <w:pStyle w:val="ySubsection"/>
      </w:pPr>
      <w:r>
        <w:tab/>
        <w:t>(2)</w:t>
      </w:r>
      <w:r>
        <w:tab/>
        <w:t>For the following unscheduled services in relation to the discharge of trade waste into a sewer of the Water Corporation, the charge is —</w:t>
      </w:r>
    </w:p>
    <w:p w:rsidR="005435E9" w:rsidRDefault="005435E9">
      <w:pPr>
        <w:pStyle w:val="yIndenta"/>
        <w:tabs>
          <w:tab w:val="right" w:leader="dot" w:pos="6804"/>
        </w:tabs>
      </w:pPr>
      <w:r>
        <w:tab/>
        <w:t>(a)</w:t>
      </w:r>
      <w:r>
        <w:tab/>
        <w:t xml:space="preserve">for assessing an application to </w:t>
      </w:r>
      <w:r>
        <w:br/>
        <w:t xml:space="preserve">discharge </w:t>
      </w:r>
      <w:r>
        <w:tab/>
      </w:r>
      <w:r>
        <w:rPr>
          <w:szCs w:val="22"/>
        </w:rPr>
        <w:t>$136.32</w:t>
      </w:r>
      <w:r>
        <w:t>/hour</w:t>
      </w:r>
    </w:p>
    <w:p w:rsidR="005435E9" w:rsidRDefault="005435E9">
      <w:pPr>
        <w:pStyle w:val="yIndenta"/>
        <w:tabs>
          <w:tab w:val="right" w:leader="dot" w:pos="6804"/>
        </w:tabs>
        <w:rPr>
          <w:szCs w:val="22"/>
        </w:rPr>
      </w:pPr>
      <w:r>
        <w:tab/>
        <w:t>(b)</w:t>
      </w:r>
      <w:r>
        <w:tab/>
        <w:t xml:space="preserve">for a product evaluation </w:t>
      </w:r>
      <w:r>
        <w:tab/>
        <w:t xml:space="preserve"> $170.59/hour</w:t>
      </w:r>
    </w:p>
    <w:p w:rsidR="005435E9" w:rsidRDefault="005435E9">
      <w:pPr>
        <w:pStyle w:val="yIndenta"/>
        <w:tabs>
          <w:tab w:val="right" w:leader="dot" w:pos="6804"/>
        </w:tabs>
      </w:pPr>
      <w:r>
        <w:tab/>
        <w:t>(c)</w:t>
      </w:r>
      <w:r>
        <w:tab/>
        <w:t xml:space="preserve">for a grab sample </w:t>
      </w:r>
      <w:r>
        <w:tab/>
        <w:t xml:space="preserve"> an amount </w:t>
      </w:r>
    </w:p>
    <w:p w:rsidR="005435E9" w:rsidRDefault="005435E9">
      <w:pPr>
        <w:pStyle w:val="yMiscellaneousBody"/>
        <w:tabs>
          <w:tab w:val="left" w:pos="1701"/>
          <w:tab w:val="right" w:leader="dot" w:pos="6804"/>
        </w:tabs>
        <w:spacing w:before="0"/>
        <w:ind w:left="1701" w:right="283" w:hanging="1134"/>
        <w:jc w:val="right"/>
      </w:pPr>
      <w:r>
        <w:t>equal to the</w:t>
      </w:r>
      <w:r>
        <w:br/>
        <w:t>cost of</w:t>
      </w:r>
      <w:r>
        <w:br/>
        <w:t>sampling</w:t>
      </w:r>
    </w:p>
    <w:p w:rsidR="005435E9" w:rsidRDefault="005435E9">
      <w:pPr>
        <w:pStyle w:val="yIndenta"/>
        <w:tabs>
          <w:tab w:val="right" w:leader="dot" w:pos="6804"/>
        </w:tabs>
      </w:pPr>
      <w:r>
        <w:tab/>
        <w:t>(d)</w:t>
      </w:r>
      <w:r>
        <w:tab/>
        <w:t xml:space="preserve">for a composite sample </w:t>
      </w:r>
      <w:r>
        <w:tab/>
        <w:t xml:space="preserve"> an amount </w:t>
      </w:r>
    </w:p>
    <w:p w:rsidR="005435E9" w:rsidRDefault="005435E9">
      <w:pPr>
        <w:pStyle w:val="yMiscellaneousBody"/>
        <w:tabs>
          <w:tab w:val="left" w:pos="1701"/>
          <w:tab w:val="right" w:leader="dot" w:pos="6804"/>
        </w:tabs>
        <w:spacing w:before="0"/>
        <w:ind w:left="1701" w:right="283" w:hanging="1134"/>
        <w:jc w:val="right"/>
      </w:pPr>
      <w:r>
        <w:t>equal to the</w:t>
      </w:r>
      <w:r>
        <w:br/>
        <w:t>cost of</w:t>
      </w:r>
      <w:r>
        <w:br/>
        <w:t>sampling</w:t>
      </w:r>
    </w:p>
    <w:p w:rsidR="005435E9" w:rsidRDefault="005435E9">
      <w:pPr>
        <w:pStyle w:val="yHeading5"/>
        <w:keepNext w:val="0"/>
        <w:keepLines w:val="0"/>
      </w:pPr>
      <w:bookmarkStart w:id="359" w:name="_Toc75519814"/>
      <w:r>
        <w:rPr>
          <w:rStyle w:val="CharSClsNo"/>
        </w:rPr>
        <w:t>14</w:t>
      </w:r>
      <w:r>
        <w:t>.</w:t>
      </w:r>
      <w:r>
        <w:tab/>
        <w:t>Trade waste: one</w:t>
      </w:r>
      <w:r>
        <w:noBreakHyphen/>
        <w:t>off discharge services</w:t>
      </w:r>
      <w:bookmarkEnd w:id="359"/>
    </w:p>
    <w:p w:rsidR="005435E9" w:rsidRDefault="005435E9">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rsidR="005435E9" w:rsidRDefault="005435E9">
      <w:pPr>
        <w:pStyle w:val="yHeading5"/>
      </w:pPr>
      <w:bookmarkStart w:id="360" w:name="_Toc75519815"/>
      <w:r>
        <w:rPr>
          <w:rStyle w:val="CharSClsNo"/>
        </w:rPr>
        <w:lastRenderedPageBreak/>
        <w:t>15</w:t>
      </w:r>
      <w:r>
        <w:t>.</w:t>
      </w:r>
      <w:r>
        <w:tab/>
        <w:t>Meter reading and other information</w:t>
      </w:r>
      <w:bookmarkEnd w:id="360"/>
    </w:p>
    <w:p w:rsidR="005435E9" w:rsidRDefault="005435E9">
      <w:pPr>
        <w:pStyle w:val="ySubsection"/>
      </w:pPr>
      <w:r>
        <w:tab/>
      </w:r>
      <w:r>
        <w:tab/>
        <w:t xml:space="preserve">For — </w:t>
      </w:r>
    </w:p>
    <w:p w:rsidR="005435E9" w:rsidRDefault="005435E9">
      <w:pPr>
        <w:pStyle w:val="yIndenta"/>
        <w:tabs>
          <w:tab w:val="right" w:leader="dot" w:pos="6804"/>
        </w:tabs>
      </w:pPr>
      <w:r>
        <w:tab/>
        <w:t>(a)</w:t>
      </w:r>
      <w:r>
        <w:tab/>
        <w:t xml:space="preserve">a meter reading, the charge is </w:t>
      </w:r>
      <w:r>
        <w:tab/>
        <w:t xml:space="preserve"> $17.68</w:t>
      </w:r>
    </w:p>
    <w:p w:rsidR="005435E9" w:rsidRDefault="005435E9">
      <w:pPr>
        <w:pStyle w:val="yIndenta"/>
        <w:tabs>
          <w:tab w:val="right" w:leader="dot" w:pos="6804"/>
        </w:tabs>
      </w:pPr>
      <w:r>
        <w:tab/>
        <w:t>(b)</w:t>
      </w:r>
      <w:r>
        <w:tab/>
        <w:t xml:space="preserve">an urgent meter reading, the charge is </w:t>
      </w:r>
      <w:r>
        <w:tab/>
        <w:t xml:space="preserve"> </w:t>
      </w:r>
      <w:r>
        <w:rPr>
          <w:szCs w:val="22"/>
        </w:rPr>
        <w:t>$59.41</w:t>
      </w:r>
    </w:p>
    <w:p w:rsidR="005435E9" w:rsidRDefault="005435E9">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rsidR="005435E9" w:rsidRDefault="005435E9">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rsidR="005435E9" w:rsidRDefault="005435E9">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rsidR="005435E9" w:rsidRDefault="005435E9">
      <w:pPr>
        <w:pStyle w:val="yMiscellaneousBody"/>
        <w:tabs>
          <w:tab w:val="left" w:pos="1701"/>
          <w:tab w:val="right" w:leader="dot" w:pos="6804"/>
        </w:tabs>
        <w:spacing w:before="0"/>
        <w:ind w:left="1701" w:right="283" w:hanging="1134"/>
        <w:jc w:val="right"/>
      </w:pPr>
      <w:r>
        <w:t>or part hour</w:t>
      </w:r>
    </w:p>
    <w:p w:rsidR="005435E9" w:rsidRDefault="005435E9">
      <w:pPr>
        <w:pStyle w:val="yHeading5"/>
      </w:pPr>
      <w:bookmarkStart w:id="361" w:name="_Toc75519816"/>
      <w:r>
        <w:rPr>
          <w:rStyle w:val="CharSClsNo"/>
        </w:rPr>
        <w:t>16</w:t>
      </w:r>
      <w:r>
        <w:t>.</w:t>
      </w:r>
      <w:r>
        <w:tab/>
        <w:t>Copies of records</w:t>
      </w:r>
      <w:bookmarkEnd w:id="361"/>
    </w:p>
    <w:p w:rsidR="005435E9" w:rsidRDefault="005435E9">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rsidR="005435E9" w:rsidRDefault="005435E9">
      <w:pPr>
        <w:pStyle w:val="yFootnotesection"/>
      </w:pPr>
      <w:r>
        <w:tab/>
        <w:t>[Schedule 7 inserted: SL 2020/95 r. 9.]</w:t>
      </w:r>
    </w:p>
    <w:p w:rsidR="005435E9" w:rsidRDefault="005435E9">
      <w:pPr>
        <w:sectPr w:rsidR="005435E9">
          <w:headerReference w:type="even" r:id="rId26"/>
          <w:headerReference w:type="default" r:id="rId27"/>
          <w:pgSz w:w="11907" w:h="16840" w:code="9"/>
          <w:pgMar w:top="2381" w:right="2410" w:bottom="3544" w:left="2410" w:header="720" w:footer="3380" w:gutter="0"/>
          <w:cols w:space="720"/>
          <w:docGrid w:linePitch="326"/>
        </w:sectPr>
      </w:pPr>
    </w:p>
    <w:p w:rsidR="005435E9" w:rsidRDefault="005435E9">
      <w:pPr>
        <w:pStyle w:val="yScheduleHeading"/>
      </w:pPr>
      <w:bookmarkStart w:id="363" w:name="_Toc75266368"/>
      <w:bookmarkStart w:id="364" w:name="_Toc75269649"/>
      <w:bookmarkStart w:id="365" w:name="_Toc75351148"/>
      <w:bookmarkStart w:id="366" w:name="_Toc75519817"/>
      <w:r>
        <w:rPr>
          <w:rStyle w:val="CharSchNo"/>
        </w:rPr>
        <w:lastRenderedPageBreak/>
        <w:t>Schedule 8</w:t>
      </w:r>
      <w:r>
        <w:rPr>
          <w:rStyle w:val="CharSDivNo"/>
        </w:rPr>
        <w:t> </w:t>
      </w:r>
      <w:r>
        <w:t>—</w:t>
      </w:r>
      <w:r>
        <w:rPr>
          <w:rStyle w:val="CharSDivText"/>
        </w:rPr>
        <w:t> </w:t>
      </w:r>
      <w:r>
        <w:rPr>
          <w:rStyle w:val="CharSchText"/>
        </w:rPr>
        <w:t>Government trading organisations</w:t>
      </w:r>
      <w:bookmarkEnd w:id="363"/>
      <w:bookmarkEnd w:id="364"/>
      <w:bookmarkEnd w:id="365"/>
      <w:bookmarkEnd w:id="366"/>
    </w:p>
    <w:p w:rsidR="005435E9" w:rsidRDefault="005435E9">
      <w:pPr>
        <w:pStyle w:val="yShoulderClause"/>
      </w:pPr>
      <w:r>
        <w:t>[r. 16(1)]</w:t>
      </w:r>
    </w:p>
    <w:p w:rsidR="005435E9" w:rsidRDefault="005435E9">
      <w:pPr>
        <w:pStyle w:val="yMiscellaneousHeading"/>
        <w:rPr>
          <w:b/>
          <w:bCs/>
          <w:snapToGrid w:val="0"/>
        </w:rPr>
      </w:pPr>
      <w:r>
        <w:rPr>
          <w:b/>
          <w:bCs/>
          <w:snapToGrid w:val="0"/>
        </w:rPr>
        <w:t>Government trading organisations</w:t>
      </w:r>
    </w:p>
    <w:p w:rsidR="005435E9" w:rsidRDefault="005435E9">
      <w:pPr>
        <w:pStyle w:val="yEdnotesubsection"/>
      </w:pPr>
      <w:r>
        <w:t>[(1)</w:t>
      </w:r>
      <w:r>
        <w:noBreakHyphen/>
        <w:t>(2)</w:t>
      </w:r>
      <w:r>
        <w:tab/>
        <w:t>deleted]</w:t>
      </w:r>
    </w:p>
    <w:p w:rsidR="005435E9" w:rsidRDefault="005435E9">
      <w:pPr>
        <w:pStyle w:val="yNumberedItem"/>
      </w:pPr>
      <w:r>
        <w:t>3.</w:t>
      </w:r>
      <w:r>
        <w:tab/>
        <w:t xml:space="preserve">Electricity Generation and Retail Corporation established under the </w:t>
      </w:r>
      <w:r>
        <w:rPr>
          <w:i/>
        </w:rPr>
        <w:t>Electricity Corporations Act 2005</w:t>
      </w:r>
      <w:r>
        <w:t xml:space="preserve"> section 4.</w:t>
      </w:r>
    </w:p>
    <w:p w:rsidR="005435E9" w:rsidRDefault="005435E9">
      <w:pPr>
        <w:pStyle w:val="yNumberedItem"/>
      </w:pPr>
      <w:r>
        <w:t>4.</w:t>
      </w:r>
      <w:r>
        <w:tab/>
        <w:t xml:space="preserve">Electricity Networks Corporation established under the </w:t>
      </w:r>
      <w:r>
        <w:rPr>
          <w:i/>
        </w:rPr>
        <w:t>Electricity Corporations Act 2005</w:t>
      </w:r>
      <w:r>
        <w:t xml:space="preserve"> section 4.</w:t>
      </w:r>
    </w:p>
    <w:p w:rsidR="005435E9" w:rsidRDefault="005435E9">
      <w:pPr>
        <w:pStyle w:val="yEdnotesubsection"/>
      </w:pPr>
      <w:r>
        <w:t>[(5)</w:t>
      </w:r>
      <w:r>
        <w:tab/>
      </w:r>
      <w:r>
        <w:tab/>
        <w:t>deleted]</w:t>
      </w:r>
    </w:p>
    <w:p w:rsidR="005435E9" w:rsidRDefault="005435E9">
      <w:pPr>
        <w:pStyle w:val="yNumberedItem"/>
      </w:pPr>
      <w:r>
        <w:t>6.</w:t>
      </w:r>
      <w:r>
        <w:tab/>
        <w:t xml:space="preserve">Fremantle Port Authority established under the </w:t>
      </w:r>
      <w:r>
        <w:rPr>
          <w:i/>
        </w:rPr>
        <w:t>Port Authorities Act 1999</w:t>
      </w:r>
      <w:r>
        <w:t xml:space="preserve"> section 4.</w:t>
      </w:r>
    </w:p>
    <w:p w:rsidR="005435E9" w:rsidRDefault="005435E9">
      <w:pPr>
        <w:pStyle w:val="yNumberedItem"/>
      </w:pPr>
      <w:r>
        <w:t>7.</w:t>
      </w:r>
      <w:r>
        <w:tab/>
        <w:t xml:space="preserve">Gold Corporation established under the </w:t>
      </w:r>
      <w:r>
        <w:rPr>
          <w:i/>
        </w:rPr>
        <w:t>Gold Corporation Act 1987</w:t>
      </w:r>
      <w:r>
        <w:t xml:space="preserve"> section 4.</w:t>
      </w:r>
    </w:p>
    <w:p w:rsidR="005435E9" w:rsidRDefault="005435E9">
      <w:pPr>
        <w:pStyle w:val="yNumberedItem"/>
      </w:pPr>
      <w:r>
        <w:t>8.</w:t>
      </w:r>
      <w:r>
        <w:tab/>
        <w:t xml:space="preserve">GoldCorp established under the </w:t>
      </w:r>
      <w:r>
        <w:rPr>
          <w:i/>
        </w:rPr>
        <w:t>Gold Corporation Act 1987</w:t>
      </w:r>
      <w:r>
        <w:t xml:space="preserve"> section 48.</w:t>
      </w:r>
    </w:p>
    <w:p w:rsidR="005435E9" w:rsidRDefault="005435E9">
      <w:pPr>
        <w:pStyle w:val="yNumberedItem"/>
      </w:pPr>
      <w:r>
        <w:t>9.</w:t>
      </w:r>
      <w:r>
        <w:tab/>
        <w:t xml:space="preserve">The Mint continued under the </w:t>
      </w:r>
      <w:r>
        <w:rPr>
          <w:i/>
        </w:rPr>
        <w:t>Gold Corporation Act 1987</w:t>
      </w:r>
      <w:r>
        <w:t xml:space="preserve"> section 35.</w:t>
      </w:r>
    </w:p>
    <w:p w:rsidR="005435E9" w:rsidRDefault="005435E9">
      <w:pPr>
        <w:pStyle w:val="yNumberedItem"/>
      </w:pPr>
      <w:r>
        <w:t>10.</w:t>
      </w:r>
      <w:r>
        <w:tab/>
        <w:t xml:space="preserve">Housing Authority continued under the </w:t>
      </w:r>
      <w:r>
        <w:rPr>
          <w:i/>
        </w:rPr>
        <w:t>Housing Act 1980</w:t>
      </w:r>
      <w:r>
        <w:t xml:space="preserve"> section 4.</w:t>
      </w:r>
    </w:p>
    <w:p w:rsidR="005435E9" w:rsidRDefault="005435E9">
      <w:pPr>
        <w:pStyle w:val="yNumberedItem"/>
      </w:pPr>
      <w:r>
        <w:t>11.</w:t>
      </w:r>
      <w:r>
        <w:tab/>
        <w:t xml:space="preserve">Kimberly Ports Authority established under the </w:t>
      </w:r>
      <w:r>
        <w:rPr>
          <w:i/>
        </w:rPr>
        <w:t>Port Authorities Act 1999</w:t>
      </w:r>
      <w:r>
        <w:t xml:space="preserve"> section 4.</w:t>
      </w:r>
    </w:p>
    <w:p w:rsidR="005435E9" w:rsidRDefault="005435E9">
      <w:pPr>
        <w:pStyle w:val="yNumberedItem"/>
      </w:pPr>
      <w:r>
        <w:t>12.</w:t>
      </w:r>
      <w:r>
        <w:tab/>
        <w:t xml:space="preserve">Lotteries Commission continued under the </w:t>
      </w:r>
      <w:r>
        <w:rPr>
          <w:i/>
        </w:rPr>
        <w:t>Lotteries Commission Act 1990</w:t>
      </w:r>
      <w:r>
        <w:t xml:space="preserve"> section 4.</w:t>
      </w:r>
    </w:p>
    <w:p w:rsidR="005435E9" w:rsidRDefault="005435E9">
      <w:pPr>
        <w:pStyle w:val="yNumberedItem"/>
      </w:pPr>
      <w:r>
        <w:t>13.</w:t>
      </w:r>
      <w:r>
        <w:tab/>
        <w:t xml:space="preserve">Metropolitan Cemeteries Board established under the </w:t>
      </w:r>
      <w:r>
        <w:rPr>
          <w:i/>
        </w:rPr>
        <w:t>Cemeteries Act 1986</w:t>
      </w:r>
      <w:r>
        <w:t xml:space="preserve"> section 7.</w:t>
      </w:r>
    </w:p>
    <w:p w:rsidR="005435E9" w:rsidRDefault="005435E9">
      <w:pPr>
        <w:pStyle w:val="yNumberedItem"/>
      </w:pPr>
      <w:r>
        <w:t>14.</w:t>
      </w:r>
      <w:r>
        <w:tab/>
        <w:t xml:space="preserve">Mid West Ports Authority established under the </w:t>
      </w:r>
      <w:r>
        <w:rPr>
          <w:i/>
        </w:rPr>
        <w:t>Port Authorities Act 1999</w:t>
      </w:r>
      <w:r>
        <w:t xml:space="preserve"> section 4.</w:t>
      </w:r>
    </w:p>
    <w:p w:rsidR="005435E9" w:rsidRDefault="005435E9">
      <w:pPr>
        <w:pStyle w:val="yNumberedItem"/>
      </w:pPr>
      <w:r>
        <w:t>15.</w:t>
      </w:r>
      <w:r>
        <w:tab/>
        <w:t xml:space="preserve">Perth Market Authority continued under the </w:t>
      </w:r>
      <w:r>
        <w:rPr>
          <w:i/>
        </w:rPr>
        <w:t>Perth Market Act 1926</w:t>
      </w:r>
      <w:r>
        <w:t xml:space="preserve"> section 3.</w:t>
      </w:r>
    </w:p>
    <w:p w:rsidR="005435E9" w:rsidRDefault="005435E9">
      <w:pPr>
        <w:pStyle w:val="yNumberedItem"/>
      </w:pPr>
      <w:r>
        <w:t>16.</w:t>
      </w:r>
      <w:r>
        <w:tab/>
        <w:t xml:space="preserve">Perth Theatre Trust established under the </w:t>
      </w:r>
      <w:r>
        <w:rPr>
          <w:i/>
        </w:rPr>
        <w:t>Perth Theatre Trust Act 1979</w:t>
      </w:r>
      <w:r>
        <w:t xml:space="preserve"> section 4.</w:t>
      </w:r>
    </w:p>
    <w:p w:rsidR="005435E9" w:rsidRDefault="005435E9">
      <w:pPr>
        <w:pStyle w:val="yNumberedItem"/>
      </w:pPr>
      <w:r>
        <w:t>17.</w:t>
      </w:r>
      <w:r>
        <w:tab/>
        <w:t xml:space="preserve">Pilbara Ports Authority established under the </w:t>
      </w:r>
      <w:r>
        <w:rPr>
          <w:i/>
        </w:rPr>
        <w:t>Port Authorities Act 1999</w:t>
      </w:r>
      <w:r>
        <w:t xml:space="preserve"> section 4.</w:t>
      </w:r>
    </w:p>
    <w:p w:rsidR="005435E9" w:rsidRDefault="005435E9">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rsidR="005435E9" w:rsidRDefault="005435E9">
      <w:pPr>
        <w:pStyle w:val="yNumberedItem"/>
      </w:pPr>
      <w:r>
        <w:t>19.</w:t>
      </w:r>
      <w:r>
        <w:tab/>
        <w:t xml:space="preserve">Regional Power Corporation established under the </w:t>
      </w:r>
      <w:r>
        <w:rPr>
          <w:i/>
        </w:rPr>
        <w:t>Electricity Corporations Act 2005</w:t>
      </w:r>
      <w:r>
        <w:t xml:space="preserve"> section 4.</w:t>
      </w:r>
    </w:p>
    <w:p w:rsidR="005435E9" w:rsidRDefault="005435E9">
      <w:pPr>
        <w:pStyle w:val="yNumberedItem"/>
      </w:pPr>
      <w:r>
        <w:t>20A.</w:t>
      </w:r>
      <w:r>
        <w:tab/>
        <w:t xml:space="preserve">Southern Ports Authority established under the </w:t>
      </w:r>
      <w:r>
        <w:rPr>
          <w:i/>
        </w:rPr>
        <w:t>Port Authorities Act 1999</w:t>
      </w:r>
      <w:r>
        <w:t xml:space="preserve"> section 4.</w:t>
      </w:r>
    </w:p>
    <w:p w:rsidR="005435E9" w:rsidRDefault="005435E9">
      <w:pPr>
        <w:pStyle w:val="yNumberedItem"/>
      </w:pPr>
      <w:r>
        <w:t>20.</w:t>
      </w:r>
      <w:r>
        <w:tab/>
        <w:t xml:space="preserve">Western Australian Coastal Shipping Commission established under the </w:t>
      </w:r>
      <w:r>
        <w:rPr>
          <w:i/>
        </w:rPr>
        <w:t>Western Australian Coastal Shipping Commission Act 1965</w:t>
      </w:r>
      <w:r>
        <w:t xml:space="preserve"> section 5.</w:t>
      </w:r>
    </w:p>
    <w:p w:rsidR="005435E9" w:rsidRDefault="005435E9">
      <w:pPr>
        <w:pStyle w:val="yNumberedItem"/>
      </w:pPr>
      <w:r>
        <w:t>21.</w:t>
      </w:r>
      <w:r>
        <w:tab/>
        <w:t xml:space="preserve">Western Australian Land Authority established under the </w:t>
      </w:r>
      <w:r>
        <w:rPr>
          <w:i/>
        </w:rPr>
        <w:t>Western Australian Land Authority Act 1992</w:t>
      </w:r>
      <w:r>
        <w:t xml:space="preserve"> section 5.</w:t>
      </w:r>
    </w:p>
    <w:p w:rsidR="005435E9" w:rsidRDefault="005435E9">
      <w:pPr>
        <w:pStyle w:val="yFootnotesection"/>
      </w:pPr>
      <w:r>
        <w:tab/>
        <w:t>[Schedule 8 amended: Gazette 19 Sep 2014 p. 3345.]</w:t>
      </w:r>
    </w:p>
    <w:p w:rsidR="005435E9" w:rsidRDefault="005435E9">
      <w:pPr>
        <w:pStyle w:val="yFootnotesection"/>
      </w:pPr>
    </w:p>
    <w:p w:rsidR="005435E9" w:rsidRDefault="005435E9">
      <w:pPr>
        <w:pStyle w:val="yFootnotesection"/>
        <w:sectPr w:rsidR="005435E9">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5435E9" w:rsidRDefault="005435E9">
      <w:pPr>
        <w:pStyle w:val="yScheduleHeading"/>
      </w:pPr>
      <w:bookmarkStart w:id="367" w:name="_Toc75266369"/>
      <w:bookmarkStart w:id="368" w:name="_Toc75269650"/>
      <w:bookmarkStart w:id="369" w:name="_Toc75351149"/>
      <w:bookmarkStart w:id="370" w:name="_Toc75519818"/>
      <w:r>
        <w:rPr>
          <w:rStyle w:val="CharSchNo"/>
        </w:rPr>
        <w:lastRenderedPageBreak/>
        <w:t>Schedule 9</w:t>
      </w:r>
      <w:r>
        <w:rPr>
          <w:rStyle w:val="CharSDivNo"/>
        </w:rPr>
        <w:t> </w:t>
      </w:r>
      <w:r>
        <w:t>—</w:t>
      </w:r>
      <w:r>
        <w:rPr>
          <w:rStyle w:val="CharSDivText"/>
        </w:rPr>
        <w:t> </w:t>
      </w:r>
      <w:r>
        <w:rPr>
          <w:rStyle w:val="CharSchText"/>
        </w:rPr>
        <w:t>Central business districts</w:t>
      </w:r>
      <w:bookmarkEnd w:id="367"/>
      <w:bookmarkEnd w:id="368"/>
      <w:bookmarkEnd w:id="369"/>
      <w:bookmarkEnd w:id="370"/>
    </w:p>
    <w:p w:rsidR="005435E9" w:rsidRDefault="005435E9">
      <w:pPr>
        <w:pStyle w:val="yShoulderClause"/>
      </w:pPr>
      <w:r>
        <w:t>[r. 16(1)]</w:t>
      </w:r>
    </w:p>
    <w:p w:rsidR="005435E9" w:rsidRDefault="005435E9">
      <w:pPr>
        <w:pStyle w:val="yHeading5"/>
      </w:pPr>
      <w:bookmarkStart w:id="371" w:name="_Toc75519819"/>
      <w:r>
        <w:rPr>
          <w:rStyle w:val="CharSClsNo"/>
        </w:rPr>
        <w:t>1</w:t>
      </w:r>
      <w:r>
        <w:t>.</w:t>
      </w:r>
      <w:r>
        <w:tab/>
        <w:t>Central business districts</w:t>
      </w:r>
      <w:bookmarkEnd w:id="371"/>
    </w:p>
    <w:p w:rsidR="005435E9" w:rsidRDefault="005435E9">
      <w:pPr>
        <w:pStyle w:val="ySubsection"/>
      </w:pPr>
      <w:r>
        <w:tab/>
        <w:t>(1)</w:t>
      </w:r>
      <w:r>
        <w:tab/>
        <w:t>For the purposes of Part 5, the central business districts are the districts described in subclauses (2) and (3).</w:t>
      </w:r>
    </w:p>
    <w:p w:rsidR="005435E9" w:rsidRDefault="005435E9">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5435E9" w:rsidRDefault="005435E9">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5435E9" w:rsidRDefault="005435E9">
      <w:pPr>
        <w:pStyle w:val="ySubsection"/>
        <w:sectPr w:rsidR="005435E9">
          <w:headerReference w:type="even" r:id="rId31"/>
          <w:headerReference w:type="default" r:id="rId32"/>
          <w:pgSz w:w="11907" w:h="16840" w:code="9"/>
          <w:pgMar w:top="2376" w:right="2405" w:bottom="3542" w:left="2405" w:header="706" w:footer="3380" w:gutter="0"/>
          <w:cols w:space="720"/>
          <w:noEndnote/>
          <w:docGrid w:linePitch="326"/>
        </w:sectPr>
      </w:pPr>
    </w:p>
    <w:p w:rsidR="005435E9" w:rsidRDefault="005435E9">
      <w:pPr>
        <w:pStyle w:val="yScheduleHeading"/>
      </w:pPr>
      <w:bookmarkStart w:id="372" w:name="_Toc75266371"/>
      <w:bookmarkStart w:id="373" w:name="_Toc75269652"/>
      <w:bookmarkStart w:id="374" w:name="_Toc75351151"/>
      <w:bookmarkStart w:id="375" w:name="_Toc75519820"/>
      <w:r>
        <w:rPr>
          <w:rStyle w:val="CharSchNo"/>
        </w:rPr>
        <w:lastRenderedPageBreak/>
        <w:t>Schedule 10</w:t>
      </w:r>
      <w:r>
        <w:t> — </w:t>
      </w:r>
      <w:r>
        <w:rPr>
          <w:rStyle w:val="CharSchText"/>
        </w:rPr>
        <w:t>Class of town or area: current consumption year</w:t>
      </w:r>
      <w:bookmarkEnd w:id="372"/>
      <w:bookmarkEnd w:id="373"/>
      <w:bookmarkEnd w:id="374"/>
      <w:bookmarkEnd w:id="375"/>
    </w:p>
    <w:p w:rsidR="005435E9" w:rsidRDefault="005435E9">
      <w:pPr>
        <w:pStyle w:val="yShoulderClause"/>
      </w:pPr>
      <w:r>
        <w:t>[Sch. 3 it. 23]</w:t>
      </w:r>
    </w:p>
    <w:p w:rsidR="005435E9" w:rsidRDefault="005435E9">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5435E9">
        <w:trPr>
          <w:tblHeader/>
        </w:trPr>
        <w:tc>
          <w:tcPr>
            <w:tcW w:w="3119" w:type="dxa"/>
            <w:tcBorders>
              <w:top w:val="single" w:sz="4" w:space="0" w:color="auto"/>
              <w:bottom w:val="single" w:sz="4" w:space="0" w:color="auto"/>
            </w:tcBorders>
          </w:tcPr>
          <w:p w:rsidR="005435E9" w:rsidRDefault="005435E9">
            <w:pPr>
              <w:pStyle w:val="yTableNAm"/>
              <w:rPr>
                <w:b/>
              </w:rPr>
            </w:pPr>
            <w:r>
              <w:rPr>
                <w:b/>
              </w:rPr>
              <w:t>Town/area</w:t>
            </w:r>
          </w:p>
        </w:tc>
        <w:tc>
          <w:tcPr>
            <w:tcW w:w="1842" w:type="dxa"/>
            <w:tcBorders>
              <w:top w:val="single" w:sz="4" w:space="0" w:color="auto"/>
              <w:bottom w:val="single" w:sz="4" w:space="0" w:color="auto"/>
            </w:tcBorders>
            <w:vAlign w:val="center"/>
          </w:tcPr>
          <w:p w:rsidR="005435E9" w:rsidRDefault="005435E9">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rsidR="005435E9" w:rsidRDefault="005435E9">
            <w:pPr>
              <w:pStyle w:val="yTableNAm"/>
              <w:jc w:val="center"/>
              <w:rPr>
                <w:b/>
              </w:rPr>
            </w:pPr>
            <w:r>
              <w:rPr>
                <w:b/>
              </w:rPr>
              <w:t>Non</w:t>
            </w:r>
            <w:r>
              <w:rPr>
                <w:b/>
              </w:rPr>
              <w:noBreakHyphen/>
              <w:t>residential classification</w:t>
            </w:r>
          </w:p>
        </w:tc>
      </w:tr>
      <w:tr w:rsidR="005435E9">
        <w:tc>
          <w:tcPr>
            <w:tcW w:w="3119" w:type="dxa"/>
            <w:tcBorders>
              <w:top w:val="single" w:sz="4" w:space="0" w:color="auto"/>
            </w:tcBorders>
          </w:tcPr>
          <w:p w:rsidR="005435E9" w:rsidRDefault="005435E9">
            <w:pPr>
              <w:pStyle w:val="yTableNAm"/>
            </w:pPr>
            <w:r>
              <w:t>Albany</w:t>
            </w:r>
          </w:p>
        </w:tc>
        <w:tc>
          <w:tcPr>
            <w:tcW w:w="1842" w:type="dxa"/>
            <w:tcBorders>
              <w:top w:val="single" w:sz="4" w:space="0" w:color="auto"/>
            </w:tcBorders>
            <w:vAlign w:val="center"/>
          </w:tcPr>
          <w:p w:rsidR="005435E9" w:rsidRDefault="005435E9">
            <w:pPr>
              <w:pStyle w:val="yTableNAm"/>
              <w:jc w:val="center"/>
            </w:pPr>
            <w:r>
              <w:t>4</w:t>
            </w:r>
          </w:p>
        </w:tc>
        <w:tc>
          <w:tcPr>
            <w:tcW w:w="1843" w:type="dxa"/>
            <w:tcBorders>
              <w:top w:val="single" w:sz="4" w:space="0" w:color="auto"/>
            </w:tcBorders>
            <w:vAlign w:val="center"/>
          </w:tcPr>
          <w:p w:rsidR="005435E9" w:rsidRDefault="005435E9">
            <w:pPr>
              <w:pStyle w:val="yTableNAm"/>
              <w:jc w:val="center"/>
            </w:pPr>
            <w:r>
              <w:t>11</w:t>
            </w:r>
          </w:p>
        </w:tc>
      </w:tr>
      <w:tr w:rsidR="005435E9">
        <w:tc>
          <w:tcPr>
            <w:tcW w:w="3119" w:type="dxa"/>
          </w:tcPr>
          <w:p w:rsidR="005435E9" w:rsidRDefault="005435E9">
            <w:pPr>
              <w:pStyle w:val="yTableNAm"/>
            </w:pPr>
            <w:r>
              <w:t>Allanooka Farmlands</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Allanson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Arrino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Arrowsmith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Augusta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Australind/Eaton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Badgingarra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Bakers 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Balingup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Ballidu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Beacon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Bencubbin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Beverley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Bindi Bindi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Bindoon/Chittering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Binningup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Bodallin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Boddington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Bolgart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Borden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Boyanup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lastRenderedPageBreak/>
              <w:t>Boyup Brook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Bremer Bay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Bridgetown/Hester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Broad Arrow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Brookton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Broome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Broomehill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Bruce Rock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Brunswick/Burekup/Roelands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Bullaring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Bullfinch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Bunjil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Buntine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Burracoppin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Calingiri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Camballin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Capel</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Carnamah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Carnarvon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Caron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Cervantes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Collie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Collie Farmlands</w:t>
            </w:r>
          </w:p>
        </w:tc>
        <w:tc>
          <w:tcPr>
            <w:tcW w:w="1842" w:type="dxa"/>
            <w:vAlign w:val="center"/>
          </w:tcPr>
          <w:p w:rsidR="005435E9" w:rsidRDefault="005435E9">
            <w:pPr>
              <w:pStyle w:val="yTableNAm"/>
              <w:jc w:val="center"/>
            </w:pPr>
            <w:r>
              <w:t>1</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Condingup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Coolgardie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Coomberdale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Coorow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Coral Bay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N/A</w:t>
            </w:r>
          </w:p>
        </w:tc>
      </w:tr>
      <w:tr w:rsidR="005435E9">
        <w:tc>
          <w:tcPr>
            <w:tcW w:w="3119" w:type="dxa"/>
          </w:tcPr>
          <w:p w:rsidR="005435E9" w:rsidRDefault="005435E9">
            <w:pPr>
              <w:pStyle w:val="yTableNAm"/>
            </w:pPr>
            <w:r>
              <w:t>Corrigin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Cowaramup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Cranbrook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Cuballing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Cunderdin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Dalwallinu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Dalyellup</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4</w:t>
            </w:r>
          </w:p>
        </w:tc>
      </w:tr>
      <w:tr w:rsidR="005435E9">
        <w:tc>
          <w:tcPr>
            <w:tcW w:w="3119" w:type="dxa"/>
          </w:tcPr>
          <w:p w:rsidR="005435E9" w:rsidRDefault="005435E9">
            <w:pPr>
              <w:pStyle w:val="yTableNAm"/>
            </w:pPr>
            <w:r>
              <w:t>Dandaragan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Dardanup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Darkan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Dathagnoorara Farmlands</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Denham (Saline)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Denmark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Derby</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Dongara/Denison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Donnybrook</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8</w:t>
            </w:r>
          </w:p>
        </w:tc>
      </w:tr>
      <w:tr w:rsidR="005435E9">
        <w:tc>
          <w:tcPr>
            <w:tcW w:w="3119" w:type="dxa"/>
          </w:tcPr>
          <w:p w:rsidR="005435E9" w:rsidRDefault="005435E9">
            <w:pPr>
              <w:pStyle w:val="yTableNAm"/>
            </w:pPr>
            <w:r>
              <w:t>Doodlakine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Dowerin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Dudinin/Harrismith/Jitarning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Dumbleyung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Dunsborough/Yallingup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Dwellingup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Eneabba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Eradu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Esperance</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Exmouth</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t>Fitzroy Crossing</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Frankland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Gabbadah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Gascoyne Junction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Geraldton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4</w:t>
            </w:r>
          </w:p>
        </w:tc>
      </w:tr>
      <w:tr w:rsidR="005435E9">
        <w:tc>
          <w:tcPr>
            <w:tcW w:w="3119" w:type="dxa"/>
          </w:tcPr>
          <w:p w:rsidR="005435E9" w:rsidRDefault="005435E9">
            <w:pPr>
              <w:pStyle w:val="yTableNAm"/>
            </w:pPr>
            <w:r>
              <w:t>Gibson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Gingin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Gnowangerup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Goomalling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Grass Patch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Grass Valley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Greenbushes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Greenhead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Guilderton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Halls Creek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Hamel/Waroona</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Harvey/Wokalup</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Highbury/Piesseville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Hines 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Hopetoun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Horrocks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Hyden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Jerramungup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Jurien Bay</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Kalannie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Kalbarri</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Kalgoorlie/Boulder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Kambalda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Karakin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Karlgarin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Karratha</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8</w:t>
            </w:r>
          </w:p>
        </w:tc>
      </w:tr>
      <w:tr w:rsidR="005435E9">
        <w:tc>
          <w:tcPr>
            <w:tcW w:w="3119" w:type="dxa"/>
          </w:tcPr>
          <w:p w:rsidR="005435E9" w:rsidRDefault="005435E9">
            <w:pPr>
              <w:pStyle w:val="yTableNAm"/>
            </w:pPr>
            <w:r>
              <w:t>Katanning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Katanning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Kellerberrin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Kendenup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Kendenup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Kirup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Kojonup/Muradup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Kondinin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Koorda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Kukerin/Moulyinning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Kununoppin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Kununurra</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Lake Grace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Lake King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Lancelin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Latham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Laverton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Ledge Point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Leeman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Leonora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Mandurah</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Manjimup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Marble Bar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Margaret River</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Marvel Loch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Meckering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Meekatharra</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Menzies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Merredin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Merredin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Miling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Mingenew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Moora</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3</w:t>
            </w:r>
          </w:p>
        </w:tc>
      </w:tr>
      <w:tr w:rsidR="005435E9">
        <w:tc>
          <w:tcPr>
            <w:tcW w:w="3119" w:type="dxa"/>
          </w:tcPr>
          <w:p w:rsidR="005435E9" w:rsidRDefault="005435E9">
            <w:pPr>
              <w:pStyle w:val="yTableNAm"/>
            </w:pPr>
            <w:r>
              <w:t>Moorine Rock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Morawa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Mount Barker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Mount Magnet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Mukinbudin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Mullalyup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Mullewa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Mullewa Farmlands</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Munglinup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Muntadgin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Myalup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Nabawa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Nannup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Narembeen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Narngulu</w:t>
            </w:r>
          </w:p>
        </w:tc>
        <w:tc>
          <w:tcPr>
            <w:tcW w:w="1842" w:type="dxa"/>
            <w:vAlign w:val="center"/>
          </w:tcPr>
          <w:p w:rsidR="005435E9" w:rsidRDefault="005435E9">
            <w:pPr>
              <w:pStyle w:val="yTableNAm"/>
              <w:jc w:val="center"/>
            </w:pPr>
            <w:r>
              <w:t>1</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Narrikup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Narrogin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Narrogin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New Norcia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Newdegate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Newman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Nilgen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Norseman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North Dandalup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t>Northam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Northam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Northampton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Northcliffe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Nullagine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Nungarin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Nyabing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Ongerup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Onslow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Ora Banda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Park Ridge</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Pemberton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Peppermint Grove Beach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Perenjori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Pingaring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Pingelly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Pinjarra</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2</w:t>
            </w:r>
          </w:p>
        </w:tc>
      </w:tr>
      <w:tr w:rsidR="005435E9">
        <w:tc>
          <w:tcPr>
            <w:tcW w:w="3119" w:type="dxa"/>
          </w:tcPr>
          <w:p w:rsidR="005435E9" w:rsidRDefault="005435E9">
            <w:pPr>
              <w:pStyle w:val="yTableNAm"/>
            </w:pPr>
            <w:r>
              <w:t>Pithara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Point Samson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Popanyinning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Porongurup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Port Hedland</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Preston Beach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Prevelly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Quairading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Quinninup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Ravensthorpe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Rocky Gully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Roebourne</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Salmon Gums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Sandstone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Seabird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South Hedland</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Southern Cross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Tambellup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Tammin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Three Springs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Tincurrin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Toodyay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Trayning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Varley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Walkaway</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Walpole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Wandering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Watheroo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Wellstead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Westonia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Wickepin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Wickham</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Widgiemooltha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Williams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Wiluna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Wongan Hills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Woodanilling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Woodridge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Wubin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Wundowie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Wyalkatchem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Wyndham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Yalgoo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Yarloop/Wagerup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Yealering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Yerecoin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York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Borders>
              <w:bottom w:val="single" w:sz="4" w:space="0" w:color="auto"/>
            </w:tcBorders>
          </w:tcPr>
          <w:p w:rsidR="005435E9" w:rsidRDefault="005435E9">
            <w:pPr>
              <w:pStyle w:val="yTableNAm"/>
            </w:pPr>
            <w:r>
              <w:t>Yuna</w:t>
            </w:r>
          </w:p>
        </w:tc>
        <w:tc>
          <w:tcPr>
            <w:tcW w:w="1842" w:type="dxa"/>
            <w:tcBorders>
              <w:bottom w:val="single" w:sz="4" w:space="0" w:color="auto"/>
            </w:tcBorders>
            <w:vAlign w:val="center"/>
          </w:tcPr>
          <w:p w:rsidR="005435E9" w:rsidRDefault="005435E9">
            <w:pPr>
              <w:pStyle w:val="yTableNAm"/>
              <w:jc w:val="center"/>
            </w:pPr>
            <w:r>
              <w:t>5</w:t>
            </w:r>
          </w:p>
        </w:tc>
        <w:tc>
          <w:tcPr>
            <w:tcW w:w="1843" w:type="dxa"/>
            <w:tcBorders>
              <w:bottom w:val="single" w:sz="4" w:space="0" w:color="auto"/>
            </w:tcBorders>
            <w:vAlign w:val="center"/>
          </w:tcPr>
          <w:p w:rsidR="005435E9" w:rsidRDefault="005435E9">
            <w:pPr>
              <w:pStyle w:val="yTableNAm"/>
              <w:jc w:val="center"/>
            </w:pPr>
            <w:r>
              <w:t>15</w:t>
            </w:r>
          </w:p>
        </w:tc>
      </w:tr>
    </w:tbl>
    <w:p w:rsidR="005435E9" w:rsidRDefault="005435E9">
      <w:pPr>
        <w:pStyle w:val="yFootnotesection"/>
      </w:pPr>
      <w:r>
        <w:tab/>
        <w:t>[Schedule 10 inserted: Gazette 14 Jun 2019 p. 1986</w:t>
      </w:r>
      <w:r>
        <w:noBreakHyphen/>
        <w:t>95.]</w:t>
      </w:r>
    </w:p>
    <w:p w:rsidR="005435E9" w:rsidRDefault="005435E9">
      <w:pPr>
        <w:pStyle w:val="yScheduleHeading"/>
      </w:pPr>
      <w:bookmarkStart w:id="376" w:name="_Toc75266372"/>
      <w:bookmarkStart w:id="377" w:name="_Toc75269653"/>
      <w:bookmarkStart w:id="378" w:name="_Toc75351152"/>
      <w:bookmarkStart w:id="379" w:name="_Toc75519821"/>
      <w:r>
        <w:rPr>
          <w:rStyle w:val="CharSchNo"/>
        </w:rPr>
        <w:lastRenderedPageBreak/>
        <w:t>Schedule 11</w:t>
      </w:r>
      <w:r>
        <w:t> — </w:t>
      </w:r>
      <w:r>
        <w:rPr>
          <w:rStyle w:val="CharSchText"/>
        </w:rPr>
        <w:t>Class of town or area: previous consumption year</w:t>
      </w:r>
      <w:bookmarkEnd w:id="376"/>
      <w:bookmarkEnd w:id="377"/>
      <w:bookmarkEnd w:id="378"/>
      <w:bookmarkEnd w:id="379"/>
    </w:p>
    <w:p w:rsidR="005435E9" w:rsidRDefault="005435E9">
      <w:pPr>
        <w:pStyle w:val="yShoulderClause"/>
      </w:pPr>
      <w:r>
        <w:t>[Sch. 3 it. 23]</w:t>
      </w:r>
    </w:p>
    <w:p w:rsidR="005435E9" w:rsidRDefault="005435E9">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5435E9">
        <w:trPr>
          <w:tblHeader/>
        </w:trPr>
        <w:tc>
          <w:tcPr>
            <w:tcW w:w="3119" w:type="dxa"/>
            <w:tcBorders>
              <w:top w:val="single" w:sz="4" w:space="0" w:color="auto"/>
              <w:bottom w:val="single" w:sz="4" w:space="0" w:color="auto"/>
            </w:tcBorders>
          </w:tcPr>
          <w:p w:rsidR="005435E9" w:rsidRDefault="005435E9">
            <w:pPr>
              <w:pStyle w:val="yTableNAm"/>
              <w:rPr>
                <w:b/>
                <w:bCs/>
              </w:rPr>
            </w:pPr>
            <w:r>
              <w:rPr>
                <w:b/>
                <w:bCs/>
              </w:rPr>
              <w:t>Town/area</w:t>
            </w:r>
          </w:p>
        </w:tc>
        <w:tc>
          <w:tcPr>
            <w:tcW w:w="1842" w:type="dxa"/>
            <w:tcBorders>
              <w:top w:val="single" w:sz="4" w:space="0" w:color="auto"/>
              <w:bottom w:val="single" w:sz="4" w:space="0" w:color="auto"/>
            </w:tcBorders>
            <w:vAlign w:val="center"/>
          </w:tcPr>
          <w:p w:rsidR="005435E9" w:rsidRDefault="005435E9">
            <w:pPr>
              <w:pStyle w:val="yTableNAm"/>
              <w:rPr>
                <w:b/>
                <w:bCs/>
              </w:rPr>
            </w:pPr>
            <w:r>
              <w:rPr>
                <w:b/>
                <w:bCs/>
              </w:rPr>
              <w:t>Residential classification</w:t>
            </w:r>
          </w:p>
        </w:tc>
        <w:tc>
          <w:tcPr>
            <w:tcW w:w="1843" w:type="dxa"/>
            <w:tcBorders>
              <w:top w:val="single" w:sz="4" w:space="0" w:color="auto"/>
              <w:bottom w:val="single" w:sz="4" w:space="0" w:color="auto"/>
            </w:tcBorders>
            <w:vAlign w:val="center"/>
          </w:tcPr>
          <w:p w:rsidR="005435E9" w:rsidRDefault="005435E9">
            <w:pPr>
              <w:pStyle w:val="yTableNAm"/>
              <w:rPr>
                <w:b/>
                <w:bCs/>
              </w:rPr>
            </w:pPr>
            <w:r>
              <w:rPr>
                <w:b/>
                <w:bCs/>
              </w:rPr>
              <w:t>Non</w:t>
            </w:r>
            <w:r>
              <w:rPr>
                <w:b/>
                <w:bCs/>
              </w:rPr>
              <w:noBreakHyphen/>
              <w:t>residential classification</w:t>
            </w:r>
          </w:p>
        </w:tc>
      </w:tr>
      <w:tr w:rsidR="005435E9">
        <w:tc>
          <w:tcPr>
            <w:tcW w:w="3119" w:type="dxa"/>
            <w:tcBorders>
              <w:top w:val="single" w:sz="4" w:space="0" w:color="auto"/>
            </w:tcBorders>
          </w:tcPr>
          <w:p w:rsidR="005435E9" w:rsidRDefault="005435E9">
            <w:pPr>
              <w:pStyle w:val="yTableNAm"/>
            </w:pPr>
            <w:r>
              <w:t>Albany</w:t>
            </w:r>
          </w:p>
        </w:tc>
        <w:tc>
          <w:tcPr>
            <w:tcW w:w="1842" w:type="dxa"/>
            <w:tcBorders>
              <w:top w:val="single" w:sz="4" w:space="0" w:color="auto"/>
            </w:tcBorders>
            <w:vAlign w:val="center"/>
          </w:tcPr>
          <w:p w:rsidR="005435E9" w:rsidRDefault="005435E9">
            <w:pPr>
              <w:pStyle w:val="yTableNAm"/>
              <w:jc w:val="center"/>
            </w:pPr>
            <w:r>
              <w:t>4</w:t>
            </w:r>
          </w:p>
        </w:tc>
        <w:tc>
          <w:tcPr>
            <w:tcW w:w="1843" w:type="dxa"/>
            <w:tcBorders>
              <w:top w:val="single" w:sz="4" w:space="0" w:color="auto"/>
            </w:tcBorders>
            <w:vAlign w:val="center"/>
          </w:tcPr>
          <w:p w:rsidR="005435E9" w:rsidRDefault="005435E9">
            <w:pPr>
              <w:pStyle w:val="yTableNAm"/>
              <w:jc w:val="center"/>
            </w:pPr>
            <w:r>
              <w:t>11</w:t>
            </w:r>
          </w:p>
        </w:tc>
      </w:tr>
      <w:tr w:rsidR="005435E9">
        <w:tc>
          <w:tcPr>
            <w:tcW w:w="3119" w:type="dxa"/>
          </w:tcPr>
          <w:p w:rsidR="005435E9" w:rsidRDefault="005435E9">
            <w:pPr>
              <w:pStyle w:val="yTableNAm"/>
            </w:pPr>
            <w:r>
              <w:t>Allanooka Farmlands</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Allanson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Arrino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Arrowsmith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Augusta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Australind/Eaton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Badgingarra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Bakers 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Balingup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Ballidu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Beacon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Bencubbin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Beverley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Bindi Bindi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Bindoon/Chittering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Binningup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Bodallin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Boddington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Bolgart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Borden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Boyanup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lastRenderedPageBreak/>
              <w:t>Boyup Brook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Bremer Bay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Bridgetown/Hester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Broad Arrow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Brookton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Broome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Broomehill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Bruce Rock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Brunswick/Burekup/Roelands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Bullaring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Bullfinch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Bunjil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Buntine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Burracoppin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Calingiri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Camballin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Capel</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Carnamah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Carnarvon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Caron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Cervantes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Collie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Collie Farmlands</w:t>
            </w:r>
          </w:p>
        </w:tc>
        <w:tc>
          <w:tcPr>
            <w:tcW w:w="1842" w:type="dxa"/>
            <w:vAlign w:val="center"/>
          </w:tcPr>
          <w:p w:rsidR="005435E9" w:rsidRDefault="005435E9">
            <w:pPr>
              <w:pStyle w:val="yTableNAm"/>
              <w:jc w:val="center"/>
            </w:pPr>
            <w:r>
              <w:t>1</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Condingup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Coolgardie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Coomberdale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Coorow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Coral Bay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N/A</w:t>
            </w:r>
          </w:p>
        </w:tc>
      </w:tr>
      <w:tr w:rsidR="005435E9">
        <w:tc>
          <w:tcPr>
            <w:tcW w:w="3119" w:type="dxa"/>
          </w:tcPr>
          <w:p w:rsidR="005435E9" w:rsidRDefault="005435E9">
            <w:pPr>
              <w:pStyle w:val="yTableNAm"/>
            </w:pPr>
            <w:r>
              <w:t>Corrigin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Cowaramup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Cranbrook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Cuballing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Cunderdin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Dalwallinu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Dalyellup</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4</w:t>
            </w:r>
          </w:p>
        </w:tc>
      </w:tr>
      <w:tr w:rsidR="005435E9">
        <w:tc>
          <w:tcPr>
            <w:tcW w:w="3119" w:type="dxa"/>
          </w:tcPr>
          <w:p w:rsidR="005435E9" w:rsidRDefault="005435E9">
            <w:pPr>
              <w:pStyle w:val="yTableNAm"/>
            </w:pPr>
            <w:r>
              <w:t>Dandaragan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Dardanup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Darkan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Dathagnoorara Farmlands</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Denham (Saline)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Denmark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Derby</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Dongara/Denison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Donnybrook</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8</w:t>
            </w:r>
          </w:p>
        </w:tc>
      </w:tr>
      <w:tr w:rsidR="005435E9">
        <w:tc>
          <w:tcPr>
            <w:tcW w:w="3119" w:type="dxa"/>
          </w:tcPr>
          <w:p w:rsidR="005435E9" w:rsidRDefault="005435E9">
            <w:pPr>
              <w:pStyle w:val="yTableNAm"/>
            </w:pPr>
            <w:r>
              <w:t>Doodlakine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Dowerin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Dudinin/Harrismith/Jitarning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Dumbleyung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Dunsborough/Yallingup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Dwellingup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Eneabba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Eradu</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Esperance</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Exmouth</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t>Fitzroy Crossing</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Frankland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Gabbadah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Gascoyne Junction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Geraldton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4</w:t>
            </w:r>
          </w:p>
        </w:tc>
      </w:tr>
      <w:tr w:rsidR="005435E9">
        <w:tc>
          <w:tcPr>
            <w:tcW w:w="3119" w:type="dxa"/>
          </w:tcPr>
          <w:p w:rsidR="005435E9" w:rsidRDefault="005435E9">
            <w:pPr>
              <w:pStyle w:val="yTableNAm"/>
            </w:pPr>
            <w:r>
              <w:t>Gibson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Gingin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Gnowangerup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Goomalling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Grass Patch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Grass Valley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Greenbushes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Greenhead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Guilderton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Halls Creek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Hamel/Waroona</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Harvey/Wokalup</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Highbury/Piesseville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Hines Hill</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Hopetoun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Horrocks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Hyden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Jerramungup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Jurien Bay</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Kalannie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Kalbarri</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Kalgoorlie/Boulder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Kambalda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Karakin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Karlgarin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Karratha</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8</w:t>
            </w:r>
          </w:p>
        </w:tc>
      </w:tr>
      <w:tr w:rsidR="005435E9">
        <w:tc>
          <w:tcPr>
            <w:tcW w:w="3119" w:type="dxa"/>
          </w:tcPr>
          <w:p w:rsidR="005435E9" w:rsidRDefault="005435E9">
            <w:pPr>
              <w:pStyle w:val="yTableNAm"/>
            </w:pPr>
            <w:r>
              <w:t>Katanning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Katanning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Kellerberrin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Kendenup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Kendenup Farmlands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Kirup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Kojonup/Muradup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Kondinin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Koorda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Kukerin/Moulyinning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Kununoppin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Kununurra</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Lake Grace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Lake King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Lancelin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Latham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Laverton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Ledge Point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Leeman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Leonora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Mandurah</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7</w:t>
            </w:r>
          </w:p>
        </w:tc>
      </w:tr>
      <w:tr w:rsidR="005435E9">
        <w:tc>
          <w:tcPr>
            <w:tcW w:w="3119" w:type="dxa"/>
          </w:tcPr>
          <w:p w:rsidR="005435E9" w:rsidRDefault="005435E9">
            <w:pPr>
              <w:pStyle w:val="yTableNAm"/>
            </w:pPr>
            <w:r>
              <w:t>Manjimup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Marble Bar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Margaret River</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Marvel Loch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Meckering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Meekatharra</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Menzies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Merredin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Merredin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Miling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Mingenew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Moora</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3</w:t>
            </w:r>
          </w:p>
        </w:tc>
      </w:tr>
      <w:tr w:rsidR="005435E9">
        <w:tc>
          <w:tcPr>
            <w:tcW w:w="3119" w:type="dxa"/>
          </w:tcPr>
          <w:p w:rsidR="005435E9" w:rsidRDefault="005435E9">
            <w:pPr>
              <w:pStyle w:val="yTableNAm"/>
            </w:pPr>
            <w:r>
              <w:t>Moorine Rock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Morawa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Mount Barker</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Mount Magnet</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Mukinbudin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Mullalyup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Mullewa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Mullewa Farmlands</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Munglinup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Muntadgin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Myalup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Nabawa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Nannup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Narembeen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Narngulu</w:t>
            </w:r>
          </w:p>
        </w:tc>
        <w:tc>
          <w:tcPr>
            <w:tcW w:w="1842" w:type="dxa"/>
            <w:vAlign w:val="center"/>
          </w:tcPr>
          <w:p w:rsidR="005435E9" w:rsidRDefault="005435E9">
            <w:pPr>
              <w:pStyle w:val="yTableNAm"/>
              <w:jc w:val="center"/>
            </w:pPr>
            <w:r>
              <w:t>1</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Narrikup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Narrogin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Narrogin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New Norcia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Newdegate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Newman</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6</w:t>
            </w:r>
          </w:p>
        </w:tc>
      </w:tr>
      <w:tr w:rsidR="005435E9">
        <w:tc>
          <w:tcPr>
            <w:tcW w:w="3119" w:type="dxa"/>
          </w:tcPr>
          <w:p w:rsidR="005435E9" w:rsidRDefault="005435E9">
            <w:pPr>
              <w:pStyle w:val="yTableNAm"/>
            </w:pPr>
            <w:r>
              <w:t>Nilgen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14</w:t>
            </w:r>
          </w:p>
        </w:tc>
      </w:tr>
      <w:tr w:rsidR="005435E9">
        <w:tc>
          <w:tcPr>
            <w:tcW w:w="3119" w:type="dxa"/>
          </w:tcPr>
          <w:p w:rsidR="005435E9" w:rsidRDefault="005435E9">
            <w:pPr>
              <w:pStyle w:val="yTableNAm"/>
            </w:pPr>
            <w:r>
              <w:t>Norseman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North Dandalup</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12</w:t>
            </w:r>
          </w:p>
        </w:tc>
      </w:tr>
      <w:tr w:rsidR="005435E9">
        <w:tc>
          <w:tcPr>
            <w:tcW w:w="3119" w:type="dxa"/>
          </w:tcPr>
          <w:p w:rsidR="005435E9" w:rsidRDefault="005435E9">
            <w:pPr>
              <w:pStyle w:val="yTableNAm"/>
            </w:pPr>
            <w:r>
              <w:t>Northam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Northam Farmlands</w:t>
            </w:r>
          </w:p>
        </w:tc>
        <w:tc>
          <w:tcPr>
            <w:tcW w:w="1842" w:type="dxa"/>
            <w:vAlign w:val="center"/>
          </w:tcPr>
          <w:p w:rsidR="005435E9" w:rsidRDefault="005435E9">
            <w:pPr>
              <w:pStyle w:val="yTableNAm"/>
              <w:jc w:val="center"/>
            </w:pPr>
            <w:r>
              <w:t>3</w:t>
            </w:r>
          </w:p>
        </w:tc>
        <w:tc>
          <w:tcPr>
            <w:tcW w:w="1843" w:type="dxa"/>
            <w:vAlign w:val="center"/>
          </w:tcPr>
          <w:p w:rsidR="005435E9" w:rsidRDefault="005435E9">
            <w:pPr>
              <w:pStyle w:val="yTableNAm"/>
              <w:jc w:val="center"/>
            </w:pPr>
            <w:r>
              <w:t>9</w:t>
            </w:r>
          </w:p>
        </w:tc>
      </w:tr>
      <w:tr w:rsidR="005435E9">
        <w:tc>
          <w:tcPr>
            <w:tcW w:w="3119" w:type="dxa"/>
          </w:tcPr>
          <w:p w:rsidR="005435E9" w:rsidRDefault="005435E9">
            <w:pPr>
              <w:pStyle w:val="yTableNAm"/>
            </w:pPr>
            <w:r>
              <w:t>Northampton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Northcliffe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Nullagine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Nungarin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Nyabing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Ongerup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Onslow</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Ora Banda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Park Ridge</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Pemberton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Peppermint Grove Beach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Perenjori</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Pingaring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Pingelly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Pingrup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Pinjarra</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2</w:t>
            </w:r>
          </w:p>
        </w:tc>
      </w:tr>
      <w:tr w:rsidR="005435E9">
        <w:tc>
          <w:tcPr>
            <w:tcW w:w="3119" w:type="dxa"/>
          </w:tcPr>
          <w:p w:rsidR="005435E9" w:rsidRDefault="005435E9">
            <w:pPr>
              <w:pStyle w:val="yTableNAm"/>
            </w:pPr>
            <w:r>
              <w:t>Pithara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Point Samson</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Popanyinning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Porongurup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11</w:t>
            </w:r>
          </w:p>
        </w:tc>
      </w:tr>
      <w:tr w:rsidR="005435E9">
        <w:tc>
          <w:tcPr>
            <w:tcW w:w="3119" w:type="dxa"/>
          </w:tcPr>
          <w:p w:rsidR="005435E9" w:rsidRDefault="005435E9">
            <w:pPr>
              <w:pStyle w:val="yTableNAm"/>
            </w:pPr>
            <w:r>
              <w:t>Port Hedland</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Preston Beach</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Prevelly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Quairading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Quinninup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Ravensthorpe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Rocky Gully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Roebourne</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Salmon Gums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Sandstone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Seabird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South Hedland</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5</w:t>
            </w:r>
          </w:p>
        </w:tc>
      </w:tr>
      <w:tr w:rsidR="005435E9">
        <w:tc>
          <w:tcPr>
            <w:tcW w:w="3119" w:type="dxa"/>
          </w:tcPr>
          <w:p w:rsidR="005435E9" w:rsidRDefault="005435E9">
            <w:pPr>
              <w:pStyle w:val="yTableNAm"/>
            </w:pPr>
            <w:r>
              <w:t>Southern Cross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Tambellup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Tammin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Three Springs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Tincurrin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Toodyay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Trayning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Varley</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Wagin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Walkaway</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Walpole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Wandering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Watheroo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Wellstead</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Westonia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Wickepin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Wickham</w:t>
            </w:r>
          </w:p>
        </w:tc>
        <w:tc>
          <w:tcPr>
            <w:tcW w:w="1842" w:type="dxa"/>
            <w:vAlign w:val="center"/>
          </w:tcPr>
          <w:p w:rsidR="005435E9" w:rsidRDefault="005435E9">
            <w:pPr>
              <w:pStyle w:val="yTableNAm"/>
              <w:jc w:val="center"/>
            </w:pPr>
            <w:r>
              <w:t>4</w:t>
            </w:r>
          </w:p>
        </w:tc>
        <w:tc>
          <w:tcPr>
            <w:tcW w:w="1843" w:type="dxa"/>
            <w:vAlign w:val="center"/>
          </w:tcPr>
          <w:p w:rsidR="005435E9" w:rsidRDefault="005435E9">
            <w:pPr>
              <w:pStyle w:val="yTableNAm"/>
              <w:jc w:val="center"/>
            </w:pPr>
            <w:r>
              <w:t>10</w:t>
            </w:r>
          </w:p>
        </w:tc>
      </w:tr>
      <w:tr w:rsidR="005435E9">
        <w:tc>
          <w:tcPr>
            <w:tcW w:w="3119" w:type="dxa"/>
          </w:tcPr>
          <w:p w:rsidR="005435E9" w:rsidRDefault="005435E9">
            <w:pPr>
              <w:pStyle w:val="yTableNAm"/>
            </w:pPr>
            <w:r>
              <w:t>Widgiemooltha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Williams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Wiluna</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Wongan Hills</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Woodanilling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Woodridge</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Wubin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Wundowie</w:t>
            </w:r>
          </w:p>
        </w:tc>
        <w:tc>
          <w:tcPr>
            <w:tcW w:w="1842" w:type="dxa"/>
            <w:vAlign w:val="center"/>
          </w:tcPr>
          <w:p w:rsidR="005435E9" w:rsidRDefault="005435E9">
            <w:pPr>
              <w:pStyle w:val="yTableNAm"/>
              <w:jc w:val="center"/>
            </w:pPr>
            <w:r>
              <w:t>2</w:t>
            </w:r>
          </w:p>
        </w:tc>
        <w:tc>
          <w:tcPr>
            <w:tcW w:w="1843" w:type="dxa"/>
            <w:vAlign w:val="center"/>
          </w:tcPr>
          <w:p w:rsidR="005435E9" w:rsidRDefault="005435E9">
            <w:pPr>
              <w:pStyle w:val="yTableNAm"/>
              <w:jc w:val="center"/>
            </w:pPr>
            <w:r>
              <w:t>1</w:t>
            </w:r>
          </w:p>
        </w:tc>
      </w:tr>
      <w:tr w:rsidR="005435E9">
        <w:tc>
          <w:tcPr>
            <w:tcW w:w="3119" w:type="dxa"/>
          </w:tcPr>
          <w:p w:rsidR="005435E9" w:rsidRDefault="005435E9">
            <w:pPr>
              <w:pStyle w:val="yTableNAm"/>
            </w:pPr>
            <w:r>
              <w:t>Wyalkatchem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Wyndham</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Yalgoo</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Yarloop/Wagerup</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13</w:t>
            </w:r>
          </w:p>
        </w:tc>
      </w:tr>
      <w:tr w:rsidR="005435E9">
        <w:tc>
          <w:tcPr>
            <w:tcW w:w="3119" w:type="dxa"/>
          </w:tcPr>
          <w:p w:rsidR="005435E9" w:rsidRDefault="005435E9">
            <w:pPr>
              <w:pStyle w:val="yTableNAm"/>
            </w:pPr>
            <w:r>
              <w:t>Yealering</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lastRenderedPageBreak/>
              <w:t>Yerecoin</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Pr>
          <w:p w:rsidR="005435E9" w:rsidRDefault="005435E9">
            <w:pPr>
              <w:pStyle w:val="yTableNAm"/>
            </w:pPr>
            <w:r>
              <w:t>York</w:t>
            </w:r>
          </w:p>
        </w:tc>
        <w:tc>
          <w:tcPr>
            <w:tcW w:w="1842" w:type="dxa"/>
            <w:vAlign w:val="center"/>
          </w:tcPr>
          <w:p w:rsidR="005435E9" w:rsidRDefault="005435E9">
            <w:pPr>
              <w:pStyle w:val="yTableNAm"/>
              <w:jc w:val="center"/>
            </w:pPr>
            <w:r>
              <w:t>5</w:t>
            </w:r>
          </w:p>
        </w:tc>
        <w:tc>
          <w:tcPr>
            <w:tcW w:w="1843" w:type="dxa"/>
            <w:vAlign w:val="center"/>
          </w:tcPr>
          <w:p w:rsidR="005435E9" w:rsidRDefault="005435E9">
            <w:pPr>
              <w:pStyle w:val="yTableNAm"/>
              <w:jc w:val="center"/>
            </w:pPr>
            <w:r>
              <w:t>15</w:t>
            </w:r>
          </w:p>
        </w:tc>
      </w:tr>
      <w:tr w:rsidR="005435E9">
        <w:tc>
          <w:tcPr>
            <w:tcW w:w="3119" w:type="dxa"/>
            <w:tcBorders>
              <w:bottom w:val="single" w:sz="4" w:space="0" w:color="auto"/>
            </w:tcBorders>
          </w:tcPr>
          <w:p w:rsidR="005435E9" w:rsidRDefault="005435E9">
            <w:pPr>
              <w:pStyle w:val="yTableNAm"/>
            </w:pPr>
            <w:r>
              <w:t>Yuna</w:t>
            </w:r>
          </w:p>
        </w:tc>
        <w:tc>
          <w:tcPr>
            <w:tcW w:w="1842" w:type="dxa"/>
            <w:tcBorders>
              <w:bottom w:val="single" w:sz="4" w:space="0" w:color="auto"/>
            </w:tcBorders>
            <w:vAlign w:val="center"/>
          </w:tcPr>
          <w:p w:rsidR="005435E9" w:rsidRDefault="005435E9">
            <w:pPr>
              <w:pStyle w:val="yTableNAm"/>
              <w:jc w:val="center"/>
            </w:pPr>
            <w:r>
              <w:t>5</w:t>
            </w:r>
          </w:p>
        </w:tc>
        <w:tc>
          <w:tcPr>
            <w:tcW w:w="1843" w:type="dxa"/>
            <w:tcBorders>
              <w:bottom w:val="single" w:sz="4" w:space="0" w:color="auto"/>
            </w:tcBorders>
            <w:vAlign w:val="center"/>
          </w:tcPr>
          <w:p w:rsidR="005435E9" w:rsidRDefault="005435E9">
            <w:pPr>
              <w:pStyle w:val="yTableNAm"/>
              <w:jc w:val="center"/>
            </w:pPr>
            <w:r>
              <w:t>15</w:t>
            </w:r>
          </w:p>
        </w:tc>
      </w:tr>
    </w:tbl>
    <w:p w:rsidR="005435E9" w:rsidRDefault="005435E9">
      <w:pPr>
        <w:pStyle w:val="yFootnotesection"/>
      </w:pPr>
      <w:r>
        <w:tab/>
        <w:t>[Schedule 11 inserted: SL 2020/95 r. 10.]</w:t>
      </w:r>
    </w:p>
    <w:p w:rsidR="005435E9" w:rsidRDefault="005435E9">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435E9" w:rsidRDefault="005435E9">
      <w:pPr>
        <w:sectPr w:rsidR="005435E9">
          <w:headerReference w:type="even" r:id="rId34"/>
          <w:headerReference w:type="default" r:id="rId35"/>
          <w:pgSz w:w="11907" w:h="16840" w:code="9"/>
          <w:pgMar w:top="2376" w:right="2405" w:bottom="3542" w:left="2405" w:header="706" w:footer="3380" w:gutter="0"/>
          <w:cols w:space="720"/>
          <w:noEndnote/>
          <w:docGrid w:linePitch="326"/>
        </w:sectPr>
      </w:pPr>
    </w:p>
    <w:p w:rsidR="005435E9" w:rsidRDefault="005435E9">
      <w:pPr>
        <w:pStyle w:val="nHeading2"/>
      </w:pPr>
      <w:bookmarkStart w:id="380" w:name="_Toc75266373"/>
      <w:bookmarkStart w:id="381" w:name="_Toc75269654"/>
      <w:bookmarkStart w:id="382" w:name="_Toc75351153"/>
      <w:bookmarkStart w:id="383" w:name="_Toc75519822"/>
      <w:r>
        <w:lastRenderedPageBreak/>
        <w:t>Notes</w:t>
      </w:r>
      <w:bookmarkEnd w:id="380"/>
      <w:bookmarkEnd w:id="381"/>
      <w:bookmarkEnd w:id="382"/>
      <w:bookmarkEnd w:id="383"/>
    </w:p>
    <w:p w:rsidR="005435E9" w:rsidRDefault="005435E9">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435E9" w:rsidRDefault="005435E9">
      <w:pPr>
        <w:pStyle w:val="nHeading3"/>
      </w:pPr>
      <w:bookmarkStart w:id="384" w:name="_Toc75519823"/>
      <w:r>
        <w:t>Compilation table</w:t>
      </w:r>
      <w:bookmarkEnd w:id="3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5435E9" w:rsidTr="00DD4642">
        <w:trPr>
          <w:tblHeader/>
        </w:trPr>
        <w:tc>
          <w:tcPr>
            <w:tcW w:w="3118" w:type="dxa"/>
            <w:tcBorders>
              <w:bottom w:val="single" w:sz="8" w:space="0" w:color="auto"/>
            </w:tcBorders>
            <w:shd w:val="clear" w:color="auto" w:fill="auto"/>
          </w:tcPr>
          <w:p w:rsidR="005435E9" w:rsidRDefault="005435E9">
            <w:pPr>
              <w:pStyle w:val="nTable"/>
              <w:spacing w:after="40"/>
              <w:rPr>
                <w:b/>
              </w:rPr>
            </w:pPr>
            <w:r>
              <w:rPr>
                <w:b/>
              </w:rPr>
              <w:t>Citation</w:t>
            </w:r>
          </w:p>
        </w:tc>
        <w:tc>
          <w:tcPr>
            <w:tcW w:w="1276" w:type="dxa"/>
            <w:gridSpan w:val="2"/>
            <w:tcBorders>
              <w:bottom w:val="single" w:sz="8" w:space="0" w:color="auto"/>
            </w:tcBorders>
            <w:shd w:val="clear" w:color="auto" w:fill="auto"/>
          </w:tcPr>
          <w:p w:rsidR="005435E9" w:rsidRDefault="005435E9">
            <w:pPr>
              <w:pStyle w:val="nTable"/>
              <w:spacing w:after="40"/>
              <w:rPr>
                <w:b/>
              </w:rPr>
            </w:pPr>
            <w:r>
              <w:rPr>
                <w:b/>
              </w:rPr>
              <w:t>Published</w:t>
            </w:r>
          </w:p>
        </w:tc>
        <w:tc>
          <w:tcPr>
            <w:tcW w:w="2693" w:type="dxa"/>
            <w:gridSpan w:val="2"/>
            <w:tcBorders>
              <w:bottom w:val="single" w:sz="8" w:space="0" w:color="auto"/>
            </w:tcBorders>
            <w:shd w:val="clear" w:color="auto" w:fill="auto"/>
          </w:tcPr>
          <w:p w:rsidR="005435E9" w:rsidRDefault="005435E9">
            <w:pPr>
              <w:pStyle w:val="nTable"/>
              <w:spacing w:after="40"/>
              <w:rPr>
                <w:b/>
              </w:rPr>
            </w:pPr>
            <w:r>
              <w:rPr>
                <w:b/>
              </w:rPr>
              <w:t>Commencement</w:t>
            </w:r>
          </w:p>
        </w:tc>
      </w:tr>
      <w:tr w:rsidR="005435E9" w:rsidTr="00DD4642">
        <w:tc>
          <w:tcPr>
            <w:tcW w:w="3118" w:type="dxa"/>
            <w:tcBorders>
              <w:top w:val="single" w:sz="8" w:space="0" w:color="auto"/>
              <w:bottom w:val="nil"/>
            </w:tcBorders>
          </w:tcPr>
          <w:p w:rsidR="005435E9" w:rsidRDefault="005435E9">
            <w:pPr>
              <w:pStyle w:val="nTable"/>
              <w:spacing w:after="40"/>
            </w:pPr>
            <w:r>
              <w:rPr>
                <w:i/>
              </w:rPr>
              <w:t>Water Services (Water Corporations Charges) Regulations 2014</w:t>
            </w:r>
          </w:p>
        </w:tc>
        <w:tc>
          <w:tcPr>
            <w:tcW w:w="1276" w:type="dxa"/>
            <w:gridSpan w:val="2"/>
            <w:tcBorders>
              <w:top w:val="single" w:sz="8" w:space="0" w:color="auto"/>
              <w:bottom w:val="nil"/>
            </w:tcBorders>
          </w:tcPr>
          <w:p w:rsidR="005435E9" w:rsidRDefault="005435E9">
            <w:pPr>
              <w:pStyle w:val="nTable"/>
              <w:spacing w:after="40"/>
            </w:pPr>
            <w:r>
              <w:t>25 Jun 2014 p. 2155</w:t>
            </w:r>
            <w:r>
              <w:noBreakHyphen/>
              <w:t>298</w:t>
            </w:r>
          </w:p>
        </w:tc>
        <w:tc>
          <w:tcPr>
            <w:tcW w:w="2693" w:type="dxa"/>
            <w:gridSpan w:val="2"/>
            <w:tcBorders>
              <w:top w:val="single" w:sz="8" w:space="0" w:color="auto"/>
              <w:bottom w:val="nil"/>
            </w:tcBorders>
          </w:tcPr>
          <w:p w:rsidR="005435E9" w:rsidRDefault="005435E9">
            <w:pPr>
              <w:pStyle w:val="nTable"/>
              <w:spacing w:after="40"/>
            </w:pPr>
            <w:r>
              <w:rPr>
                <w:bCs/>
                <w:snapToGrid w:val="0"/>
                <w:spacing w:val="-2"/>
              </w:rPr>
              <w:t>r. 1 and 2: 25 Jun 2014 (see r. 2(a));</w:t>
            </w:r>
            <w:r>
              <w:rPr>
                <w:bCs/>
                <w:snapToGrid w:val="0"/>
                <w:spacing w:val="-2"/>
              </w:rPr>
              <w:br/>
              <w:t>Regulations other than r. 1 and 2: 1 Jul 2014 (see r. 2(b))</w:t>
            </w:r>
          </w:p>
        </w:tc>
      </w:tr>
      <w:tr w:rsidR="005435E9" w:rsidTr="00DD4642">
        <w:tc>
          <w:tcPr>
            <w:tcW w:w="3118" w:type="dxa"/>
            <w:tcBorders>
              <w:top w:val="nil"/>
              <w:bottom w:val="nil"/>
            </w:tcBorders>
          </w:tcPr>
          <w:p w:rsidR="005435E9" w:rsidRDefault="005435E9">
            <w:pPr>
              <w:pStyle w:val="nTable"/>
              <w:spacing w:after="40"/>
              <w:rPr>
                <w:i/>
              </w:rPr>
            </w:pPr>
            <w:r>
              <w:rPr>
                <w:i/>
              </w:rPr>
              <w:t>Water Services (Water Corporations Charges) Amendment Regulations 2014</w:t>
            </w:r>
          </w:p>
        </w:tc>
        <w:tc>
          <w:tcPr>
            <w:tcW w:w="1276" w:type="dxa"/>
            <w:gridSpan w:val="2"/>
            <w:tcBorders>
              <w:top w:val="nil"/>
              <w:bottom w:val="nil"/>
            </w:tcBorders>
          </w:tcPr>
          <w:p w:rsidR="005435E9" w:rsidRDefault="005435E9">
            <w:pPr>
              <w:pStyle w:val="nTable"/>
              <w:spacing w:after="40"/>
            </w:pPr>
            <w:r>
              <w:t>19 Sep 2014 p. 3344</w:t>
            </w:r>
            <w:r>
              <w:noBreakHyphen/>
              <w:t>5</w:t>
            </w:r>
          </w:p>
        </w:tc>
        <w:tc>
          <w:tcPr>
            <w:tcW w:w="2693" w:type="dxa"/>
            <w:gridSpan w:val="2"/>
            <w:tcBorders>
              <w:top w:val="nil"/>
              <w:bottom w:val="nil"/>
            </w:tcBorders>
          </w:tcPr>
          <w:p w:rsidR="005435E9" w:rsidRDefault="005435E9">
            <w:pPr>
              <w:pStyle w:val="nTable"/>
              <w:spacing w:after="40"/>
              <w:rPr>
                <w:bCs/>
                <w:snapToGrid w:val="0"/>
                <w:spacing w:val="-2"/>
              </w:rPr>
            </w:pPr>
            <w:r>
              <w:rPr>
                <w:bCs/>
                <w:snapToGrid w:val="0"/>
                <w:spacing w:val="-2"/>
              </w:rPr>
              <w:t>r. 1 and 2: 19 Sep 2014 (see r. 2(a));</w:t>
            </w:r>
            <w:r>
              <w:rPr>
                <w:bCs/>
                <w:snapToGrid w:val="0"/>
                <w:spacing w:val="-2"/>
              </w:rPr>
              <w:br/>
              <w:t>Regulations other than r. 1 and</w:t>
            </w:r>
            <w:r w:rsidR="00D727DC">
              <w:rPr>
                <w:bCs/>
                <w:snapToGrid w:val="0"/>
                <w:spacing w:val="-2"/>
              </w:rPr>
              <w:t> </w:t>
            </w:r>
            <w:r>
              <w:rPr>
                <w:bCs/>
                <w:snapToGrid w:val="0"/>
                <w:spacing w:val="-2"/>
              </w:rPr>
              <w:t>2: 1 Oct 2014 (see r. 2(b)(i))</w:t>
            </w:r>
          </w:p>
        </w:tc>
      </w:tr>
      <w:tr w:rsidR="005435E9" w:rsidTr="00DD4642">
        <w:tc>
          <w:tcPr>
            <w:tcW w:w="3118" w:type="dxa"/>
            <w:tcBorders>
              <w:top w:val="nil"/>
              <w:bottom w:val="nil"/>
            </w:tcBorders>
          </w:tcPr>
          <w:p w:rsidR="005435E9" w:rsidRDefault="005435E9">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rsidR="005435E9" w:rsidRDefault="005435E9">
            <w:pPr>
              <w:pStyle w:val="nTable"/>
              <w:spacing w:after="40"/>
            </w:pPr>
            <w:r>
              <w:t>15 Oct 2014 p. 3943</w:t>
            </w:r>
            <w:r>
              <w:noBreakHyphen/>
              <w:t>93</w:t>
            </w:r>
          </w:p>
        </w:tc>
        <w:tc>
          <w:tcPr>
            <w:tcW w:w="2693" w:type="dxa"/>
            <w:gridSpan w:val="2"/>
            <w:tcBorders>
              <w:top w:val="nil"/>
              <w:bottom w:val="nil"/>
            </w:tcBorders>
          </w:tcPr>
          <w:p w:rsidR="005435E9" w:rsidRDefault="005435E9">
            <w:pPr>
              <w:pStyle w:val="nTable"/>
              <w:spacing w:after="40"/>
              <w:rPr>
                <w:bCs/>
                <w:snapToGrid w:val="0"/>
                <w:spacing w:val="-2"/>
              </w:rPr>
            </w:pPr>
            <w:r>
              <w:rPr>
                <w:bCs/>
                <w:snapToGrid w:val="0"/>
                <w:spacing w:val="-2"/>
              </w:rPr>
              <w:t>r. 1 and 2: 15 Oct 2014 (see r. 2(a));</w:t>
            </w:r>
            <w:r>
              <w:rPr>
                <w:bCs/>
                <w:snapToGrid w:val="0"/>
                <w:spacing w:val="-2"/>
              </w:rPr>
              <w:br/>
              <w:t>Regulations other than r. 1 and</w:t>
            </w:r>
            <w:r w:rsidR="00D727DC">
              <w:rPr>
                <w:bCs/>
                <w:snapToGrid w:val="0"/>
                <w:spacing w:val="-2"/>
              </w:rPr>
              <w:t> </w:t>
            </w:r>
            <w:r>
              <w:rPr>
                <w:bCs/>
                <w:snapToGrid w:val="0"/>
                <w:spacing w:val="-2"/>
              </w:rPr>
              <w:t>2: 1 Nov 2014 (see r. 2(b))</w:t>
            </w:r>
          </w:p>
        </w:tc>
      </w:tr>
      <w:tr w:rsidR="005435E9" w:rsidTr="00DD4642">
        <w:tc>
          <w:tcPr>
            <w:tcW w:w="3118" w:type="dxa"/>
            <w:tcBorders>
              <w:top w:val="nil"/>
              <w:bottom w:val="nil"/>
            </w:tcBorders>
            <w:shd w:val="clear" w:color="auto" w:fill="auto"/>
          </w:tcPr>
          <w:p w:rsidR="005435E9" w:rsidRDefault="005435E9">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rsidR="005435E9" w:rsidRDefault="005435E9">
            <w:pPr>
              <w:pStyle w:val="nTable"/>
              <w:spacing w:after="40"/>
            </w:pPr>
            <w:r>
              <w:t>30 Jun 2015 p. 2363</w:t>
            </w:r>
            <w:r>
              <w:noBreakHyphen/>
              <w:t>404</w:t>
            </w:r>
          </w:p>
        </w:tc>
        <w:tc>
          <w:tcPr>
            <w:tcW w:w="2693" w:type="dxa"/>
            <w:gridSpan w:val="2"/>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w:t>
            </w:r>
            <w:r w:rsidR="00D727DC">
              <w:rPr>
                <w:bCs/>
                <w:snapToGrid w:val="0"/>
                <w:spacing w:val="-2"/>
              </w:rPr>
              <w:t> </w:t>
            </w:r>
            <w:r>
              <w:rPr>
                <w:bCs/>
                <w:snapToGrid w:val="0"/>
                <w:spacing w:val="-2"/>
              </w:rPr>
              <w:t>2: 1 Jul 2015 (see r. 2(b))</w:t>
            </w:r>
          </w:p>
        </w:tc>
      </w:tr>
      <w:tr w:rsidR="005435E9" w:rsidTr="00DD4642">
        <w:tc>
          <w:tcPr>
            <w:tcW w:w="7087" w:type="dxa"/>
            <w:gridSpan w:val="5"/>
            <w:tcBorders>
              <w:top w:val="nil"/>
              <w:bottom w:val="nil"/>
            </w:tcBorders>
            <w:shd w:val="clear" w:color="auto" w:fill="auto"/>
          </w:tcPr>
          <w:p w:rsidR="005435E9" w:rsidRDefault="005435E9">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rsidR="005435E9" w:rsidTr="00DD4642">
        <w:tc>
          <w:tcPr>
            <w:tcW w:w="3147" w:type="dxa"/>
            <w:gridSpan w:val="2"/>
            <w:tcBorders>
              <w:top w:val="nil"/>
              <w:bottom w:val="nil"/>
            </w:tcBorders>
            <w:shd w:val="clear" w:color="auto" w:fill="auto"/>
          </w:tcPr>
          <w:p w:rsidR="005435E9" w:rsidRDefault="005435E9">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rsidR="005435E9" w:rsidRDefault="005435E9">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rsidR="005435E9" w:rsidRDefault="005435E9">
            <w:pPr>
              <w:pStyle w:val="nTable"/>
              <w:spacing w:after="40"/>
              <w:rPr>
                <w:b/>
                <w:bCs/>
                <w:snapToGrid w:val="0"/>
                <w:spacing w:val="-2"/>
              </w:rPr>
            </w:pPr>
            <w:r>
              <w:rPr>
                <w:bCs/>
                <w:snapToGrid w:val="0"/>
                <w:spacing w:val="-2"/>
              </w:rPr>
              <w:t>1 Jul 2016 (see r. 2(b))</w:t>
            </w:r>
          </w:p>
        </w:tc>
      </w:tr>
      <w:tr w:rsidR="005435E9" w:rsidTr="00DD4642">
        <w:tc>
          <w:tcPr>
            <w:tcW w:w="3147" w:type="dxa"/>
            <w:gridSpan w:val="2"/>
            <w:tcBorders>
              <w:top w:val="nil"/>
              <w:bottom w:val="nil"/>
            </w:tcBorders>
            <w:shd w:val="clear" w:color="auto" w:fill="auto"/>
          </w:tcPr>
          <w:p w:rsidR="005435E9" w:rsidRDefault="005435E9">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rsidR="005435E9" w:rsidRDefault="005435E9">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rsidR="005435E9" w:rsidRDefault="005435E9">
            <w:pPr>
              <w:pStyle w:val="nTable"/>
              <w:spacing w:after="40"/>
              <w:rPr>
                <w:b/>
                <w:bCs/>
                <w:snapToGrid w:val="0"/>
                <w:spacing w:val="-2"/>
              </w:rPr>
            </w:pPr>
            <w:r>
              <w:rPr>
                <w:bCs/>
                <w:snapToGrid w:val="0"/>
                <w:spacing w:val="-2"/>
              </w:rPr>
              <w:t>14 Dec 2016 (see r. 2(b))</w:t>
            </w:r>
          </w:p>
        </w:tc>
      </w:tr>
      <w:tr w:rsidR="005435E9" w:rsidTr="00DD4642">
        <w:tc>
          <w:tcPr>
            <w:tcW w:w="3147" w:type="dxa"/>
            <w:gridSpan w:val="2"/>
            <w:tcBorders>
              <w:top w:val="nil"/>
              <w:bottom w:val="nil"/>
            </w:tcBorders>
            <w:shd w:val="clear" w:color="auto" w:fill="auto"/>
          </w:tcPr>
          <w:p w:rsidR="005435E9" w:rsidRDefault="005435E9">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rsidR="005435E9" w:rsidRDefault="005435E9">
            <w:pPr>
              <w:pStyle w:val="nTable"/>
              <w:spacing w:after="40"/>
            </w:pPr>
            <w:r>
              <w:t>23 Jun 2017 p. 3317</w:t>
            </w:r>
            <w:r>
              <w:noBreakHyphen/>
              <w:t>403</w:t>
            </w:r>
          </w:p>
        </w:tc>
        <w:tc>
          <w:tcPr>
            <w:tcW w:w="2664" w:type="dxa"/>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1 Jul 2017 (see r. 2(b))</w:t>
            </w:r>
          </w:p>
        </w:tc>
      </w:tr>
      <w:tr w:rsidR="005435E9" w:rsidTr="00DD4642">
        <w:tc>
          <w:tcPr>
            <w:tcW w:w="3147" w:type="dxa"/>
            <w:gridSpan w:val="2"/>
            <w:tcBorders>
              <w:top w:val="nil"/>
              <w:bottom w:val="nil"/>
            </w:tcBorders>
            <w:shd w:val="clear" w:color="auto" w:fill="auto"/>
          </w:tcPr>
          <w:p w:rsidR="005435E9" w:rsidRDefault="005435E9">
            <w:pPr>
              <w:pStyle w:val="nTable"/>
              <w:spacing w:after="40"/>
              <w:rPr>
                <w:i/>
              </w:rPr>
            </w:pPr>
            <w:bookmarkStart w:id="385" w:name="OLE_LINK1"/>
            <w:r>
              <w:rPr>
                <w:i/>
              </w:rPr>
              <w:t>Water Services (Water Corporations Charges) Amendment Regulations 2017</w:t>
            </w:r>
            <w:bookmarkEnd w:id="385"/>
          </w:p>
        </w:tc>
        <w:tc>
          <w:tcPr>
            <w:tcW w:w="1276" w:type="dxa"/>
            <w:gridSpan w:val="2"/>
            <w:tcBorders>
              <w:top w:val="nil"/>
              <w:bottom w:val="nil"/>
            </w:tcBorders>
            <w:shd w:val="clear" w:color="auto" w:fill="auto"/>
          </w:tcPr>
          <w:p w:rsidR="005435E9" w:rsidRDefault="005435E9">
            <w:pPr>
              <w:pStyle w:val="nTable"/>
              <w:spacing w:after="40"/>
            </w:pPr>
            <w:r>
              <w:t>4 Aug 2017 p. 4316</w:t>
            </w:r>
            <w:r>
              <w:noBreakHyphen/>
              <w:t>17</w:t>
            </w:r>
          </w:p>
        </w:tc>
        <w:tc>
          <w:tcPr>
            <w:tcW w:w="2664" w:type="dxa"/>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w:t>
            </w:r>
            <w:r w:rsidR="00D727DC">
              <w:rPr>
                <w:bCs/>
                <w:snapToGrid w:val="0"/>
                <w:spacing w:val="-2"/>
              </w:rPr>
              <w:t> </w:t>
            </w:r>
            <w:r>
              <w:rPr>
                <w:bCs/>
                <w:snapToGrid w:val="0"/>
                <w:spacing w:val="-2"/>
              </w:rPr>
              <w:t>2: 5 Aug 2017 (see r. 2(b))</w:t>
            </w:r>
          </w:p>
        </w:tc>
      </w:tr>
      <w:tr w:rsidR="005435E9" w:rsidTr="00DD4642">
        <w:trPr>
          <w:cantSplit/>
        </w:trPr>
        <w:tc>
          <w:tcPr>
            <w:tcW w:w="3118" w:type="dxa"/>
            <w:tcBorders>
              <w:top w:val="nil"/>
              <w:bottom w:val="nil"/>
            </w:tcBorders>
            <w:shd w:val="clear" w:color="auto" w:fill="auto"/>
          </w:tcPr>
          <w:p w:rsidR="005435E9" w:rsidRDefault="005435E9">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rsidR="005435E9" w:rsidRDefault="005435E9">
            <w:pPr>
              <w:pStyle w:val="nTable"/>
              <w:spacing w:after="40"/>
            </w:pPr>
            <w:r>
              <w:t>15 Sep 2017 p. 4794</w:t>
            </w:r>
            <w:r>
              <w:noBreakHyphen/>
              <w:t>6</w:t>
            </w:r>
          </w:p>
        </w:tc>
        <w:tc>
          <w:tcPr>
            <w:tcW w:w="2693" w:type="dxa"/>
            <w:gridSpan w:val="2"/>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16 Sep 2017 (see r. 2(b))</w:t>
            </w:r>
          </w:p>
        </w:tc>
      </w:tr>
      <w:tr w:rsidR="005435E9" w:rsidTr="00DD4642">
        <w:trPr>
          <w:cantSplit/>
        </w:trPr>
        <w:tc>
          <w:tcPr>
            <w:tcW w:w="3118" w:type="dxa"/>
            <w:tcBorders>
              <w:top w:val="nil"/>
              <w:bottom w:val="nil"/>
            </w:tcBorders>
            <w:shd w:val="clear" w:color="auto" w:fill="auto"/>
          </w:tcPr>
          <w:p w:rsidR="005435E9" w:rsidRDefault="005435E9">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rsidR="005435E9" w:rsidRDefault="005435E9">
            <w:pPr>
              <w:pStyle w:val="nTable"/>
              <w:spacing w:after="40"/>
            </w:pPr>
            <w:r>
              <w:t>22 Jun 2018 p. 2211</w:t>
            </w:r>
            <w:r>
              <w:noBreakHyphen/>
              <w:t>95</w:t>
            </w:r>
          </w:p>
        </w:tc>
        <w:tc>
          <w:tcPr>
            <w:tcW w:w="2693" w:type="dxa"/>
            <w:gridSpan w:val="2"/>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1 Jul 2018 (see r. 2(b))</w:t>
            </w:r>
          </w:p>
        </w:tc>
      </w:tr>
      <w:tr w:rsidR="005435E9" w:rsidTr="00DD4642">
        <w:trPr>
          <w:cantSplit/>
        </w:trPr>
        <w:tc>
          <w:tcPr>
            <w:tcW w:w="3118" w:type="dxa"/>
            <w:tcBorders>
              <w:top w:val="nil"/>
              <w:bottom w:val="nil"/>
            </w:tcBorders>
            <w:shd w:val="clear" w:color="auto" w:fill="auto"/>
          </w:tcPr>
          <w:p w:rsidR="005435E9" w:rsidRDefault="005435E9">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rsidR="005435E9" w:rsidRDefault="005435E9">
            <w:pPr>
              <w:pStyle w:val="nTable"/>
              <w:spacing w:after="40"/>
            </w:pPr>
            <w:r>
              <w:t>14 Jun 2019 p. 1929</w:t>
            </w:r>
            <w:r>
              <w:noBreakHyphen/>
              <w:t>2010</w:t>
            </w:r>
          </w:p>
        </w:tc>
        <w:tc>
          <w:tcPr>
            <w:tcW w:w="2693" w:type="dxa"/>
            <w:gridSpan w:val="2"/>
            <w:tcBorders>
              <w:top w:val="nil"/>
              <w:bottom w:val="nil"/>
            </w:tcBorders>
            <w:shd w:val="clear" w:color="auto" w:fill="auto"/>
          </w:tcPr>
          <w:p w:rsidR="005435E9" w:rsidRDefault="005435E9">
            <w:pPr>
              <w:pStyle w:val="nTable"/>
              <w:spacing w:after="40"/>
              <w:rPr>
                <w:bCs/>
                <w:snapToGrid w:val="0"/>
                <w:spacing w:val="-2"/>
              </w:rPr>
            </w:pPr>
            <w:r>
              <w:rPr>
                <w:bCs/>
                <w:snapToGrid w:val="0"/>
                <w:spacing w:val="-2"/>
              </w:rPr>
              <w:t>1 Jul 2019 (see r. 2(b))</w:t>
            </w:r>
          </w:p>
        </w:tc>
      </w:tr>
      <w:tr w:rsidR="005435E9" w:rsidTr="00DD4642">
        <w:trPr>
          <w:cantSplit/>
        </w:trPr>
        <w:tc>
          <w:tcPr>
            <w:tcW w:w="3118" w:type="dxa"/>
            <w:tcBorders>
              <w:top w:val="nil"/>
              <w:bottom w:val="nil"/>
            </w:tcBorders>
            <w:shd w:val="clear" w:color="auto" w:fill="auto"/>
          </w:tcPr>
          <w:p w:rsidR="005435E9" w:rsidRDefault="005435E9">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rsidR="005435E9" w:rsidRDefault="005435E9">
            <w:pPr>
              <w:pStyle w:val="nTable"/>
              <w:spacing w:after="40"/>
            </w:pPr>
            <w:r>
              <w:t>31 Dec 2019 p. 4663</w:t>
            </w:r>
            <w:r>
              <w:noBreakHyphen/>
              <w:t>5</w:t>
            </w:r>
          </w:p>
        </w:tc>
        <w:tc>
          <w:tcPr>
            <w:tcW w:w="2693" w:type="dxa"/>
            <w:gridSpan w:val="2"/>
            <w:tcBorders>
              <w:top w:val="nil"/>
              <w:bottom w:val="nil"/>
            </w:tcBorders>
            <w:shd w:val="clear" w:color="auto" w:fill="auto"/>
          </w:tcPr>
          <w:p w:rsidR="005435E9" w:rsidRDefault="005435E9">
            <w:pPr>
              <w:pStyle w:val="nTable"/>
              <w:spacing w:after="40"/>
              <w:rPr>
                <w:bCs/>
                <w:snapToGrid w:val="0"/>
                <w:spacing w:val="-2"/>
              </w:rPr>
            </w:pPr>
            <w:r>
              <w:t>1 May 2020 (see r. 2(b) and SL 2020/39 cl. 2)</w:t>
            </w:r>
          </w:p>
        </w:tc>
      </w:tr>
      <w:tr w:rsidR="005435E9" w:rsidTr="00DD4642">
        <w:trPr>
          <w:cantSplit/>
        </w:trPr>
        <w:tc>
          <w:tcPr>
            <w:tcW w:w="3118" w:type="dxa"/>
            <w:tcBorders>
              <w:top w:val="nil"/>
              <w:bottom w:val="nil"/>
            </w:tcBorders>
            <w:shd w:val="clear" w:color="auto" w:fill="auto"/>
          </w:tcPr>
          <w:p w:rsidR="005435E9" w:rsidRDefault="005435E9">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rsidR="005435E9" w:rsidRDefault="005435E9">
            <w:pPr>
              <w:pStyle w:val="nTable"/>
              <w:spacing w:after="40"/>
            </w:pPr>
            <w:r>
              <w:t>SL 2020/95 26 Jun 2020</w:t>
            </w:r>
          </w:p>
        </w:tc>
        <w:tc>
          <w:tcPr>
            <w:tcW w:w="2693" w:type="dxa"/>
            <w:gridSpan w:val="2"/>
            <w:tcBorders>
              <w:top w:val="nil"/>
              <w:bottom w:val="nil"/>
            </w:tcBorders>
            <w:shd w:val="clear" w:color="auto" w:fill="auto"/>
          </w:tcPr>
          <w:p w:rsidR="005435E9" w:rsidRDefault="005435E9">
            <w:pPr>
              <w:pStyle w:val="nTable"/>
              <w:spacing w:after="40"/>
            </w:pPr>
            <w:r>
              <w:t>1 Jul 2020 (see r. 2(b))</w:t>
            </w:r>
          </w:p>
        </w:tc>
      </w:tr>
      <w:tr w:rsidR="005435E9" w:rsidTr="00D727DC">
        <w:trPr>
          <w:cantSplit/>
        </w:trPr>
        <w:tc>
          <w:tcPr>
            <w:tcW w:w="3118" w:type="dxa"/>
            <w:tcBorders>
              <w:top w:val="nil"/>
              <w:bottom w:val="nil"/>
            </w:tcBorders>
            <w:shd w:val="clear" w:color="auto" w:fill="auto"/>
          </w:tcPr>
          <w:p w:rsidR="005435E9" w:rsidRDefault="005435E9">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rsidR="005435E9" w:rsidRDefault="005435E9">
            <w:pPr>
              <w:pStyle w:val="nTable"/>
              <w:spacing w:after="40"/>
            </w:pPr>
            <w:r>
              <w:t>SL 2020/177 25 Sep 2020</w:t>
            </w:r>
          </w:p>
        </w:tc>
        <w:tc>
          <w:tcPr>
            <w:tcW w:w="2693" w:type="dxa"/>
            <w:gridSpan w:val="2"/>
            <w:tcBorders>
              <w:top w:val="nil"/>
              <w:bottom w:val="nil"/>
            </w:tcBorders>
            <w:shd w:val="clear" w:color="auto" w:fill="auto"/>
          </w:tcPr>
          <w:p w:rsidR="005435E9" w:rsidRDefault="005435E9">
            <w:pPr>
              <w:pStyle w:val="nTable"/>
              <w:spacing w:after="40"/>
            </w:pPr>
            <w:r>
              <w:rPr>
                <w:bCs/>
                <w:snapToGrid w:val="0"/>
              </w:rPr>
              <w:t>r. 1 and 2: 25</w:t>
            </w:r>
            <w:r>
              <w:t> Sep 2020</w:t>
            </w:r>
            <w:r>
              <w:rPr>
                <w:bCs/>
                <w:snapToGrid w:val="0"/>
              </w:rPr>
              <w:t xml:space="preserve"> (see r. 2(a));</w:t>
            </w:r>
            <w:r>
              <w:rPr>
                <w:bCs/>
                <w:snapToGrid w:val="0"/>
              </w:rPr>
              <w:br/>
              <w:t>Regulations other than r. 1 and</w:t>
            </w:r>
            <w:r w:rsidR="00D727DC">
              <w:rPr>
                <w:bCs/>
                <w:snapToGrid w:val="0"/>
              </w:rPr>
              <w:t> </w:t>
            </w:r>
            <w:r>
              <w:rPr>
                <w:bCs/>
                <w:snapToGrid w:val="0"/>
              </w:rPr>
              <w:t>2: 26 Sep 2020 (see r. 2(b))</w:t>
            </w:r>
          </w:p>
        </w:tc>
      </w:tr>
      <w:tr w:rsidR="00DD4642" w:rsidTr="00DD4642">
        <w:trPr>
          <w:cantSplit/>
        </w:trPr>
        <w:tc>
          <w:tcPr>
            <w:tcW w:w="3118" w:type="dxa"/>
            <w:tcBorders>
              <w:top w:val="nil"/>
              <w:bottom w:val="single" w:sz="4" w:space="0" w:color="auto"/>
            </w:tcBorders>
            <w:shd w:val="clear" w:color="auto" w:fill="auto"/>
          </w:tcPr>
          <w:p w:rsidR="00DD4642" w:rsidRDefault="00DD4642" w:rsidP="00DD4642">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single" w:sz="4" w:space="0" w:color="auto"/>
            </w:tcBorders>
            <w:shd w:val="clear" w:color="auto" w:fill="auto"/>
          </w:tcPr>
          <w:p w:rsidR="00DD4642" w:rsidRDefault="00DD4642" w:rsidP="00DD4642">
            <w:pPr>
              <w:pStyle w:val="nTable"/>
              <w:spacing w:after="40"/>
            </w:pPr>
            <w:r>
              <w:t>SL 2021/79 18 Jun 2021</w:t>
            </w:r>
          </w:p>
        </w:tc>
        <w:tc>
          <w:tcPr>
            <w:tcW w:w="2693" w:type="dxa"/>
            <w:gridSpan w:val="2"/>
            <w:tcBorders>
              <w:top w:val="nil"/>
              <w:bottom w:val="single" w:sz="4" w:space="0" w:color="auto"/>
            </w:tcBorders>
            <w:shd w:val="clear" w:color="auto" w:fill="auto"/>
          </w:tcPr>
          <w:p w:rsidR="00DD4642" w:rsidRDefault="00DD4642" w:rsidP="00DD4642">
            <w:pPr>
              <w:pStyle w:val="nTable"/>
              <w:spacing w:after="40"/>
              <w:rPr>
                <w:bCs/>
                <w:snapToGrid w:val="0"/>
              </w:rPr>
            </w:pPr>
            <w:r>
              <w:t>30 Jun 2021 (see r. 2(b) and SL 2021/69 cl. 2)</w:t>
            </w:r>
          </w:p>
        </w:tc>
      </w:tr>
    </w:tbl>
    <w:p w:rsidR="005435E9" w:rsidRDefault="005435E9">
      <w:pPr>
        <w:pStyle w:val="nHeading3"/>
      </w:pPr>
      <w:bookmarkStart w:id="386" w:name="_Toc75519824"/>
      <w:r>
        <w:t>Uncommenced provisions table</w:t>
      </w:r>
      <w:bookmarkEnd w:id="386"/>
    </w:p>
    <w:p w:rsidR="005435E9" w:rsidRDefault="005435E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435E9">
        <w:trPr>
          <w:tblHeader/>
        </w:trPr>
        <w:tc>
          <w:tcPr>
            <w:tcW w:w="3118" w:type="dxa"/>
            <w:tcBorders>
              <w:bottom w:val="single" w:sz="8" w:space="0" w:color="auto"/>
            </w:tcBorders>
          </w:tcPr>
          <w:p w:rsidR="005435E9" w:rsidRDefault="005435E9">
            <w:pPr>
              <w:pStyle w:val="nTable"/>
              <w:spacing w:after="40"/>
              <w:rPr>
                <w:b/>
              </w:rPr>
            </w:pPr>
            <w:r>
              <w:rPr>
                <w:b/>
              </w:rPr>
              <w:t>Citation</w:t>
            </w:r>
          </w:p>
        </w:tc>
        <w:tc>
          <w:tcPr>
            <w:tcW w:w="1276" w:type="dxa"/>
            <w:tcBorders>
              <w:bottom w:val="single" w:sz="8" w:space="0" w:color="auto"/>
            </w:tcBorders>
          </w:tcPr>
          <w:p w:rsidR="005435E9" w:rsidRDefault="005435E9">
            <w:pPr>
              <w:pStyle w:val="nTable"/>
              <w:spacing w:after="40"/>
              <w:rPr>
                <w:b/>
              </w:rPr>
            </w:pPr>
            <w:r>
              <w:rPr>
                <w:b/>
              </w:rPr>
              <w:t>Published</w:t>
            </w:r>
          </w:p>
        </w:tc>
        <w:tc>
          <w:tcPr>
            <w:tcW w:w="2693" w:type="dxa"/>
            <w:tcBorders>
              <w:bottom w:val="single" w:sz="8" w:space="0" w:color="auto"/>
            </w:tcBorders>
          </w:tcPr>
          <w:p w:rsidR="005435E9" w:rsidRDefault="005435E9">
            <w:pPr>
              <w:pStyle w:val="nTable"/>
              <w:spacing w:after="40"/>
              <w:rPr>
                <w:b/>
              </w:rPr>
            </w:pPr>
            <w:r>
              <w:rPr>
                <w:b/>
              </w:rPr>
              <w:t>Commencement</w:t>
            </w:r>
          </w:p>
        </w:tc>
      </w:tr>
      <w:tr w:rsidR="005435E9">
        <w:tc>
          <w:tcPr>
            <w:tcW w:w="3118" w:type="dxa"/>
            <w:tcBorders>
              <w:top w:val="nil"/>
            </w:tcBorders>
          </w:tcPr>
          <w:p w:rsidR="005435E9" w:rsidRDefault="005435E9">
            <w:pPr>
              <w:pStyle w:val="nTable"/>
              <w:spacing w:after="40"/>
            </w:pPr>
            <w:r>
              <w:rPr>
                <w:i/>
              </w:rPr>
              <w:t>Water Services Regulations Amendment (Fees and Charges) Regulations 2021</w:t>
            </w:r>
            <w:r>
              <w:t xml:space="preserve"> Pt. 2</w:t>
            </w:r>
          </w:p>
        </w:tc>
        <w:tc>
          <w:tcPr>
            <w:tcW w:w="1276" w:type="dxa"/>
            <w:tcBorders>
              <w:top w:val="nil"/>
            </w:tcBorders>
          </w:tcPr>
          <w:p w:rsidR="005435E9" w:rsidRDefault="005435E9">
            <w:pPr>
              <w:pStyle w:val="nTable"/>
              <w:spacing w:after="40"/>
            </w:pPr>
            <w:r>
              <w:t>SL 2021/80 18 Jun 2021</w:t>
            </w:r>
          </w:p>
        </w:tc>
        <w:tc>
          <w:tcPr>
            <w:tcW w:w="2693" w:type="dxa"/>
            <w:tcBorders>
              <w:top w:val="nil"/>
            </w:tcBorders>
          </w:tcPr>
          <w:p w:rsidR="005435E9" w:rsidRDefault="005435E9">
            <w:pPr>
              <w:pStyle w:val="nTable"/>
              <w:spacing w:after="40"/>
            </w:pPr>
            <w:r>
              <w:t>1 Jul 2021 (see r. 2(b))</w:t>
            </w:r>
          </w:p>
        </w:tc>
      </w:tr>
    </w:tbl>
    <w:p w:rsidR="005435E9" w:rsidRDefault="005435E9">
      <w:pPr>
        <w:pStyle w:val="nHeading3"/>
      </w:pPr>
      <w:bookmarkStart w:id="387" w:name="_Toc75519825"/>
      <w:r>
        <w:t>Other notes</w:t>
      </w:r>
      <w:bookmarkEnd w:id="387"/>
    </w:p>
    <w:p w:rsidR="005435E9" w:rsidRDefault="005435E9">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rsidR="005435E9" w:rsidRDefault="005435E9">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rsidR="005435E9" w:rsidRDefault="005435E9">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rsidR="005435E9" w:rsidRDefault="005435E9">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 xml:space="preserve">Water Services </w:t>
      </w:r>
      <w:r>
        <w:rPr>
          <w:i/>
        </w:rPr>
        <w:lastRenderedPageBreak/>
        <w:t>Legislation Amendment and Repeal Act 2012</w:t>
      </w:r>
      <w:r>
        <w:t xml:space="preserve"> s. 22 which commenced 18 Nov 2013.</w:t>
      </w:r>
    </w:p>
    <w:p w:rsidR="005435E9" w:rsidRDefault="005435E9">
      <w:pPr>
        <w:sectPr w:rsidR="005435E9">
          <w:headerReference w:type="even" r:id="rId36"/>
          <w:headerReference w:type="default" r:id="rId37"/>
          <w:pgSz w:w="11907" w:h="16840" w:code="9"/>
          <w:pgMar w:top="2376" w:right="2404" w:bottom="3544" w:left="2404" w:header="720" w:footer="3380" w:gutter="0"/>
          <w:cols w:space="720"/>
          <w:noEndnote/>
          <w:docGrid w:linePitch="326"/>
        </w:sectPr>
      </w:pPr>
    </w:p>
    <w:p w:rsidR="00D727DC" w:rsidRDefault="00D727DC">
      <w:pPr>
        <w:pStyle w:val="nHeading2"/>
        <w:rPr>
          <w:sz w:val="28"/>
        </w:rPr>
      </w:pPr>
      <w:bookmarkStart w:id="389" w:name="_Toc75351157"/>
      <w:bookmarkStart w:id="390" w:name="_Toc75519826"/>
      <w:r>
        <w:rPr>
          <w:sz w:val="28"/>
        </w:rPr>
        <w:lastRenderedPageBreak/>
        <w:t>Defined terms</w:t>
      </w:r>
      <w:bookmarkEnd w:id="389"/>
      <w:bookmarkEnd w:id="390"/>
    </w:p>
    <w:p w:rsidR="00D727DC" w:rsidRDefault="00D727DC">
      <w:pPr>
        <w:ind w:left="850" w:right="850"/>
        <w:jc w:val="center"/>
        <w:rPr>
          <w:i/>
          <w:sz w:val="18"/>
        </w:rPr>
      </w:pPr>
    </w:p>
    <w:p w:rsidR="00D727DC" w:rsidRDefault="00D727DC">
      <w:pPr>
        <w:ind w:left="850" w:right="850"/>
        <w:jc w:val="center"/>
        <w:rPr>
          <w:i/>
          <w:sz w:val="18"/>
        </w:rPr>
      </w:pPr>
      <w:r>
        <w:rPr>
          <w:i/>
          <w:sz w:val="18"/>
        </w:rPr>
        <w:t>[This is a list of terms defined and the provisions where they are defined.  The list is not part of the law.]</w:t>
      </w:r>
    </w:p>
    <w:p w:rsidR="00D727DC" w:rsidRDefault="00D727DC">
      <w:pPr>
        <w:pBdr>
          <w:bottom w:val="single" w:sz="4" w:space="1" w:color="auto"/>
        </w:pBdr>
        <w:tabs>
          <w:tab w:val="right" w:pos="7070"/>
        </w:tabs>
        <w:ind w:left="578"/>
        <w:rPr>
          <w:b/>
          <w:sz w:val="20"/>
        </w:rPr>
      </w:pPr>
      <w:r>
        <w:rPr>
          <w:b/>
          <w:sz w:val="20"/>
        </w:rPr>
        <w:t>Defined term</w:t>
      </w:r>
      <w:r>
        <w:rPr>
          <w:b/>
          <w:sz w:val="20"/>
        </w:rPr>
        <w:tab/>
        <w:t>Provision(s)</w:t>
      </w:r>
    </w:p>
    <w:p w:rsidR="005435E9" w:rsidRDefault="00D727DC" w:rsidP="00D727DC">
      <w:pPr>
        <w:pStyle w:val="DefinedTerms"/>
      </w:pPr>
      <w:r>
        <w:t>aged home</w:t>
      </w:r>
      <w:r>
        <w:tab/>
        <w:t>16(1)</w:t>
      </w:r>
    </w:p>
    <w:p w:rsidR="00D727DC" w:rsidRDefault="00D727DC" w:rsidP="00D727DC">
      <w:pPr>
        <w:pStyle w:val="DefinedTerms"/>
      </w:pPr>
      <w:r>
        <w:t>alienated land</w:t>
      </w:r>
      <w:r>
        <w:tab/>
        <w:t>16(1)</w:t>
      </w:r>
    </w:p>
    <w:p w:rsidR="00D727DC" w:rsidRDefault="00D727DC" w:rsidP="00D727DC">
      <w:pPr>
        <w:pStyle w:val="DefinedTerms"/>
      </w:pPr>
      <w:r>
        <w:t>approved meter</w:t>
      </w:r>
      <w:r>
        <w:tab/>
        <w:t>23(1)</w:t>
      </w:r>
    </w:p>
    <w:p w:rsidR="00D727DC" w:rsidRDefault="00D727DC" w:rsidP="00D727DC">
      <w:pPr>
        <w:pStyle w:val="DefinedTerms"/>
      </w:pPr>
      <w:r>
        <w:t>B.O.D.</w:t>
      </w:r>
      <w:r>
        <w:tab/>
        <w:t>Sch. 4 cl. 30(1)</w:t>
      </w:r>
    </w:p>
    <w:p w:rsidR="00D727DC" w:rsidRDefault="00D727DC" w:rsidP="00D727DC">
      <w:pPr>
        <w:pStyle w:val="DefinedTerms"/>
      </w:pPr>
      <w:r>
        <w:t>boundary volume</w:t>
      </w:r>
      <w:r>
        <w:tab/>
        <w:t>16(1)</w:t>
      </w:r>
    </w:p>
    <w:p w:rsidR="00D727DC" w:rsidRDefault="00D727DC" w:rsidP="00D727DC">
      <w:pPr>
        <w:pStyle w:val="DefinedTerms"/>
      </w:pPr>
      <w:r>
        <w:t>caravan bay</w:t>
      </w:r>
      <w:r>
        <w:tab/>
        <w:t>16(1)</w:t>
      </w:r>
    </w:p>
    <w:p w:rsidR="00D727DC" w:rsidRDefault="00D727DC" w:rsidP="00D727DC">
      <w:pPr>
        <w:pStyle w:val="DefinedTerms"/>
      </w:pPr>
      <w:r>
        <w:t>central business districts</w:t>
      </w:r>
      <w:r>
        <w:tab/>
        <w:t>16(1)</w:t>
      </w:r>
    </w:p>
    <w:p w:rsidR="00D727DC" w:rsidRDefault="00D727DC" w:rsidP="00D727DC">
      <w:pPr>
        <w:pStyle w:val="DefinedTerms"/>
      </w:pPr>
      <w:r>
        <w:t>change of circumstances</w:t>
      </w:r>
      <w:r>
        <w:tab/>
        <w:t>16(1)</w:t>
      </w:r>
    </w:p>
    <w:p w:rsidR="00D727DC" w:rsidRDefault="00D727DC" w:rsidP="00D727DC">
      <w:pPr>
        <w:pStyle w:val="DefinedTerms"/>
      </w:pPr>
      <w:r>
        <w:t>charge period</w:t>
      </w:r>
      <w:r>
        <w:tab/>
        <w:t>3(1)</w:t>
      </w:r>
    </w:p>
    <w:p w:rsidR="00D727DC" w:rsidRDefault="00D727DC" w:rsidP="00D727DC">
      <w:pPr>
        <w:pStyle w:val="DefinedTerms"/>
      </w:pPr>
      <w:r>
        <w:t>charitable purposes</w:t>
      </w:r>
      <w:r>
        <w:tab/>
        <w:t>16(1)</w:t>
      </w:r>
    </w:p>
    <w:p w:rsidR="00D727DC" w:rsidRDefault="00D727DC" w:rsidP="00D727DC">
      <w:pPr>
        <w:pStyle w:val="DefinedTerms"/>
      </w:pPr>
      <w:r>
        <w:t>c/kg</w:t>
      </w:r>
      <w:r>
        <w:tab/>
        <w:t>Sch. 4 cl. 30(1)</w:t>
      </w:r>
    </w:p>
    <w:p w:rsidR="00D727DC" w:rsidRDefault="00D727DC" w:rsidP="00D727DC">
      <w:pPr>
        <w:pStyle w:val="DefinedTerms"/>
      </w:pPr>
      <w:r>
        <w:t>c/kL</w:t>
      </w:r>
      <w:r>
        <w:tab/>
        <w:t>Sch. 4 cl. 30(1)</w:t>
      </w:r>
    </w:p>
    <w:p w:rsidR="00D727DC" w:rsidRDefault="00D727DC" w:rsidP="00D727DC">
      <w:pPr>
        <w:pStyle w:val="DefinedTerms"/>
      </w:pPr>
      <w:r>
        <w:t>combined charge</w:t>
      </w:r>
      <w:r>
        <w:tab/>
        <w:t>42(1)</w:t>
      </w:r>
    </w:p>
    <w:p w:rsidR="00D727DC" w:rsidRDefault="00D727DC" w:rsidP="00D727DC">
      <w:pPr>
        <w:pStyle w:val="DefinedTerms"/>
      </w:pPr>
      <w:r>
        <w:t>commercial standpipe</w:t>
      </w:r>
      <w:r>
        <w:tab/>
        <w:t>36A(1)</w:t>
      </w:r>
    </w:p>
    <w:p w:rsidR="00D727DC" w:rsidRDefault="00D727DC" w:rsidP="00D727DC">
      <w:pPr>
        <w:pStyle w:val="DefinedTerms"/>
      </w:pPr>
      <w:r>
        <w:t>Commonwealth seniors health card</w:t>
      </w:r>
      <w:r>
        <w:tab/>
        <w:t>3(1)</w:t>
      </w:r>
    </w:p>
    <w:p w:rsidR="00D727DC" w:rsidRDefault="00D727DC" w:rsidP="00D727DC">
      <w:pPr>
        <w:pStyle w:val="DefinedTerms"/>
      </w:pPr>
      <w:r>
        <w:t>community titles scheme</w:t>
      </w:r>
      <w:r>
        <w:tab/>
        <w:t>16(1)</w:t>
      </w:r>
    </w:p>
    <w:p w:rsidR="00D727DC" w:rsidRDefault="00D727DC" w:rsidP="00D727DC">
      <w:pPr>
        <w:pStyle w:val="DefinedTerms"/>
      </w:pPr>
      <w:r>
        <w:t>concessional land</w:t>
      </w:r>
      <w:r>
        <w:tab/>
        <w:t>16(1)</w:t>
      </w:r>
    </w:p>
    <w:p w:rsidR="00D727DC" w:rsidRDefault="00D727DC" w:rsidP="00D727DC">
      <w:pPr>
        <w:pStyle w:val="DefinedTerms"/>
      </w:pPr>
      <w:r>
        <w:t>concession card holder</w:t>
      </w:r>
      <w:r>
        <w:tab/>
        <w:t>16(1)</w:t>
      </w:r>
    </w:p>
    <w:p w:rsidR="00D727DC" w:rsidRDefault="00D727DC" w:rsidP="00D727DC">
      <w:pPr>
        <w:pStyle w:val="DefinedTerms"/>
      </w:pPr>
      <w:r>
        <w:t>consumption year</w:t>
      </w:r>
      <w:r>
        <w:tab/>
        <w:t>6, 11, 16(1)</w:t>
      </w:r>
    </w:p>
    <w:p w:rsidR="00D727DC" w:rsidRDefault="00D727DC" w:rsidP="00D727DC">
      <w:pPr>
        <w:pStyle w:val="DefinedTerms"/>
      </w:pPr>
      <w:r>
        <w:t>cost of sampling</w:t>
      </w:r>
      <w:r>
        <w:tab/>
        <w:t>Sch. 7 cl. 13(1)</w:t>
      </w:r>
    </w:p>
    <w:p w:rsidR="00D727DC" w:rsidRDefault="00D727DC" w:rsidP="00D727DC">
      <w:pPr>
        <w:pStyle w:val="DefinedTerms"/>
      </w:pPr>
      <w:r>
        <w:t>desalinated water</w:t>
      </w:r>
      <w:r>
        <w:tab/>
        <w:t>16(1)</w:t>
      </w:r>
    </w:p>
    <w:p w:rsidR="00D727DC" w:rsidRDefault="00D727DC" w:rsidP="00D727DC">
      <w:pPr>
        <w:pStyle w:val="DefinedTerms"/>
      </w:pPr>
      <w:r>
        <w:t>development</w:t>
      </w:r>
      <w:r>
        <w:tab/>
        <w:t>47(4)</w:t>
      </w:r>
    </w:p>
    <w:p w:rsidR="00D727DC" w:rsidRDefault="00D727DC" w:rsidP="00D727DC">
      <w:pPr>
        <w:pStyle w:val="DefinedTerms"/>
      </w:pPr>
      <w:r>
        <w:t>discharge factor</w:t>
      </w:r>
      <w:r>
        <w:tab/>
        <w:t>16(1)</w:t>
      </w:r>
    </w:p>
    <w:p w:rsidR="00D727DC" w:rsidRDefault="00D727DC" w:rsidP="00D727DC">
      <w:pPr>
        <w:pStyle w:val="DefinedTerms"/>
      </w:pPr>
      <w:r>
        <w:t>discharge volume</w:t>
      </w:r>
      <w:r>
        <w:tab/>
        <w:t>16(1)</w:t>
      </w:r>
    </w:p>
    <w:p w:rsidR="00D727DC" w:rsidRDefault="00D727DC" w:rsidP="00D727DC">
      <w:pPr>
        <w:pStyle w:val="DefinedTerms"/>
      </w:pPr>
      <w:r>
        <w:t>discharge year</w:t>
      </w:r>
      <w:r>
        <w:tab/>
        <w:t>16(1)</w:t>
      </w:r>
    </w:p>
    <w:p w:rsidR="00D727DC" w:rsidRDefault="00D727DC" w:rsidP="00D727DC">
      <w:pPr>
        <w:pStyle w:val="DefinedTerms"/>
      </w:pPr>
      <w:r>
        <w:t>drainage area</w:t>
      </w:r>
      <w:r>
        <w:tab/>
        <w:t>16(1)</w:t>
      </w:r>
    </w:p>
    <w:p w:rsidR="00D727DC" w:rsidRDefault="00D727DC" w:rsidP="00D727DC">
      <w:pPr>
        <w:pStyle w:val="DefinedTerms"/>
      </w:pPr>
      <w:r>
        <w:t>drainage charge</w:t>
      </w:r>
      <w:r>
        <w:tab/>
        <w:t>16(1)</w:t>
      </w:r>
    </w:p>
    <w:p w:rsidR="00D727DC" w:rsidRDefault="00D727DC" w:rsidP="00D727DC">
      <w:pPr>
        <w:pStyle w:val="DefinedTerms"/>
      </w:pPr>
      <w:r>
        <w:t>eligible pensioner</w:t>
      </w:r>
      <w:r>
        <w:tab/>
        <w:t>3(1)</w:t>
      </w:r>
    </w:p>
    <w:p w:rsidR="00D727DC" w:rsidRDefault="00D727DC" w:rsidP="00D727DC">
      <w:pPr>
        <w:pStyle w:val="DefinedTerms"/>
      </w:pPr>
      <w:r>
        <w:t>financial year</w:t>
      </w:r>
      <w:r>
        <w:tab/>
        <w:t>6, 11, 16(1)</w:t>
      </w:r>
    </w:p>
    <w:p w:rsidR="00D727DC" w:rsidRDefault="00D727DC" w:rsidP="00D727DC">
      <w:pPr>
        <w:pStyle w:val="DefinedTerms"/>
      </w:pPr>
      <w:r>
        <w:t>garden service connection</w:t>
      </w:r>
      <w:r>
        <w:tab/>
        <w:t>3(1)</w:t>
      </w:r>
    </w:p>
    <w:p w:rsidR="00D727DC" w:rsidRDefault="00D727DC" w:rsidP="00D727DC">
      <w:pPr>
        <w:pStyle w:val="DefinedTerms"/>
      </w:pPr>
      <w:r>
        <w:t>government trading organisation</w:t>
      </w:r>
      <w:r>
        <w:tab/>
        <w:t>16(1)</w:t>
      </w:r>
    </w:p>
    <w:p w:rsidR="00D727DC" w:rsidRDefault="00D727DC" w:rsidP="00D727DC">
      <w:pPr>
        <w:pStyle w:val="DefinedTerms"/>
      </w:pPr>
      <w:r>
        <w:t>GRV</w:t>
      </w:r>
      <w:r>
        <w:tab/>
        <w:t>16(1)</w:t>
      </w:r>
    </w:p>
    <w:p w:rsidR="00D727DC" w:rsidRDefault="00D727DC" w:rsidP="00D727DC">
      <w:pPr>
        <w:pStyle w:val="DefinedTerms"/>
      </w:pPr>
      <w:r>
        <w:t>holiday accommodation</w:t>
      </w:r>
      <w:r>
        <w:tab/>
        <w:t>16(1)</w:t>
      </w:r>
    </w:p>
    <w:p w:rsidR="00D727DC" w:rsidRDefault="00D727DC" w:rsidP="00D727DC">
      <w:pPr>
        <w:pStyle w:val="DefinedTerms"/>
      </w:pPr>
      <w:r>
        <w:t>hydrant standpipe</w:t>
      </w:r>
      <w:r>
        <w:tab/>
        <w:t>16(1)</w:t>
      </w:r>
    </w:p>
    <w:p w:rsidR="00D727DC" w:rsidRDefault="00D727DC" w:rsidP="00D727DC">
      <w:pPr>
        <w:pStyle w:val="DefinedTerms"/>
      </w:pPr>
      <w:r>
        <w:t>irrigation district</w:t>
      </w:r>
      <w:r>
        <w:tab/>
        <w:t>16(1)</w:t>
      </w:r>
    </w:p>
    <w:p w:rsidR="00D727DC" w:rsidRDefault="00D727DC" w:rsidP="00D727DC">
      <w:pPr>
        <w:pStyle w:val="DefinedTerms"/>
      </w:pPr>
      <w:r>
        <w:t>irrigation works</w:t>
      </w:r>
      <w:r>
        <w:tab/>
        <w:t>16(1)</w:t>
      </w:r>
    </w:p>
    <w:p w:rsidR="00D727DC" w:rsidRDefault="00D727DC" w:rsidP="00D727DC">
      <w:pPr>
        <w:pStyle w:val="DefinedTerms"/>
      </w:pPr>
      <w:r>
        <w:t>local government standpipe</w:t>
      </w:r>
      <w:r>
        <w:tab/>
        <w:t>16(1)</w:t>
      </w:r>
    </w:p>
    <w:p w:rsidR="00D727DC" w:rsidRDefault="00D727DC" w:rsidP="00D727DC">
      <w:pPr>
        <w:pStyle w:val="DefinedTerms"/>
      </w:pPr>
      <w:r>
        <w:t>long-term residential caravan bay</w:t>
      </w:r>
      <w:r>
        <w:tab/>
        <w:t>16(1)</w:t>
      </w:r>
    </w:p>
    <w:p w:rsidR="00D727DC" w:rsidRDefault="00D727DC" w:rsidP="00D727DC">
      <w:pPr>
        <w:pStyle w:val="DefinedTerms"/>
      </w:pPr>
      <w:r>
        <w:t>lot</w:t>
      </w:r>
      <w:r>
        <w:tab/>
        <w:t>6, 11, 16(1)</w:t>
      </w:r>
    </w:p>
    <w:p w:rsidR="00D727DC" w:rsidRDefault="00D727DC" w:rsidP="00D727DC">
      <w:pPr>
        <w:pStyle w:val="DefinedTerms"/>
      </w:pPr>
      <w:r>
        <w:t>major fixture</w:t>
      </w:r>
      <w:r>
        <w:tab/>
        <w:t>16(1)</w:t>
      </w:r>
    </w:p>
    <w:p w:rsidR="00D727DC" w:rsidRDefault="00D727DC" w:rsidP="00D727DC">
      <w:pPr>
        <w:pStyle w:val="DefinedTerms"/>
      </w:pPr>
      <w:r>
        <w:lastRenderedPageBreak/>
        <w:t>non-commercial government property</w:t>
      </w:r>
      <w:r>
        <w:tab/>
        <w:t>16(1)</w:t>
      </w:r>
    </w:p>
    <w:p w:rsidR="00D727DC" w:rsidRDefault="00D727DC" w:rsidP="00D727DC">
      <w:pPr>
        <w:pStyle w:val="DefinedTerms"/>
      </w:pPr>
      <w:r>
        <w:t>non-profit private organisation</w:t>
      </w:r>
      <w:r>
        <w:tab/>
        <w:t>16(1)</w:t>
      </w:r>
    </w:p>
    <w:p w:rsidR="00D727DC" w:rsidRDefault="00D727DC" w:rsidP="00D727DC">
      <w:pPr>
        <w:pStyle w:val="DefinedTerms"/>
      </w:pPr>
      <w:r>
        <w:t>non-residential lot</w:t>
      </w:r>
      <w:r>
        <w:tab/>
        <w:t>6, 11</w:t>
      </w:r>
    </w:p>
    <w:p w:rsidR="00D727DC" w:rsidRDefault="00D727DC" w:rsidP="00D727DC">
      <w:pPr>
        <w:pStyle w:val="DefinedTerms"/>
      </w:pPr>
      <w:r>
        <w:t>nursing home</w:t>
      </w:r>
      <w:r>
        <w:tab/>
        <w:t>16(1)</w:t>
      </w:r>
    </w:p>
    <w:p w:rsidR="00D727DC" w:rsidRDefault="00D727DC" w:rsidP="00D727DC">
      <w:pPr>
        <w:pStyle w:val="DefinedTerms"/>
      </w:pPr>
      <w:r>
        <w:t>old provision</w:t>
      </w:r>
      <w:r>
        <w:tab/>
        <w:t>55(1)</w:t>
      </w:r>
    </w:p>
    <w:p w:rsidR="00D727DC" w:rsidRDefault="00D727DC" w:rsidP="00D727DC">
      <w:pPr>
        <w:pStyle w:val="DefinedTerms"/>
      </w:pPr>
      <w:r>
        <w:t>park home</w:t>
      </w:r>
      <w:r>
        <w:tab/>
        <w:t>16(1)</w:t>
      </w:r>
    </w:p>
    <w:p w:rsidR="00D727DC" w:rsidRDefault="00D727DC" w:rsidP="00D727DC">
      <w:pPr>
        <w:pStyle w:val="DefinedTerms"/>
      </w:pPr>
      <w:r>
        <w:t>permitted surcharge</w:t>
      </w:r>
      <w:r>
        <w:tab/>
        <w:t>15A(1), 20(1)</w:t>
      </w:r>
    </w:p>
    <w:p w:rsidR="00D727DC" w:rsidRDefault="00D727DC" w:rsidP="00D727DC">
      <w:pPr>
        <w:pStyle w:val="DefinedTerms"/>
      </w:pPr>
      <w:r>
        <w:t>product evaluation</w:t>
      </w:r>
      <w:r>
        <w:tab/>
        <w:t>Sch. 7 cl. 13(1)</w:t>
      </w:r>
    </w:p>
    <w:p w:rsidR="00D727DC" w:rsidRDefault="00D727DC" w:rsidP="00D727DC">
      <w:pPr>
        <w:pStyle w:val="DefinedTerms"/>
      </w:pPr>
      <w:r>
        <w:t>public land</w:t>
      </w:r>
      <w:r>
        <w:tab/>
        <w:t>16(1)</w:t>
      </w:r>
    </w:p>
    <w:p w:rsidR="00D727DC" w:rsidRDefault="00D727DC" w:rsidP="00D727DC">
      <w:pPr>
        <w:pStyle w:val="DefinedTerms"/>
      </w:pPr>
      <w:r>
        <w:t>RBA Standard No. 3 of 2016</w:t>
      </w:r>
      <w:r>
        <w:tab/>
        <w:t>15A(1), 20(1)</w:t>
      </w:r>
    </w:p>
    <w:p w:rsidR="00D727DC" w:rsidRDefault="00D727DC" w:rsidP="00D727DC">
      <w:pPr>
        <w:pStyle w:val="DefinedTerms"/>
      </w:pPr>
      <w:r>
        <w:t>registered pensioner</w:t>
      </w:r>
      <w:r>
        <w:tab/>
        <w:t>3(1)</w:t>
      </w:r>
    </w:p>
    <w:p w:rsidR="00D727DC" w:rsidRDefault="00D727DC" w:rsidP="00D727DC">
      <w:pPr>
        <w:pStyle w:val="DefinedTerms"/>
      </w:pPr>
      <w:r>
        <w:t>registered senior</w:t>
      </w:r>
      <w:r>
        <w:tab/>
        <w:t>3(1)</w:t>
      </w:r>
    </w:p>
    <w:p w:rsidR="00D727DC" w:rsidRDefault="00D727DC" w:rsidP="00D727DC">
      <w:pPr>
        <w:pStyle w:val="DefinedTerms"/>
      </w:pPr>
      <w:r>
        <w:t>residential lot</w:t>
      </w:r>
      <w:r>
        <w:tab/>
        <w:t>6, 11</w:t>
      </w:r>
    </w:p>
    <w:p w:rsidR="00D727DC" w:rsidRDefault="00D727DC" w:rsidP="00D727DC">
      <w:pPr>
        <w:pStyle w:val="DefinedTerms"/>
      </w:pPr>
      <w:r>
        <w:t>residential property</w:t>
      </w:r>
      <w:r>
        <w:tab/>
        <w:t>16(1)</w:t>
      </w:r>
    </w:p>
    <w:p w:rsidR="00D727DC" w:rsidRDefault="00D727DC" w:rsidP="00D727DC">
      <w:pPr>
        <w:pStyle w:val="DefinedTerms"/>
      </w:pPr>
      <w:r>
        <w:t>residential rate</w:t>
      </w:r>
      <w:r>
        <w:tab/>
        <w:t>27(3)</w:t>
      </w:r>
    </w:p>
    <w:p w:rsidR="00D727DC" w:rsidRDefault="00D727DC" w:rsidP="00D727DC">
      <w:pPr>
        <w:pStyle w:val="DefinedTerms"/>
      </w:pPr>
      <w:r>
        <w:t>retirement village</w:t>
      </w:r>
      <w:r>
        <w:tab/>
        <w:t>16(1)</w:t>
      </w:r>
    </w:p>
    <w:p w:rsidR="00D727DC" w:rsidRDefault="00D727DC" w:rsidP="00D727DC">
      <w:pPr>
        <w:pStyle w:val="DefinedTerms"/>
      </w:pPr>
      <w:r>
        <w:t>rural land</w:t>
      </w:r>
      <w:r>
        <w:tab/>
        <w:t>47(4)</w:t>
      </w:r>
    </w:p>
    <w:p w:rsidR="00D727DC" w:rsidRDefault="00D727DC" w:rsidP="00D727DC">
      <w:pPr>
        <w:pStyle w:val="DefinedTerms"/>
      </w:pPr>
      <w:r>
        <w:t>scheme plan</w:t>
      </w:r>
      <w:r>
        <w:tab/>
        <w:t>16(1)</w:t>
      </w:r>
    </w:p>
    <w:p w:rsidR="00D727DC" w:rsidRDefault="00D727DC" w:rsidP="00D727DC">
      <w:pPr>
        <w:pStyle w:val="DefinedTerms"/>
      </w:pPr>
      <w:r>
        <w:t>semi-rural residential property</w:t>
      </w:r>
      <w:r>
        <w:tab/>
        <w:t>16(1)</w:t>
      </w:r>
    </w:p>
    <w:p w:rsidR="00D727DC" w:rsidRDefault="00D727DC" w:rsidP="00D727DC">
      <w:pPr>
        <w:pStyle w:val="DefinedTerms"/>
      </w:pPr>
      <w:r>
        <w:t>sewerage area</w:t>
      </w:r>
      <w:r>
        <w:tab/>
        <w:t>16(1)</w:t>
      </w:r>
    </w:p>
    <w:p w:rsidR="00D727DC" w:rsidRDefault="00D727DC" w:rsidP="00D727DC">
      <w:pPr>
        <w:pStyle w:val="DefinedTerms"/>
      </w:pPr>
      <w:r>
        <w:t>sewerage charge</w:t>
      </w:r>
      <w:r>
        <w:tab/>
        <w:t>16(1)</w:t>
      </w:r>
    </w:p>
    <w:p w:rsidR="00D727DC" w:rsidRDefault="00D727DC" w:rsidP="00D727DC">
      <w:pPr>
        <w:pStyle w:val="DefinedTerms"/>
      </w:pPr>
      <w:r>
        <w:t>shared grease arrestor</w:t>
      </w:r>
      <w:r>
        <w:tab/>
        <w:t>Sch. 4 cl. 8(1)</w:t>
      </w:r>
    </w:p>
    <w:p w:rsidR="00D727DC" w:rsidRDefault="00D727DC" w:rsidP="00D727DC">
      <w:pPr>
        <w:pStyle w:val="DefinedTerms"/>
      </w:pPr>
      <w:r>
        <w:t>single capital infrastructure charge</w:t>
      </w:r>
      <w:r>
        <w:tab/>
        <w:t>16(1)</w:t>
      </w:r>
    </w:p>
    <w:p w:rsidR="00D727DC" w:rsidRDefault="00D727DC" w:rsidP="00D727DC">
      <w:pPr>
        <w:pStyle w:val="DefinedTerms"/>
      </w:pPr>
      <w:r>
        <w:t>special meter reading</w:t>
      </w:r>
      <w:r>
        <w:tab/>
        <w:t>16(1)</w:t>
      </w:r>
    </w:p>
    <w:p w:rsidR="00D727DC" w:rsidRDefault="00D727DC" w:rsidP="00D727DC">
      <w:pPr>
        <w:pStyle w:val="DefinedTerms"/>
      </w:pPr>
      <w:r>
        <w:t>strata-titled caravan bay</w:t>
      </w:r>
      <w:r>
        <w:tab/>
        <w:t>16(1)</w:t>
      </w:r>
    </w:p>
    <w:p w:rsidR="00D727DC" w:rsidRDefault="00D727DC" w:rsidP="00D727DC">
      <w:pPr>
        <w:pStyle w:val="DefinedTerms"/>
      </w:pPr>
      <w:r>
        <w:t>strata titles scheme</w:t>
      </w:r>
      <w:r>
        <w:tab/>
        <w:t>16(1)</w:t>
      </w:r>
    </w:p>
    <w:p w:rsidR="00D727DC" w:rsidRDefault="00D727DC" w:rsidP="00D727DC">
      <w:pPr>
        <w:pStyle w:val="DefinedTerms"/>
      </w:pPr>
      <w:r>
        <w:t>trade waste charge</w:t>
      </w:r>
      <w:r>
        <w:tab/>
        <w:t>19(1)</w:t>
      </w:r>
    </w:p>
    <w:p w:rsidR="00D727DC" w:rsidRDefault="00D727DC" w:rsidP="00D727DC">
      <w:pPr>
        <w:pStyle w:val="DefinedTerms"/>
      </w:pPr>
      <w:r>
        <w:t>vacant land</w:t>
      </w:r>
      <w:r>
        <w:tab/>
        <w:t>3(1)</w:t>
      </w:r>
    </w:p>
    <w:p w:rsidR="00D727DC" w:rsidRDefault="00D727DC" w:rsidP="00D727DC">
      <w:pPr>
        <w:pStyle w:val="DefinedTerms"/>
      </w:pPr>
      <w:r>
        <w:t>water deficiency declaration</w:t>
      </w:r>
      <w:r>
        <w:tab/>
        <w:t>36A(1)</w:t>
      </w:r>
    </w:p>
    <w:p w:rsidR="00D727DC" w:rsidRDefault="00D727DC" w:rsidP="00D727DC">
      <w:pPr>
        <w:pStyle w:val="DefinedTerms"/>
      </w:pPr>
      <w:r>
        <w:t>water supply charge</w:t>
      </w:r>
      <w:r>
        <w:tab/>
        <w:t>16(1)</w:t>
      </w:r>
    </w:p>
    <w:p w:rsidR="00D727DC" w:rsidRDefault="00D727DC" w:rsidP="00D727DC"/>
    <w:p w:rsidR="00D727DC" w:rsidRDefault="00D727DC">
      <w:pPr>
        <w:sectPr w:rsidR="00D727DC">
          <w:headerReference w:type="even" r:id="rId38"/>
          <w:headerReference w:type="default" r:id="rId39"/>
          <w:pgSz w:w="11907" w:h="16840" w:code="9"/>
          <w:pgMar w:top="2381" w:right="2409" w:bottom="3543" w:left="2409" w:header="720" w:footer="3380" w:gutter="0"/>
          <w:cols w:space="720"/>
          <w:noEndnote/>
          <w:docGrid w:linePitch="326"/>
        </w:sectPr>
      </w:pPr>
    </w:p>
    <w:p w:rsidR="005435E9" w:rsidRDefault="005435E9"/>
    <w:sectPr w:rsidR="005435E9">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D0" w:rsidRDefault="005E32D0">
      <w:pPr>
        <w:rPr>
          <w:b/>
          <w:sz w:val="28"/>
        </w:rPr>
      </w:pPr>
      <w:r>
        <w:rPr>
          <w:b/>
          <w:sz w:val="28"/>
        </w:rPr>
        <w:t>Endnotes</w:t>
      </w:r>
    </w:p>
    <w:p w:rsidR="005E32D0" w:rsidRDefault="005E32D0">
      <w:pPr>
        <w:spacing w:after="240"/>
        <w:rPr>
          <w:rFonts w:ascii="Times" w:hAnsi="Times"/>
          <w:sz w:val="18"/>
        </w:rPr>
      </w:pPr>
      <w:r>
        <w:rPr>
          <w:sz w:val="20"/>
        </w:rPr>
        <w:t>[For ease of reference detach these notes and read them alongside the draft.]</w:t>
      </w:r>
    </w:p>
    <w:p w:rsidR="005E32D0" w:rsidRDefault="005E32D0"/>
  </w:endnote>
  <w:endnote w:type="continuationSeparator" w:id="0">
    <w:p w:rsidR="005E32D0" w:rsidRDefault="005E32D0">
      <w:pPr>
        <w:pStyle w:val="Footer"/>
      </w:pPr>
    </w:p>
    <w:p w:rsidR="005E32D0" w:rsidRDefault="005E3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Bdr>
        <w:bottom w:val="single" w:sz="4" w:space="1" w:color="auto"/>
      </w:pBdr>
      <w:rPr>
        <w:sz w:val="20"/>
      </w:rPr>
    </w:pPr>
  </w:p>
  <w:p w:rsidR="005E32D0" w:rsidRDefault="005E32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62E4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62E4C">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32D0" w:rsidRDefault="005E32D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D0" w:rsidRDefault="005E32D0">
      <w:r>
        <w:separator/>
      </w:r>
    </w:p>
  </w:footnote>
  <w:footnote w:type="continuationSeparator" w:id="0">
    <w:p w:rsidR="005E32D0" w:rsidRDefault="005E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4C" w:rsidRDefault="00962E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E32D0" w:rsidRDefault="005E32D0">
          <w:pPr>
            <w:pStyle w:val="Header"/>
            <w:spacing w:before="40"/>
          </w:pPr>
          <w:r>
            <w:fldChar w:fldCharType="begin"/>
          </w:r>
          <w:r>
            <w:instrText>styleref CharSchText</w:instrText>
          </w:r>
          <w: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E32D0" w:rsidRDefault="005E32D0">
          <w:pPr>
            <w:pStyle w:val="Header"/>
            <w:spacing w:before="40"/>
          </w:pPr>
          <w:r>
            <w:fldChar w:fldCharType="begin"/>
          </w:r>
          <w:r>
            <w:instrText>styleref CharSDivText</w:instrText>
          </w:r>
          <w:r>
            <w:fldChar w:fldCharType="end"/>
          </w:r>
        </w:p>
      </w:tc>
    </w:tr>
    <w:tr w:rsidR="005E32D0">
      <w:trPr>
        <w:gridAfter w:val="1"/>
        <w:wAfter w:w="5715" w:type="dxa"/>
        <w:jc w:val="center"/>
      </w:trPr>
      <w:tc>
        <w:tcPr>
          <w:tcW w:w="1548" w:type="dxa"/>
        </w:tcPr>
        <w:p w:rsidR="005E32D0" w:rsidRDefault="005E32D0">
          <w:pPr>
            <w:pStyle w:val="Header"/>
            <w:spacing w:before="40"/>
          </w:pPr>
        </w:p>
      </w:tc>
    </w:tr>
  </w:tbl>
  <w:p w:rsidR="005E32D0" w:rsidRDefault="005E32D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E32D0">
      <w:trPr>
        <w:jc w:val="center"/>
      </w:trPr>
      <w:tc>
        <w:tcPr>
          <w:tcW w:w="7263" w:type="dxa"/>
          <w:gridSpan w:val="2"/>
        </w:tcPr>
        <w:p w:rsidR="005E32D0" w:rsidRDefault="005E32D0">
          <w:pPr>
            <w:pStyle w:val="Header"/>
            <w:ind w:right="17"/>
            <w:jc w:val="right"/>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97" w:type="dxa"/>
        </w:tcPr>
        <w:p w:rsidR="005E32D0" w:rsidRDefault="005E32D0">
          <w:pPr>
            <w:pStyle w:val="Header"/>
            <w:spacing w:before="40"/>
            <w:jc w:val="right"/>
          </w:pPr>
          <w:r>
            <w:fldChar w:fldCharType="begin"/>
          </w:r>
          <w:r>
            <w:instrText>styleref CharSchText</w:instrText>
          </w:r>
          <w:r>
            <w:fldChar w:fldCharType="end"/>
          </w:r>
        </w:p>
      </w:tc>
      <w:tc>
        <w:tcPr>
          <w:tcW w:w="1466" w:type="dxa"/>
        </w:tcPr>
        <w:p w:rsidR="005E32D0" w:rsidRDefault="005E32D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rsidR="005E32D0">
      <w:trPr>
        <w:jc w:val="center"/>
      </w:trPr>
      <w:tc>
        <w:tcPr>
          <w:tcW w:w="5797" w:type="dxa"/>
        </w:tcPr>
        <w:p w:rsidR="005E32D0" w:rsidRDefault="005E32D0">
          <w:pPr>
            <w:pStyle w:val="Header"/>
            <w:spacing w:before="40"/>
            <w:jc w:val="right"/>
          </w:pPr>
          <w:r>
            <w:rPr>
              <w:noProof w:val="0"/>
            </w:rPr>
            <w:fldChar w:fldCharType="begin"/>
          </w:r>
          <w:r>
            <w:instrText xml:space="preserve"> styleref CharSDivText </w:instrText>
          </w:r>
          <w:r>
            <w:fldChar w:fldCharType="end"/>
          </w:r>
        </w:p>
      </w:tc>
      <w:tc>
        <w:tcPr>
          <w:tcW w:w="1466" w:type="dxa"/>
        </w:tcPr>
        <w:p w:rsidR="005E32D0" w:rsidRDefault="005E32D0">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rsidR="005E32D0">
      <w:trPr>
        <w:jc w:val="center"/>
      </w:trPr>
      <w:tc>
        <w:tcPr>
          <w:tcW w:w="5797" w:type="dxa"/>
        </w:tcPr>
        <w:p w:rsidR="005E32D0" w:rsidRDefault="005E32D0">
          <w:pPr>
            <w:pStyle w:val="Header"/>
            <w:spacing w:before="40"/>
            <w:jc w:val="right"/>
          </w:pPr>
        </w:p>
      </w:tc>
      <w:tc>
        <w:tcPr>
          <w:tcW w:w="1466" w:type="dxa"/>
        </w:tcPr>
        <w:p w:rsidR="005E32D0" w:rsidRDefault="005E32D0">
          <w:pPr>
            <w:pStyle w:val="Header"/>
            <w:spacing w:before="40"/>
            <w:ind w:right="17"/>
            <w:jc w:val="right"/>
          </w:pPr>
        </w:p>
      </w:tc>
    </w:tr>
  </w:tbl>
  <w:p w:rsidR="005E32D0" w:rsidRDefault="005E32D0">
    <w:pPr>
      <w:pStyle w:val="Header"/>
      <w:pBdr>
        <w:top w:val="single" w:sz="4" w:space="1" w:color="auto"/>
      </w:pBdr>
    </w:pPr>
    <w:bookmarkStart w:id="362" w:name="Schedule"/>
    <w:bookmarkEnd w:id="3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styleref CharSchno</w:instrText>
          </w:r>
          <w:r>
            <w:rPr>
              <w:b/>
            </w:rPr>
            <w:fldChar w:fldCharType="separate"/>
          </w:r>
          <w:r w:rsidR="00962E4C">
            <w:rPr>
              <w:b/>
            </w:rPr>
            <w:t>Schedule 7</w:t>
          </w:r>
          <w:r>
            <w:rPr>
              <w:b/>
            </w:rPr>
            <w:fldChar w:fldCharType="end"/>
          </w:r>
        </w:p>
      </w:tc>
      <w:tc>
        <w:tcPr>
          <w:tcW w:w="5715" w:type="dxa"/>
        </w:tcPr>
        <w:p w:rsidR="005E32D0" w:rsidRDefault="005E32D0">
          <w:pPr>
            <w:pStyle w:val="Header"/>
            <w:spacing w:before="40"/>
          </w:pPr>
          <w:r>
            <w:fldChar w:fldCharType="begin"/>
          </w:r>
          <w:r>
            <w:instrText>styleref CharSchText</w:instrText>
          </w:r>
          <w:r>
            <w:fldChar w:fldCharType="separate"/>
          </w:r>
          <w:r w:rsidR="00962E4C">
            <w:t>Miscellaneous charges for the Water Corporation</w:t>
          </w:r>
          <w: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32D0" w:rsidRDefault="005E32D0">
          <w:pPr>
            <w:pStyle w:val="Header"/>
            <w:spacing w:before="40"/>
          </w:pPr>
          <w:r>
            <w:fldChar w:fldCharType="begin"/>
          </w:r>
          <w:r>
            <w:instrText xml:space="preserve"> styleref CharSDivText </w:instrText>
          </w:r>
          <w:r>
            <w:fldChar w:fldCharType="end"/>
          </w:r>
        </w:p>
      </w:tc>
    </w:tr>
    <w:tr w:rsidR="005E32D0">
      <w:trPr>
        <w:jc w:val="center"/>
      </w:trPr>
      <w:tc>
        <w:tcPr>
          <w:tcW w:w="1548" w:type="dxa"/>
        </w:tcPr>
        <w:p w:rsidR="005E32D0" w:rsidRDefault="005E32D0">
          <w:pPr>
            <w:pStyle w:val="Header"/>
            <w:spacing w:before="40"/>
          </w:pPr>
        </w:p>
      </w:tc>
      <w:tc>
        <w:tcPr>
          <w:tcW w:w="5715" w:type="dxa"/>
        </w:tcPr>
        <w:p w:rsidR="005E32D0" w:rsidRDefault="005E32D0">
          <w:pPr>
            <w:pStyle w:val="Header"/>
            <w:spacing w:before="40"/>
          </w:pPr>
        </w:p>
      </w:tc>
    </w:tr>
  </w:tbl>
  <w:p w:rsidR="005E32D0" w:rsidRDefault="005E32D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63" w:type="dxa"/>
          <w:gridSpan w:val="2"/>
        </w:tcPr>
        <w:p w:rsidR="005E32D0" w:rsidRDefault="005E32D0">
          <w:pPr>
            <w:pStyle w:val="Header"/>
            <w:ind w:right="17"/>
            <w:jc w:val="right"/>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vAlign w:val="bottom"/>
        </w:tcPr>
        <w:p w:rsidR="005E32D0" w:rsidRDefault="005E32D0">
          <w:pPr>
            <w:pStyle w:val="Header"/>
            <w:spacing w:before="40"/>
            <w:jc w:val="right"/>
          </w:pPr>
          <w:r>
            <w:fldChar w:fldCharType="begin"/>
          </w:r>
          <w:r>
            <w:instrText>styleref CharSchText</w:instrText>
          </w:r>
          <w:r>
            <w:fldChar w:fldCharType="separate"/>
          </w:r>
          <w:r w:rsidR="00962E4C">
            <w:t>Miscellaneous charges for the Water Corporation</w:t>
          </w:r>
          <w:r>
            <w:fldChar w:fldCharType="end"/>
          </w:r>
        </w:p>
      </w:tc>
      <w:tc>
        <w:tcPr>
          <w:tcW w:w="1548" w:type="dxa"/>
        </w:tcPr>
        <w:p w:rsidR="005E32D0" w:rsidRDefault="005E32D0">
          <w:pPr>
            <w:pStyle w:val="Header"/>
            <w:spacing w:before="40"/>
            <w:ind w:right="17"/>
            <w:jc w:val="right"/>
          </w:pPr>
          <w:r>
            <w:rPr>
              <w:b/>
            </w:rPr>
            <w:fldChar w:fldCharType="begin"/>
          </w:r>
          <w:r>
            <w:rPr>
              <w:b/>
            </w:rPr>
            <w:instrText>styleref CharSchno</w:instrText>
          </w:r>
          <w:r>
            <w:rPr>
              <w:b/>
            </w:rPr>
            <w:fldChar w:fldCharType="separate"/>
          </w:r>
          <w:r w:rsidR="00962E4C">
            <w:rPr>
              <w:b/>
            </w:rPr>
            <w:t>Schedule 7</w:t>
          </w:r>
          <w:r>
            <w:rPr>
              <w:b/>
            </w:rPr>
            <w:fldChar w:fldCharType="end"/>
          </w:r>
        </w:p>
      </w:tc>
    </w:tr>
    <w:tr w:rsidR="005E32D0">
      <w:trPr>
        <w:jc w:val="center"/>
      </w:trPr>
      <w:tc>
        <w:tcPr>
          <w:tcW w:w="5715" w:type="dxa"/>
        </w:tcPr>
        <w:p w:rsidR="005E32D0" w:rsidRDefault="005E32D0">
          <w:pPr>
            <w:pStyle w:val="Header"/>
            <w:spacing w:before="40"/>
            <w:jc w:val="right"/>
          </w:pPr>
          <w:r>
            <w:fldChar w:fldCharType="begin"/>
          </w:r>
          <w:r>
            <w:instrText xml:space="preserve"> styleref CharSDivText </w:instrTex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p>
      </w:tc>
    </w:tr>
  </w:tbl>
  <w:p w:rsidR="005E32D0" w:rsidRDefault="005E32D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styleref CharSchno</w:instrText>
          </w:r>
          <w:r>
            <w:rPr>
              <w:b/>
            </w:rPr>
            <w:fldChar w:fldCharType="separate"/>
          </w:r>
          <w:r w:rsidR="00962E4C">
            <w:rPr>
              <w:b/>
            </w:rPr>
            <w:t>Schedule 8</w:t>
          </w:r>
          <w:r>
            <w:rPr>
              <w:b/>
            </w:rPr>
            <w:fldChar w:fldCharType="end"/>
          </w:r>
        </w:p>
      </w:tc>
      <w:tc>
        <w:tcPr>
          <w:tcW w:w="5715" w:type="dxa"/>
        </w:tcPr>
        <w:p w:rsidR="005E32D0" w:rsidRDefault="005E32D0">
          <w:pPr>
            <w:pStyle w:val="Header"/>
            <w:spacing w:before="40"/>
          </w:pPr>
          <w:r>
            <w:fldChar w:fldCharType="begin"/>
          </w:r>
          <w:r>
            <w:instrText>styleref CharSchText</w:instrText>
          </w:r>
          <w:r>
            <w:fldChar w:fldCharType="separate"/>
          </w:r>
          <w:r w:rsidR="00962E4C">
            <w:t>Government trading organisations</w:t>
          </w:r>
          <w: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32D0" w:rsidRDefault="005E32D0">
          <w:pPr>
            <w:pStyle w:val="Header"/>
            <w:spacing w:before="40"/>
          </w:pPr>
          <w:r>
            <w:fldChar w:fldCharType="begin"/>
          </w:r>
          <w:r>
            <w:instrText xml:space="preserve"> styleref CharSDivText </w:instrText>
          </w:r>
          <w:r>
            <w:fldChar w:fldCharType="end"/>
          </w:r>
        </w:p>
      </w:tc>
    </w:tr>
    <w:tr w:rsidR="005E32D0">
      <w:trPr>
        <w:jc w:val="center"/>
      </w:trPr>
      <w:tc>
        <w:tcPr>
          <w:tcW w:w="1548" w:type="dxa"/>
        </w:tcPr>
        <w:p w:rsidR="005E32D0" w:rsidRDefault="005E32D0">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962E4C">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962E4C">
            <w:rPr>
              <w:b/>
            </w:rPr>
            <w:t>16</w:t>
          </w:r>
          <w:r>
            <w:rPr>
              <w:b/>
            </w:rPr>
            <w:fldChar w:fldCharType="end"/>
          </w:r>
        </w:p>
      </w:tc>
      <w:tc>
        <w:tcPr>
          <w:tcW w:w="5715" w:type="dxa"/>
        </w:tcPr>
        <w:p w:rsidR="005E32D0" w:rsidRDefault="005E32D0">
          <w:pPr>
            <w:pStyle w:val="Header"/>
            <w:spacing w:before="40"/>
          </w:pPr>
        </w:p>
      </w:tc>
    </w:tr>
  </w:tbl>
  <w:p w:rsidR="005E32D0" w:rsidRDefault="005E32D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63" w:type="dxa"/>
          <w:gridSpan w:val="2"/>
        </w:tcPr>
        <w:p w:rsidR="005E32D0" w:rsidRDefault="005E32D0">
          <w:pPr>
            <w:pStyle w:val="Header"/>
            <w:ind w:right="17"/>
            <w:jc w:val="right"/>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vAlign w:val="bottom"/>
        </w:tcPr>
        <w:p w:rsidR="005E32D0" w:rsidRDefault="005E32D0">
          <w:pPr>
            <w:pStyle w:val="Header"/>
            <w:spacing w:before="40"/>
            <w:jc w:val="right"/>
          </w:pPr>
          <w:r>
            <w:fldChar w:fldCharType="begin"/>
          </w:r>
          <w:r>
            <w:instrText>styleref CharSchText</w:instrText>
          </w:r>
          <w:r>
            <w:fldChar w:fldCharType="separate"/>
          </w:r>
          <w:r w:rsidR="00962E4C">
            <w:t>Government trading organisations</w:t>
          </w:r>
          <w:r>
            <w:fldChar w:fldCharType="end"/>
          </w:r>
        </w:p>
      </w:tc>
      <w:tc>
        <w:tcPr>
          <w:tcW w:w="1548" w:type="dxa"/>
        </w:tcPr>
        <w:p w:rsidR="005E32D0" w:rsidRDefault="005E32D0">
          <w:pPr>
            <w:pStyle w:val="Header"/>
            <w:spacing w:before="40"/>
            <w:ind w:right="17"/>
            <w:jc w:val="right"/>
          </w:pPr>
          <w:r>
            <w:rPr>
              <w:b/>
            </w:rPr>
            <w:fldChar w:fldCharType="begin"/>
          </w:r>
          <w:r>
            <w:rPr>
              <w:b/>
            </w:rPr>
            <w:instrText>styleref CharSchno</w:instrText>
          </w:r>
          <w:r>
            <w:rPr>
              <w:b/>
            </w:rPr>
            <w:fldChar w:fldCharType="separate"/>
          </w:r>
          <w:r w:rsidR="00962E4C">
            <w:rPr>
              <w:b/>
            </w:rPr>
            <w:t>Schedule 8</w:t>
          </w:r>
          <w:r>
            <w:rPr>
              <w:b/>
            </w:rPr>
            <w:fldChar w:fldCharType="end"/>
          </w:r>
        </w:p>
      </w:tc>
    </w:tr>
    <w:tr w:rsidR="005E32D0">
      <w:trPr>
        <w:jc w:val="center"/>
      </w:trPr>
      <w:tc>
        <w:tcPr>
          <w:tcW w:w="5715" w:type="dxa"/>
        </w:tcPr>
        <w:p w:rsidR="005E32D0" w:rsidRDefault="005E32D0">
          <w:pPr>
            <w:pStyle w:val="Header"/>
            <w:spacing w:before="40"/>
            <w:jc w:val="right"/>
          </w:pPr>
          <w:r>
            <w:fldChar w:fldCharType="begin"/>
          </w:r>
          <w:r>
            <w:instrText xml:space="preserve"> styleref CharSDivText </w:instrTex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962E4C">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962E4C">
            <w:rPr>
              <w:b/>
            </w:rPr>
            <w:t>16</w:t>
          </w:r>
          <w:r>
            <w:rPr>
              <w:b/>
            </w:rPr>
            <w:fldChar w:fldCharType="end"/>
          </w:r>
        </w:p>
      </w:tc>
    </w:tr>
  </w:tbl>
  <w:p w:rsidR="005E32D0" w:rsidRDefault="005E32D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styleref CharSchno</w:instrText>
          </w:r>
          <w:r>
            <w:rPr>
              <w:b/>
            </w:rPr>
            <w:fldChar w:fldCharType="separate"/>
          </w:r>
          <w:r w:rsidR="00962E4C">
            <w:rPr>
              <w:b/>
            </w:rPr>
            <w:t>Schedule 9</w:t>
          </w:r>
          <w:r>
            <w:rPr>
              <w:b/>
            </w:rPr>
            <w:fldChar w:fldCharType="end"/>
          </w:r>
        </w:p>
      </w:tc>
      <w:tc>
        <w:tcPr>
          <w:tcW w:w="5715" w:type="dxa"/>
        </w:tcPr>
        <w:p w:rsidR="005E32D0" w:rsidRDefault="005E32D0">
          <w:pPr>
            <w:pStyle w:val="Header"/>
            <w:spacing w:before="40"/>
          </w:pPr>
          <w:r>
            <w:fldChar w:fldCharType="begin"/>
          </w:r>
          <w:r>
            <w:instrText>styleref CharSchText</w:instrText>
          </w:r>
          <w:r>
            <w:fldChar w:fldCharType="separate"/>
          </w:r>
          <w:r w:rsidR="00962E4C">
            <w:t>Central business districts</w:t>
          </w:r>
          <w: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32D0" w:rsidRDefault="005E32D0">
          <w:pPr>
            <w:pStyle w:val="Header"/>
            <w:spacing w:before="40"/>
          </w:pPr>
          <w:r>
            <w:fldChar w:fldCharType="begin"/>
          </w:r>
          <w:r>
            <w:instrText xml:space="preserve"> styleref CharSDivText </w:instrText>
          </w:r>
          <w:r>
            <w:fldChar w:fldCharType="end"/>
          </w:r>
        </w:p>
      </w:tc>
    </w:tr>
    <w:tr w:rsidR="005E32D0">
      <w:trPr>
        <w:jc w:val="center"/>
      </w:trPr>
      <w:tc>
        <w:tcPr>
          <w:tcW w:w="1548" w:type="dxa"/>
        </w:tcPr>
        <w:p w:rsidR="005E32D0" w:rsidRDefault="005E32D0">
          <w:pPr>
            <w:pStyle w:val="Header"/>
            <w:spacing w:before="40"/>
          </w:pPr>
        </w:p>
      </w:tc>
      <w:tc>
        <w:tcPr>
          <w:tcW w:w="5715" w:type="dxa"/>
        </w:tcPr>
        <w:p w:rsidR="005E32D0" w:rsidRDefault="005E32D0">
          <w:pPr>
            <w:pStyle w:val="Header"/>
            <w:spacing w:before="40"/>
          </w:pPr>
        </w:p>
      </w:tc>
    </w:tr>
  </w:tbl>
  <w:p w:rsidR="005E32D0" w:rsidRDefault="005E32D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63" w:type="dxa"/>
          <w:gridSpan w:val="2"/>
        </w:tcPr>
        <w:p w:rsidR="005E32D0" w:rsidRDefault="005E32D0">
          <w:pPr>
            <w:pStyle w:val="Header"/>
            <w:ind w:right="17"/>
            <w:jc w:val="right"/>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vAlign w:val="bottom"/>
        </w:tcPr>
        <w:p w:rsidR="005E32D0" w:rsidRDefault="005E32D0">
          <w:pPr>
            <w:pStyle w:val="Header"/>
            <w:spacing w:before="40"/>
            <w:jc w:val="right"/>
          </w:pPr>
          <w:r>
            <w:fldChar w:fldCharType="begin"/>
          </w:r>
          <w:r>
            <w:instrText>styleref CharSchText</w:instrText>
          </w:r>
          <w:r>
            <w:fldChar w:fldCharType="separate"/>
          </w:r>
          <w:r w:rsidR="00962E4C">
            <w:t>Central business districts</w:t>
          </w:r>
          <w:r>
            <w:fldChar w:fldCharType="end"/>
          </w:r>
        </w:p>
      </w:tc>
      <w:tc>
        <w:tcPr>
          <w:tcW w:w="1548" w:type="dxa"/>
        </w:tcPr>
        <w:p w:rsidR="005E32D0" w:rsidRDefault="005E32D0">
          <w:pPr>
            <w:pStyle w:val="Header"/>
            <w:spacing w:before="40"/>
            <w:ind w:right="17"/>
            <w:jc w:val="right"/>
          </w:pPr>
          <w:r>
            <w:rPr>
              <w:b/>
            </w:rPr>
            <w:fldChar w:fldCharType="begin"/>
          </w:r>
          <w:r>
            <w:rPr>
              <w:b/>
            </w:rPr>
            <w:instrText>styleref CharSchno</w:instrText>
          </w:r>
          <w:r>
            <w:rPr>
              <w:b/>
            </w:rPr>
            <w:fldChar w:fldCharType="separate"/>
          </w:r>
          <w:r w:rsidR="00962E4C">
            <w:rPr>
              <w:b/>
            </w:rPr>
            <w:t>Schedule 9</w:t>
          </w:r>
          <w:r>
            <w:rPr>
              <w:b/>
            </w:rPr>
            <w:fldChar w:fldCharType="end"/>
          </w:r>
        </w:p>
      </w:tc>
    </w:tr>
    <w:tr w:rsidR="005E32D0">
      <w:trPr>
        <w:jc w:val="center"/>
      </w:trPr>
      <w:tc>
        <w:tcPr>
          <w:tcW w:w="5715" w:type="dxa"/>
        </w:tcPr>
        <w:p w:rsidR="005E32D0" w:rsidRDefault="005E32D0">
          <w:pPr>
            <w:pStyle w:val="Header"/>
            <w:spacing w:before="40"/>
            <w:jc w:val="right"/>
          </w:pPr>
          <w:r>
            <w:fldChar w:fldCharType="begin"/>
          </w:r>
          <w:r>
            <w:instrText xml:space="preserve"> styleref CharSDivText </w:instrTex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p>
      </w:tc>
    </w:tr>
  </w:tbl>
  <w:p w:rsidR="005E32D0" w:rsidRDefault="005E32D0">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STYLEREF "nHeading 2" </w:instrText>
          </w:r>
          <w:r>
            <w:rPr>
              <w:b/>
            </w:rPr>
            <w:fldChar w:fldCharType="separate"/>
          </w:r>
          <w:r w:rsidR="00962E4C">
            <w:rPr>
              <w:b/>
            </w:rPr>
            <w:t>Notes</w:t>
          </w:r>
          <w:r>
            <w:rPr>
              <w:b/>
            </w:rPr>
            <w:fldChar w:fldCharType="end"/>
          </w:r>
        </w:p>
      </w:tc>
      <w:tc>
        <w:tcPr>
          <w:tcW w:w="5715" w:type="dxa"/>
        </w:tcPr>
        <w:p w:rsidR="005E32D0" w:rsidRDefault="005E32D0">
          <w:pPr>
            <w:pStyle w:val="Header"/>
            <w:spacing w:before="40"/>
          </w:pPr>
          <w:r>
            <w:fldChar w:fldCharType="begin"/>
          </w:r>
          <w:r>
            <w:instrText xml:space="preserve"> STYLEREF "nHeading 3" </w:instrText>
          </w:r>
          <w:r>
            <w:fldChar w:fldCharType="separate"/>
          </w:r>
          <w:r w:rsidR="00962E4C">
            <w:t>Compilation table</w:t>
          </w:r>
          <w:r>
            <w:fldChar w:fldCharType="end"/>
          </w:r>
        </w:p>
      </w:tc>
    </w:tr>
    <w:tr w:rsidR="005E32D0">
      <w:trPr>
        <w:jc w:val="center"/>
      </w:trPr>
      <w:tc>
        <w:tcPr>
          <w:tcW w:w="1548" w:type="dxa"/>
        </w:tcPr>
        <w:p w:rsidR="005E32D0" w:rsidRDefault="005E32D0">
          <w:pPr>
            <w:pStyle w:val="Header"/>
            <w:spacing w:before="40"/>
          </w:pPr>
        </w:p>
      </w:tc>
      <w:tc>
        <w:tcPr>
          <w:tcW w:w="5715" w:type="dxa"/>
        </w:tcPr>
        <w:p w:rsidR="005E32D0" w:rsidRDefault="005E32D0">
          <w:pPr>
            <w:pStyle w:val="Header"/>
            <w:spacing w:before="40"/>
          </w:pPr>
        </w:p>
      </w:tc>
    </w:tr>
    <w:tr w:rsidR="005E32D0">
      <w:trPr>
        <w:cantSplit/>
        <w:jc w:val="center"/>
      </w:trPr>
      <w:tc>
        <w:tcPr>
          <w:tcW w:w="7258" w:type="dxa"/>
          <w:gridSpan w:val="2"/>
        </w:tcPr>
        <w:p w:rsidR="005E32D0" w:rsidRDefault="005E32D0">
          <w:pPr>
            <w:pStyle w:val="Header"/>
            <w:spacing w:before="40"/>
          </w:pPr>
        </w:p>
      </w:tc>
    </w:tr>
  </w:tbl>
  <w:p w:rsidR="005E32D0" w:rsidRDefault="005E32D0">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4C" w:rsidRDefault="00962E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58" w:type="dxa"/>
          <w:gridSpan w:val="2"/>
        </w:tcPr>
        <w:p w:rsidR="005E32D0" w:rsidRDefault="005E32D0">
          <w:pPr>
            <w:pStyle w:val="Header"/>
            <w:ind w:right="17"/>
            <w:jc w:val="right"/>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tcPr>
        <w:p w:rsidR="005E32D0" w:rsidRDefault="005E32D0">
          <w:pPr>
            <w:pStyle w:val="Header"/>
            <w:spacing w:before="40"/>
            <w:jc w:val="right"/>
          </w:pPr>
          <w:r>
            <w:fldChar w:fldCharType="begin"/>
          </w:r>
          <w:r>
            <w:instrText xml:space="preserve"> STYLEREF "nHeading 3" </w:instrText>
          </w:r>
          <w:r>
            <w:fldChar w:fldCharType="separate"/>
          </w:r>
          <w:r w:rsidR="00962E4C">
            <w:t>Compilation table</w: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STYLEREF "nHeading 2" </w:instrText>
          </w:r>
          <w:r>
            <w:rPr>
              <w:b/>
            </w:rPr>
            <w:fldChar w:fldCharType="separate"/>
          </w:r>
          <w:r w:rsidR="00962E4C">
            <w:rPr>
              <w:b/>
            </w:rPr>
            <w:t>Notes</w:t>
          </w:r>
          <w:r>
            <w:rPr>
              <w:b/>
            </w:rPr>
            <w:fldChar w:fldCharType="end"/>
          </w: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p>
      </w:tc>
    </w:tr>
    <w:tr w:rsidR="005E32D0">
      <w:trPr>
        <w:cantSplit/>
        <w:jc w:val="center"/>
      </w:trPr>
      <w:tc>
        <w:tcPr>
          <w:tcW w:w="7258" w:type="dxa"/>
          <w:gridSpan w:val="2"/>
        </w:tcPr>
        <w:p w:rsidR="005E32D0" w:rsidRDefault="005E32D0">
          <w:pPr>
            <w:pStyle w:val="Header"/>
            <w:spacing w:before="40"/>
            <w:ind w:right="17"/>
            <w:jc w:val="right"/>
          </w:pPr>
        </w:p>
      </w:tc>
    </w:tr>
  </w:tbl>
  <w:p w:rsidR="005E32D0" w:rsidRDefault="005E32D0">
    <w:pPr>
      <w:pStyle w:val="Header"/>
      <w:pBdr>
        <w:top w:val="single" w:sz="4" w:space="1" w:color="auto"/>
      </w:pBdr>
    </w:pPr>
    <w:bookmarkStart w:id="388" w:name="Compilation"/>
    <w:bookmarkEnd w:id="38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32D0">
      <w:trPr>
        <w:cantSplit/>
        <w:jc w:val="center"/>
      </w:trPr>
      <w:tc>
        <w:tcPr>
          <w:tcW w:w="7263" w:type="dxa"/>
          <w:gridSpan w:val="2"/>
        </w:tcPr>
        <w:p w:rsidR="005E32D0" w:rsidRDefault="005E32D0">
          <w:pPr>
            <w:pStyle w:val="Header"/>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348" w:type="dxa"/>
        </w:tcPr>
        <w:p w:rsidR="005E32D0" w:rsidRDefault="005E32D0">
          <w:pPr>
            <w:pStyle w:val="Header"/>
            <w:spacing w:before="40"/>
          </w:pPr>
        </w:p>
      </w:tc>
      <w:tc>
        <w:tcPr>
          <w:tcW w:w="5915" w:type="dxa"/>
        </w:tcPr>
        <w:p w:rsidR="005E32D0" w:rsidRDefault="005E32D0">
          <w:pPr>
            <w:pStyle w:val="Header"/>
            <w:spacing w:before="40"/>
          </w:pPr>
        </w:p>
      </w:tc>
    </w:tr>
    <w:tr w:rsidR="005E32D0">
      <w:trPr>
        <w:jc w:val="center"/>
      </w:trPr>
      <w:tc>
        <w:tcPr>
          <w:tcW w:w="1348" w:type="dxa"/>
        </w:tcPr>
        <w:p w:rsidR="005E32D0" w:rsidRDefault="005E32D0">
          <w:pPr>
            <w:pStyle w:val="Header"/>
            <w:spacing w:before="40"/>
          </w:pPr>
        </w:p>
      </w:tc>
      <w:tc>
        <w:tcPr>
          <w:tcW w:w="5915" w:type="dxa"/>
        </w:tcPr>
        <w:p w:rsidR="005E32D0" w:rsidRDefault="005E32D0">
          <w:pPr>
            <w:pStyle w:val="Header"/>
            <w:spacing w:before="40"/>
          </w:pPr>
        </w:p>
      </w:tc>
    </w:tr>
    <w:tr w:rsidR="005E32D0">
      <w:trPr>
        <w:cantSplit/>
        <w:jc w:val="center"/>
      </w:trPr>
      <w:tc>
        <w:tcPr>
          <w:tcW w:w="7263" w:type="dxa"/>
          <w:gridSpan w:val="2"/>
        </w:tcPr>
        <w:p w:rsidR="005E32D0" w:rsidRDefault="005E32D0">
          <w:pPr>
            <w:pStyle w:val="Header"/>
            <w:spacing w:before="40"/>
          </w:pPr>
          <w:r>
            <w:t>Defined terms</w:t>
          </w:r>
        </w:p>
      </w:tc>
    </w:tr>
  </w:tbl>
  <w:p w:rsidR="005E32D0" w:rsidRDefault="005E32D0">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32D0">
      <w:trPr>
        <w:cantSplit/>
        <w:jc w:val="center"/>
      </w:trPr>
      <w:tc>
        <w:tcPr>
          <w:tcW w:w="7263" w:type="dxa"/>
          <w:gridSpan w:val="2"/>
        </w:tcPr>
        <w:p w:rsidR="005E32D0" w:rsidRDefault="005E32D0">
          <w:pPr>
            <w:pStyle w:val="Header"/>
            <w:spacing w:before="40"/>
            <w:ind w:right="17"/>
            <w:jc w:val="right"/>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884" w:type="dxa"/>
        </w:tcPr>
        <w:p w:rsidR="005E32D0" w:rsidRDefault="005E32D0">
          <w:pPr>
            <w:pStyle w:val="Header"/>
            <w:spacing w:before="40"/>
            <w:jc w:val="right"/>
          </w:pPr>
        </w:p>
      </w:tc>
      <w:tc>
        <w:tcPr>
          <w:tcW w:w="1379" w:type="dxa"/>
        </w:tcPr>
        <w:p w:rsidR="005E32D0" w:rsidRDefault="005E32D0">
          <w:pPr>
            <w:pStyle w:val="Header"/>
            <w:spacing w:before="40"/>
            <w:ind w:right="17"/>
            <w:jc w:val="right"/>
          </w:pPr>
        </w:p>
      </w:tc>
    </w:tr>
    <w:tr w:rsidR="005E32D0">
      <w:trPr>
        <w:jc w:val="center"/>
      </w:trPr>
      <w:tc>
        <w:tcPr>
          <w:tcW w:w="5884" w:type="dxa"/>
        </w:tcPr>
        <w:p w:rsidR="005E32D0" w:rsidRDefault="005E32D0">
          <w:pPr>
            <w:pStyle w:val="Header"/>
            <w:spacing w:before="40"/>
            <w:jc w:val="right"/>
          </w:pPr>
        </w:p>
      </w:tc>
      <w:tc>
        <w:tcPr>
          <w:tcW w:w="1379" w:type="dxa"/>
        </w:tcPr>
        <w:p w:rsidR="005E32D0" w:rsidRDefault="005E32D0">
          <w:pPr>
            <w:pStyle w:val="Header"/>
            <w:spacing w:before="40"/>
            <w:ind w:right="17"/>
            <w:jc w:val="right"/>
          </w:pPr>
        </w:p>
      </w:tc>
    </w:tr>
    <w:tr w:rsidR="005E32D0">
      <w:trPr>
        <w:cantSplit/>
        <w:jc w:val="center"/>
      </w:trPr>
      <w:tc>
        <w:tcPr>
          <w:tcW w:w="7263" w:type="dxa"/>
          <w:gridSpan w:val="2"/>
        </w:tcPr>
        <w:p w:rsidR="005E32D0" w:rsidRDefault="005E32D0">
          <w:pPr>
            <w:pStyle w:val="Header"/>
            <w:spacing w:before="40"/>
            <w:ind w:right="17"/>
            <w:jc w:val="right"/>
          </w:pPr>
          <w:r>
            <w:t>Defined terms</w:t>
          </w:r>
        </w:p>
      </w:tc>
    </w:tr>
  </w:tbl>
  <w:p w:rsidR="005E32D0" w:rsidRDefault="005E32D0">
    <w:pPr>
      <w:pStyle w:val="Header"/>
      <w:pBdr>
        <w:top w:val="single" w:sz="4" w:space="1" w:color="auto"/>
      </w:pBdr>
    </w:pPr>
    <w:bookmarkStart w:id="391" w:name="DefinedTerms"/>
    <w:bookmarkEnd w:id="391"/>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bookmarkStart w:id="392" w:name="Coversheet"/>
    <w:bookmarkEnd w:id="3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58" w:type="dxa"/>
          <w:gridSpan w:val="2"/>
        </w:tcPr>
        <w:p w:rsidR="005E32D0" w:rsidRDefault="005E32D0">
          <w:pPr>
            <w:pStyle w:val="Header"/>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p>
      </w:tc>
      <w:tc>
        <w:tcPr>
          <w:tcW w:w="5715" w:type="dxa"/>
        </w:tcPr>
        <w:p w:rsidR="005E32D0" w:rsidRDefault="005E32D0">
          <w:pPr>
            <w:pStyle w:val="Header"/>
            <w:spacing w:before="40"/>
          </w:pPr>
        </w:p>
      </w:tc>
    </w:tr>
    <w:tr w:rsidR="005E32D0">
      <w:trPr>
        <w:jc w:val="center"/>
      </w:trPr>
      <w:tc>
        <w:tcPr>
          <w:tcW w:w="1548" w:type="dxa"/>
        </w:tcPr>
        <w:p w:rsidR="005E32D0" w:rsidRDefault="005E32D0">
          <w:pPr>
            <w:pStyle w:val="Header"/>
            <w:spacing w:before="40"/>
          </w:pPr>
        </w:p>
      </w:tc>
      <w:tc>
        <w:tcPr>
          <w:tcW w:w="5715" w:type="dxa"/>
        </w:tcPr>
        <w:p w:rsidR="005E32D0" w:rsidRDefault="005E32D0">
          <w:pPr>
            <w:pStyle w:val="Header"/>
            <w:spacing w:before="40"/>
          </w:pPr>
        </w:p>
      </w:tc>
    </w:tr>
    <w:tr w:rsidR="005E32D0">
      <w:trPr>
        <w:cantSplit/>
        <w:jc w:val="center"/>
      </w:trPr>
      <w:tc>
        <w:tcPr>
          <w:tcW w:w="7258" w:type="dxa"/>
          <w:gridSpan w:val="2"/>
        </w:tcPr>
        <w:p w:rsidR="005E32D0" w:rsidRDefault="005E32D0">
          <w:pPr>
            <w:pStyle w:val="Header"/>
            <w:spacing w:before="40"/>
          </w:pPr>
          <w:r>
            <w:t>Contents</w:t>
          </w:r>
        </w:p>
      </w:tc>
    </w:tr>
  </w:tbl>
  <w:p w:rsidR="005E32D0" w:rsidRDefault="005E32D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58" w:type="dxa"/>
          <w:gridSpan w:val="2"/>
        </w:tcPr>
        <w:p w:rsidR="005E32D0" w:rsidRDefault="005E32D0">
          <w:pPr>
            <w:pStyle w:val="Header"/>
            <w:ind w:right="17"/>
            <w:jc w:val="right"/>
          </w:pPr>
          <w:r>
            <w:rPr>
              <w:b/>
              <w:i/>
            </w:rPr>
            <w:fldChar w:fldCharType="begin"/>
          </w:r>
          <w:r>
            <w:rPr>
              <w:b/>
              <w:i/>
            </w:rPr>
            <w:instrText xml:space="preserve"> STYLEREF "Name of Act/Reg" </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p>
      </w:tc>
    </w:tr>
    <w:tr w:rsidR="005E32D0">
      <w:trPr>
        <w:jc w:val="center"/>
      </w:trPr>
      <w:tc>
        <w:tcPr>
          <w:tcW w:w="5715" w:type="dxa"/>
        </w:tcPr>
        <w:p w:rsidR="005E32D0" w:rsidRDefault="005E32D0">
          <w:pPr>
            <w:pStyle w:val="Header"/>
            <w:spacing w:before="40"/>
            <w:jc w:val="right"/>
          </w:pPr>
        </w:p>
      </w:tc>
      <w:tc>
        <w:tcPr>
          <w:tcW w:w="1548" w:type="dxa"/>
        </w:tcPr>
        <w:p w:rsidR="005E32D0" w:rsidRDefault="005E32D0">
          <w:pPr>
            <w:pStyle w:val="Header"/>
            <w:spacing w:before="40"/>
            <w:ind w:right="17"/>
            <w:jc w:val="right"/>
          </w:pPr>
        </w:p>
      </w:tc>
    </w:tr>
    <w:tr w:rsidR="005E32D0">
      <w:trPr>
        <w:cantSplit/>
        <w:jc w:val="center"/>
      </w:trPr>
      <w:tc>
        <w:tcPr>
          <w:tcW w:w="7258" w:type="dxa"/>
          <w:gridSpan w:val="2"/>
        </w:tcPr>
        <w:p w:rsidR="005E32D0" w:rsidRDefault="005E32D0">
          <w:pPr>
            <w:pStyle w:val="Header"/>
            <w:spacing w:before="40"/>
            <w:ind w:right="17"/>
            <w:jc w:val="right"/>
          </w:pPr>
          <w:r>
            <w:t>Contents</w:t>
          </w:r>
        </w:p>
      </w:tc>
    </w:tr>
  </w:tbl>
  <w:p w:rsidR="005E32D0" w:rsidRDefault="005E32D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32D0">
      <w:trPr>
        <w:cantSplit/>
        <w:jc w:val="center"/>
      </w:trPr>
      <w:tc>
        <w:tcPr>
          <w:tcW w:w="7263" w:type="dxa"/>
          <w:gridSpan w:val="2"/>
        </w:tcPr>
        <w:p w:rsidR="005E32D0" w:rsidRDefault="005E32D0">
          <w:pPr>
            <w:pStyle w:val="Header"/>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5E32D0" w:rsidRDefault="005E32D0">
          <w:pPr>
            <w:pStyle w:val="Header"/>
            <w:spacing w:before="40"/>
          </w:pPr>
          <w:r>
            <w:fldChar w:fldCharType="begin"/>
          </w:r>
          <w:r>
            <w:instrText>styleref CharPartText</w:instrText>
          </w:r>
          <w:r>
            <w:fldChar w:fldCharType="end"/>
          </w:r>
        </w:p>
      </w:tc>
    </w:tr>
    <w:tr w:rsidR="005E32D0">
      <w:trPr>
        <w:jc w:val="center"/>
      </w:trPr>
      <w:tc>
        <w:tcPr>
          <w:tcW w:w="1548" w:type="dxa"/>
        </w:tcPr>
        <w:p w:rsidR="005E32D0" w:rsidRDefault="005E32D0">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5E32D0" w:rsidRDefault="005E32D0">
          <w:pPr>
            <w:pStyle w:val="Header"/>
            <w:spacing w:before="40"/>
          </w:pPr>
          <w:r>
            <w:fldChar w:fldCharType="begin"/>
          </w:r>
          <w:r>
            <w:instrText>styleref CharDivText</w:instrText>
          </w:r>
          <w:r>
            <w:fldChar w:fldCharType="end"/>
          </w:r>
        </w:p>
      </w:tc>
    </w:tr>
    <w:tr w:rsidR="005E32D0">
      <w:trPr>
        <w:cantSplit/>
        <w:jc w:val="center"/>
      </w:trPr>
      <w:tc>
        <w:tcPr>
          <w:tcW w:w="7263" w:type="dxa"/>
          <w:gridSpan w:val="2"/>
        </w:tcPr>
        <w:p w:rsidR="005E32D0" w:rsidRDefault="005E32D0">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2E4C">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sidR="00962E4C">
            <w:rPr>
              <w:b/>
            </w:rPr>
            <w:t>1</w:t>
          </w:r>
          <w:r>
            <w:rPr>
              <w:b/>
            </w:rPr>
            <w:fldChar w:fldCharType="end"/>
          </w:r>
        </w:p>
      </w:tc>
    </w:tr>
  </w:tbl>
  <w:p w:rsidR="005E32D0" w:rsidRDefault="005E32D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32D0">
      <w:trPr>
        <w:cantSplit/>
        <w:jc w:val="center"/>
      </w:trPr>
      <w:tc>
        <w:tcPr>
          <w:tcW w:w="7263" w:type="dxa"/>
          <w:gridSpan w:val="2"/>
        </w:tcPr>
        <w:p w:rsidR="005E32D0" w:rsidRDefault="005E32D0">
          <w:pPr>
            <w:pStyle w:val="Header"/>
            <w:ind w:right="17"/>
            <w:jc w:val="right"/>
          </w:pPr>
          <w:r>
            <w:rPr>
              <w:b/>
              <w:i/>
            </w:rPr>
            <w:fldChar w:fldCharType="begin"/>
          </w:r>
          <w:r>
            <w:rPr>
              <w:b/>
              <w:i/>
            </w:rPr>
            <w:instrText>STYLEREF "Name of Act/Reg"</w:instrText>
          </w:r>
          <w:r>
            <w:rPr>
              <w:b/>
              <w:i/>
            </w:rPr>
            <w:fldChar w:fldCharType="separate"/>
          </w:r>
          <w:r w:rsidR="00962E4C">
            <w:rPr>
              <w:b/>
              <w:i/>
            </w:rPr>
            <w:t>Water Services (Water Corporations Charges) Regulations 2014</w:t>
          </w:r>
          <w:r>
            <w:rPr>
              <w:b/>
              <w:i/>
            </w:rPr>
            <w:fldChar w:fldCharType="end"/>
          </w:r>
        </w:p>
      </w:tc>
    </w:tr>
    <w:tr w:rsidR="005E32D0">
      <w:trPr>
        <w:jc w:val="center"/>
      </w:trPr>
      <w:tc>
        <w:tcPr>
          <w:tcW w:w="5715" w:type="dxa"/>
          <w:vAlign w:val="bottom"/>
        </w:tcPr>
        <w:p w:rsidR="005E32D0" w:rsidRDefault="005E32D0">
          <w:pPr>
            <w:pStyle w:val="Header"/>
            <w:spacing w:before="40"/>
            <w:jc w:val="right"/>
          </w:pPr>
          <w:r>
            <w:fldChar w:fldCharType="begin"/>
          </w:r>
          <w:r>
            <w:instrText>styleref CharPartText</w:instrTex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5E32D0">
      <w:trPr>
        <w:jc w:val="center"/>
      </w:trPr>
      <w:tc>
        <w:tcPr>
          <w:tcW w:w="5715" w:type="dxa"/>
          <w:vAlign w:val="bottom"/>
        </w:tcPr>
        <w:p w:rsidR="005E32D0" w:rsidRDefault="005E32D0">
          <w:pPr>
            <w:pStyle w:val="Header"/>
            <w:spacing w:before="40"/>
            <w:jc w:val="right"/>
          </w:pPr>
          <w:r>
            <w:fldChar w:fldCharType="begin"/>
          </w:r>
          <w:r>
            <w:instrText>styleref CharDivText</w:instrText>
          </w:r>
          <w:r>
            <w:fldChar w:fldCharType="end"/>
          </w:r>
        </w:p>
      </w:tc>
      <w:tc>
        <w:tcPr>
          <w:tcW w:w="1548" w:type="dxa"/>
        </w:tcPr>
        <w:p w:rsidR="005E32D0" w:rsidRDefault="005E32D0">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5E32D0">
      <w:trPr>
        <w:cantSplit/>
        <w:jc w:val="center"/>
      </w:trPr>
      <w:tc>
        <w:tcPr>
          <w:tcW w:w="7263" w:type="dxa"/>
          <w:gridSpan w:val="2"/>
        </w:tcPr>
        <w:p w:rsidR="005E32D0" w:rsidRDefault="005E32D0">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2E4C">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2E4C">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sidR="00962E4C">
            <w:rPr>
              <w:b/>
            </w:rPr>
            <w:t>1</w:t>
          </w:r>
          <w:r>
            <w:rPr>
              <w:b/>
            </w:rPr>
            <w:fldChar w:fldCharType="end"/>
          </w:r>
        </w:p>
      </w:tc>
    </w:tr>
  </w:tbl>
  <w:p w:rsidR="005E32D0" w:rsidRDefault="005E32D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2D0" w:rsidRDefault="005E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525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s>
  <w:rsids>
    <w:rsidRoot w:val="00ED5583"/>
    <w:rsid w:val="00052DAB"/>
    <w:rsid w:val="00121DFB"/>
    <w:rsid w:val="002041B1"/>
    <w:rsid w:val="00241656"/>
    <w:rsid w:val="00270AA8"/>
    <w:rsid w:val="00316828"/>
    <w:rsid w:val="00345E83"/>
    <w:rsid w:val="00356B4A"/>
    <w:rsid w:val="003B3EE7"/>
    <w:rsid w:val="004B6CA0"/>
    <w:rsid w:val="00511596"/>
    <w:rsid w:val="005435E9"/>
    <w:rsid w:val="00574F92"/>
    <w:rsid w:val="005E32D0"/>
    <w:rsid w:val="005E7E12"/>
    <w:rsid w:val="006C203B"/>
    <w:rsid w:val="007607E3"/>
    <w:rsid w:val="008778DF"/>
    <w:rsid w:val="00927CFA"/>
    <w:rsid w:val="00962E4C"/>
    <w:rsid w:val="009B3F8D"/>
    <w:rsid w:val="00A04504"/>
    <w:rsid w:val="00A3088F"/>
    <w:rsid w:val="00AB6315"/>
    <w:rsid w:val="00AC7183"/>
    <w:rsid w:val="00BA1836"/>
    <w:rsid w:val="00C009D3"/>
    <w:rsid w:val="00C57CFE"/>
    <w:rsid w:val="00D54F6E"/>
    <w:rsid w:val="00D727DC"/>
    <w:rsid w:val="00DC0A21"/>
    <w:rsid w:val="00DD4642"/>
    <w:rsid w:val="00E71F32"/>
    <w:rsid w:val="00E74DE2"/>
    <w:rsid w:val="00E771CF"/>
    <w:rsid w:val="00E919A0"/>
    <w:rsid w:val="00E94576"/>
    <w:rsid w:val="00EA5F5B"/>
    <w:rsid w:val="00ED5583"/>
    <w:rsid w:val="00F93860"/>
    <w:rsid w:val="00FA1C7C"/>
    <w:rsid w:val="00FA6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30A9-2F6D-475C-992B-296AAC0F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28777</Words>
  <Characters>138423</Characters>
  <Application>Microsoft Office Word</Application>
  <DocSecurity>0</DocSecurity>
  <Lines>5767</Lines>
  <Paragraphs>4777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2014 - 01-o0-00</dc:title>
  <dc:subject/>
  <dc:creator/>
  <cp:keywords/>
  <dc:description/>
  <cp:lastModifiedBy>Master Repository Process</cp:lastModifiedBy>
  <cp:revision>4</cp:revision>
  <cp:lastPrinted>2019-06-24T04:53:00Z</cp:lastPrinted>
  <dcterms:created xsi:type="dcterms:W3CDTF">2021-06-28T06:56:00Z</dcterms:created>
  <dcterms:modified xsi:type="dcterms:W3CDTF">2021-06-28T06:56:00Z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30 Jun 2021</vt:lpwstr>
  </property>
  <property fmtid="{D5CDD505-2E9C-101B-9397-08002B2CF9AE}" pid="7" name="Suffix">
    <vt:lpwstr>01-o0-00</vt:lpwstr>
  </property>
  <property fmtid="{D5CDD505-2E9C-101B-9397-08002B2CF9AE}" pid="8" name="CommencementDate">
    <vt:lpwstr>20210630</vt:lpwstr>
  </property>
</Properties>
</file>