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D2B" w:rsidRDefault="00A029B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47D2B" w:rsidRDefault="00A029B0">
      <w:pPr>
        <w:pStyle w:val="PrincipalActRegPage1"/>
      </w:pPr>
      <w:r>
        <w:fldChar w:fldCharType="begin"/>
      </w:r>
      <w:r>
        <w:instrText xml:space="preserve"> STYLEREF "PrincipalAct_Reg</w:instrText>
      </w:r>
      <w:r>
        <w:fldChar w:fldCharType="separate"/>
      </w:r>
      <w:r w:rsidR="00D35D80">
        <w:rPr>
          <w:noProof/>
        </w:rPr>
        <w:t>Land Information Authority Act 2006</w:t>
      </w:r>
      <w:r>
        <w:fldChar w:fldCharType="end"/>
      </w:r>
    </w:p>
    <w:p w:rsidR="00D47D2B" w:rsidRDefault="00A029B0">
      <w:pPr>
        <w:pStyle w:val="NameofActRegPage1"/>
        <w:spacing w:before="1800" w:after="4200"/>
        <w:outlineLvl w:val="0"/>
      </w:pPr>
      <w:r>
        <w:fldChar w:fldCharType="begin"/>
      </w:r>
      <w:r>
        <w:instrText xml:space="preserve"> STYLEREF "Name Of Act/Reg"</w:instrText>
      </w:r>
      <w:r>
        <w:fldChar w:fldCharType="separate"/>
      </w:r>
      <w:r w:rsidR="00D35D80">
        <w:rPr>
          <w:noProof/>
        </w:rPr>
        <w:t>Land Information Authority Regulations 2007</w:t>
      </w:r>
      <w:r>
        <w:fldChar w:fldCharType="end"/>
      </w:r>
    </w:p>
    <w:p w:rsidR="00D47D2B" w:rsidRDefault="00D47D2B">
      <w:pPr>
        <w:jc w:val="center"/>
        <w:sectPr w:rsidR="00D47D2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029B0" w:rsidRDefault="00A029B0">
      <w:pPr>
        <w:pStyle w:val="WA"/>
      </w:pPr>
      <w:r>
        <w:lastRenderedPageBreak/>
        <w:t>Western Australia</w:t>
      </w:r>
    </w:p>
    <w:p w:rsidR="00D47D2B" w:rsidRDefault="00A029B0">
      <w:pPr>
        <w:pStyle w:val="NameofActRegPage1"/>
      </w:pPr>
      <w:r>
        <w:fldChar w:fldCharType="begin"/>
      </w:r>
      <w:r>
        <w:instrText xml:space="preserve"> STYLEREF "Name Of Act/Reg"</w:instrText>
      </w:r>
      <w:r>
        <w:fldChar w:fldCharType="separate"/>
      </w:r>
      <w:r w:rsidR="00D35D80">
        <w:rPr>
          <w:noProof/>
        </w:rPr>
        <w:t>Land Information Authority Regulations 2007</w:t>
      </w:r>
      <w:r>
        <w:fldChar w:fldCharType="end"/>
      </w:r>
    </w:p>
    <w:p w:rsidR="00D47D2B" w:rsidRDefault="00A029B0">
      <w:pPr>
        <w:pStyle w:val="Arrangement"/>
      </w:pPr>
      <w:r>
        <w:t>Contents</w:t>
      </w:r>
    </w:p>
    <w:p w:rsidR="00176C84" w:rsidRDefault="00A029B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76C84">
        <w:t>1.</w:t>
      </w:r>
      <w:r w:rsidR="00176C84">
        <w:tab/>
        <w:t>Citation</w:t>
      </w:r>
      <w:r w:rsidR="00176C84">
        <w:tab/>
      </w:r>
      <w:r w:rsidR="00176C84">
        <w:fldChar w:fldCharType="begin"/>
      </w:r>
      <w:r w:rsidR="00176C84">
        <w:instrText xml:space="preserve"> PAGEREF _Toc75345986 \h </w:instrText>
      </w:r>
      <w:r w:rsidR="00176C84">
        <w:fldChar w:fldCharType="separate"/>
      </w:r>
      <w:r w:rsidR="00D35D80">
        <w:t>1</w:t>
      </w:r>
      <w:r w:rsidR="00176C84">
        <w:fldChar w:fldCharType="end"/>
      </w:r>
    </w:p>
    <w:p w:rsidR="00176C84" w:rsidRDefault="00176C84">
      <w:pPr>
        <w:pStyle w:val="TOC8"/>
        <w:rPr>
          <w:rFonts w:asciiTheme="minorHAnsi" w:eastAsiaTheme="minorEastAsia" w:hAnsiTheme="minorHAnsi" w:cstheme="minorBidi"/>
          <w:szCs w:val="22"/>
        </w:rPr>
      </w:pPr>
      <w:r>
        <w:t>2</w:t>
      </w:r>
      <w:r w:rsidRPr="0011706B">
        <w:rPr>
          <w:spacing w:val="-2"/>
        </w:rPr>
        <w:t>.</w:t>
      </w:r>
      <w:r w:rsidRPr="0011706B">
        <w:rPr>
          <w:spacing w:val="-2"/>
        </w:rPr>
        <w:tab/>
        <w:t>Commencement</w:t>
      </w:r>
      <w:r>
        <w:tab/>
      </w:r>
      <w:r>
        <w:fldChar w:fldCharType="begin"/>
      </w:r>
      <w:r>
        <w:instrText xml:space="preserve"> PAGEREF _Toc75345987 \h </w:instrText>
      </w:r>
      <w:r>
        <w:fldChar w:fldCharType="separate"/>
      </w:r>
      <w:r w:rsidR="00D35D80">
        <w:t>1</w:t>
      </w:r>
      <w:r>
        <w:fldChar w:fldCharType="end"/>
      </w:r>
    </w:p>
    <w:p w:rsidR="00176C84" w:rsidRDefault="00176C84">
      <w:pPr>
        <w:pStyle w:val="TOC8"/>
        <w:rPr>
          <w:rFonts w:asciiTheme="minorHAnsi" w:eastAsiaTheme="minorEastAsia" w:hAnsiTheme="minorHAnsi" w:cstheme="minorBidi"/>
          <w:szCs w:val="22"/>
        </w:rPr>
      </w:pPr>
      <w:r>
        <w:t>3.</w:t>
      </w:r>
      <w:r>
        <w:tab/>
        <w:t>Information prescribed as fundamental land information</w:t>
      </w:r>
      <w:r>
        <w:tab/>
      </w:r>
      <w:r>
        <w:fldChar w:fldCharType="begin"/>
      </w:r>
      <w:r>
        <w:instrText xml:space="preserve"> PAGEREF _Toc75345988 \h </w:instrText>
      </w:r>
      <w:r>
        <w:fldChar w:fldCharType="separate"/>
      </w:r>
      <w:r w:rsidR="00D35D80">
        <w:t>1</w:t>
      </w:r>
      <w:r>
        <w:fldChar w:fldCharType="end"/>
      </w:r>
    </w:p>
    <w:p w:rsidR="00176C84" w:rsidRDefault="00176C84">
      <w:pPr>
        <w:pStyle w:val="TOC2"/>
        <w:tabs>
          <w:tab w:val="right" w:leader="dot" w:pos="7077"/>
        </w:tabs>
        <w:rPr>
          <w:rFonts w:asciiTheme="minorHAnsi" w:eastAsiaTheme="minorEastAsia" w:hAnsiTheme="minorHAnsi" w:cstheme="minorBidi"/>
          <w:b w:val="0"/>
          <w:sz w:val="22"/>
          <w:szCs w:val="22"/>
        </w:rPr>
      </w:pPr>
      <w:r>
        <w:t>Schedule 1 — Areas referred to in written laws</w:t>
      </w:r>
    </w:p>
    <w:p w:rsidR="00176C84" w:rsidRDefault="00176C84">
      <w:pPr>
        <w:pStyle w:val="TOC2"/>
        <w:tabs>
          <w:tab w:val="right" w:leader="dot" w:pos="7077"/>
        </w:tabs>
        <w:rPr>
          <w:rFonts w:asciiTheme="minorHAnsi" w:eastAsiaTheme="minorEastAsia" w:hAnsiTheme="minorHAnsi" w:cstheme="minorBidi"/>
          <w:b w:val="0"/>
          <w:sz w:val="22"/>
          <w:szCs w:val="22"/>
        </w:rPr>
      </w:pPr>
      <w:r>
        <w:t>Notes</w:t>
      </w:r>
    </w:p>
    <w:p w:rsidR="00176C84" w:rsidRDefault="00176C84" w:rsidP="00176C84">
      <w:pPr>
        <w:pStyle w:val="TOC8"/>
        <w:rPr>
          <w:rFonts w:asciiTheme="minorHAnsi" w:eastAsiaTheme="minorEastAsia" w:hAnsiTheme="minorHAnsi" w:cstheme="minorBidi"/>
          <w:szCs w:val="22"/>
        </w:rPr>
      </w:pPr>
      <w:r>
        <w:tab/>
        <w:t>Compilation table</w:t>
      </w:r>
      <w:r>
        <w:tab/>
      </w:r>
      <w:r>
        <w:fldChar w:fldCharType="begin"/>
      </w:r>
      <w:r>
        <w:instrText xml:space="preserve"> PAGEREF _Toc75345991 \h </w:instrText>
      </w:r>
      <w:r>
        <w:fldChar w:fldCharType="separate"/>
      </w:r>
      <w:r w:rsidR="00D35D80">
        <w:t>9</w:t>
      </w:r>
      <w:r>
        <w:fldChar w:fldCharType="end"/>
      </w:r>
    </w:p>
    <w:p w:rsidR="00176C84" w:rsidRDefault="00176C84">
      <w:pPr>
        <w:pStyle w:val="TOC2"/>
        <w:tabs>
          <w:tab w:val="right" w:leader="dot" w:pos="7077"/>
        </w:tabs>
        <w:rPr>
          <w:rFonts w:asciiTheme="minorHAnsi" w:eastAsiaTheme="minorEastAsia" w:hAnsiTheme="minorHAnsi" w:cstheme="minorBidi"/>
          <w:b w:val="0"/>
          <w:sz w:val="22"/>
          <w:szCs w:val="22"/>
        </w:rPr>
      </w:pPr>
      <w:r>
        <w:t>Defined terms</w:t>
      </w:r>
    </w:p>
    <w:p w:rsidR="00D47D2B" w:rsidRDefault="00A029B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47D2B" w:rsidRDefault="00D47D2B">
      <w:pPr>
        <w:pStyle w:val="NoteHeading"/>
        <w:sectPr w:rsidR="00D47D2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47D2B" w:rsidRDefault="00A029B0">
      <w:pPr>
        <w:pStyle w:val="PrincipalActReg"/>
      </w:pPr>
      <w:r>
        <w:lastRenderedPageBreak/>
        <w:t>Land Information Authority Act 2006</w:t>
      </w:r>
    </w:p>
    <w:p w:rsidR="00D47D2B" w:rsidRDefault="00A029B0">
      <w:pPr>
        <w:pStyle w:val="NameofActReg"/>
      </w:pPr>
      <w:r>
        <w:t>Land Information Authority Regulations 2007</w:t>
      </w:r>
    </w:p>
    <w:p w:rsidR="00D47D2B" w:rsidRDefault="00A029B0">
      <w:pPr>
        <w:pStyle w:val="Heading5"/>
      </w:pPr>
      <w:bookmarkStart w:id="3" w:name="_Toc75345986"/>
      <w:r>
        <w:rPr>
          <w:rStyle w:val="CharSectno"/>
        </w:rPr>
        <w:t>1</w:t>
      </w:r>
      <w:r>
        <w:t>.</w:t>
      </w:r>
      <w:r>
        <w:tab/>
        <w:t>Citation</w:t>
      </w:r>
      <w:bookmarkEnd w:id="3"/>
    </w:p>
    <w:p w:rsidR="00D47D2B" w:rsidRDefault="00A029B0">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rsidR="00D47D2B" w:rsidRDefault="00A029B0">
      <w:pPr>
        <w:pStyle w:val="Heading5"/>
        <w:rPr>
          <w:spacing w:val="-2"/>
        </w:rPr>
      </w:pPr>
      <w:bookmarkStart w:id="5" w:name="_Toc75345987"/>
      <w:r>
        <w:rPr>
          <w:rStyle w:val="CharSectno"/>
        </w:rPr>
        <w:t>2</w:t>
      </w:r>
      <w:r>
        <w:rPr>
          <w:spacing w:val="-2"/>
        </w:rPr>
        <w:t>.</w:t>
      </w:r>
      <w:r>
        <w:rPr>
          <w:spacing w:val="-2"/>
        </w:rPr>
        <w:tab/>
        <w:t>Commencement</w:t>
      </w:r>
      <w:bookmarkEnd w:id="5"/>
    </w:p>
    <w:p w:rsidR="00D47D2B" w:rsidRDefault="00A029B0">
      <w:pPr>
        <w:pStyle w:val="Subsection"/>
        <w:rPr>
          <w:spacing w:val="-2"/>
        </w:rPr>
      </w:pPr>
      <w:r>
        <w:rPr>
          <w:spacing w:val="-2"/>
        </w:rPr>
        <w:tab/>
      </w:r>
      <w:r>
        <w:rPr>
          <w:spacing w:val="-2"/>
        </w:rPr>
        <w:tab/>
        <w:t>These regulations come into operation as follows:</w:t>
      </w:r>
    </w:p>
    <w:p w:rsidR="00D47D2B" w:rsidRDefault="00A029B0">
      <w:pPr>
        <w:pStyle w:val="Indenta"/>
      </w:pPr>
      <w:r>
        <w:tab/>
        <w:t>(a)</w:t>
      </w:r>
      <w:r>
        <w:tab/>
        <w:t xml:space="preserve">regulations 1 and 2 — on the day on which these regulations are published in the </w:t>
      </w:r>
      <w:r>
        <w:rPr>
          <w:i/>
          <w:iCs/>
        </w:rPr>
        <w:t>Gazette</w:t>
      </w:r>
      <w:r>
        <w:t>;</w:t>
      </w:r>
    </w:p>
    <w:p w:rsidR="00D47D2B" w:rsidRDefault="00A029B0">
      <w:pPr>
        <w:pStyle w:val="Indenta"/>
      </w:pPr>
      <w:r>
        <w:tab/>
        <w:t>(b)</w:t>
      </w:r>
      <w:r>
        <w:tab/>
        <w:t>the rest of the regulations — on the day after that day.</w:t>
      </w:r>
    </w:p>
    <w:p w:rsidR="00D47D2B" w:rsidRDefault="00A029B0">
      <w:pPr>
        <w:pStyle w:val="Heading5"/>
      </w:pPr>
      <w:bookmarkStart w:id="6" w:name="_Toc75345988"/>
      <w:r>
        <w:rPr>
          <w:rStyle w:val="CharSectno"/>
        </w:rPr>
        <w:t>3</w:t>
      </w:r>
      <w:r>
        <w:t>.</w:t>
      </w:r>
      <w:r>
        <w:tab/>
        <w:t>Information prescribed as fundamental land information</w:t>
      </w:r>
      <w:bookmarkEnd w:id="6"/>
    </w:p>
    <w:p w:rsidR="00D47D2B" w:rsidRDefault="00A029B0">
      <w:pPr>
        <w:pStyle w:val="Subsection"/>
      </w:pPr>
      <w:r>
        <w:tab/>
        <w:t>(1)</w:t>
      </w:r>
      <w:r>
        <w:tab/>
        <w:t xml:space="preserve">In this regulation — </w:t>
      </w:r>
    </w:p>
    <w:p w:rsidR="00D47D2B" w:rsidRDefault="00A029B0">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rsidR="00D47D2B" w:rsidRDefault="00A029B0">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rsidR="00D47D2B" w:rsidRDefault="00A029B0">
      <w:pPr>
        <w:pStyle w:val="Defstart"/>
      </w:pPr>
      <w:r>
        <w:rPr>
          <w:b/>
        </w:rPr>
        <w:tab/>
      </w:r>
      <w:r>
        <w:rPr>
          <w:rStyle w:val="CharDefText"/>
        </w:rPr>
        <w:t>certificate of title</w:t>
      </w:r>
      <w:r>
        <w:t xml:space="preserve"> has the same meaning as in the </w:t>
      </w:r>
      <w:r>
        <w:rPr>
          <w:i/>
        </w:rPr>
        <w:t>Transfer of Land Act 1893</w:t>
      </w:r>
      <w:r>
        <w:t>;</w:t>
      </w:r>
    </w:p>
    <w:p w:rsidR="00D47D2B" w:rsidRDefault="00A029B0">
      <w:pPr>
        <w:pStyle w:val="Defstart"/>
      </w:pPr>
      <w:r>
        <w:rPr>
          <w:b/>
        </w:rPr>
        <w:tab/>
      </w:r>
      <w:r>
        <w:rPr>
          <w:rStyle w:val="CharDefText"/>
        </w:rPr>
        <w:t>Crown land</w:t>
      </w:r>
      <w:r>
        <w:t xml:space="preserve"> has the meaning given in the </w:t>
      </w:r>
      <w:r>
        <w:rPr>
          <w:i/>
        </w:rPr>
        <w:t>Land Administration Act 1997</w:t>
      </w:r>
      <w:r>
        <w:t xml:space="preserve"> section 3(1);</w:t>
      </w:r>
    </w:p>
    <w:p w:rsidR="00D47D2B" w:rsidRDefault="00A029B0">
      <w:pPr>
        <w:pStyle w:val="Defstart"/>
      </w:pPr>
      <w:r>
        <w:tab/>
      </w:r>
      <w:r>
        <w:rPr>
          <w:rStyle w:val="CharDefText"/>
        </w:rPr>
        <w:t>Geocentric Datum of Australia 2020</w:t>
      </w:r>
      <w:r>
        <w:t xml:space="preserve"> means the Reference Frame defined in the 2017 Determination clause </w:t>
      </w:r>
      <w:r w:rsidR="00FC51F5">
        <w:t>4;</w:t>
      </w:r>
    </w:p>
    <w:p w:rsidR="00D47D2B" w:rsidRDefault="00A029B0">
      <w:pPr>
        <w:pStyle w:val="Defstart"/>
      </w:pPr>
      <w:r>
        <w:rPr>
          <w:b/>
        </w:rPr>
        <w:lastRenderedPageBreak/>
        <w:tab/>
      </w:r>
      <w:r>
        <w:rPr>
          <w:rStyle w:val="CharDefText"/>
        </w:rPr>
        <w:t>geodetic survey mark</w:t>
      </w:r>
      <w:r>
        <w:t xml:space="preserve"> means a survey mark located by reference to the Geocentric Datum of Australia 2020;</w:t>
      </w:r>
    </w:p>
    <w:p w:rsidR="00D47D2B" w:rsidRDefault="00A029B0">
      <w:pPr>
        <w:pStyle w:val="Defstart"/>
      </w:pPr>
      <w:r>
        <w:rPr>
          <w:b/>
        </w:rPr>
        <w:tab/>
      </w:r>
      <w:r>
        <w:rPr>
          <w:rStyle w:val="CharDefText"/>
        </w:rPr>
        <w:t>lot</w:t>
      </w:r>
      <w:r>
        <w:t xml:space="preserve"> </w:t>
      </w:r>
      <w:r>
        <w:rPr>
          <w:bCs/>
        </w:rPr>
        <w:t>means</w:t>
      </w:r>
      <w:r>
        <w:t xml:space="preserve"> a defined portion of land — </w:t>
      </w:r>
    </w:p>
    <w:p w:rsidR="00D47D2B" w:rsidRDefault="00A029B0">
      <w:pPr>
        <w:pStyle w:val="Defpara"/>
      </w:pPr>
      <w:r>
        <w:tab/>
        <w:t>(a)</w:t>
      </w:r>
      <w:r>
        <w:tab/>
        <w:t>depicted on a plan or diagram available from, or deposited with, the Authority and for which a separate Crown Grant or certificate of title has been or can be issued; or</w:t>
      </w:r>
    </w:p>
    <w:p w:rsidR="00D47D2B" w:rsidRDefault="00A029B0">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rsidR="00D47D2B" w:rsidRDefault="00A029B0">
      <w:pPr>
        <w:pStyle w:val="Defpara"/>
      </w:pPr>
      <w:r>
        <w:tab/>
        <w:t>(c)</w:t>
      </w:r>
      <w:r>
        <w:tab/>
        <w:t xml:space="preserve">that is the whole of the land the subject of — </w:t>
      </w:r>
    </w:p>
    <w:p w:rsidR="00D47D2B" w:rsidRDefault="00A029B0">
      <w:pPr>
        <w:pStyle w:val="Defsubpara"/>
      </w:pPr>
      <w:r>
        <w:tab/>
        <w:t>(i)</w:t>
      </w:r>
      <w:r>
        <w:tab/>
        <w:t xml:space="preserve">a Crown Grant issued under the </w:t>
      </w:r>
      <w:r>
        <w:rPr>
          <w:i/>
          <w:iCs/>
        </w:rPr>
        <w:t>Land Act 1933</w:t>
      </w:r>
      <w:r>
        <w:t>; or</w:t>
      </w:r>
    </w:p>
    <w:p w:rsidR="00D47D2B" w:rsidRDefault="00A029B0">
      <w:pPr>
        <w:pStyle w:val="Defsubpara"/>
      </w:pPr>
      <w:r>
        <w:tab/>
        <w:t>(ii)</w:t>
      </w:r>
      <w:r>
        <w:tab/>
        <w:t xml:space="preserve">a certificate of title registered under the </w:t>
      </w:r>
      <w:r>
        <w:rPr>
          <w:i/>
          <w:iCs/>
        </w:rPr>
        <w:t>Transfer of Land Act 1893</w:t>
      </w:r>
      <w:r>
        <w:t>; or</w:t>
      </w:r>
    </w:p>
    <w:p w:rsidR="00D47D2B" w:rsidRDefault="00A029B0">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rsidR="00D47D2B" w:rsidRDefault="00A029B0">
      <w:pPr>
        <w:pStyle w:val="Defsubpara"/>
      </w:pPr>
      <w:r>
        <w:tab/>
        <w:t>(iv)</w:t>
      </w:r>
      <w:r>
        <w:tab/>
        <w:t>a part</w:t>
      </w:r>
      <w:r>
        <w:noBreakHyphen/>
        <w:t>lot shown on a diagram or plan of survey of a subdivision deposited with the Authority; or</w:t>
      </w:r>
    </w:p>
    <w:p w:rsidR="00D47D2B" w:rsidRDefault="00A029B0">
      <w:pPr>
        <w:pStyle w:val="Defsubpara"/>
      </w:pPr>
      <w:r>
        <w:tab/>
        <w:t>(v)</w:t>
      </w:r>
      <w:r>
        <w:tab/>
        <w:t xml:space="preserve">a conveyance registered under the </w:t>
      </w:r>
      <w:r>
        <w:rPr>
          <w:i/>
          <w:iCs/>
        </w:rPr>
        <w:t>Registration of Deeds Act 1856</w:t>
      </w:r>
      <w:r>
        <w:t>;</w:t>
      </w:r>
    </w:p>
    <w:p w:rsidR="00D47D2B" w:rsidRDefault="00A029B0">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rsidR="00D47D2B" w:rsidRDefault="00A029B0">
      <w:pPr>
        <w:pStyle w:val="Defstart"/>
      </w:pPr>
      <w:r>
        <w:rPr>
          <w:b/>
        </w:rPr>
        <w:tab/>
      </w:r>
      <w:r>
        <w:rPr>
          <w:rStyle w:val="CharDefText"/>
        </w:rPr>
        <w:t>private road</w:t>
      </w:r>
      <w:r>
        <w:t xml:space="preserve"> has the meaning given in the </w:t>
      </w:r>
      <w:r>
        <w:rPr>
          <w:i/>
        </w:rPr>
        <w:t>Land Administration Act 1997</w:t>
      </w:r>
      <w:r>
        <w:t xml:space="preserve"> section 3(1);</w:t>
      </w:r>
    </w:p>
    <w:p w:rsidR="00D47D2B" w:rsidRDefault="00A029B0" w:rsidP="00176C84">
      <w:pPr>
        <w:pStyle w:val="Defstar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rsidR="00D47D2B" w:rsidRDefault="00A029B0">
      <w:pPr>
        <w:pStyle w:val="Defpara"/>
      </w:pPr>
      <w:r>
        <w:lastRenderedPageBreak/>
        <w:tab/>
        <w:t>(a)</w:t>
      </w:r>
      <w:r>
        <w:tab/>
        <w:t>the name of the road or private road by which the site or the area of land is located;</w:t>
      </w:r>
    </w:p>
    <w:p w:rsidR="00D47D2B" w:rsidRDefault="00A029B0">
      <w:pPr>
        <w:pStyle w:val="Defpara"/>
      </w:pPr>
      <w:r>
        <w:tab/>
        <w:t>(b)</w:t>
      </w:r>
      <w:r>
        <w:tab/>
        <w:t>the number, letter, word or combination of numbers, letters and words used to designate the position of the site or the area of land in relation to the road;</w:t>
      </w:r>
    </w:p>
    <w:p w:rsidR="00D47D2B" w:rsidRDefault="00A029B0">
      <w:pPr>
        <w:pStyle w:val="Defpara"/>
      </w:pPr>
      <w:r>
        <w:tab/>
        <w:t>(c)</w:t>
      </w:r>
      <w:r>
        <w:tab/>
        <w:t>the suburb or locality in which the site or the area of land is located;</w:t>
      </w:r>
    </w:p>
    <w:p w:rsidR="00D47D2B" w:rsidRDefault="00A029B0">
      <w:pPr>
        <w:pStyle w:val="Defpara"/>
      </w:pPr>
      <w:r>
        <w:tab/>
        <w:t>(d)</w:t>
      </w:r>
      <w:r>
        <w:tab/>
        <w:t>the postcode area in which the site or the area of land is located;</w:t>
      </w:r>
    </w:p>
    <w:p w:rsidR="00D47D2B" w:rsidRDefault="00A029B0">
      <w:pPr>
        <w:pStyle w:val="Defpara"/>
      </w:pPr>
      <w:r>
        <w:tab/>
        <w:t>(e)</w:t>
      </w:r>
      <w:r>
        <w:tab/>
        <w:t>the latitude and longitude coordinates for the site or the area of land;</w:t>
      </w:r>
    </w:p>
    <w:p w:rsidR="00D47D2B" w:rsidRDefault="00A029B0">
      <w:pPr>
        <w:pStyle w:val="Defstart"/>
      </w:pPr>
      <w:r>
        <w:rPr>
          <w:b/>
        </w:rPr>
        <w:tab/>
      </w:r>
      <w:r>
        <w:rPr>
          <w:rStyle w:val="CharDefText"/>
        </w:rPr>
        <w:t>proprietor</w:t>
      </w:r>
      <w:r>
        <w:t xml:space="preserve"> has the meaning given in the </w:t>
      </w:r>
      <w:r>
        <w:rPr>
          <w:i/>
        </w:rPr>
        <w:t>Transfer of Land Act 1893</w:t>
      </w:r>
      <w:r>
        <w:t xml:space="preserve"> section 4;</w:t>
      </w:r>
    </w:p>
    <w:p w:rsidR="00D47D2B" w:rsidRDefault="00A029B0">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rsidR="00D47D2B" w:rsidRDefault="00A029B0">
      <w:pPr>
        <w:pStyle w:val="Defpara"/>
      </w:pPr>
      <w:r>
        <w:tab/>
        <w:t>(a)</w:t>
      </w:r>
      <w:r>
        <w:tab/>
        <w:t>the name of the reserve;</w:t>
      </w:r>
    </w:p>
    <w:p w:rsidR="00D47D2B" w:rsidRDefault="00A029B0">
      <w:pPr>
        <w:pStyle w:val="Defpara"/>
      </w:pPr>
      <w:r>
        <w:tab/>
        <w:t>(b)</w:t>
      </w:r>
      <w:r>
        <w:tab/>
        <w:t xml:space="preserve">the date on which notice of the reservation of the land was published in the </w:t>
      </w:r>
      <w:r>
        <w:rPr>
          <w:i/>
          <w:iCs/>
        </w:rPr>
        <w:t>Gazette</w:t>
      </w:r>
      <w:r>
        <w:t>;</w:t>
      </w:r>
    </w:p>
    <w:p w:rsidR="00D47D2B" w:rsidRDefault="00A029B0">
      <w:pPr>
        <w:pStyle w:val="Defpara"/>
      </w:pPr>
      <w:r>
        <w:tab/>
        <w:t>(c)</w:t>
      </w:r>
      <w:r>
        <w:tab/>
        <w:t>the written law under which the Crown land was reserved;</w:t>
      </w:r>
    </w:p>
    <w:p w:rsidR="00D47D2B" w:rsidRDefault="00A029B0">
      <w:pPr>
        <w:pStyle w:val="Defpara"/>
      </w:pPr>
      <w:r>
        <w:tab/>
        <w:t>(d)</w:t>
      </w:r>
      <w:r>
        <w:tab/>
        <w:t>the purpose or purposes for which the land was reserved;</w:t>
      </w:r>
    </w:p>
    <w:p w:rsidR="00D47D2B" w:rsidRDefault="00A029B0">
      <w:pPr>
        <w:pStyle w:val="Defpara"/>
      </w:pPr>
      <w:r>
        <w:tab/>
        <w:t>(e)</w:t>
      </w:r>
      <w:r>
        <w:tab/>
        <w:t xml:space="preserve">whether the reserve is classified under the </w:t>
      </w:r>
      <w:r>
        <w:rPr>
          <w:i/>
        </w:rPr>
        <w:t>Land Administration Act 1997</w:t>
      </w:r>
      <w:r>
        <w:t xml:space="preserve"> as a class A reserve, class B reserve or class C reserve;</w:t>
      </w:r>
    </w:p>
    <w:p w:rsidR="00D47D2B" w:rsidRDefault="00A029B0">
      <w:pPr>
        <w:pStyle w:val="Defpara"/>
      </w:pPr>
      <w:r>
        <w:tab/>
        <w:t>(f)</w:t>
      </w:r>
      <w:r>
        <w:tab/>
        <w:t>the department principally assisting the Minister responsible for the reserve;</w:t>
      </w:r>
    </w:p>
    <w:p w:rsidR="00D47D2B" w:rsidRDefault="00A029B0">
      <w:pPr>
        <w:pStyle w:val="Defpara"/>
      </w:pPr>
      <w:r>
        <w:tab/>
        <w:t>(g)</w:t>
      </w:r>
      <w:r>
        <w:tab/>
        <w:t>if the care, control and management of the reserve has been placed with a person, the name of that person;</w:t>
      </w:r>
    </w:p>
    <w:p w:rsidR="00D47D2B" w:rsidRDefault="00A029B0">
      <w:pPr>
        <w:pStyle w:val="Defpara"/>
      </w:pPr>
      <w:r>
        <w:tab/>
        <w:t>(h)</w:t>
      </w:r>
      <w:r>
        <w:tab/>
        <w:t>the local government district in which the reserve is located;</w:t>
      </w:r>
    </w:p>
    <w:p w:rsidR="00D47D2B" w:rsidRDefault="00A029B0">
      <w:pPr>
        <w:pStyle w:val="Defpara"/>
      </w:pPr>
      <w:r>
        <w:tab/>
        <w:t>(i)</w:t>
      </w:r>
      <w:r>
        <w:tab/>
        <w:t>the area of the reserve;</w:t>
      </w:r>
    </w:p>
    <w:p w:rsidR="00D47D2B" w:rsidRDefault="00A029B0">
      <w:pPr>
        <w:pStyle w:val="Defpara"/>
      </w:pPr>
      <w:r>
        <w:lastRenderedPageBreak/>
        <w:tab/>
        <w:t>(j)</w:t>
      </w:r>
      <w:r>
        <w:tab/>
        <w:t>whether the reserve has been cancelled, and other information relating to past changes in the status or management of the reserve;</w:t>
      </w:r>
    </w:p>
    <w:p w:rsidR="00D47D2B" w:rsidRDefault="00A029B0">
      <w:pPr>
        <w:pStyle w:val="Defpara"/>
      </w:pPr>
      <w:r>
        <w:tab/>
        <w:t>(k)</w:t>
      </w:r>
      <w:r>
        <w:tab/>
        <w:t>reference numbers relating to the reserve and used by either the Authority or the department principally assisting the Minister responsible for the reserve;</w:t>
      </w:r>
    </w:p>
    <w:p w:rsidR="00D47D2B" w:rsidRDefault="00A029B0">
      <w:pPr>
        <w:pStyle w:val="Defstart"/>
      </w:pPr>
      <w:r>
        <w:rPr>
          <w:b/>
        </w:rPr>
        <w:tab/>
      </w:r>
      <w:r>
        <w:rPr>
          <w:rStyle w:val="CharDefText"/>
        </w:rPr>
        <w:t>road</w:t>
      </w:r>
      <w:r>
        <w:t xml:space="preserve"> has the meaning given in the </w:t>
      </w:r>
      <w:r>
        <w:rPr>
          <w:i/>
        </w:rPr>
        <w:t>Land Administration Act 1997</w:t>
      </w:r>
      <w:r>
        <w:t xml:space="preserve"> section 3(1);</w:t>
      </w:r>
    </w:p>
    <w:p w:rsidR="00D47D2B" w:rsidRDefault="00A029B0">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rsidR="00D47D2B" w:rsidRDefault="00A029B0">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rsidR="00D47D2B" w:rsidRDefault="00A029B0">
      <w:pPr>
        <w:pStyle w:val="Defpara"/>
      </w:pPr>
      <w:r>
        <w:tab/>
        <w:t>(a)</w:t>
      </w:r>
      <w:r>
        <w:tab/>
        <w:t>the volume and folio number for the certificate of title;</w:t>
      </w:r>
    </w:p>
    <w:p w:rsidR="00D47D2B" w:rsidRDefault="00A029B0">
      <w:pPr>
        <w:pStyle w:val="Defpara"/>
      </w:pPr>
      <w:r>
        <w:tab/>
        <w:t>(b)</w:t>
      </w:r>
      <w:r>
        <w:tab/>
        <w:t>the number of the lot and the number of the survey diagram or plan showing the lot;</w:t>
      </w:r>
    </w:p>
    <w:p w:rsidR="00D47D2B" w:rsidRDefault="00A029B0">
      <w:pPr>
        <w:pStyle w:val="Defpara"/>
      </w:pPr>
      <w:r>
        <w:tab/>
        <w:t>(c)</w:t>
      </w:r>
      <w:r>
        <w:tab/>
        <w:t>the name of the proprietor of the lot;</w:t>
      </w:r>
    </w:p>
    <w:p w:rsidR="00D47D2B" w:rsidRDefault="00A029B0">
      <w:pPr>
        <w:pStyle w:val="Defpara"/>
      </w:pPr>
      <w:r>
        <w:tab/>
        <w:t>(d)</w:t>
      </w:r>
      <w:r>
        <w:tab/>
        <w:t>the date on which the action by which the proprietor acquired his, her or it’s interest or power in relation to the lot, was registered;</w:t>
      </w:r>
    </w:p>
    <w:p w:rsidR="00D47D2B" w:rsidRDefault="00A029B0">
      <w:pPr>
        <w:pStyle w:val="Defpara"/>
      </w:pPr>
      <w:r>
        <w:tab/>
        <w:t>(e)</w:t>
      </w:r>
      <w:r>
        <w:tab/>
        <w:t>the property address for the lot;</w:t>
      </w:r>
    </w:p>
    <w:p w:rsidR="00D47D2B" w:rsidRDefault="00A029B0">
      <w:pPr>
        <w:pStyle w:val="Defpara"/>
      </w:pPr>
      <w:r>
        <w:tab/>
        <w:t>(f)</w:t>
      </w:r>
      <w:r>
        <w:tab/>
        <w:t>the local government district in which the lot is located;</w:t>
      </w:r>
    </w:p>
    <w:p w:rsidR="00D47D2B" w:rsidRDefault="00A029B0">
      <w:pPr>
        <w:pStyle w:val="Defpara"/>
      </w:pPr>
      <w:r>
        <w:tab/>
        <w:t>(g)</w:t>
      </w:r>
      <w:r>
        <w:tab/>
        <w:t>if the lot is Crown land, information about the proprietor’s interest or power in relation to the lot;</w:t>
      </w:r>
    </w:p>
    <w:p w:rsidR="00D47D2B" w:rsidRDefault="00A029B0">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rsidR="00D47D2B" w:rsidRDefault="00A029B0">
      <w:pPr>
        <w:pStyle w:val="Defstart"/>
      </w:pPr>
      <w:r>
        <w:rPr>
          <w:b/>
        </w:rPr>
        <w:tab/>
      </w:r>
      <w:r>
        <w:rPr>
          <w:rStyle w:val="CharDefText"/>
        </w:rPr>
        <w:t>unallocated Crown land</w:t>
      </w:r>
      <w:r>
        <w:t xml:space="preserve"> has the meaning given in the </w:t>
      </w:r>
      <w:r>
        <w:rPr>
          <w:i/>
        </w:rPr>
        <w:t>Land Administration Act 1997</w:t>
      </w:r>
      <w:r>
        <w:t xml:space="preserve"> section 3(1).</w:t>
      </w:r>
    </w:p>
    <w:p w:rsidR="00D47D2B" w:rsidRDefault="00A029B0" w:rsidP="00176C84">
      <w:pPr>
        <w:pStyle w:val="Subsection"/>
        <w:keepNext/>
      </w:pPr>
      <w:r>
        <w:lastRenderedPageBreak/>
        <w:tab/>
        <w:t>(2)</w:t>
      </w:r>
      <w:r>
        <w:tab/>
        <w:t xml:space="preserve">For the purposes of the Act section 16(4), the following land information is fundamental land information — </w:t>
      </w:r>
    </w:p>
    <w:p w:rsidR="00D47D2B" w:rsidRDefault="00A029B0">
      <w:pPr>
        <w:pStyle w:val="Indenta"/>
      </w:pPr>
      <w:r>
        <w:tab/>
        <w:t>(a)</w:t>
      </w:r>
      <w:r>
        <w:tab/>
        <w:t>State land information that consists exclusively of basic topographic information;</w:t>
      </w:r>
    </w:p>
    <w:p w:rsidR="00D47D2B" w:rsidRDefault="00A029B0">
      <w:pPr>
        <w:pStyle w:val="Indenta"/>
      </w:pPr>
      <w:r>
        <w:tab/>
        <w:t>(b)</w:t>
      </w:r>
      <w:r>
        <w:tab/>
        <w:t>State land information that is exclusively about the boundaries of one or more of the areas listed in Schedule 1;</w:t>
      </w:r>
    </w:p>
    <w:p w:rsidR="00D47D2B" w:rsidRDefault="00A029B0">
      <w:pPr>
        <w:pStyle w:val="Indenta"/>
      </w:pPr>
      <w:r>
        <w:tab/>
        <w:t>(c)</w:t>
      </w:r>
      <w:r>
        <w:tab/>
        <w:t xml:space="preserve">State land information that is exclusively about the boundaries of — </w:t>
      </w:r>
    </w:p>
    <w:p w:rsidR="00D47D2B" w:rsidRDefault="00A029B0">
      <w:pPr>
        <w:pStyle w:val="Indenti"/>
      </w:pPr>
      <w:r>
        <w:tab/>
        <w:t>(i)</w:t>
      </w:r>
      <w:r>
        <w:tab/>
        <w:t>urban areas recognised as suburbs; and</w:t>
      </w:r>
    </w:p>
    <w:p w:rsidR="00D47D2B" w:rsidRDefault="00A029B0">
      <w:pPr>
        <w:pStyle w:val="Indenti"/>
      </w:pPr>
      <w:r>
        <w:tab/>
        <w:t>(ii)</w:t>
      </w:r>
      <w:r>
        <w:tab/>
        <w:t>rural areas recognised as localities;</w:t>
      </w:r>
    </w:p>
    <w:p w:rsidR="00D47D2B" w:rsidRDefault="00A029B0">
      <w:pPr>
        <w:pStyle w:val="Indenta"/>
      </w:pPr>
      <w:r>
        <w:tab/>
        <w:t>(d)</w:t>
      </w:r>
      <w:r>
        <w:tab/>
        <w:t>State land information that is exclusively about the boundaries of postcode areas;</w:t>
      </w:r>
    </w:p>
    <w:p w:rsidR="00D47D2B" w:rsidRDefault="00A029B0">
      <w:pPr>
        <w:pStyle w:val="Indenta"/>
      </w:pPr>
      <w:r>
        <w:tab/>
        <w:t>(e)</w:t>
      </w:r>
      <w:r>
        <w:tab/>
        <w:t>State land information that is exclusively about the boundaries of maritime zones located by reference to the territorial sea baseline;</w:t>
      </w:r>
    </w:p>
    <w:p w:rsidR="00FC51F5" w:rsidRDefault="00FC51F5" w:rsidP="00FC51F5">
      <w:pPr>
        <w:pStyle w:val="Indenta"/>
      </w:pPr>
      <w:r>
        <w:tab/>
        <w:t>(f)</w:t>
      </w:r>
      <w:r>
        <w:tab/>
        <w:t xml:space="preserve">State land information that is exclusively about the boundaries of lots other than a lot — </w:t>
      </w:r>
    </w:p>
    <w:p w:rsidR="00FC51F5" w:rsidRDefault="00FC51F5" w:rsidP="00FC51F5">
      <w:pPr>
        <w:pStyle w:val="Indenti"/>
      </w:pPr>
      <w:r>
        <w:tab/>
        <w:t>(i)</w:t>
      </w:r>
      <w:r>
        <w:tab/>
        <w:t xml:space="preserve">in relation to a strata scheme, as defined in the </w:t>
      </w:r>
      <w:r>
        <w:rPr>
          <w:i/>
        </w:rPr>
        <w:t>Strata Titles Act 1985</w:t>
      </w:r>
      <w:r>
        <w:t xml:space="preserve"> section 3(1); or</w:t>
      </w:r>
    </w:p>
    <w:p w:rsidR="00FC51F5" w:rsidRDefault="00FC51F5" w:rsidP="00FC51F5">
      <w:pPr>
        <w:pStyle w:val="Indenti"/>
      </w:pPr>
      <w:r>
        <w:tab/>
        <w:t>(ii)</w:t>
      </w:r>
      <w:r>
        <w:tab/>
        <w:t xml:space="preserve">in relation to a community titles (building) scheme, as defined in the </w:t>
      </w:r>
      <w:r>
        <w:rPr>
          <w:i/>
        </w:rPr>
        <w:t>Community Titles Act 2018</w:t>
      </w:r>
      <w:r>
        <w:t xml:space="preserve"> section 3(1);</w:t>
      </w:r>
    </w:p>
    <w:p w:rsidR="00FC51F5" w:rsidRDefault="00FC51F5" w:rsidP="00FC51F5">
      <w:pPr>
        <w:pStyle w:val="Indenta"/>
      </w:pPr>
      <w:r>
        <w:tab/>
        <w:t>(fa)</w:t>
      </w:r>
      <w:r>
        <w:tab/>
        <w:t>State land information that is exclusively about the boundaries of unallocated Crown land;</w:t>
      </w:r>
    </w:p>
    <w:p w:rsidR="00D47D2B" w:rsidRDefault="00A029B0">
      <w:pPr>
        <w:pStyle w:val="Indenta"/>
      </w:pPr>
      <w:r>
        <w:tab/>
        <w:t>(g)</w:t>
      </w:r>
      <w:r>
        <w:tab/>
        <w:t>State land information that is exclusively about the location or configuration of the coastline;</w:t>
      </w:r>
    </w:p>
    <w:p w:rsidR="00D47D2B" w:rsidRDefault="00A029B0">
      <w:pPr>
        <w:pStyle w:val="Indenta"/>
      </w:pPr>
      <w:r>
        <w:tab/>
        <w:t>(h)</w:t>
      </w:r>
      <w:r>
        <w:tab/>
        <w:t>State land information that is exclusively about the location of geodetic survey marks;</w:t>
      </w:r>
    </w:p>
    <w:p w:rsidR="00D47D2B" w:rsidRDefault="00A029B0">
      <w:pPr>
        <w:pStyle w:val="Indenta"/>
      </w:pPr>
      <w:r>
        <w:tab/>
        <w:t>(i)</w:t>
      </w:r>
      <w:r>
        <w:tab/>
        <w:t>State land information that is exclusively about the location, name and nature of roads and private roads;</w:t>
      </w:r>
    </w:p>
    <w:p w:rsidR="00D47D2B" w:rsidRDefault="00A029B0">
      <w:pPr>
        <w:pStyle w:val="Indenta"/>
        <w:keepNext/>
      </w:pPr>
      <w:r>
        <w:lastRenderedPageBreak/>
        <w:tab/>
        <w:t>(j)</w:t>
      </w:r>
      <w:r>
        <w:tab/>
        <w:t xml:space="preserve">State land information that is exclusively about the names of — </w:t>
      </w:r>
    </w:p>
    <w:p w:rsidR="00D47D2B" w:rsidRDefault="00A029B0">
      <w:pPr>
        <w:pStyle w:val="Indenti"/>
      </w:pPr>
      <w:r>
        <w:tab/>
        <w:t>(i)</w:t>
      </w:r>
      <w:r>
        <w:tab/>
        <w:t>natural and built features of the land; and</w:t>
      </w:r>
    </w:p>
    <w:p w:rsidR="00D47D2B" w:rsidRDefault="00A029B0">
      <w:pPr>
        <w:pStyle w:val="Indenti"/>
      </w:pPr>
      <w:r>
        <w:tab/>
        <w:t>(ii)</w:t>
      </w:r>
      <w:r>
        <w:tab/>
        <w:t>the areas referred to in paragraphs (b) to (d),</w:t>
      </w:r>
    </w:p>
    <w:p w:rsidR="00D47D2B" w:rsidRDefault="00A029B0">
      <w:pPr>
        <w:pStyle w:val="Indenta"/>
      </w:pPr>
      <w:r>
        <w:tab/>
      </w:r>
      <w:r>
        <w:tab/>
        <w:t>and latitude and longitude coordinates for those features and areas;</w:t>
      </w:r>
    </w:p>
    <w:p w:rsidR="00D47D2B" w:rsidRDefault="00A029B0">
      <w:pPr>
        <w:pStyle w:val="Indenta"/>
      </w:pPr>
      <w:r>
        <w:tab/>
        <w:t>(k)</w:t>
      </w:r>
      <w:r>
        <w:tab/>
        <w:t>State land information that consists exclusively of the property addresses for sites and for areas of land regarded by the Authority to be single properties;</w:t>
      </w:r>
    </w:p>
    <w:p w:rsidR="00D47D2B" w:rsidRDefault="00A029B0">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rsidR="00D47D2B" w:rsidRDefault="00A029B0">
      <w:pPr>
        <w:pStyle w:val="Indenta"/>
      </w:pPr>
      <w:r>
        <w:tab/>
        <w:t>(m)</w:t>
      </w:r>
      <w:r>
        <w:tab/>
        <w:t>State land information that consists exclusively of reserve data for Crown land reserved either currently or in the past to the Crown, under a written law, for one or more purposes in the public interest;</w:t>
      </w:r>
    </w:p>
    <w:p w:rsidR="00D47D2B" w:rsidRDefault="00A029B0">
      <w:pPr>
        <w:pStyle w:val="Indenta"/>
      </w:pPr>
      <w:r>
        <w:tab/>
        <w:t>(n)</w:t>
      </w:r>
      <w:r>
        <w:tab/>
        <w:t xml:space="preserve">State land information that consists exclusively of images — </w:t>
      </w:r>
    </w:p>
    <w:p w:rsidR="00D47D2B" w:rsidRDefault="00A029B0">
      <w:pPr>
        <w:pStyle w:val="Defsubpara"/>
      </w:pPr>
      <w:r>
        <w:tab/>
        <w:t>(i)</w:t>
      </w:r>
      <w:r>
        <w:tab/>
        <w:t xml:space="preserve">collected by means of satellite; and </w:t>
      </w:r>
    </w:p>
    <w:p w:rsidR="00D47D2B" w:rsidRDefault="00A029B0">
      <w:pPr>
        <w:pStyle w:val="Defsubpara"/>
      </w:pPr>
      <w:r>
        <w:tab/>
        <w:t>(ii)</w:t>
      </w:r>
      <w:r>
        <w:tab/>
        <w:t>presented in the form in which the images are received by the Authority;</w:t>
      </w:r>
    </w:p>
    <w:p w:rsidR="00D47D2B" w:rsidRDefault="00A029B0">
      <w:pPr>
        <w:pStyle w:val="Indenta"/>
      </w:pPr>
      <w:r>
        <w:tab/>
        <w:t>(o)</w:t>
      </w:r>
      <w:r>
        <w:tab/>
        <w:t xml:space="preserve">State land information that consists exclusively of aerial photographic images that — </w:t>
      </w:r>
    </w:p>
    <w:p w:rsidR="00D47D2B" w:rsidRDefault="00A029B0">
      <w:pPr>
        <w:pStyle w:val="Indenti"/>
      </w:pPr>
      <w:r>
        <w:tab/>
        <w:t>(i)</w:t>
      </w:r>
      <w:r>
        <w:tab/>
        <w:t>are of the surface of the earth; and</w:t>
      </w:r>
    </w:p>
    <w:p w:rsidR="00D47D2B" w:rsidRDefault="00A029B0">
      <w:pPr>
        <w:pStyle w:val="Indenti"/>
      </w:pPr>
      <w:r>
        <w:tab/>
        <w:t>(ii)</w:t>
      </w:r>
      <w:r>
        <w:tab/>
        <w:t>have been collected by the Authority using funding allocated to the Authority under the State Land Information Capture Program; and</w:t>
      </w:r>
    </w:p>
    <w:p w:rsidR="00D47D2B" w:rsidRDefault="00A029B0">
      <w:pPr>
        <w:pStyle w:val="Indenti"/>
      </w:pPr>
      <w:r>
        <w:tab/>
        <w:t>(iii)</w:t>
      </w:r>
      <w:r>
        <w:tab/>
        <w:t>have been captured within the visible</w:t>
      </w:r>
      <w:r>
        <w:noBreakHyphen/>
        <w:t>light region of the electro</w:t>
      </w:r>
      <w:r>
        <w:noBreakHyphen/>
        <w:t>magnetic spectrum; and</w:t>
      </w:r>
    </w:p>
    <w:p w:rsidR="00D47D2B" w:rsidRDefault="00A029B0">
      <w:pPr>
        <w:pStyle w:val="Indenti"/>
      </w:pPr>
      <w:r>
        <w:tab/>
        <w:t>(iv)</w:t>
      </w:r>
      <w:r>
        <w:tab/>
        <w:t>are presented in digital form as opposed to printed form; and</w:t>
      </w:r>
    </w:p>
    <w:p w:rsidR="00D47D2B" w:rsidRDefault="00A029B0">
      <w:pPr>
        <w:pStyle w:val="Indenti"/>
        <w:keepNext/>
        <w:keepLines/>
      </w:pPr>
      <w:r>
        <w:lastRenderedPageBreak/>
        <w:tab/>
        <w:t>(v)</w:t>
      </w:r>
      <w:r>
        <w:tab/>
        <w:t>have been modified to remove distortions caused by the camera lens, the curvature of the earth and the motion of the aircraft but have not been modified in any other way.</w:t>
      </w:r>
    </w:p>
    <w:p w:rsidR="00D47D2B" w:rsidRDefault="00A029B0">
      <w:pPr>
        <w:pStyle w:val="Footnotesection"/>
      </w:pPr>
      <w:r>
        <w:tab/>
        <w:t>[Regulation 3 amended: SL 2020/64 r. 6</w:t>
      </w:r>
      <w:r w:rsidR="003B1B2B">
        <w:t>; SL 2021/74 r. 4</w:t>
      </w:r>
      <w:r>
        <w:t>.]</w:t>
      </w:r>
    </w:p>
    <w:p w:rsidR="00D47D2B" w:rsidRDefault="00D47D2B">
      <w:pPr>
        <w:sectPr w:rsidR="00D47D2B">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D47D2B" w:rsidRDefault="00A029B0">
      <w:pPr>
        <w:pStyle w:val="yScheduleHeading"/>
      </w:pPr>
      <w:bookmarkStart w:id="7" w:name="_Toc75260381"/>
      <w:bookmarkStart w:id="8" w:name="_Toc75260655"/>
      <w:bookmarkStart w:id="9" w:name="_Toc75345989"/>
      <w:r>
        <w:rPr>
          <w:rStyle w:val="CharSchNo"/>
        </w:rPr>
        <w:lastRenderedPageBreak/>
        <w:t>Schedule 1</w:t>
      </w:r>
      <w:r>
        <w:rPr>
          <w:rStyle w:val="CharSDivNo"/>
        </w:rPr>
        <w:t> </w:t>
      </w:r>
      <w:r>
        <w:t>—</w:t>
      </w:r>
      <w:r>
        <w:rPr>
          <w:rStyle w:val="CharSDivText"/>
        </w:rPr>
        <w:t> </w:t>
      </w:r>
      <w:r>
        <w:rPr>
          <w:rStyle w:val="CharSchText"/>
        </w:rPr>
        <w:t>Areas referred to in written laws</w:t>
      </w:r>
      <w:bookmarkEnd w:id="7"/>
      <w:bookmarkEnd w:id="8"/>
      <w:bookmarkEnd w:id="9"/>
    </w:p>
    <w:p w:rsidR="00D47D2B" w:rsidRDefault="00A029B0">
      <w:pPr>
        <w:pStyle w:val="yShoulderClause"/>
      </w:pPr>
      <w:r>
        <w:t>[r. 3(2)(b)]</w:t>
      </w:r>
    </w:p>
    <w:p w:rsidR="00D47D2B" w:rsidRDefault="00A029B0">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rsidR="00D47D2B" w:rsidRDefault="00A029B0">
      <w:pPr>
        <w:pStyle w:val="yNumberedItem"/>
      </w:pPr>
      <w:r>
        <w:t>2.</w:t>
      </w:r>
      <w:r>
        <w:tab/>
        <w:t xml:space="preserve">A catchment area, or water reserve as each term is defined in the </w:t>
      </w:r>
      <w:r>
        <w:rPr>
          <w:i/>
        </w:rPr>
        <w:t>Country Areas Water Supply Act 1947</w:t>
      </w:r>
      <w:r>
        <w:t xml:space="preserve"> section 5(1).</w:t>
      </w:r>
    </w:p>
    <w:p w:rsidR="00D47D2B" w:rsidRDefault="00A029B0">
      <w:pPr>
        <w:pStyle w:val="yNumberedItem"/>
      </w:pPr>
      <w:r>
        <w:t>3.</w:t>
      </w:r>
      <w:r>
        <w:tab/>
        <w:t xml:space="preserve">Land subject to State corridor rights as defined in the </w:t>
      </w:r>
      <w:r>
        <w:rPr>
          <w:i/>
        </w:rPr>
        <w:t>Dampier to Bunbury Pipeline Act 1997</w:t>
      </w:r>
      <w:r>
        <w:t xml:space="preserve"> section 28.</w:t>
      </w:r>
    </w:p>
    <w:p w:rsidR="00D47D2B" w:rsidRDefault="00A029B0">
      <w:pPr>
        <w:pStyle w:val="yNumberedItem"/>
      </w:pPr>
      <w:r>
        <w:t>4.</w:t>
      </w:r>
      <w:r>
        <w:tab/>
        <w:t xml:space="preserve">A land district as defined in the </w:t>
      </w:r>
      <w:r>
        <w:rPr>
          <w:i/>
        </w:rPr>
        <w:t>Land Administration Act 1997</w:t>
      </w:r>
      <w:r>
        <w:t xml:space="preserve"> section 3(1).</w:t>
      </w:r>
    </w:p>
    <w:p w:rsidR="00D47D2B" w:rsidRDefault="00A029B0">
      <w:pPr>
        <w:pStyle w:val="yNumberedItem"/>
      </w:pPr>
      <w:r>
        <w:t>5.</w:t>
      </w:r>
      <w:r>
        <w:tab/>
        <w:t xml:space="preserve">A division of the State mentioned in the </w:t>
      </w:r>
      <w:r>
        <w:rPr>
          <w:i/>
        </w:rPr>
        <w:t>Land Administration Act 1997</w:t>
      </w:r>
      <w:r>
        <w:t xml:space="preserve"> section 6.</w:t>
      </w:r>
    </w:p>
    <w:p w:rsidR="00D47D2B" w:rsidRDefault="00A029B0">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rsidR="00D47D2B" w:rsidRDefault="00A029B0">
      <w:pPr>
        <w:pStyle w:val="yNumberedItem"/>
      </w:pPr>
      <w:r>
        <w:t>7.</w:t>
      </w:r>
      <w:r>
        <w:tab/>
        <w:t xml:space="preserve">A district or ward as each term is defined in the </w:t>
      </w:r>
      <w:r>
        <w:rPr>
          <w:i/>
        </w:rPr>
        <w:t>Local Government Act 1995</w:t>
      </w:r>
      <w:r>
        <w:t xml:space="preserve"> section 1.4.</w:t>
      </w:r>
    </w:p>
    <w:p w:rsidR="00D47D2B" w:rsidRDefault="00A029B0">
      <w:pPr>
        <w:pStyle w:val="yNumberedItem"/>
      </w:pPr>
      <w:r>
        <w:t>8.</w:t>
      </w:r>
      <w:r>
        <w:tab/>
        <w:t xml:space="preserve">A departmental area as defined in the </w:t>
      </w:r>
      <w:r>
        <w:rPr>
          <w:i/>
        </w:rPr>
        <w:t>Marine and Harbours Act 1981</w:t>
      </w:r>
      <w:r>
        <w:t xml:space="preserve"> section 3.</w:t>
      </w:r>
    </w:p>
    <w:p w:rsidR="00D47D2B" w:rsidRDefault="00A029B0">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rsidR="00D47D2B" w:rsidRDefault="00A029B0">
      <w:pPr>
        <w:pStyle w:val="yNumberedItem"/>
      </w:pPr>
      <w:r>
        <w:t>10.</w:t>
      </w:r>
      <w:r>
        <w:tab/>
        <w:t xml:space="preserve">A port as defined in the </w:t>
      </w:r>
      <w:r>
        <w:rPr>
          <w:i/>
        </w:rPr>
        <w:t>Port Authorities Act 1999</w:t>
      </w:r>
      <w:r>
        <w:t xml:space="preserve"> section 3(1).</w:t>
      </w:r>
    </w:p>
    <w:p w:rsidR="00D47D2B" w:rsidRDefault="00A029B0">
      <w:pPr>
        <w:pStyle w:val="yNumberedItem"/>
      </w:pPr>
      <w:r>
        <w:t>11.</w:t>
      </w:r>
      <w:r>
        <w:tab/>
        <w:t xml:space="preserve">Corridor land as defined in the </w:t>
      </w:r>
      <w:r>
        <w:rPr>
          <w:i/>
        </w:rPr>
        <w:t>Rail Freight System Act 2000</w:t>
      </w:r>
      <w:r>
        <w:t xml:space="preserve"> section 3.</w:t>
      </w:r>
    </w:p>
    <w:p w:rsidR="00D47D2B" w:rsidRDefault="00A029B0">
      <w:pPr>
        <w:pStyle w:val="yNumberedItem"/>
      </w:pPr>
      <w:r>
        <w:t>12.</w:t>
      </w:r>
      <w:r>
        <w:tab/>
        <w:t xml:space="preserve">A port as defined in the </w:t>
      </w:r>
      <w:r>
        <w:rPr>
          <w:i/>
        </w:rPr>
        <w:t>Shipping and Pilotage Act 1967</w:t>
      </w:r>
      <w:r>
        <w:t xml:space="preserve"> section 3.</w:t>
      </w:r>
    </w:p>
    <w:p w:rsidR="00D47D2B" w:rsidRPr="00176C84" w:rsidRDefault="00A029B0" w:rsidP="00176C84">
      <w:pPr>
        <w:pStyle w:val="yFootnotesection"/>
      </w:pPr>
      <w:r w:rsidRPr="00176C84">
        <w:tab/>
        <w:t>[Schedule 1 amended: Gazette 14 Nov 2013 p. 5049.]</w:t>
      </w:r>
    </w:p>
    <w:p w:rsidR="00D47D2B" w:rsidRDefault="00A029B0">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47D2B" w:rsidRDefault="00D47D2B">
      <w:pPr>
        <w:sectPr w:rsidR="00D47D2B">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D47D2B" w:rsidRDefault="00A029B0">
      <w:pPr>
        <w:pStyle w:val="nHeading2"/>
      </w:pPr>
      <w:bookmarkStart w:id="11" w:name="_Toc75260382"/>
      <w:bookmarkStart w:id="12" w:name="_Toc75260656"/>
      <w:bookmarkStart w:id="13" w:name="_Toc75345990"/>
      <w:r>
        <w:lastRenderedPageBreak/>
        <w:t>Notes</w:t>
      </w:r>
      <w:bookmarkEnd w:id="11"/>
      <w:bookmarkEnd w:id="12"/>
      <w:bookmarkEnd w:id="13"/>
    </w:p>
    <w:p w:rsidR="003F795E" w:rsidRDefault="003F795E">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w:t>
      </w:r>
    </w:p>
    <w:p w:rsidR="00D47D2B" w:rsidRDefault="00A029B0">
      <w:pPr>
        <w:pStyle w:val="nHeading3"/>
      </w:pPr>
      <w:bookmarkStart w:id="14" w:name="_Toc75345991"/>
      <w:r>
        <w:t>Compilation table</w:t>
      </w:r>
      <w:bookmarkEnd w:id="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47D2B" w:rsidTr="006062D9">
        <w:trPr>
          <w:tblHeader/>
        </w:trPr>
        <w:tc>
          <w:tcPr>
            <w:tcW w:w="3118" w:type="dxa"/>
          </w:tcPr>
          <w:p w:rsidR="00D47D2B" w:rsidRDefault="00A029B0">
            <w:pPr>
              <w:pStyle w:val="nTable"/>
              <w:spacing w:after="40"/>
              <w:rPr>
                <w:b/>
              </w:rPr>
            </w:pPr>
            <w:r>
              <w:rPr>
                <w:b/>
              </w:rPr>
              <w:t>Citation</w:t>
            </w:r>
          </w:p>
        </w:tc>
        <w:tc>
          <w:tcPr>
            <w:tcW w:w="1276" w:type="dxa"/>
          </w:tcPr>
          <w:p w:rsidR="00D47D2B" w:rsidRDefault="00A029B0">
            <w:pPr>
              <w:pStyle w:val="nTable"/>
              <w:spacing w:after="40"/>
              <w:rPr>
                <w:b/>
              </w:rPr>
            </w:pPr>
            <w:r>
              <w:rPr>
                <w:b/>
              </w:rPr>
              <w:t>Published</w:t>
            </w:r>
          </w:p>
        </w:tc>
        <w:tc>
          <w:tcPr>
            <w:tcW w:w="2693" w:type="dxa"/>
          </w:tcPr>
          <w:p w:rsidR="00D47D2B" w:rsidRDefault="00A029B0">
            <w:pPr>
              <w:pStyle w:val="nTable"/>
              <w:spacing w:after="40"/>
              <w:rPr>
                <w:b/>
              </w:rPr>
            </w:pPr>
            <w:r>
              <w:rPr>
                <w:b/>
              </w:rPr>
              <w:t>Commencement</w:t>
            </w:r>
          </w:p>
        </w:tc>
      </w:tr>
      <w:tr w:rsidR="00D47D2B" w:rsidTr="006062D9">
        <w:tc>
          <w:tcPr>
            <w:tcW w:w="3118" w:type="dxa"/>
            <w:tcBorders>
              <w:top w:val="single" w:sz="8" w:space="0" w:color="auto"/>
              <w:bottom w:val="nil"/>
            </w:tcBorders>
          </w:tcPr>
          <w:p w:rsidR="00D47D2B" w:rsidRDefault="00A029B0">
            <w:pPr>
              <w:pStyle w:val="nTable"/>
              <w:spacing w:after="40"/>
            </w:pPr>
            <w:r>
              <w:rPr>
                <w:i/>
              </w:rPr>
              <w:t>Land Information Authority Regulations 2007</w:t>
            </w:r>
          </w:p>
        </w:tc>
        <w:tc>
          <w:tcPr>
            <w:tcW w:w="1276" w:type="dxa"/>
            <w:tcBorders>
              <w:top w:val="single" w:sz="8" w:space="0" w:color="auto"/>
              <w:bottom w:val="nil"/>
            </w:tcBorders>
          </w:tcPr>
          <w:p w:rsidR="00D47D2B" w:rsidRDefault="00A029B0">
            <w:pPr>
              <w:pStyle w:val="nTable"/>
              <w:spacing w:after="40"/>
            </w:pPr>
            <w:r>
              <w:t>21 Dec 2007 p. 6307-16</w:t>
            </w:r>
          </w:p>
        </w:tc>
        <w:tc>
          <w:tcPr>
            <w:tcW w:w="2693" w:type="dxa"/>
            <w:tcBorders>
              <w:top w:val="single" w:sz="8" w:space="0" w:color="auto"/>
              <w:bottom w:val="nil"/>
            </w:tcBorders>
          </w:tcPr>
          <w:p w:rsidR="00D47D2B" w:rsidRDefault="00A029B0">
            <w:pPr>
              <w:pStyle w:val="nTable"/>
              <w:spacing w:after="40"/>
            </w:pPr>
            <w:r>
              <w:t>r. 1 and 2: 21 Dec 2007 (see r. 2(a));</w:t>
            </w:r>
          </w:p>
          <w:p w:rsidR="00D47D2B" w:rsidRDefault="00A029B0">
            <w:pPr>
              <w:pStyle w:val="nTable"/>
              <w:spacing w:before="0" w:after="40"/>
            </w:pPr>
            <w:r>
              <w:t>Regulations other than r. 1 and</w:t>
            </w:r>
            <w:r w:rsidR="00176C84">
              <w:t> </w:t>
            </w:r>
            <w:r>
              <w:t>2: 22 Dec 2007 (see r. 2(b))</w:t>
            </w:r>
          </w:p>
        </w:tc>
      </w:tr>
      <w:tr w:rsidR="00D47D2B" w:rsidTr="006062D9">
        <w:tc>
          <w:tcPr>
            <w:tcW w:w="3118" w:type="dxa"/>
            <w:tcBorders>
              <w:top w:val="nil"/>
              <w:bottom w:val="nil"/>
            </w:tcBorders>
          </w:tcPr>
          <w:p w:rsidR="00D47D2B" w:rsidRDefault="00A029B0">
            <w:pPr>
              <w:pStyle w:val="nTable"/>
              <w:spacing w:after="40"/>
              <w:rPr>
                <w:i/>
              </w:rPr>
            </w:pPr>
            <w:r>
              <w:rPr>
                <w:i/>
              </w:rPr>
              <w:t>Land Information Authority Amendment Regulations 2013</w:t>
            </w:r>
          </w:p>
        </w:tc>
        <w:tc>
          <w:tcPr>
            <w:tcW w:w="1276" w:type="dxa"/>
            <w:tcBorders>
              <w:top w:val="nil"/>
              <w:bottom w:val="nil"/>
            </w:tcBorders>
          </w:tcPr>
          <w:p w:rsidR="00D47D2B" w:rsidRDefault="00A029B0">
            <w:pPr>
              <w:pStyle w:val="nTable"/>
              <w:spacing w:after="40"/>
            </w:pPr>
            <w:r>
              <w:t>14 Nov 2013 p. 5049</w:t>
            </w:r>
          </w:p>
        </w:tc>
        <w:tc>
          <w:tcPr>
            <w:tcW w:w="2693" w:type="dxa"/>
            <w:tcBorders>
              <w:top w:val="nil"/>
              <w:bottom w:val="nil"/>
            </w:tcBorders>
          </w:tcPr>
          <w:p w:rsidR="00D47D2B" w:rsidRDefault="00A029B0">
            <w:pPr>
              <w:pStyle w:val="nTable"/>
              <w:spacing w:after="40"/>
            </w:pPr>
            <w:r>
              <w:rPr>
                <w:snapToGrid w:val="0"/>
              </w:rPr>
              <w:t>r. 1 and 2: 14 Nov 2013 (see r. 2(a));</w:t>
            </w:r>
            <w:r>
              <w:rPr>
                <w:snapToGrid w:val="0"/>
              </w:rPr>
              <w:br/>
              <w:t>Regulations other than r. 1 and</w:t>
            </w:r>
            <w:r w:rsidR="00176C84">
              <w:rPr>
                <w:snapToGrid w:val="0"/>
              </w:rPr>
              <w:t> </w:t>
            </w:r>
            <w:r>
              <w:rPr>
                <w:snapToGrid w:val="0"/>
              </w:rPr>
              <w:t>2: 18</w:t>
            </w:r>
            <w:r>
              <w:t xml:space="preserve"> Nov 2013 (see r. 2(b) and </w:t>
            </w:r>
            <w:r>
              <w:rPr>
                <w:i/>
              </w:rPr>
              <w:t xml:space="preserve">Gazette </w:t>
            </w:r>
            <w:r>
              <w:t>14 Nov 2013 p. 5027)</w:t>
            </w:r>
          </w:p>
        </w:tc>
      </w:tr>
      <w:tr w:rsidR="00D47D2B" w:rsidTr="00176C84">
        <w:tc>
          <w:tcPr>
            <w:tcW w:w="3118" w:type="dxa"/>
            <w:tcBorders>
              <w:top w:val="nil"/>
              <w:bottom w:val="nil"/>
            </w:tcBorders>
          </w:tcPr>
          <w:p w:rsidR="00D47D2B" w:rsidRDefault="00A029B0">
            <w:pPr>
              <w:pStyle w:val="nTable"/>
              <w:spacing w:after="40"/>
              <w:rPr>
                <w:i/>
              </w:rPr>
            </w:pPr>
            <w:r>
              <w:rPr>
                <w:i/>
              </w:rPr>
              <w:t xml:space="preserve">Lands Regulations Amendment (Geocentric Datum) Regulations 2020 </w:t>
            </w:r>
            <w:r>
              <w:rPr>
                <w:noProof/>
              </w:rPr>
              <w:t>Pt. 3</w:t>
            </w:r>
          </w:p>
        </w:tc>
        <w:tc>
          <w:tcPr>
            <w:tcW w:w="1276" w:type="dxa"/>
            <w:tcBorders>
              <w:top w:val="nil"/>
              <w:bottom w:val="nil"/>
            </w:tcBorders>
          </w:tcPr>
          <w:p w:rsidR="00D47D2B" w:rsidRDefault="00A029B0">
            <w:pPr>
              <w:pStyle w:val="nTable"/>
              <w:spacing w:after="40"/>
            </w:pPr>
            <w:r>
              <w:t>SL 2020/64 22 May 2020</w:t>
            </w:r>
          </w:p>
        </w:tc>
        <w:tc>
          <w:tcPr>
            <w:tcW w:w="2693" w:type="dxa"/>
            <w:tcBorders>
              <w:top w:val="nil"/>
              <w:bottom w:val="nil"/>
            </w:tcBorders>
          </w:tcPr>
          <w:p w:rsidR="00D47D2B" w:rsidRDefault="00A029B0">
            <w:pPr>
              <w:pStyle w:val="nTable"/>
              <w:spacing w:after="40"/>
              <w:rPr>
                <w:snapToGrid w:val="0"/>
              </w:rPr>
            </w:pPr>
            <w:r>
              <w:rPr>
                <w:bCs/>
                <w:snapToGrid w:val="0"/>
                <w:spacing w:val="-2"/>
              </w:rPr>
              <w:t>1 Jul 2020 (see r. 2(b))</w:t>
            </w:r>
          </w:p>
        </w:tc>
      </w:tr>
      <w:tr w:rsidR="006062D9" w:rsidTr="006062D9">
        <w:tc>
          <w:tcPr>
            <w:tcW w:w="3118" w:type="dxa"/>
            <w:tcBorders>
              <w:top w:val="nil"/>
              <w:bottom w:val="single" w:sz="4" w:space="0" w:color="auto"/>
            </w:tcBorders>
          </w:tcPr>
          <w:p w:rsidR="006062D9" w:rsidRDefault="006062D9" w:rsidP="006062D9">
            <w:pPr>
              <w:pStyle w:val="nTable"/>
              <w:spacing w:after="40"/>
              <w:rPr>
                <w:i/>
              </w:rPr>
            </w:pPr>
            <w:r>
              <w:rPr>
                <w:i/>
              </w:rPr>
              <w:t>Land Information Authority Amendment Regulations 2021</w:t>
            </w:r>
          </w:p>
        </w:tc>
        <w:tc>
          <w:tcPr>
            <w:tcW w:w="1276" w:type="dxa"/>
            <w:tcBorders>
              <w:top w:val="nil"/>
              <w:bottom w:val="single" w:sz="4" w:space="0" w:color="auto"/>
            </w:tcBorders>
          </w:tcPr>
          <w:p w:rsidR="006062D9" w:rsidRDefault="006062D9" w:rsidP="006062D9">
            <w:pPr>
              <w:pStyle w:val="nTable"/>
              <w:spacing w:after="40"/>
            </w:pPr>
            <w:r>
              <w:t>SL 2021/74 18 Jun 2021</w:t>
            </w:r>
          </w:p>
        </w:tc>
        <w:tc>
          <w:tcPr>
            <w:tcW w:w="2693" w:type="dxa"/>
            <w:tcBorders>
              <w:top w:val="nil"/>
              <w:bottom w:val="single" w:sz="4" w:space="0" w:color="auto"/>
            </w:tcBorders>
          </w:tcPr>
          <w:p w:rsidR="006062D9" w:rsidRDefault="006062D9" w:rsidP="006062D9">
            <w:pPr>
              <w:pStyle w:val="nTable"/>
              <w:spacing w:after="40"/>
              <w:rPr>
                <w:bCs/>
                <w:snapToGrid w:val="0"/>
                <w:spacing w:val="-2"/>
              </w:rPr>
            </w:pPr>
            <w:r>
              <w:rPr>
                <w:snapToGrid w:val="0"/>
              </w:rPr>
              <w:t xml:space="preserve">r. 1 and 2: </w:t>
            </w:r>
            <w:r>
              <w:t>18 Jun 2021</w:t>
            </w:r>
            <w:r>
              <w:rPr>
                <w:snapToGrid w:val="0"/>
              </w:rPr>
              <w:t xml:space="preserve"> (see r. 2(a));</w:t>
            </w:r>
            <w:r>
              <w:rPr>
                <w:snapToGrid w:val="0"/>
              </w:rPr>
              <w:br/>
              <w:t>Regulations other than r. 1 and</w:t>
            </w:r>
            <w:r w:rsidR="00176C84">
              <w:rPr>
                <w:snapToGrid w:val="0"/>
              </w:rPr>
              <w:t> </w:t>
            </w:r>
            <w:r>
              <w:rPr>
                <w:snapToGrid w:val="0"/>
              </w:rPr>
              <w:t xml:space="preserve">2: </w:t>
            </w:r>
            <w:r>
              <w:t>30 Jun 2021 (see r. 2(b) and SL 2021/69 cl. 2)</w:t>
            </w:r>
          </w:p>
        </w:tc>
      </w:tr>
    </w:tbl>
    <w:p w:rsidR="00D47D2B" w:rsidRDefault="00D47D2B"/>
    <w:p w:rsidR="00D47D2B" w:rsidRDefault="00D47D2B">
      <w:pPr>
        <w:sectPr w:rsidR="00D47D2B">
          <w:headerReference w:type="even" r:id="rId27"/>
          <w:headerReference w:type="default" r:id="rId28"/>
          <w:pgSz w:w="11907" w:h="16840" w:code="9"/>
          <w:pgMar w:top="2376" w:right="2404" w:bottom="3544" w:left="2404" w:header="720" w:footer="3380" w:gutter="0"/>
          <w:cols w:space="720"/>
          <w:noEndnote/>
          <w:docGrid w:linePitch="326"/>
        </w:sectPr>
      </w:pPr>
    </w:p>
    <w:p w:rsidR="00D47D2B" w:rsidRDefault="00A029B0">
      <w:pPr>
        <w:pStyle w:val="nHeading2"/>
        <w:rPr>
          <w:sz w:val="28"/>
        </w:rPr>
      </w:pPr>
      <w:bookmarkStart w:id="16" w:name="_Toc75260385"/>
      <w:bookmarkStart w:id="17" w:name="_Toc75260658"/>
      <w:bookmarkStart w:id="18" w:name="_Toc75345992"/>
      <w:r>
        <w:rPr>
          <w:sz w:val="28"/>
        </w:rPr>
        <w:lastRenderedPageBreak/>
        <w:t>Defined terms</w:t>
      </w:r>
      <w:bookmarkEnd w:id="16"/>
      <w:bookmarkEnd w:id="17"/>
      <w:bookmarkEnd w:id="18"/>
    </w:p>
    <w:p w:rsidR="00D47D2B" w:rsidRDefault="00D47D2B">
      <w:pPr>
        <w:ind w:left="850" w:right="850"/>
        <w:jc w:val="center"/>
        <w:rPr>
          <w:i/>
          <w:sz w:val="18"/>
        </w:rPr>
      </w:pPr>
    </w:p>
    <w:p w:rsidR="00D47D2B" w:rsidRDefault="00A029B0">
      <w:pPr>
        <w:ind w:left="850" w:right="850"/>
        <w:jc w:val="center"/>
        <w:rPr>
          <w:i/>
          <w:sz w:val="18"/>
        </w:rPr>
      </w:pPr>
      <w:r>
        <w:rPr>
          <w:i/>
          <w:sz w:val="18"/>
        </w:rPr>
        <w:t>[This is a list of terms defined and the provisions where they are defined.  The list is not part of the law.]</w:t>
      </w:r>
    </w:p>
    <w:p w:rsidR="00D47D2B" w:rsidRDefault="00A029B0">
      <w:pPr>
        <w:pBdr>
          <w:bottom w:val="single" w:sz="4" w:space="1" w:color="auto"/>
        </w:pBdr>
        <w:tabs>
          <w:tab w:val="right" w:pos="7070"/>
        </w:tabs>
        <w:ind w:left="578"/>
        <w:rPr>
          <w:b/>
          <w:sz w:val="20"/>
        </w:rPr>
      </w:pPr>
      <w:r>
        <w:rPr>
          <w:b/>
          <w:sz w:val="20"/>
        </w:rPr>
        <w:t>Defined term</w:t>
      </w:r>
      <w:r>
        <w:rPr>
          <w:b/>
          <w:sz w:val="20"/>
        </w:rPr>
        <w:tab/>
        <w:t>Provision(s)</w:t>
      </w:r>
    </w:p>
    <w:p w:rsidR="00D47D2B" w:rsidRDefault="00A029B0">
      <w:pPr>
        <w:pStyle w:val="DefinedTerms"/>
      </w:pPr>
      <w:r>
        <w:t>2017 Determination</w:t>
      </w:r>
      <w:r>
        <w:tab/>
        <w:t>3(1)</w:t>
      </w:r>
    </w:p>
    <w:p w:rsidR="00D47D2B" w:rsidRDefault="00A029B0">
      <w:pPr>
        <w:pStyle w:val="DefinedTerms"/>
      </w:pPr>
      <w:r>
        <w:t>basic topographic information</w:t>
      </w:r>
      <w:r>
        <w:tab/>
        <w:t>3(1)</w:t>
      </w:r>
    </w:p>
    <w:p w:rsidR="00D47D2B" w:rsidRDefault="00A029B0">
      <w:pPr>
        <w:pStyle w:val="DefinedTerms"/>
      </w:pPr>
      <w:r>
        <w:t>certificate of title</w:t>
      </w:r>
      <w:r>
        <w:tab/>
        <w:t>3(1)</w:t>
      </w:r>
    </w:p>
    <w:p w:rsidR="00D47D2B" w:rsidRDefault="00A029B0">
      <w:pPr>
        <w:pStyle w:val="DefinedTerms"/>
      </w:pPr>
      <w:r>
        <w:t>Crown land</w:t>
      </w:r>
      <w:r>
        <w:tab/>
        <w:t>3(1)</w:t>
      </w:r>
    </w:p>
    <w:p w:rsidR="00D47D2B" w:rsidRDefault="00A029B0">
      <w:pPr>
        <w:pStyle w:val="DefinedTerms"/>
      </w:pPr>
      <w:r>
        <w:t>Geocentric Datum of Australia 2020</w:t>
      </w:r>
      <w:r>
        <w:tab/>
        <w:t>3(1)</w:t>
      </w:r>
    </w:p>
    <w:p w:rsidR="00D47D2B" w:rsidRDefault="00A029B0">
      <w:pPr>
        <w:pStyle w:val="DefinedTerms"/>
      </w:pPr>
      <w:r>
        <w:t>geodetic survey mark</w:t>
      </w:r>
      <w:r>
        <w:tab/>
        <w:t>3(1)</w:t>
      </w:r>
    </w:p>
    <w:p w:rsidR="00D47D2B" w:rsidRDefault="00A029B0">
      <w:pPr>
        <w:pStyle w:val="DefinedTerms"/>
      </w:pPr>
      <w:r>
        <w:t>lot</w:t>
      </w:r>
      <w:r>
        <w:tab/>
        <w:t>3(1)</w:t>
      </w:r>
    </w:p>
    <w:p w:rsidR="00D47D2B" w:rsidRDefault="00A029B0">
      <w:pPr>
        <w:pStyle w:val="DefinedTerms"/>
      </w:pPr>
      <w:r>
        <w:t>postcode area</w:t>
      </w:r>
      <w:r>
        <w:tab/>
        <w:t>3(1)</w:t>
      </w:r>
    </w:p>
    <w:p w:rsidR="00D47D2B" w:rsidRDefault="00A029B0">
      <w:pPr>
        <w:pStyle w:val="DefinedTerms"/>
      </w:pPr>
      <w:r>
        <w:t>private road</w:t>
      </w:r>
      <w:r>
        <w:tab/>
        <w:t>3(1)</w:t>
      </w:r>
    </w:p>
    <w:p w:rsidR="00D47D2B" w:rsidRDefault="00A029B0">
      <w:pPr>
        <w:pStyle w:val="DefinedTerms"/>
      </w:pPr>
      <w:r>
        <w:t>property address</w:t>
      </w:r>
      <w:r>
        <w:tab/>
        <w:t>3(1)</w:t>
      </w:r>
    </w:p>
    <w:p w:rsidR="00D47D2B" w:rsidRDefault="00A029B0">
      <w:pPr>
        <w:pStyle w:val="DefinedTerms"/>
      </w:pPr>
      <w:r>
        <w:t>proprietor</w:t>
      </w:r>
      <w:r>
        <w:tab/>
        <w:t>3(1)</w:t>
      </w:r>
    </w:p>
    <w:p w:rsidR="00D47D2B" w:rsidRDefault="00A029B0">
      <w:pPr>
        <w:pStyle w:val="DefinedTerms"/>
      </w:pPr>
      <w:r>
        <w:t>reserve</w:t>
      </w:r>
      <w:r>
        <w:tab/>
        <w:t>3(1)</w:t>
      </w:r>
    </w:p>
    <w:p w:rsidR="00D47D2B" w:rsidRDefault="00A029B0">
      <w:pPr>
        <w:pStyle w:val="DefinedTerms"/>
      </w:pPr>
      <w:r>
        <w:t>reserve data</w:t>
      </w:r>
      <w:r>
        <w:tab/>
        <w:t>3(1)</w:t>
      </w:r>
    </w:p>
    <w:p w:rsidR="00D47D2B" w:rsidRDefault="00A029B0">
      <w:pPr>
        <w:pStyle w:val="DefinedTerms"/>
      </w:pPr>
      <w:r>
        <w:t>road</w:t>
      </w:r>
      <w:r>
        <w:tab/>
        <w:t>3(1)</w:t>
      </w:r>
    </w:p>
    <w:p w:rsidR="00D47D2B" w:rsidRDefault="00A029B0">
      <w:pPr>
        <w:pStyle w:val="DefinedTerms"/>
      </w:pPr>
      <w:r>
        <w:t>State land information</w:t>
      </w:r>
      <w:r>
        <w:tab/>
        <w:t>3(1)</w:t>
      </w:r>
    </w:p>
    <w:p w:rsidR="00D47D2B" w:rsidRDefault="00A029B0">
      <w:pPr>
        <w:pStyle w:val="DefinedTerms"/>
      </w:pPr>
      <w:r>
        <w:t>tenure data</w:t>
      </w:r>
      <w:r>
        <w:tab/>
        <w:t>3(1)</w:t>
      </w:r>
    </w:p>
    <w:p w:rsidR="00D47D2B" w:rsidRDefault="00A029B0">
      <w:pPr>
        <w:pStyle w:val="DefinedTerms"/>
      </w:pPr>
      <w:r>
        <w:t>territorial sea baseline</w:t>
      </w:r>
      <w:r>
        <w:tab/>
        <w:t>3(1)</w:t>
      </w:r>
    </w:p>
    <w:p w:rsidR="00D47D2B" w:rsidRDefault="00A029B0">
      <w:pPr>
        <w:pStyle w:val="DefinedTerms"/>
      </w:pPr>
      <w:r>
        <w:t>topographic information</w:t>
      </w:r>
      <w:r>
        <w:tab/>
        <w:t>3(1)</w:t>
      </w:r>
    </w:p>
    <w:p w:rsidR="00D47D2B" w:rsidRDefault="00A029B0">
      <w:pPr>
        <w:pStyle w:val="DefinedTerms"/>
      </w:pPr>
      <w:r>
        <w:t>unallocated Crown land</w:t>
      </w:r>
      <w:r>
        <w:tab/>
        <w:t>3(1)</w:t>
      </w:r>
    </w:p>
    <w:p w:rsidR="00D47D2B" w:rsidRDefault="00D47D2B"/>
    <w:p w:rsidR="00D47D2B" w:rsidRDefault="00D47D2B">
      <w:pPr>
        <w:sectPr w:rsidR="00D47D2B">
          <w:headerReference w:type="even" r:id="rId29"/>
          <w:headerReference w:type="default" r:id="rId30"/>
          <w:pgSz w:w="11907" w:h="16840" w:code="9"/>
          <w:pgMar w:top="2381" w:right="2409" w:bottom="3543" w:left="2409" w:header="720" w:footer="3380" w:gutter="0"/>
          <w:cols w:space="720"/>
          <w:noEndnote/>
          <w:docGrid w:linePitch="326"/>
        </w:sectPr>
      </w:pPr>
    </w:p>
    <w:p w:rsidR="00D47D2B" w:rsidRDefault="00D47D2B"/>
    <w:sectPr w:rsidR="00D47D2B">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D2B" w:rsidRDefault="00A029B0">
      <w:pPr>
        <w:rPr>
          <w:b/>
          <w:sz w:val="28"/>
        </w:rPr>
      </w:pPr>
      <w:r>
        <w:rPr>
          <w:b/>
          <w:sz w:val="28"/>
        </w:rPr>
        <w:t>Endnotes</w:t>
      </w:r>
    </w:p>
    <w:p w:rsidR="00D47D2B" w:rsidRDefault="00A029B0">
      <w:pPr>
        <w:spacing w:after="240"/>
        <w:rPr>
          <w:rFonts w:ascii="Times" w:hAnsi="Times"/>
          <w:sz w:val="18"/>
        </w:rPr>
      </w:pPr>
      <w:r>
        <w:rPr>
          <w:sz w:val="20"/>
        </w:rPr>
        <w:t>[For ease of reference detach these notes and read them alongside the draft.]</w:t>
      </w:r>
    </w:p>
    <w:p w:rsidR="00D47D2B" w:rsidRDefault="00D47D2B"/>
  </w:endnote>
  <w:endnote w:type="continuationSeparator" w:id="0">
    <w:p w:rsidR="00D47D2B" w:rsidRDefault="00D47D2B">
      <w:pPr>
        <w:pStyle w:val="Footer"/>
      </w:pPr>
    </w:p>
    <w:p w:rsidR="00D47D2B" w:rsidRDefault="00D47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Bdr>
        <w:bottom w:val="single" w:sz="4" w:space="1" w:color="auto"/>
      </w:pBdr>
      <w:rPr>
        <w:sz w:val="20"/>
      </w:rPr>
    </w:pPr>
  </w:p>
  <w:p w:rsidR="00D47D2B" w:rsidRDefault="00A029B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35D80">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35D80">
      <w:rPr>
        <w:sz w:val="20"/>
      </w:rPr>
      <w:t>30 Jun 2021</w:t>
    </w:r>
    <w:r>
      <w:rPr>
        <w:sz w:val="20"/>
      </w:rPr>
      <w:fldChar w:fldCharType="end"/>
    </w:r>
  </w:p>
  <w:p w:rsidR="00D47D2B" w:rsidRDefault="00A029B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Bdr>
        <w:bottom w:val="single" w:sz="4" w:space="1" w:color="auto"/>
      </w:pBdr>
      <w:rPr>
        <w:sz w:val="20"/>
      </w:rPr>
    </w:pPr>
  </w:p>
  <w:p w:rsidR="00D47D2B" w:rsidRDefault="00A029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5D80">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5D80">
      <w:rPr>
        <w:sz w:val="20"/>
      </w:rPr>
      <w:t>00-f0-00</w:t>
    </w:r>
    <w:r>
      <w:rPr>
        <w:sz w:val="20"/>
      </w:rPr>
      <w:fldChar w:fldCharType="end"/>
    </w:r>
  </w:p>
  <w:p w:rsidR="00D47D2B" w:rsidRDefault="00A029B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Bdr>
        <w:bottom w:val="single" w:sz="4" w:space="1" w:color="auto"/>
      </w:pBdr>
      <w:rPr>
        <w:sz w:val="20"/>
      </w:rPr>
    </w:pPr>
  </w:p>
  <w:p w:rsidR="00D47D2B" w:rsidRDefault="00A029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5D80">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5D80">
      <w:rPr>
        <w:sz w:val="20"/>
      </w:rPr>
      <w:t>00-f0-00</w:t>
    </w:r>
    <w:r>
      <w:rPr>
        <w:sz w:val="20"/>
      </w:rPr>
      <w:fldChar w:fldCharType="end"/>
    </w:r>
  </w:p>
  <w:p w:rsidR="00D47D2B" w:rsidRDefault="00A029B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Bdr>
        <w:bottom w:val="single" w:sz="4" w:space="1" w:color="auto"/>
      </w:pBdr>
      <w:rPr>
        <w:sz w:val="20"/>
      </w:rPr>
    </w:pPr>
  </w:p>
  <w:p w:rsidR="00D47D2B" w:rsidRDefault="00A029B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5D80">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35D80">
      <w:rPr>
        <w:sz w:val="20"/>
      </w:rPr>
      <w:t>30 Jun 2021</w:t>
    </w:r>
    <w:r>
      <w:rPr>
        <w:sz w:val="20"/>
      </w:rPr>
      <w:fldChar w:fldCharType="end"/>
    </w:r>
  </w:p>
  <w:p w:rsidR="00D47D2B" w:rsidRDefault="00A029B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Bdr>
        <w:bottom w:val="single" w:sz="4" w:space="1" w:color="auto"/>
      </w:pBdr>
      <w:rPr>
        <w:sz w:val="20"/>
      </w:rPr>
    </w:pPr>
  </w:p>
  <w:p w:rsidR="00D47D2B" w:rsidRDefault="00A029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5D80">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5D80">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D47D2B" w:rsidRDefault="00A029B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Bdr>
        <w:bottom w:val="single" w:sz="4" w:space="1" w:color="auto"/>
      </w:pBdr>
      <w:rPr>
        <w:sz w:val="20"/>
      </w:rPr>
    </w:pPr>
  </w:p>
  <w:p w:rsidR="00D47D2B" w:rsidRDefault="00A029B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5D80">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5D80">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47D2B" w:rsidRDefault="00A029B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D2B" w:rsidRDefault="00A029B0">
      <w:r>
        <w:separator/>
      </w:r>
    </w:p>
  </w:footnote>
  <w:footnote w:type="continuationSeparator" w:id="0">
    <w:p w:rsidR="00D47D2B" w:rsidRDefault="00A0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80" w:rsidRDefault="00D35D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7D2B">
      <w:trPr>
        <w:cantSplit/>
        <w:jc w:val="center"/>
      </w:trPr>
      <w:tc>
        <w:tcPr>
          <w:tcW w:w="7258" w:type="dxa"/>
          <w:gridSpan w:val="2"/>
        </w:tcPr>
        <w:p w:rsidR="00D47D2B" w:rsidRDefault="00A029B0">
          <w:pPr>
            <w:pStyle w:val="Header"/>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1548" w:type="dxa"/>
        </w:tcPr>
        <w:p w:rsidR="00D47D2B" w:rsidRDefault="00A029B0">
          <w:pPr>
            <w:pStyle w:val="Header"/>
            <w:spacing w:before="40"/>
          </w:pPr>
          <w:r>
            <w:rPr>
              <w:b/>
            </w:rPr>
            <w:fldChar w:fldCharType="begin"/>
          </w:r>
          <w:r>
            <w:rPr>
              <w:b/>
            </w:rPr>
            <w:instrText xml:space="preserve"> styleref CharSchno </w:instrText>
          </w:r>
          <w:r>
            <w:rPr>
              <w:b/>
            </w:rPr>
            <w:fldChar w:fldCharType="end"/>
          </w:r>
        </w:p>
      </w:tc>
      <w:tc>
        <w:tcPr>
          <w:tcW w:w="5715" w:type="dxa"/>
        </w:tcPr>
        <w:p w:rsidR="00D47D2B" w:rsidRDefault="00A029B0">
          <w:pPr>
            <w:pStyle w:val="Header"/>
            <w:spacing w:before="40"/>
          </w:pPr>
          <w:r>
            <w:fldChar w:fldCharType="begin"/>
          </w:r>
          <w:r>
            <w:instrText xml:space="preserve"> styleref CharSchText </w:instrText>
          </w:r>
          <w:r>
            <w:fldChar w:fldCharType="end"/>
          </w:r>
        </w:p>
      </w:tc>
    </w:tr>
    <w:tr w:rsidR="00D47D2B">
      <w:trPr>
        <w:jc w:val="center"/>
      </w:trPr>
      <w:tc>
        <w:tcPr>
          <w:tcW w:w="1548" w:type="dxa"/>
        </w:tcPr>
        <w:p w:rsidR="00D47D2B" w:rsidRDefault="00A029B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D47D2B" w:rsidRDefault="00A029B0">
          <w:pPr>
            <w:pStyle w:val="Header"/>
            <w:spacing w:before="40"/>
          </w:pPr>
          <w:r>
            <w:fldChar w:fldCharType="begin"/>
          </w:r>
          <w:r>
            <w:instrText xml:space="preserve"> styleref CharSDivText </w:instrText>
          </w:r>
          <w:r>
            <w:fldChar w:fldCharType="end"/>
          </w:r>
        </w:p>
      </w:tc>
    </w:tr>
    <w:tr w:rsidR="00D47D2B">
      <w:trPr>
        <w:jc w:val="center"/>
      </w:trPr>
      <w:tc>
        <w:tcPr>
          <w:tcW w:w="1548" w:type="dxa"/>
        </w:tcPr>
        <w:p w:rsidR="00D47D2B" w:rsidRDefault="00D47D2B">
          <w:pPr>
            <w:pStyle w:val="Header"/>
            <w:spacing w:before="40"/>
          </w:pPr>
        </w:p>
      </w:tc>
      <w:tc>
        <w:tcPr>
          <w:tcW w:w="5715" w:type="dxa"/>
        </w:tcPr>
        <w:p w:rsidR="00D47D2B" w:rsidRDefault="00D47D2B">
          <w:pPr>
            <w:pStyle w:val="Header"/>
            <w:spacing w:before="40"/>
          </w:pPr>
        </w:p>
      </w:tc>
    </w:tr>
  </w:tbl>
  <w:p w:rsidR="00D47D2B" w:rsidRDefault="00D47D2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47D2B">
      <w:trPr>
        <w:cantSplit/>
        <w:jc w:val="center"/>
      </w:trPr>
      <w:tc>
        <w:tcPr>
          <w:tcW w:w="7263" w:type="dxa"/>
          <w:gridSpan w:val="2"/>
        </w:tcPr>
        <w:p w:rsidR="00D47D2B" w:rsidRDefault="00A029B0">
          <w:pPr>
            <w:pStyle w:val="Header"/>
            <w:ind w:right="17"/>
            <w:jc w:val="right"/>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5715" w:type="dxa"/>
          <w:vAlign w:val="bottom"/>
        </w:tcPr>
        <w:p w:rsidR="00D47D2B" w:rsidRDefault="00A029B0">
          <w:pPr>
            <w:pStyle w:val="Header"/>
            <w:spacing w:before="40"/>
            <w:jc w:val="right"/>
          </w:pPr>
          <w:r>
            <w:fldChar w:fldCharType="begin"/>
          </w:r>
          <w:r>
            <w:instrText>styleref CharSchText</w:instrText>
          </w:r>
          <w:r>
            <w:fldChar w:fldCharType="end"/>
          </w:r>
        </w:p>
      </w:tc>
      <w:tc>
        <w:tcPr>
          <w:tcW w:w="1548" w:type="dxa"/>
        </w:tcPr>
        <w:p w:rsidR="00D47D2B" w:rsidRDefault="00A029B0">
          <w:pPr>
            <w:pStyle w:val="Header"/>
            <w:spacing w:before="40"/>
            <w:ind w:right="17"/>
            <w:jc w:val="right"/>
          </w:pPr>
          <w:r>
            <w:rPr>
              <w:b/>
            </w:rPr>
            <w:fldChar w:fldCharType="begin"/>
          </w:r>
          <w:r>
            <w:rPr>
              <w:b/>
            </w:rPr>
            <w:instrText>styleref CharSchno</w:instrText>
          </w:r>
          <w:r>
            <w:rPr>
              <w:b/>
            </w:rPr>
            <w:fldChar w:fldCharType="end"/>
          </w:r>
        </w:p>
      </w:tc>
    </w:tr>
    <w:tr w:rsidR="00D47D2B">
      <w:trPr>
        <w:jc w:val="center"/>
      </w:trPr>
      <w:tc>
        <w:tcPr>
          <w:tcW w:w="5715" w:type="dxa"/>
        </w:tcPr>
        <w:p w:rsidR="00D47D2B" w:rsidRDefault="00A029B0">
          <w:pPr>
            <w:pStyle w:val="Header"/>
            <w:spacing w:before="40"/>
            <w:jc w:val="right"/>
          </w:pPr>
          <w:r>
            <w:fldChar w:fldCharType="begin"/>
          </w:r>
          <w:r>
            <w:instrText xml:space="preserve"> styleref CharSDivText </w:instrText>
          </w:r>
          <w:r>
            <w:fldChar w:fldCharType="end"/>
          </w:r>
        </w:p>
      </w:tc>
      <w:tc>
        <w:tcPr>
          <w:tcW w:w="1548" w:type="dxa"/>
        </w:tcPr>
        <w:p w:rsidR="00D47D2B" w:rsidRDefault="00A029B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47D2B">
      <w:trPr>
        <w:jc w:val="center"/>
      </w:trPr>
      <w:tc>
        <w:tcPr>
          <w:tcW w:w="5715" w:type="dxa"/>
        </w:tcPr>
        <w:p w:rsidR="00D47D2B" w:rsidRDefault="00D47D2B">
          <w:pPr>
            <w:pStyle w:val="Header"/>
            <w:spacing w:before="40"/>
            <w:jc w:val="right"/>
          </w:pPr>
        </w:p>
      </w:tc>
      <w:tc>
        <w:tcPr>
          <w:tcW w:w="1548" w:type="dxa"/>
        </w:tcPr>
        <w:p w:rsidR="00D47D2B" w:rsidRDefault="00D47D2B">
          <w:pPr>
            <w:pStyle w:val="Header"/>
            <w:spacing w:before="40"/>
            <w:ind w:right="17"/>
            <w:jc w:val="right"/>
          </w:pPr>
        </w:p>
      </w:tc>
    </w:tr>
  </w:tbl>
  <w:p w:rsidR="00D47D2B" w:rsidRDefault="00D47D2B">
    <w:pPr>
      <w:pStyle w:val="Header"/>
      <w:pBdr>
        <w:top w:val="single" w:sz="4" w:space="1" w:color="auto"/>
      </w:pBdr>
    </w:pPr>
    <w:bookmarkStart w:id="10" w:name="Schedule"/>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7D2B">
      <w:trPr>
        <w:cantSplit/>
        <w:jc w:val="center"/>
      </w:trPr>
      <w:tc>
        <w:tcPr>
          <w:tcW w:w="7258" w:type="dxa"/>
          <w:gridSpan w:val="2"/>
        </w:tcPr>
        <w:p w:rsidR="00D47D2B" w:rsidRDefault="00A029B0">
          <w:pPr>
            <w:pStyle w:val="Header"/>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1548" w:type="dxa"/>
        </w:tcPr>
        <w:p w:rsidR="00D47D2B" w:rsidRDefault="00A029B0">
          <w:pPr>
            <w:pStyle w:val="Header"/>
            <w:spacing w:before="40"/>
          </w:pPr>
          <w:r>
            <w:rPr>
              <w:b/>
            </w:rPr>
            <w:fldChar w:fldCharType="begin"/>
          </w:r>
          <w:r>
            <w:rPr>
              <w:b/>
            </w:rPr>
            <w:instrText xml:space="preserve"> STYLEREF "nHeading 2" </w:instrText>
          </w:r>
          <w:r>
            <w:rPr>
              <w:b/>
            </w:rPr>
            <w:fldChar w:fldCharType="separate"/>
          </w:r>
          <w:r w:rsidR="00D35D80">
            <w:rPr>
              <w:b/>
            </w:rPr>
            <w:t>Notes</w:t>
          </w:r>
          <w:r>
            <w:rPr>
              <w:b/>
            </w:rPr>
            <w:fldChar w:fldCharType="end"/>
          </w:r>
        </w:p>
      </w:tc>
      <w:tc>
        <w:tcPr>
          <w:tcW w:w="5715" w:type="dxa"/>
        </w:tcPr>
        <w:p w:rsidR="00D47D2B" w:rsidRDefault="00A029B0">
          <w:pPr>
            <w:pStyle w:val="Header"/>
            <w:spacing w:before="40"/>
          </w:pPr>
          <w:r>
            <w:fldChar w:fldCharType="begin"/>
          </w:r>
          <w:r>
            <w:instrText xml:space="preserve"> STYLEREF "nHeading 3" </w:instrText>
          </w:r>
          <w:r>
            <w:fldChar w:fldCharType="separate"/>
          </w:r>
          <w:r w:rsidR="00D35D80">
            <w:t>Compilation table</w:t>
          </w:r>
          <w:r>
            <w:fldChar w:fldCharType="end"/>
          </w:r>
        </w:p>
      </w:tc>
    </w:tr>
    <w:tr w:rsidR="00D47D2B">
      <w:trPr>
        <w:jc w:val="center"/>
      </w:trPr>
      <w:tc>
        <w:tcPr>
          <w:tcW w:w="1548" w:type="dxa"/>
        </w:tcPr>
        <w:p w:rsidR="00D47D2B" w:rsidRDefault="00D47D2B">
          <w:pPr>
            <w:pStyle w:val="Header"/>
            <w:spacing w:before="40"/>
          </w:pPr>
        </w:p>
      </w:tc>
      <w:tc>
        <w:tcPr>
          <w:tcW w:w="5715" w:type="dxa"/>
        </w:tcPr>
        <w:p w:rsidR="00D47D2B" w:rsidRDefault="00D47D2B">
          <w:pPr>
            <w:pStyle w:val="Header"/>
            <w:spacing w:before="40"/>
          </w:pPr>
        </w:p>
      </w:tc>
    </w:tr>
    <w:tr w:rsidR="00D47D2B">
      <w:trPr>
        <w:cantSplit/>
        <w:jc w:val="center"/>
      </w:trPr>
      <w:tc>
        <w:tcPr>
          <w:tcW w:w="7258" w:type="dxa"/>
          <w:gridSpan w:val="2"/>
        </w:tcPr>
        <w:p w:rsidR="00D47D2B" w:rsidRDefault="00D47D2B">
          <w:pPr>
            <w:pStyle w:val="Header"/>
            <w:spacing w:before="40"/>
          </w:pPr>
        </w:p>
      </w:tc>
    </w:tr>
  </w:tbl>
  <w:p w:rsidR="00D47D2B" w:rsidRDefault="00D47D2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7D2B">
      <w:trPr>
        <w:cantSplit/>
        <w:jc w:val="center"/>
      </w:trPr>
      <w:tc>
        <w:tcPr>
          <w:tcW w:w="7258" w:type="dxa"/>
          <w:gridSpan w:val="2"/>
        </w:tcPr>
        <w:p w:rsidR="00D47D2B" w:rsidRDefault="00A029B0">
          <w:pPr>
            <w:pStyle w:val="Header"/>
            <w:ind w:right="17"/>
            <w:jc w:val="right"/>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5715" w:type="dxa"/>
        </w:tcPr>
        <w:p w:rsidR="00D47D2B" w:rsidRDefault="00A029B0">
          <w:pPr>
            <w:pStyle w:val="Header"/>
            <w:spacing w:before="40"/>
            <w:jc w:val="right"/>
          </w:pPr>
          <w:r>
            <w:fldChar w:fldCharType="begin"/>
          </w:r>
          <w:r>
            <w:instrText xml:space="preserve"> STYLEREF "nHeading 3" </w:instrText>
          </w:r>
          <w:r>
            <w:fldChar w:fldCharType="separate"/>
          </w:r>
          <w:r w:rsidR="00D35D80">
            <w:t>Compilation table</w:t>
          </w:r>
          <w:r>
            <w:fldChar w:fldCharType="end"/>
          </w:r>
        </w:p>
      </w:tc>
      <w:tc>
        <w:tcPr>
          <w:tcW w:w="1548" w:type="dxa"/>
        </w:tcPr>
        <w:p w:rsidR="00D47D2B" w:rsidRDefault="00A029B0">
          <w:pPr>
            <w:pStyle w:val="Header"/>
            <w:spacing w:before="40"/>
            <w:ind w:right="17"/>
            <w:jc w:val="right"/>
          </w:pPr>
          <w:r>
            <w:rPr>
              <w:b/>
            </w:rPr>
            <w:fldChar w:fldCharType="begin"/>
          </w:r>
          <w:r>
            <w:rPr>
              <w:b/>
            </w:rPr>
            <w:instrText xml:space="preserve"> STYLEREF "nHeading 2" </w:instrText>
          </w:r>
          <w:r>
            <w:rPr>
              <w:b/>
            </w:rPr>
            <w:fldChar w:fldCharType="separate"/>
          </w:r>
          <w:r w:rsidR="00D35D80">
            <w:rPr>
              <w:b/>
            </w:rPr>
            <w:t>Notes</w:t>
          </w:r>
          <w:r>
            <w:rPr>
              <w:b/>
            </w:rPr>
            <w:fldChar w:fldCharType="end"/>
          </w:r>
        </w:p>
      </w:tc>
    </w:tr>
    <w:tr w:rsidR="00D47D2B">
      <w:trPr>
        <w:jc w:val="center"/>
      </w:trPr>
      <w:tc>
        <w:tcPr>
          <w:tcW w:w="5715" w:type="dxa"/>
        </w:tcPr>
        <w:p w:rsidR="00D47D2B" w:rsidRDefault="00D47D2B">
          <w:pPr>
            <w:pStyle w:val="Header"/>
            <w:spacing w:before="40"/>
            <w:jc w:val="right"/>
          </w:pPr>
        </w:p>
      </w:tc>
      <w:tc>
        <w:tcPr>
          <w:tcW w:w="1548" w:type="dxa"/>
        </w:tcPr>
        <w:p w:rsidR="00D47D2B" w:rsidRDefault="00D47D2B">
          <w:pPr>
            <w:pStyle w:val="Header"/>
            <w:spacing w:before="40"/>
            <w:ind w:right="17"/>
            <w:jc w:val="right"/>
          </w:pPr>
        </w:p>
      </w:tc>
    </w:tr>
    <w:tr w:rsidR="00D47D2B">
      <w:trPr>
        <w:cantSplit/>
        <w:jc w:val="center"/>
      </w:trPr>
      <w:tc>
        <w:tcPr>
          <w:tcW w:w="7258" w:type="dxa"/>
          <w:gridSpan w:val="2"/>
        </w:tcPr>
        <w:p w:rsidR="00D47D2B" w:rsidRDefault="00D47D2B">
          <w:pPr>
            <w:pStyle w:val="Header"/>
            <w:spacing w:before="40"/>
            <w:ind w:right="17"/>
            <w:jc w:val="right"/>
          </w:pPr>
        </w:p>
      </w:tc>
    </w:tr>
  </w:tbl>
  <w:p w:rsidR="00D47D2B" w:rsidRDefault="00D47D2B">
    <w:pPr>
      <w:pStyle w:val="Header"/>
      <w:pBdr>
        <w:top w:val="single" w:sz="4" w:space="1" w:color="auto"/>
      </w:pBdr>
    </w:pPr>
    <w:bookmarkStart w:id="15" w:name="Compilation"/>
    <w:bookmarkEnd w:id="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47D2B">
      <w:trPr>
        <w:cantSplit/>
        <w:jc w:val="center"/>
      </w:trPr>
      <w:tc>
        <w:tcPr>
          <w:tcW w:w="7263" w:type="dxa"/>
          <w:gridSpan w:val="2"/>
        </w:tcPr>
        <w:p w:rsidR="00D47D2B" w:rsidRDefault="00A029B0">
          <w:pPr>
            <w:pStyle w:val="Header"/>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1348" w:type="dxa"/>
        </w:tcPr>
        <w:p w:rsidR="00D47D2B" w:rsidRDefault="00D47D2B">
          <w:pPr>
            <w:pStyle w:val="Header"/>
            <w:spacing w:before="40"/>
          </w:pPr>
        </w:p>
      </w:tc>
      <w:tc>
        <w:tcPr>
          <w:tcW w:w="5915" w:type="dxa"/>
        </w:tcPr>
        <w:p w:rsidR="00D47D2B" w:rsidRDefault="00D47D2B">
          <w:pPr>
            <w:pStyle w:val="Header"/>
            <w:spacing w:before="40"/>
          </w:pPr>
        </w:p>
      </w:tc>
    </w:tr>
    <w:tr w:rsidR="00D47D2B">
      <w:trPr>
        <w:jc w:val="center"/>
      </w:trPr>
      <w:tc>
        <w:tcPr>
          <w:tcW w:w="1348" w:type="dxa"/>
        </w:tcPr>
        <w:p w:rsidR="00D47D2B" w:rsidRDefault="00D47D2B">
          <w:pPr>
            <w:pStyle w:val="Header"/>
            <w:spacing w:before="40"/>
          </w:pPr>
        </w:p>
      </w:tc>
      <w:tc>
        <w:tcPr>
          <w:tcW w:w="5915" w:type="dxa"/>
        </w:tcPr>
        <w:p w:rsidR="00D47D2B" w:rsidRDefault="00D47D2B">
          <w:pPr>
            <w:pStyle w:val="Header"/>
            <w:spacing w:before="40"/>
          </w:pPr>
        </w:p>
      </w:tc>
    </w:tr>
    <w:tr w:rsidR="00D47D2B">
      <w:trPr>
        <w:cantSplit/>
        <w:jc w:val="center"/>
      </w:trPr>
      <w:tc>
        <w:tcPr>
          <w:tcW w:w="7263" w:type="dxa"/>
          <w:gridSpan w:val="2"/>
        </w:tcPr>
        <w:p w:rsidR="00D47D2B" w:rsidRDefault="00A029B0">
          <w:pPr>
            <w:pStyle w:val="Header"/>
            <w:spacing w:before="40"/>
          </w:pPr>
          <w:r>
            <w:t>Defined terms</w:t>
          </w:r>
        </w:p>
      </w:tc>
    </w:tr>
  </w:tbl>
  <w:p w:rsidR="00D47D2B" w:rsidRDefault="00D47D2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47D2B">
      <w:trPr>
        <w:cantSplit/>
        <w:jc w:val="center"/>
      </w:trPr>
      <w:tc>
        <w:tcPr>
          <w:tcW w:w="7263" w:type="dxa"/>
          <w:gridSpan w:val="2"/>
        </w:tcPr>
        <w:p w:rsidR="00D47D2B" w:rsidRDefault="00A029B0">
          <w:pPr>
            <w:pStyle w:val="Header"/>
            <w:spacing w:before="40"/>
            <w:ind w:right="17"/>
            <w:jc w:val="right"/>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5884" w:type="dxa"/>
        </w:tcPr>
        <w:p w:rsidR="00D47D2B" w:rsidRDefault="00D47D2B">
          <w:pPr>
            <w:pStyle w:val="Header"/>
            <w:spacing w:before="40"/>
            <w:jc w:val="right"/>
          </w:pPr>
        </w:p>
      </w:tc>
      <w:tc>
        <w:tcPr>
          <w:tcW w:w="1379" w:type="dxa"/>
        </w:tcPr>
        <w:p w:rsidR="00D47D2B" w:rsidRDefault="00D47D2B">
          <w:pPr>
            <w:pStyle w:val="Header"/>
            <w:spacing w:before="40"/>
            <w:ind w:right="17"/>
            <w:jc w:val="right"/>
          </w:pPr>
        </w:p>
      </w:tc>
    </w:tr>
    <w:tr w:rsidR="00D47D2B">
      <w:trPr>
        <w:jc w:val="center"/>
      </w:trPr>
      <w:tc>
        <w:tcPr>
          <w:tcW w:w="5884" w:type="dxa"/>
        </w:tcPr>
        <w:p w:rsidR="00D47D2B" w:rsidRDefault="00D47D2B">
          <w:pPr>
            <w:pStyle w:val="Header"/>
            <w:spacing w:before="40"/>
            <w:jc w:val="right"/>
          </w:pPr>
        </w:p>
      </w:tc>
      <w:tc>
        <w:tcPr>
          <w:tcW w:w="1379" w:type="dxa"/>
        </w:tcPr>
        <w:p w:rsidR="00D47D2B" w:rsidRDefault="00D47D2B">
          <w:pPr>
            <w:pStyle w:val="Header"/>
            <w:spacing w:before="40"/>
            <w:ind w:right="17"/>
            <w:jc w:val="right"/>
          </w:pPr>
        </w:p>
      </w:tc>
    </w:tr>
    <w:tr w:rsidR="00D47D2B">
      <w:trPr>
        <w:cantSplit/>
        <w:jc w:val="center"/>
      </w:trPr>
      <w:tc>
        <w:tcPr>
          <w:tcW w:w="7263" w:type="dxa"/>
          <w:gridSpan w:val="2"/>
        </w:tcPr>
        <w:p w:rsidR="00D47D2B" w:rsidRDefault="00A029B0">
          <w:pPr>
            <w:pStyle w:val="Header"/>
            <w:spacing w:before="40"/>
            <w:ind w:right="17"/>
            <w:jc w:val="right"/>
          </w:pPr>
          <w:r>
            <w:t>Defined terms</w:t>
          </w:r>
        </w:p>
      </w:tc>
    </w:tr>
  </w:tbl>
  <w:p w:rsidR="00D47D2B" w:rsidRDefault="00D47D2B">
    <w:pPr>
      <w:pStyle w:val="Header"/>
      <w:pBdr>
        <w:top w:val="single" w:sz="4" w:space="1" w:color="auto"/>
      </w:pBdr>
    </w:pPr>
    <w:bookmarkStart w:id="19" w:name="DefinedTerms"/>
    <w:bookmarkEnd w:id="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80" w:rsidRDefault="00D35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7D2B">
      <w:trPr>
        <w:cantSplit/>
        <w:jc w:val="center"/>
      </w:trPr>
      <w:tc>
        <w:tcPr>
          <w:tcW w:w="7258" w:type="dxa"/>
          <w:gridSpan w:val="2"/>
        </w:tcPr>
        <w:p w:rsidR="00D47D2B" w:rsidRDefault="00A029B0">
          <w:pPr>
            <w:pStyle w:val="Header"/>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1548" w:type="dxa"/>
        </w:tcPr>
        <w:p w:rsidR="00D47D2B" w:rsidRDefault="00D47D2B">
          <w:pPr>
            <w:pStyle w:val="Header"/>
            <w:spacing w:before="40"/>
          </w:pPr>
        </w:p>
      </w:tc>
      <w:tc>
        <w:tcPr>
          <w:tcW w:w="5715" w:type="dxa"/>
        </w:tcPr>
        <w:p w:rsidR="00D47D2B" w:rsidRDefault="00D47D2B">
          <w:pPr>
            <w:pStyle w:val="Header"/>
            <w:spacing w:before="40"/>
          </w:pPr>
        </w:p>
      </w:tc>
    </w:tr>
    <w:tr w:rsidR="00D47D2B">
      <w:trPr>
        <w:jc w:val="center"/>
      </w:trPr>
      <w:tc>
        <w:tcPr>
          <w:tcW w:w="1548" w:type="dxa"/>
        </w:tcPr>
        <w:p w:rsidR="00D47D2B" w:rsidRDefault="00D47D2B">
          <w:pPr>
            <w:pStyle w:val="Header"/>
            <w:spacing w:before="40"/>
          </w:pPr>
        </w:p>
      </w:tc>
      <w:tc>
        <w:tcPr>
          <w:tcW w:w="5715" w:type="dxa"/>
        </w:tcPr>
        <w:p w:rsidR="00D47D2B" w:rsidRDefault="00D47D2B">
          <w:pPr>
            <w:pStyle w:val="Header"/>
            <w:spacing w:before="40"/>
          </w:pPr>
        </w:p>
      </w:tc>
    </w:tr>
    <w:tr w:rsidR="00D47D2B">
      <w:trPr>
        <w:cantSplit/>
        <w:jc w:val="center"/>
      </w:trPr>
      <w:tc>
        <w:tcPr>
          <w:tcW w:w="7258" w:type="dxa"/>
          <w:gridSpan w:val="2"/>
        </w:tcPr>
        <w:p w:rsidR="00D47D2B" w:rsidRDefault="00A029B0">
          <w:pPr>
            <w:pStyle w:val="Header"/>
            <w:spacing w:before="40"/>
          </w:pPr>
          <w:r>
            <w:t>Contents</w:t>
          </w:r>
        </w:p>
      </w:tc>
    </w:tr>
  </w:tbl>
  <w:p w:rsidR="00D47D2B" w:rsidRDefault="00D47D2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7D2B">
      <w:trPr>
        <w:cantSplit/>
        <w:jc w:val="center"/>
      </w:trPr>
      <w:tc>
        <w:tcPr>
          <w:tcW w:w="7258" w:type="dxa"/>
          <w:gridSpan w:val="2"/>
        </w:tcPr>
        <w:p w:rsidR="00D47D2B" w:rsidRDefault="00A029B0">
          <w:pPr>
            <w:pStyle w:val="Header"/>
            <w:ind w:right="17"/>
            <w:jc w:val="right"/>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5715" w:type="dxa"/>
        </w:tcPr>
        <w:p w:rsidR="00D47D2B" w:rsidRDefault="00D47D2B">
          <w:pPr>
            <w:pStyle w:val="Header"/>
            <w:spacing w:before="40"/>
            <w:jc w:val="right"/>
          </w:pPr>
        </w:p>
      </w:tc>
      <w:tc>
        <w:tcPr>
          <w:tcW w:w="1548" w:type="dxa"/>
        </w:tcPr>
        <w:p w:rsidR="00D47D2B" w:rsidRDefault="00D47D2B">
          <w:pPr>
            <w:pStyle w:val="Header"/>
            <w:spacing w:before="40"/>
            <w:ind w:right="17"/>
            <w:jc w:val="right"/>
          </w:pPr>
        </w:p>
      </w:tc>
    </w:tr>
    <w:tr w:rsidR="00D47D2B">
      <w:trPr>
        <w:jc w:val="center"/>
      </w:trPr>
      <w:tc>
        <w:tcPr>
          <w:tcW w:w="5715" w:type="dxa"/>
        </w:tcPr>
        <w:p w:rsidR="00D47D2B" w:rsidRDefault="00D47D2B">
          <w:pPr>
            <w:pStyle w:val="Header"/>
            <w:spacing w:before="40"/>
            <w:jc w:val="right"/>
          </w:pPr>
        </w:p>
      </w:tc>
      <w:tc>
        <w:tcPr>
          <w:tcW w:w="1548" w:type="dxa"/>
        </w:tcPr>
        <w:p w:rsidR="00D47D2B" w:rsidRDefault="00D47D2B">
          <w:pPr>
            <w:pStyle w:val="Header"/>
            <w:spacing w:before="40"/>
            <w:ind w:right="17"/>
            <w:jc w:val="right"/>
          </w:pPr>
        </w:p>
      </w:tc>
    </w:tr>
    <w:tr w:rsidR="00D47D2B">
      <w:trPr>
        <w:cantSplit/>
        <w:jc w:val="center"/>
      </w:trPr>
      <w:tc>
        <w:tcPr>
          <w:tcW w:w="7258" w:type="dxa"/>
          <w:gridSpan w:val="2"/>
        </w:tcPr>
        <w:p w:rsidR="00D47D2B" w:rsidRDefault="00A029B0">
          <w:pPr>
            <w:pStyle w:val="Header"/>
            <w:spacing w:before="40"/>
            <w:ind w:right="17"/>
            <w:jc w:val="right"/>
          </w:pPr>
          <w:r>
            <w:t>Contents</w:t>
          </w:r>
        </w:p>
      </w:tc>
    </w:tr>
  </w:tbl>
  <w:p w:rsidR="00D47D2B" w:rsidRDefault="00D47D2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47D2B">
      <w:trPr>
        <w:cantSplit/>
        <w:jc w:val="center"/>
      </w:trPr>
      <w:tc>
        <w:tcPr>
          <w:tcW w:w="7258" w:type="dxa"/>
          <w:gridSpan w:val="2"/>
        </w:tcPr>
        <w:p w:rsidR="00D47D2B" w:rsidRDefault="00A029B0">
          <w:pPr>
            <w:pStyle w:val="Header"/>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1548" w:type="dxa"/>
        </w:tcPr>
        <w:p w:rsidR="00D47D2B" w:rsidRDefault="00A029B0">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D47D2B" w:rsidRDefault="00A029B0">
          <w:pPr>
            <w:pStyle w:val="Header"/>
            <w:spacing w:before="40"/>
          </w:pPr>
          <w:r>
            <w:fldChar w:fldCharType="begin"/>
          </w:r>
          <w:r>
            <w:instrText xml:space="preserve"> styleref CharPartText </w:instrText>
          </w:r>
          <w:r>
            <w:fldChar w:fldCharType="end"/>
          </w:r>
        </w:p>
      </w:tc>
    </w:tr>
    <w:tr w:rsidR="00D47D2B">
      <w:trPr>
        <w:jc w:val="center"/>
      </w:trPr>
      <w:tc>
        <w:tcPr>
          <w:tcW w:w="1548" w:type="dxa"/>
        </w:tcPr>
        <w:p w:rsidR="00D47D2B" w:rsidRDefault="00A029B0">
          <w:pPr>
            <w:pStyle w:val="Header"/>
            <w:spacing w:before="40"/>
          </w:pPr>
          <w:r>
            <w:rPr>
              <w:b/>
            </w:rPr>
            <w:fldChar w:fldCharType="begin"/>
          </w:r>
          <w:r>
            <w:rPr>
              <w:b/>
            </w:rPr>
            <w:instrText xml:space="preserve"> styleref CharDivNo </w:instrText>
          </w:r>
          <w:r>
            <w:rPr>
              <w:b/>
            </w:rPr>
            <w:fldChar w:fldCharType="end"/>
          </w:r>
        </w:p>
      </w:tc>
      <w:tc>
        <w:tcPr>
          <w:tcW w:w="5715" w:type="dxa"/>
        </w:tcPr>
        <w:p w:rsidR="00D47D2B" w:rsidRDefault="00A029B0">
          <w:pPr>
            <w:pStyle w:val="Header"/>
            <w:spacing w:before="40"/>
          </w:pPr>
          <w:r>
            <w:fldChar w:fldCharType="begin"/>
          </w:r>
          <w:r>
            <w:instrText xml:space="preserve"> styleref CharDivText </w:instrText>
          </w:r>
          <w:r>
            <w:fldChar w:fldCharType="end"/>
          </w:r>
        </w:p>
      </w:tc>
    </w:tr>
    <w:tr w:rsidR="00D47D2B">
      <w:trPr>
        <w:cantSplit/>
        <w:jc w:val="center"/>
      </w:trPr>
      <w:tc>
        <w:tcPr>
          <w:tcW w:w="7258" w:type="dxa"/>
          <w:gridSpan w:val="2"/>
        </w:tcPr>
        <w:p w:rsidR="00D47D2B" w:rsidRDefault="00A029B0">
          <w:pPr>
            <w:pStyle w:val="Header"/>
            <w:spacing w:before="40"/>
          </w:pPr>
          <w:r>
            <w:rPr>
              <w:b/>
            </w:rPr>
            <w:t xml:space="preserve">r. </w:t>
          </w:r>
          <w:r>
            <w:rPr>
              <w:b/>
            </w:rPr>
            <w:fldChar w:fldCharType="begin"/>
          </w:r>
          <w:r>
            <w:rPr>
              <w:b/>
            </w:rPr>
            <w:instrText xml:space="preserve"> styleref CharSectno </w:instrText>
          </w:r>
          <w:r>
            <w:rPr>
              <w:b/>
            </w:rPr>
            <w:fldChar w:fldCharType="separate"/>
          </w:r>
          <w:r w:rsidR="00D35D80">
            <w:rPr>
              <w:b/>
            </w:rPr>
            <w:t>1</w:t>
          </w:r>
          <w:r>
            <w:rPr>
              <w:b/>
            </w:rPr>
            <w:fldChar w:fldCharType="end"/>
          </w:r>
        </w:p>
      </w:tc>
    </w:tr>
  </w:tbl>
  <w:p w:rsidR="00D47D2B" w:rsidRDefault="00D47D2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47D2B">
      <w:trPr>
        <w:cantSplit/>
        <w:jc w:val="center"/>
      </w:trPr>
      <w:tc>
        <w:tcPr>
          <w:tcW w:w="7258" w:type="dxa"/>
          <w:gridSpan w:val="2"/>
        </w:tcPr>
        <w:p w:rsidR="00D47D2B" w:rsidRDefault="00A029B0">
          <w:pPr>
            <w:pStyle w:val="Header"/>
            <w:ind w:right="17"/>
            <w:jc w:val="right"/>
          </w:pPr>
          <w:r>
            <w:rPr>
              <w:b/>
              <w:i/>
            </w:rPr>
            <w:fldChar w:fldCharType="begin"/>
          </w:r>
          <w:r>
            <w:rPr>
              <w:b/>
              <w:i/>
            </w:rPr>
            <w:instrText xml:space="preserve"> Styleref "Name of Act/Reg" </w:instrText>
          </w:r>
          <w:r>
            <w:rPr>
              <w:b/>
              <w:i/>
            </w:rPr>
            <w:fldChar w:fldCharType="separate"/>
          </w:r>
          <w:r w:rsidR="00D35D80">
            <w:rPr>
              <w:b/>
              <w:i/>
            </w:rPr>
            <w:t>Land Information Authority Regulations 2007</w:t>
          </w:r>
          <w:r>
            <w:rPr>
              <w:b/>
              <w:i/>
            </w:rPr>
            <w:fldChar w:fldCharType="end"/>
          </w:r>
        </w:p>
      </w:tc>
    </w:tr>
    <w:tr w:rsidR="00D47D2B">
      <w:trPr>
        <w:jc w:val="center"/>
      </w:trPr>
      <w:tc>
        <w:tcPr>
          <w:tcW w:w="5715" w:type="dxa"/>
        </w:tcPr>
        <w:p w:rsidR="00D47D2B" w:rsidRDefault="00A029B0">
          <w:pPr>
            <w:pStyle w:val="Header"/>
            <w:spacing w:before="40"/>
            <w:jc w:val="right"/>
          </w:pPr>
          <w:r>
            <w:fldChar w:fldCharType="begin"/>
          </w:r>
          <w:r>
            <w:instrText xml:space="preserve"> styleref CharPartText </w:instrText>
          </w:r>
          <w:r>
            <w:fldChar w:fldCharType="end"/>
          </w:r>
        </w:p>
      </w:tc>
      <w:tc>
        <w:tcPr>
          <w:tcW w:w="1548" w:type="dxa"/>
        </w:tcPr>
        <w:p w:rsidR="00D47D2B" w:rsidRDefault="00A029B0">
          <w:pPr>
            <w:pStyle w:val="Header"/>
            <w:spacing w:before="40"/>
            <w:ind w:right="17"/>
            <w:jc w:val="right"/>
          </w:pPr>
          <w:r>
            <w:rPr>
              <w:b/>
            </w:rPr>
            <w:fldChar w:fldCharType="begin"/>
          </w:r>
          <w:r>
            <w:rPr>
              <w:b/>
            </w:rPr>
            <w:instrText xml:space="preserve"> styleref CharPartNo </w:instrText>
          </w:r>
          <w:r>
            <w:rPr>
              <w:b/>
            </w:rPr>
            <w:fldChar w:fldCharType="end"/>
          </w:r>
        </w:p>
      </w:tc>
    </w:tr>
    <w:tr w:rsidR="00D47D2B">
      <w:trPr>
        <w:jc w:val="center"/>
      </w:trPr>
      <w:tc>
        <w:tcPr>
          <w:tcW w:w="5715" w:type="dxa"/>
        </w:tcPr>
        <w:p w:rsidR="00D47D2B" w:rsidRDefault="00A029B0">
          <w:pPr>
            <w:pStyle w:val="Header"/>
            <w:spacing w:before="40"/>
            <w:jc w:val="right"/>
          </w:pPr>
          <w:r>
            <w:fldChar w:fldCharType="begin"/>
          </w:r>
          <w:r>
            <w:instrText xml:space="preserve"> styleref CharDivText </w:instrText>
          </w:r>
          <w:r>
            <w:fldChar w:fldCharType="end"/>
          </w:r>
        </w:p>
      </w:tc>
      <w:tc>
        <w:tcPr>
          <w:tcW w:w="1548" w:type="dxa"/>
        </w:tcPr>
        <w:p w:rsidR="00D47D2B" w:rsidRDefault="00A029B0">
          <w:pPr>
            <w:pStyle w:val="Header"/>
            <w:spacing w:before="40"/>
            <w:ind w:right="17"/>
            <w:jc w:val="right"/>
          </w:pPr>
          <w:r>
            <w:rPr>
              <w:b/>
            </w:rPr>
            <w:fldChar w:fldCharType="begin"/>
          </w:r>
          <w:r>
            <w:rPr>
              <w:b/>
            </w:rPr>
            <w:instrText xml:space="preserve"> styleref CharDivNo </w:instrText>
          </w:r>
          <w:r>
            <w:rPr>
              <w:b/>
            </w:rPr>
            <w:fldChar w:fldCharType="end"/>
          </w:r>
        </w:p>
      </w:tc>
    </w:tr>
    <w:tr w:rsidR="00D47D2B">
      <w:trPr>
        <w:cantSplit/>
        <w:jc w:val="center"/>
      </w:trPr>
      <w:tc>
        <w:tcPr>
          <w:tcW w:w="7258" w:type="dxa"/>
          <w:gridSpan w:val="2"/>
        </w:tcPr>
        <w:p w:rsidR="00D47D2B" w:rsidRDefault="00A029B0">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D35D80">
            <w:rPr>
              <w:b/>
            </w:rPr>
            <w:t>1</w:t>
          </w:r>
          <w:r>
            <w:rPr>
              <w:b/>
            </w:rPr>
            <w:fldChar w:fldCharType="end"/>
          </w:r>
        </w:p>
      </w:tc>
    </w:tr>
  </w:tbl>
  <w:p w:rsidR="00D47D2B" w:rsidRDefault="00D47D2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2B" w:rsidRDefault="00D4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85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85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F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31831"/>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 w:name="WAFER_20200616162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2014_GUID" w:val="70128a0e-aaa2-4bb0-843e-9acf7383369d"/>
    <w:docVar w:name="WAFER_20210615161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61837_GUID" w:val="520d4efe-d1c7-4ef7-af83-b59d9241f3a4"/>
    <w:docVar w:name="WAFER_20210622131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1831_GUID" w:val="1e32e6ae-9d31-49f5-97d0-c222bd05c903"/>
  </w:docVars>
  <w:rsids>
    <w:rsidRoot w:val="00FC51F5"/>
    <w:rsid w:val="00176C84"/>
    <w:rsid w:val="003B1B2B"/>
    <w:rsid w:val="003F795E"/>
    <w:rsid w:val="006062D9"/>
    <w:rsid w:val="0074264C"/>
    <w:rsid w:val="007C2A6D"/>
    <w:rsid w:val="00A029B0"/>
    <w:rsid w:val="00D35D80"/>
    <w:rsid w:val="00D47D2B"/>
    <w:rsid w:val="00FC5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2144</Words>
  <Characters>10618</Characters>
  <Application>Microsoft Office Word</Application>
  <DocSecurity>0</DocSecurity>
  <Lines>331</Lines>
  <Paragraphs>199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2007 - 00-f0-00</dc:title>
  <dc:subject/>
  <dc:creator/>
  <cp:keywords/>
  <dc:description/>
  <cp:lastModifiedBy>Master Repository Process</cp:lastModifiedBy>
  <cp:revision>4</cp:revision>
  <cp:lastPrinted>2007-11-16T09:07:00Z</cp:lastPrinted>
  <dcterms:created xsi:type="dcterms:W3CDTF">2021-06-28T06:58:00Z</dcterms:created>
  <dcterms:modified xsi:type="dcterms:W3CDTF">2021-06-28T06:58:00Z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AsAtDate">
    <vt:lpwstr>30 Jun 2021</vt:lpwstr>
  </property>
  <property fmtid="{D5CDD505-2E9C-101B-9397-08002B2CF9AE}" pid="6" name="Suffix">
    <vt:lpwstr>00-f0-00</vt:lpwstr>
  </property>
  <property fmtid="{D5CDD505-2E9C-101B-9397-08002B2CF9AE}" pid="7" name="CommencementDate">
    <vt:lpwstr>20210630</vt:lpwstr>
  </property>
</Properties>
</file>