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EB" w:rsidRDefault="0069431B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C61DEB" w:rsidRDefault="0069431B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B15AF2">
        <w:rPr>
          <w:noProof/>
        </w:rPr>
        <w:t>Sunday Entertainments Act 1979</w:t>
      </w:r>
      <w:r w:rsidR="00B15AF2">
        <w:rPr>
          <w:noProof/>
        </w:rPr>
        <w:br/>
        <w:t>Criminal Procedure Act 2004</w:t>
      </w:r>
      <w:r>
        <w:fldChar w:fldCharType="end"/>
      </w:r>
    </w:p>
    <w:p w:rsidR="00C61DEB" w:rsidRDefault="0069431B"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15AF2">
        <w:rPr>
          <w:noProof/>
        </w:rPr>
        <w:t>Sunday Entertainments Regulations 2006</w:t>
      </w:r>
      <w:r>
        <w:fldChar w:fldCharType="end"/>
      </w:r>
    </w:p>
    <w:p w:rsidR="00C61DEB" w:rsidRDefault="0069431B">
      <w:pPr>
        <w:pStyle w:val="Subsection"/>
      </w:pPr>
      <w:r>
        <w:tab/>
      </w:r>
      <w:r>
        <w:tab/>
        <w:t xml:space="preserve">These regulations were repealed </w:t>
      </w:r>
      <w:r w:rsidR="006C4C7D">
        <w:t xml:space="preserve">as a result of the repeal of the </w:t>
      </w:r>
      <w:r w:rsidR="006C4C7D" w:rsidRPr="006C4C7D">
        <w:rPr>
          <w:i/>
        </w:rPr>
        <w:t>Sunday Entertainments Act 1979</w:t>
      </w:r>
      <w:r w:rsidR="006C4C7D">
        <w:t xml:space="preserve"> </w:t>
      </w:r>
      <w:r>
        <w:t xml:space="preserve">by the </w:t>
      </w:r>
      <w:r>
        <w:rPr>
          <w:i/>
        </w:rPr>
        <w:t>Sunday Entertainments Repeal Act 2021</w:t>
      </w:r>
      <w:r>
        <w:t xml:space="preserve"> s. 3 (No. 6 of 2021) as at 26 Jun 2021 (see s. 2(b)).</w:t>
      </w:r>
    </w:p>
    <w:p w:rsidR="00C61DEB" w:rsidRDefault="00C61DEB"/>
    <w:p w:rsidR="00C61DEB" w:rsidRDefault="00C61DEB">
      <w:pPr>
        <w:jc w:val="center"/>
        <w:sectPr w:rsidR="00C61D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C61DEB" w:rsidRDefault="0069431B">
      <w:pPr>
        <w:pStyle w:val="WA"/>
      </w:pPr>
      <w:r>
        <w:lastRenderedPageBreak/>
        <w:t>Western Australia</w:t>
      </w:r>
    </w:p>
    <w:p w:rsidR="00C61DEB" w:rsidRDefault="0069431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15AF2">
        <w:rPr>
          <w:noProof/>
        </w:rPr>
        <w:t>Sunday Entertainments Regulations 2006</w:t>
      </w:r>
      <w:r>
        <w:fldChar w:fldCharType="end"/>
      </w:r>
    </w:p>
    <w:p w:rsidR="00C61DEB" w:rsidRDefault="0069431B">
      <w:pPr>
        <w:pStyle w:val="Arrangement"/>
      </w:pPr>
      <w:r>
        <w:t>Contents</w:t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_Toc75850167 \h </w:instrText>
      </w:r>
      <w:r>
        <w:fldChar w:fldCharType="separate"/>
      </w:r>
      <w:r w:rsidR="00B15AF2">
        <w:t>1</w:t>
      </w:r>
      <w:r>
        <w:fldChar w:fldCharType="end"/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F636A5">
        <w:rPr>
          <w:spacing w:val="-2"/>
        </w:rPr>
        <w:t>.</w:t>
      </w:r>
      <w:r w:rsidRPr="00F636A5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_Toc75850168 \h </w:instrText>
      </w:r>
      <w:r>
        <w:fldChar w:fldCharType="separate"/>
      </w:r>
      <w:r w:rsidR="00B15AF2">
        <w:t>1</w:t>
      </w:r>
      <w:r>
        <w:fldChar w:fldCharType="end"/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_Toc75850169 \h </w:instrText>
      </w:r>
      <w:r>
        <w:fldChar w:fldCharType="separate"/>
      </w:r>
      <w:r w:rsidR="00B15AF2">
        <w:t>1</w:t>
      </w:r>
      <w:r>
        <w:fldChar w:fldCharType="end"/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_Toc75850170 \h </w:instrText>
      </w:r>
      <w:r>
        <w:fldChar w:fldCharType="separate"/>
      </w:r>
      <w:r w:rsidR="00B15AF2">
        <w:t>1</w:t>
      </w:r>
      <w:r>
        <w:fldChar w:fldCharType="end"/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_Toc75850171 \h </w:instrText>
      </w:r>
      <w:r>
        <w:fldChar w:fldCharType="separate"/>
      </w:r>
      <w:r w:rsidR="00B15AF2">
        <w:t>2</w:t>
      </w:r>
      <w:r>
        <w:fldChar w:fldCharType="end"/>
      </w:r>
    </w:p>
    <w:p w:rsidR="0069431B" w:rsidRDefault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_Toc75850172 \h </w:instrText>
      </w:r>
      <w:r>
        <w:fldChar w:fldCharType="separate"/>
      </w:r>
      <w:r w:rsidR="00B15AF2">
        <w:t>2</w:t>
      </w:r>
      <w:r>
        <w:fldChar w:fldCharType="end"/>
      </w:r>
    </w:p>
    <w:p w:rsidR="0069431B" w:rsidRDefault="0069431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 offences and modified penalties</w:t>
      </w:r>
    </w:p>
    <w:p w:rsidR="0069431B" w:rsidRDefault="0069431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 w:rsidR="0069431B" w:rsidRDefault="0069431B" w:rsidP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_Toc75850175 \h </w:instrText>
      </w:r>
      <w:r>
        <w:fldChar w:fldCharType="separate"/>
      </w:r>
      <w:r w:rsidR="00B15AF2">
        <w:t>4</w:t>
      </w:r>
      <w:r>
        <w:fldChar w:fldCharType="end"/>
      </w:r>
    </w:p>
    <w:p w:rsidR="0069431B" w:rsidRDefault="0069431B" w:rsidP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_Toc75850176 \h </w:instrText>
      </w:r>
      <w:r>
        <w:fldChar w:fldCharType="separate"/>
      </w:r>
      <w:r w:rsidR="00B15AF2">
        <w:t>6</w:t>
      </w:r>
      <w:r>
        <w:fldChar w:fldCharType="end"/>
      </w:r>
    </w:p>
    <w:p w:rsidR="0069431B" w:rsidRDefault="0069431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69431B" w:rsidRDefault="0069431B" w:rsidP="0069431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_Toc75850178 \h </w:instrText>
      </w:r>
      <w:r>
        <w:fldChar w:fldCharType="separate"/>
      </w:r>
      <w:r w:rsidR="00B15AF2">
        <w:t>7</w:t>
      </w:r>
      <w:r>
        <w:fldChar w:fldCharType="end"/>
      </w:r>
    </w:p>
    <w:p w:rsidR="0069431B" w:rsidRDefault="0069431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C61DEB" w:rsidRDefault="0069431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C61DEB" w:rsidRDefault="00C61DEB">
      <w:pPr>
        <w:pStyle w:val="NoteHeading"/>
        <w:sectPr w:rsidR="00C61D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C61DEB" w:rsidRDefault="0069431B">
      <w:pPr>
        <w:pStyle w:val="PrincipalActReg"/>
      </w:pPr>
      <w:r>
        <w:lastRenderedPageBreak/>
        <w:t>Sunday Entertainments Act 1979</w:t>
      </w:r>
      <w:r>
        <w:br/>
        <w:t>Criminal Procedure Act 2004</w:t>
      </w:r>
    </w:p>
    <w:p w:rsidR="00C61DEB" w:rsidRDefault="0069431B">
      <w:pPr>
        <w:pStyle w:val="NameofActReg"/>
      </w:pPr>
      <w:r>
        <w:t>Sunday Entertainments Regulations 2006</w:t>
      </w:r>
    </w:p>
    <w:p w:rsidR="00C61DEB" w:rsidRDefault="0069431B">
      <w:pPr>
        <w:pStyle w:val="Heading5"/>
      </w:pPr>
      <w:bookmarkStart w:id="3" w:name="_Toc7585016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C61DEB" w:rsidRDefault="0069431B"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 w:rsidR="00C61DEB" w:rsidRDefault="0069431B">
      <w:pPr>
        <w:pStyle w:val="Heading5"/>
        <w:rPr>
          <w:spacing w:val="-2"/>
        </w:rPr>
      </w:pPr>
      <w:bookmarkStart w:id="5" w:name="_Toc758501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C61DEB" w:rsidRDefault="0069431B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 w:rsidR="00C61DEB" w:rsidRDefault="0069431B"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 w:rsidR="00C61DEB" w:rsidRDefault="0069431B"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 w:rsidR="00C61DEB" w:rsidRDefault="0069431B">
      <w:pPr>
        <w:pStyle w:val="Heading5"/>
      </w:pPr>
      <w:bookmarkStart w:id="6" w:name="_Toc75850169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</w:p>
    <w:p w:rsidR="00C61DEB" w:rsidRDefault="0069431B">
      <w:pPr>
        <w:pStyle w:val="Subsection"/>
      </w:pPr>
      <w:r>
        <w:tab/>
      </w:r>
      <w:r>
        <w:tab/>
        <w:t>In these regulations —</w:t>
      </w:r>
    </w:p>
    <w:p w:rsidR="00C61DEB" w:rsidRDefault="0069431B"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 w:rsidR="00C61DEB" w:rsidRDefault="0069431B">
      <w:pPr>
        <w:pStyle w:val="Footnotesection"/>
      </w:pPr>
      <w:r>
        <w:tab/>
        <w:t>[Regulation 3 amended: Gazette 30 Jun 2011 p. 2653.]</w:t>
      </w:r>
    </w:p>
    <w:p w:rsidR="00C61DEB" w:rsidRDefault="0069431B">
      <w:pPr>
        <w:pStyle w:val="Heading5"/>
      </w:pPr>
      <w:bookmarkStart w:id="7" w:name="_Toc75850170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7"/>
    </w:p>
    <w:p w:rsidR="00C61DEB" w:rsidRDefault="0069431B"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C61DEB" w:rsidRDefault="0069431B"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C61DEB" w:rsidRDefault="0069431B">
      <w:pPr>
        <w:pStyle w:val="Heading5"/>
      </w:pPr>
      <w:bookmarkStart w:id="8" w:name="_Toc75850171"/>
      <w:r>
        <w:rPr>
          <w:rStyle w:val="CharSectno"/>
        </w:rPr>
        <w:lastRenderedPageBreak/>
        <w:t>5</w:t>
      </w:r>
      <w:r>
        <w:t>.</w:t>
      </w:r>
      <w:r>
        <w:tab/>
        <w:t>Authorised officers and approved officers</w:t>
      </w:r>
      <w:bookmarkEnd w:id="8"/>
    </w:p>
    <w:p w:rsidR="00C61DEB" w:rsidRDefault="0069431B"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 w:rsidR="00C61DEB" w:rsidRDefault="0069431B"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C61DEB" w:rsidRDefault="0069431B">
      <w:pPr>
        <w:pStyle w:val="Heading5"/>
      </w:pPr>
      <w:bookmarkStart w:id="9" w:name="_Toc75850172"/>
      <w:r>
        <w:rPr>
          <w:rStyle w:val="CharSectno"/>
        </w:rPr>
        <w:t>6</w:t>
      </w:r>
      <w:r>
        <w:t>.</w:t>
      </w:r>
      <w:r>
        <w:tab/>
        <w:t>Forms</w:t>
      </w:r>
      <w:bookmarkEnd w:id="9"/>
    </w:p>
    <w:p w:rsidR="00C61DEB" w:rsidRDefault="0069431B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C61DEB" w:rsidRDefault="00C61DEB">
      <w:pPr>
        <w:sectPr w:rsidR="00C61DEB"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61DEB" w:rsidRDefault="0069431B">
      <w:pPr>
        <w:pStyle w:val="yScheduleHeading"/>
      </w:pPr>
      <w:bookmarkStart w:id="10" w:name="_Toc51671547"/>
      <w:bookmarkStart w:id="11" w:name="_Toc51671560"/>
      <w:bookmarkStart w:id="12" w:name="_Toc51672224"/>
      <w:bookmarkStart w:id="13" w:name="_Toc51848969"/>
      <w:bookmarkStart w:id="14" w:name="_Toc75850132"/>
      <w:bookmarkStart w:id="15" w:name="_Toc7585017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0"/>
      <w:bookmarkEnd w:id="11"/>
      <w:bookmarkEnd w:id="12"/>
      <w:bookmarkEnd w:id="13"/>
      <w:bookmarkEnd w:id="14"/>
      <w:bookmarkEnd w:id="15"/>
    </w:p>
    <w:p w:rsidR="00C61DEB" w:rsidRDefault="0069431B"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C61DEB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C61DEB">
        <w:trPr>
          <w:cantSplit/>
          <w:trHeight w:val="21"/>
        </w:trPr>
        <w:tc>
          <w:tcPr>
            <w:tcW w:w="1134" w:type="dxa"/>
          </w:tcPr>
          <w:p w:rsidR="00C61DEB" w:rsidRDefault="0069431B"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 w:rsidR="00C61DEB" w:rsidRDefault="0069431B"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 w:rsidR="00C61DEB" w:rsidRDefault="0069431B">
            <w:pPr>
              <w:pStyle w:val="yTable"/>
              <w:spacing w:before="0"/>
            </w:pPr>
            <w:r>
              <w:br/>
              <w:t>$100</w:t>
            </w:r>
          </w:p>
        </w:tc>
      </w:tr>
      <w:tr w:rsidR="00C61DEB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 w:rsidR="00C61DEB" w:rsidRDefault="0069431B">
      <w:pPr>
        <w:pStyle w:val="yScheduleHeading"/>
      </w:pPr>
      <w:bookmarkStart w:id="16" w:name="_Toc51671548"/>
      <w:bookmarkStart w:id="17" w:name="_Toc51671561"/>
      <w:bookmarkStart w:id="18" w:name="_Toc51672225"/>
      <w:bookmarkStart w:id="19" w:name="_Toc51848970"/>
      <w:bookmarkStart w:id="20" w:name="_Toc75850133"/>
      <w:bookmarkStart w:id="21" w:name="_Toc75850174"/>
      <w:r>
        <w:rPr>
          <w:rStyle w:val="CharSchNo"/>
        </w:rPr>
        <w:lastRenderedPageBreak/>
        <w:t>Schedule 2</w:t>
      </w:r>
      <w:r>
        <w:t> — </w:t>
      </w:r>
      <w:r>
        <w:rPr>
          <w:rStyle w:val="CharSchText"/>
        </w:rPr>
        <w:t>Forms</w:t>
      </w:r>
      <w:bookmarkEnd w:id="16"/>
      <w:bookmarkEnd w:id="17"/>
      <w:bookmarkEnd w:id="18"/>
      <w:bookmarkEnd w:id="19"/>
      <w:bookmarkEnd w:id="20"/>
      <w:bookmarkEnd w:id="21"/>
    </w:p>
    <w:p w:rsidR="00C61DEB" w:rsidRDefault="0069431B">
      <w:pPr>
        <w:pStyle w:val="yShoulderClause"/>
        <w:spacing w:before="0"/>
      </w:pPr>
      <w:r>
        <w:t>[r. 6]</w:t>
      </w:r>
    </w:p>
    <w:p w:rsidR="00C61DEB" w:rsidRDefault="0069431B">
      <w:pPr>
        <w:pStyle w:val="yHeading5"/>
        <w:rPr>
          <w:rStyle w:val="CharSClsNo"/>
        </w:rPr>
      </w:pPr>
      <w:bookmarkStart w:id="22" w:name="_Toc75850175"/>
      <w:r>
        <w:rPr>
          <w:rStyle w:val="CharSClsNo"/>
        </w:rPr>
        <w:t>Form 1 — Infringement notice</w:t>
      </w:r>
      <w:bookmarkEnd w:id="2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C61DEB">
        <w:trPr>
          <w:cantSplit/>
          <w:trHeight w:val="282"/>
        </w:trPr>
        <w:tc>
          <w:tcPr>
            <w:tcW w:w="4820" w:type="dxa"/>
            <w:gridSpan w:val="2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 w:rsidR="00C61DEB" w:rsidRDefault="0069431B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 w:val="restart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C61DEB" w:rsidRDefault="0069431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C61DEB" w:rsidRDefault="0069431B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C61DEB">
        <w:trPr>
          <w:cantSplit/>
        </w:trPr>
        <w:tc>
          <w:tcPr>
            <w:tcW w:w="1276" w:type="dxa"/>
            <w:vMerge w:val="restart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C61DEB" w:rsidRDefault="00C61DEB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C61DEB">
        <w:trPr>
          <w:cantSplit/>
        </w:trPr>
        <w:tc>
          <w:tcPr>
            <w:tcW w:w="1276" w:type="dxa"/>
            <w:vMerge w:val="restart"/>
          </w:tcPr>
          <w:p w:rsidR="00C61DEB" w:rsidRDefault="0069431B"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C61DEB">
        <w:tc>
          <w:tcPr>
            <w:tcW w:w="1276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61DEB" w:rsidRDefault="0069431B"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C61DEB">
        <w:tc>
          <w:tcPr>
            <w:tcW w:w="1276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C61DEB" w:rsidRDefault="0069431B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C61DEB" w:rsidRDefault="0069431B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C61DEB" w:rsidRDefault="0069431B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C61DEB" w:rsidRDefault="0069431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</w:t>
            </w:r>
            <w:r>
              <w:rPr>
                <w:sz w:val="20"/>
              </w:rPr>
              <w:lastRenderedPageBreak/>
              <w:t>earnings or bank accounts may be garnished, and your property may be seized and sold.</w:t>
            </w:r>
          </w:p>
          <w:p w:rsidR="00C61DEB" w:rsidRDefault="0069431B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 w:rsidR="00C61DEB">
        <w:tc>
          <w:tcPr>
            <w:tcW w:w="1276" w:type="dxa"/>
            <w:tcBorders>
              <w:top w:val="single" w:sz="4" w:space="0" w:color="auto"/>
            </w:tcBorders>
          </w:tcPr>
          <w:p w:rsidR="00C61DEB" w:rsidRDefault="00C61DEB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C61DEB" w:rsidRDefault="0069431B">
      <w:pPr>
        <w:pStyle w:val="yFootnotesection"/>
      </w:pPr>
      <w:r>
        <w:tab/>
        <w:t>[Form 1 amended: Gazette 20 Aug 2013 p. 3843; SL 2020/163 r. 54</w:t>
      </w:r>
      <w:r>
        <w:rPr>
          <w:i w:val="0"/>
        </w:rPr>
        <w:t>.</w:t>
      </w:r>
      <w:r>
        <w:t>]</w:t>
      </w:r>
    </w:p>
    <w:p w:rsidR="00C61DEB" w:rsidRDefault="0069431B">
      <w:pPr>
        <w:pStyle w:val="yHeading5"/>
        <w:pageBreakBefore/>
        <w:spacing w:before="0"/>
      </w:pPr>
      <w:bookmarkStart w:id="23" w:name="_Toc75850176"/>
      <w:r>
        <w:rPr>
          <w:rStyle w:val="CharSClsNo"/>
        </w:rPr>
        <w:lastRenderedPageBreak/>
        <w:t>Form</w:t>
      </w:r>
      <w:r>
        <w:t xml:space="preserve"> 2 — Withdrawal of infringement notice</w:t>
      </w:r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C61DEB">
        <w:trPr>
          <w:cantSplit/>
          <w:trHeight w:val="282"/>
        </w:trPr>
        <w:tc>
          <w:tcPr>
            <w:tcW w:w="4820" w:type="dxa"/>
            <w:gridSpan w:val="2"/>
          </w:tcPr>
          <w:p w:rsidR="00C61DEB" w:rsidRDefault="0069431B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 w:rsidR="00C61DEB" w:rsidRDefault="0069431B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 w:val="restart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C61DEB" w:rsidRDefault="0069431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C61DEB">
        <w:trPr>
          <w:cantSplit/>
          <w:trHeight w:val="150"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C61DEB" w:rsidRDefault="0069431B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C61DEB">
        <w:trPr>
          <w:cantSplit/>
        </w:trPr>
        <w:tc>
          <w:tcPr>
            <w:tcW w:w="1276" w:type="dxa"/>
            <w:vMerge w:val="restart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C61DEB">
        <w:trPr>
          <w:cantSplit/>
        </w:trPr>
        <w:tc>
          <w:tcPr>
            <w:tcW w:w="1276" w:type="dxa"/>
            <w:vMerge w:val="restart"/>
          </w:tcPr>
          <w:p w:rsidR="00C61DEB" w:rsidRDefault="0069431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C61DEB" w:rsidRDefault="00C61DEB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C61DEB">
        <w:trPr>
          <w:cantSplit/>
        </w:trPr>
        <w:tc>
          <w:tcPr>
            <w:tcW w:w="1276" w:type="dxa"/>
            <w:vMerge w:val="restart"/>
          </w:tcPr>
          <w:p w:rsidR="00C61DEB" w:rsidRDefault="0069431B"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C61DEB">
        <w:trPr>
          <w:cantSplit/>
        </w:trPr>
        <w:tc>
          <w:tcPr>
            <w:tcW w:w="1276" w:type="dxa"/>
            <w:vMerge/>
          </w:tcPr>
          <w:p w:rsidR="00C61DEB" w:rsidRDefault="00C61DEB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C61DEB" w:rsidRDefault="0069431B"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C61DEB">
        <w:tc>
          <w:tcPr>
            <w:tcW w:w="1276" w:type="dxa"/>
          </w:tcPr>
          <w:p w:rsidR="00C61DEB" w:rsidRDefault="0069431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61DEB" w:rsidRDefault="0069431B"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C61DEB">
        <w:tc>
          <w:tcPr>
            <w:tcW w:w="1276" w:type="dxa"/>
          </w:tcPr>
          <w:p w:rsidR="00C61DEB" w:rsidRDefault="0069431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C61DEB" w:rsidRDefault="00C61DEB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C61DEB" w:rsidRDefault="0069431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C61DEB" w:rsidRDefault="0069431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C61DEB" w:rsidRDefault="0069431B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C61DEB" w:rsidRDefault="0069431B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C61DEB" w:rsidRDefault="0069431B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C61DEB" w:rsidRDefault="0069431B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 w:rsidR="00C61DEB" w:rsidRDefault="0069431B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C61DEB" w:rsidRDefault="0069431B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C61DEB" w:rsidRDefault="0069431B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C61DEB" w:rsidRDefault="0069431B"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C61DEB" w:rsidRDefault="0069431B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EB" w:rsidRDefault="00C61DEB"/>
    <w:p w:rsidR="00C61DEB" w:rsidRDefault="00C61DEB">
      <w:pPr>
        <w:sectPr w:rsidR="00C61DEB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C61DEB" w:rsidRDefault="0069431B">
      <w:pPr>
        <w:pStyle w:val="nHeading2"/>
      </w:pPr>
      <w:bookmarkStart w:id="25" w:name="_Toc51672228"/>
      <w:bookmarkStart w:id="26" w:name="_Toc51848973"/>
      <w:bookmarkStart w:id="27" w:name="_Toc75850136"/>
      <w:bookmarkStart w:id="28" w:name="_Toc75850177"/>
      <w:bookmarkStart w:id="29" w:name="_Toc51671553"/>
      <w:bookmarkStart w:id="30" w:name="_Toc51671566"/>
      <w:r>
        <w:lastRenderedPageBreak/>
        <w:t>Notes</w:t>
      </w:r>
      <w:bookmarkEnd w:id="25"/>
      <w:bookmarkEnd w:id="26"/>
      <w:bookmarkEnd w:id="27"/>
      <w:bookmarkEnd w:id="28"/>
    </w:p>
    <w:p w:rsidR="00C61DEB" w:rsidRDefault="0069431B">
      <w:pPr>
        <w:pStyle w:val="nStatement"/>
      </w:pPr>
      <w:r>
        <w:t xml:space="preserve">This is a compilation of the </w:t>
      </w:r>
      <w:r>
        <w:rPr>
          <w:i/>
          <w:noProof/>
        </w:rPr>
        <w:t>Sunday Entertainments Regulations 2006</w:t>
      </w:r>
      <w:r>
        <w:t xml:space="preserve"> and includes amendments made by other written laws. For provisions that have come into operation see the compilation table.</w:t>
      </w:r>
    </w:p>
    <w:p w:rsidR="00C61DEB" w:rsidRDefault="0069431B">
      <w:pPr>
        <w:pStyle w:val="nHeading3"/>
      </w:pPr>
      <w:bookmarkStart w:id="31" w:name="_Toc75850178"/>
      <w:r>
        <w:t>Compilation table</w:t>
      </w:r>
      <w:bookmarkEnd w:id="3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61DEB">
        <w:trPr>
          <w:tblHeader/>
        </w:trPr>
        <w:tc>
          <w:tcPr>
            <w:tcW w:w="3118" w:type="dxa"/>
          </w:tcPr>
          <w:p w:rsidR="00C61DEB" w:rsidRDefault="0069431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C61DEB" w:rsidRDefault="0069431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C61DEB" w:rsidRDefault="0069431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C61D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C61DEB" w:rsidRDefault="0069431B"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1DEB" w:rsidRDefault="0069431B"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C61DEB" w:rsidRDefault="0069431B">
            <w:pPr>
              <w:pStyle w:val="nTable"/>
            </w:pPr>
            <w:r>
              <w:t>22 Sep 2006 (see r. 2(a))</w:t>
            </w:r>
          </w:p>
        </w:tc>
      </w:tr>
      <w:tr w:rsidR="00C61D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C61DEB" w:rsidRDefault="0069431B"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 w:rsidR="00C61DEB" w:rsidRDefault="0069431B"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 w:rsidR="00C61DEB" w:rsidRDefault="0069431B"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 w:rsidR="00C61D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C61DEB" w:rsidRDefault="0069431B"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 2013</w:t>
            </w:r>
          </w:p>
        </w:tc>
        <w:tc>
          <w:tcPr>
            <w:tcW w:w="1276" w:type="dxa"/>
          </w:tcPr>
          <w:p w:rsidR="00C61DEB" w:rsidRDefault="0069431B">
            <w:pPr>
              <w:pStyle w:val="nTable"/>
            </w:pPr>
            <w:r>
              <w:t>20 Aug 2013 p. 3843</w:t>
            </w:r>
          </w:p>
        </w:tc>
        <w:tc>
          <w:tcPr>
            <w:tcW w:w="2693" w:type="dxa"/>
          </w:tcPr>
          <w:p w:rsidR="00C61DEB" w:rsidRDefault="0069431B">
            <w:pPr>
              <w:pStyle w:val="nTable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 w:rsidR="00C61D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C61DEB" w:rsidRDefault="0069431B">
            <w:pPr>
              <w:pStyle w:val="nTable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27</w:t>
            </w:r>
          </w:p>
        </w:tc>
        <w:tc>
          <w:tcPr>
            <w:tcW w:w="1276" w:type="dxa"/>
          </w:tcPr>
          <w:p w:rsidR="00C61DEB" w:rsidRDefault="0069431B">
            <w:pPr>
              <w:pStyle w:val="nTable"/>
            </w:pPr>
            <w:r>
              <w:t>SL 2020/163 25 Sep 2020</w:t>
            </w:r>
          </w:p>
        </w:tc>
        <w:tc>
          <w:tcPr>
            <w:tcW w:w="2693" w:type="dxa"/>
          </w:tcPr>
          <w:p w:rsidR="00C61DEB" w:rsidRDefault="0069431B">
            <w:pPr>
              <w:pStyle w:val="nTable"/>
              <w:rPr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 w:rsidR="00C61D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C61DEB" w:rsidRPr="006C4C7D" w:rsidRDefault="006C4C7D">
            <w:pPr>
              <w:pStyle w:val="nTable"/>
              <w:rPr>
                <w:b/>
              </w:rPr>
            </w:pPr>
            <w:r w:rsidRPr="006C4C7D">
              <w:rPr>
                <w:b/>
                <w:color w:val="FF0000"/>
              </w:rPr>
              <w:t xml:space="preserve">These regulations were repealed as a result of the repeal of the </w:t>
            </w:r>
            <w:r w:rsidRPr="006C4C7D">
              <w:rPr>
                <w:b/>
                <w:i/>
                <w:color w:val="FF0000"/>
              </w:rPr>
              <w:t>Sunday Entertainments Act 1979</w:t>
            </w:r>
            <w:r w:rsidRPr="006C4C7D">
              <w:rPr>
                <w:b/>
                <w:color w:val="FF0000"/>
              </w:rPr>
              <w:t xml:space="preserve"> by the </w:t>
            </w:r>
            <w:r w:rsidRPr="006C4C7D">
              <w:rPr>
                <w:b/>
                <w:i/>
                <w:color w:val="FF0000"/>
              </w:rPr>
              <w:t>Sunday Entertainments Repeal Act 2021</w:t>
            </w:r>
            <w:r w:rsidRPr="006C4C7D">
              <w:rPr>
                <w:b/>
                <w:color w:val="FF0000"/>
              </w:rPr>
              <w:t xml:space="preserve"> s. 3 (No. 6 of 2021) as at 26 Jun 2021 (see s. 2(b))</w:t>
            </w:r>
          </w:p>
        </w:tc>
      </w:tr>
    </w:tbl>
    <w:p w:rsidR="00C61DEB" w:rsidRDefault="00C61DEB"/>
    <w:p w:rsidR="00C61DEB" w:rsidRDefault="00C61DEB">
      <w:pPr>
        <w:sectPr w:rsidR="00C61DEB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61DEB" w:rsidRDefault="0069431B">
      <w:pPr>
        <w:pStyle w:val="nHeading2"/>
        <w:rPr>
          <w:sz w:val="28"/>
        </w:rPr>
      </w:pPr>
      <w:bookmarkStart w:id="33" w:name="_Toc51672230"/>
      <w:bookmarkStart w:id="34" w:name="_Toc51848975"/>
      <w:bookmarkStart w:id="35" w:name="_Toc75850138"/>
      <w:bookmarkStart w:id="36" w:name="_Toc75850179"/>
      <w:r>
        <w:rPr>
          <w:sz w:val="28"/>
        </w:rPr>
        <w:lastRenderedPageBreak/>
        <w:t>Defined terms</w:t>
      </w:r>
      <w:bookmarkEnd w:id="29"/>
      <w:bookmarkEnd w:id="30"/>
      <w:bookmarkEnd w:id="33"/>
      <w:bookmarkEnd w:id="34"/>
      <w:bookmarkEnd w:id="35"/>
      <w:bookmarkEnd w:id="36"/>
    </w:p>
    <w:p w:rsidR="00C61DEB" w:rsidRDefault="00C61DEB">
      <w:pPr>
        <w:ind w:left="850" w:right="850"/>
        <w:jc w:val="center"/>
        <w:rPr>
          <w:i/>
          <w:sz w:val="18"/>
        </w:rPr>
      </w:pPr>
    </w:p>
    <w:p w:rsidR="00C61DEB" w:rsidRDefault="0069431B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C61DEB" w:rsidRDefault="0069431B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C61DEB" w:rsidRDefault="0069431B">
      <w:pPr>
        <w:pStyle w:val="DefinedTerms"/>
      </w:pPr>
      <w:r>
        <w:t>Commissioner</w:t>
      </w:r>
      <w:r>
        <w:tab/>
        <w:t>3</w:t>
      </w:r>
    </w:p>
    <w:p w:rsidR="00C61DEB" w:rsidRDefault="00C61DEB">
      <w:pPr>
        <w:pStyle w:val="DefinedTerms"/>
        <w:sectPr w:rsidR="00C61DEB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C61DEB" w:rsidRDefault="00C61DEB"/>
    <w:sectPr w:rsidR="00C61DE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EB" w:rsidRDefault="0069431B">
      <w:pPr>
        <w:rPr>
          <w:b/>
          <w:sz w:val="28"/>
        </w:rPr>
      </w:pPr>
      <w:r>
        <w:rPr>
          <w:b/>
          <w:sz w:val="28"/>
        </w:rPr>
        <w:t>Endnotes</w:t>
      </w:r>
    </w:p>
    <w:p w:rsidR="00C61DEB" w:rsidRDefault="0069431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C61DEB" w:rsidRDefault="00C61DEB"/>
  </w:endnote>
  <w:endnote w:type="continuationSeparator" w:id="0">
    <w:p w:rsidR="00C61DEB" w:rsidRDefault="00C61DEB">
      <w:pPr>
        <w:pStyle w:val="Footer"/>
      </w:pPr>
    </w:p>
    <w:p w:rsidR="00C61DEB" w:rsidRDefault="00C61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  <w:pBdr>
        <w:bottom w:val="single" w:sz="4" w:space="1" w:color="auto"/>
      </w:pBdr>
      <w:rPr>
        <w:sz w:val="20"/>
      </w:rPr>
    </w:pPr>
  </w:p>
  <w:p w:rsidR="00C61DEB" w:rsidRDefault="0069431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15AF2"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15AF2"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C61DEB" w:rsidRDefault="0069431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EB" w:rsidRDefault="0069431B">
      <w:r>
        <w:separator/>
      </w:r>
    </w:p>
  </w:footnote>
  <w:footnote w:type="continuationSeparator" w:id="0">
    <w:p w:rsidR="00C61DEB" w:rsidRDefault="0069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F2" w:rsidRDefault="00B15AF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61DEB" w:rsidRDefault="0069431B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61DEB" w:rsidRDefault="0069431B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715" w:type="dxa"/>
        </w:tcPr>
        <w:p w:rsidR="00C61DEB" w:rsidRDefault="00C61DEB">
          <w:pPr>
            <w:pStyle w:val="Header"/>
            <w:spacing w:before="40"/>
          </w:pP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  <w:vAlign w:val="bottom"/>
        </w:tcPr>
        <w:p w:rsidR="00C61DEB" w:rsidRDefault="0069431B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69431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</w:tbl>
  <w:p w:rsidR="00C61DEB" w:rsidRDefault="00C61DEB">
    <w:pPr>
      <w:pStyle w:val="Header"/>
      <w:pBdr>
        <w:top w:val="single" w:sz="4" w:space="1" w:color="auto"/>
      </w:pBdr>
    </w:pPr>
    <w:bookmarkStart w:id="24" w:name="Schedule"/>
    <w:bookmarkEnd w:id="2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B15AF2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61DEB" w:rsidRDefault="0069431B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B15AF2">
            <w:t>Compilation table</w:t>
          </w:r>
          <w: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715" w:type="dxa"/>
        </w:tcPr>
        <w:p w:rsidR="00C61DEB" w:rsidRDefault="00C61DEB">
          <w:pPr>
            <w:pStyle w:val="Header"/>
            <w:spacing w:before="40"/>
          </w:pPr>
        </w:p>
      </w:tc>
    </w:tr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C61DEB">
          <w:pPr>
            <w:pStyle w:val="Header"/>
            <w:spacing w:before="40"/>
          </w:pP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69431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B15AF2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B15AF2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</w:tbl>
  <w:p w:rsidR="00C61DEB" w:rsidRDefault="00C61DEB"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13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915" w:type="dxa"/>
        </w:tcPr>
        <w:p w:rsidR="00C61DEB" w:rsidRDefault="00C61DEB">
          <w:pPr>
            <w:pStyle w:val="Header"/>
            <w:spacing w:before="40"/>
          </w:pPr>
        </w:p>
      </w:tc>
    </w:tr>
    <w:tr w:rsidR="00C61DEB">
      <w:trPr>
        <w:jc w:val="center"/>
      </w:trPr>
      <w:tc>
        <w:tcPr>
          <w:tcW w:w="13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915" w:type="dxa"/>
        </w:tcPr>
        <w:p w:rsidR="00C61DEB" w:rsidRDefault="00C61DEB">
          <w:pPr>
            <w:pStyle w:val="Header"/>
            <w:spacing w:before="40"/>
          </w:pPr>
        </w:p>
      </w:tc>
    </w:tr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spacing w:before="40"/>
          </w:pPr>
          <w:r>
            <w:t>Defined terms</w:t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5884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  <w:tr w:rsidR="00C61DEB">
      <w:trPr>
        <w:jc w:val="center"/>
      </w:trPr>
      <w:tc>
        <w:tcPr>
          <w:tcW w:w="5884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  <w:bookmarkStart w:id="37" w:name="DefinedTerms"/>
    <w:bookmarkEnd w:id="37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F2" w:rsidRDefault="00B15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715" w:type="dxa"/>
        </w:tcPr>
        <w:p w:rsidR="00C61DEB" w:rsidRDefault="00C61DEB">
          <w:pPr>
            <w:pStyle w:val="Header"/>
            <w:spacing w:before="40"/>
          </w:pPr>
        </w:p>
      </w:tc>
    </w:tr>
    <w:tr w:rsidR="00C61DEB">
      <w:trPr>
        <w:jc w:val="center"/>
      </w:trPr>
      <w:tc>
        <w:tcPr>
          <w:tcW w:w="1548" w:type="dxa"/>
        </w:tcPr>
        <w:p w:rsidR="00C61DEB" w:rsidRDefault="00C61DEB">
          <w:pPr>
            <w:pStyle w:val="Header"/>
            <w:spacing w:before="40"/>
          </w:pPr>
        </w:p>
      </w:tc>
      <w:tc>
        <w:tcPr>
          <w:tcW w:w="5715" w:type="dxa"/>
        </w:tcPr>
        <w:p w:rsidR="00C61DEB" w:rsidRDefault="00C61DEB">
          <w:pPr>
            <w:pStyle w:val="Header"/>
            <w:spacing w:before="40"/>
          </w:pPr>
        </w:p>
      </w:tc>
    </w:tr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  <w:spacing w:before="40"/>
          </w:pPr>
          <w:r>
            <w:t>Contents</w:t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  <w:tr w:rsidR="00C61DEB">
      <w:trPr>
        <w:jc w:val="center"/>
      </w:trPr>
      <w:tc>
        <w:tcPr>
          <w:tcW w:w="5715" w:type="dxa"/>
        </w:tcPr>
        <w:p w:rsidR="00C61DEB" w:rsidRDefault="00C61DE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61DEB" w:rsidRDefault="00C61DEB">
          <w:pPr>
            <w:pStyle w:val="Header"/>
            <w:spacing w:before="40"/>
            <w:ind w:right="17"/>
            <w:jc w:val="right"/>
          </w:pPr>
        </w:p>
      </w:tc>
    </w:tr>
    <w:tr w:rsidR="00C61DEB">
      <w:trPr>
        <w:cantSplit/>
        <w:jc w:val="center"/>
      </w:trPr>
      <w:tc>
        <w:tcPr>
          <w:tcW w:w="7258" w:type="dxa"/>
          <w:gridSpan w:val="2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61DEB" w:rsidRDefault="0069431B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61DEB">
      <w:trPr>
        <w:jc w:val="center"/>
      </w:trPr>
      <w:tc>
        <w:tcPr>
          <w:tcW w:w="1548" w:type="dxa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61DEB" w:rsidRDefault="0069431B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B15AF2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B15AF2"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69431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C61DEB">
      <w:trPr>
        <w:jc w:val="center"/>
      </w:trPr>
      <w:tc>
        <w:tcPr>
          <w:tcW w:w="5715" w:type="dxa"/>
        </w:tcPr>
        <w:p w:rsidR="00C61DEB" w:rsidRDefault="0069431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C61DEB">
      <w:trPr>
        <w:cantSplit/>
        <w:jc w:val="center"/>
      </w:trPr>
      <w:tc>
        <w:tcPr>
          <w:tcW w:w="7263" w:type="dxa"/>
          <w:gridSpan w:val="2"/>
        </w:tcPr>
        <w:p w:rsidR="00C61DEB" w:rsidRDefault="0069431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B15AF2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61DEB" w:rsidRDefault="00C61DE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EB" w:rsidRDefault="00C6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00922124208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  <w:docVar w:name="WAFER_20200922124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24208_GUID" w:val="e3410c88-d5fe-4a93-a8e8-67024d5af494"/>
  </w:docVars>
  <w:rsids>
    <w:rsidRoot w:val="0069431B"/>
    <w:rsid w:val="0069431B"/>
    <w:rsid w:val="006C4C7D"/>
    <w:rsid w:val="00B15AF2"/>
    <w:rsid w:val="00B61844"/>
    <w:rsid w:val="00C61DEB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655F0E4-DC88-425A-BB37-48450B0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6677</Characters>
  <Application>Microsoft Office Word</Application>
  <DocSecurity>0</DocSecurity>
  <Lines>303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2006 - 00-e0-00</dc:title>
  <dc:subject/>
  <dc:creator/>
  <cp:keywords/>
  <dc:description/>
  <cp:lastModifiedBy>Master Repository Process</cp:lastModifiedBy>
  <cp:revision>4</cp:revision>
  <cp:lastPrinted>2006-05-26T03:21:00Z</cp:lastPrinted>
  <dcterms:created xsi:type="dcterms:W3CDTF">2021-06-29T04:50:00Z</dcterms:created>
  <dcterms:modified xsi:type="dcterms:W3CDTF">2021-06-29T04:50:00Z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OwlsUID">
    <vt:i4>38507</vt:i4>
  </property>
  <property fmtid="{D5CDD505-2E9C-101B-9397-08002B2CF9AE}" pid="4" name="DocumentType">
    <vt:lpwstr>Reg</vt:lpwstr>
  </property>
  <property fmtid="{D5CDD505-2E9C-101B-9397-08002B2CF9AE}" pid="5" name="AsAtDate">
    <vt:lpwstr>26 Jun 2021</vt:lpwstr>
  </property>
  <property fmtid="{D5CDD505-2E9C-101B-9397-08002B2CF9AE}" pid="6" name="Suffix">
    <vt:lpwstr>00-e0-00</vt:lpwstr>
  </property>
  <property fmtid="{D5CDD505-2E9C-101B-9397-08002B2CF9AE}" pid="7" name="Status">
    <vt:lpwstr>NIF</vt:lpwstr>
  </property>
  <property fmtid="{D5CDD505-2E9C-101B-9397-08002B2CF9AE}" pid="8" name="CommencementDate">
    <vt:lpwstr>20210626</vt:lpwstr>
  </property>
</Properties>
</file>