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A1B" w:rsidRDefault="009854B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84A1B" w:rsidRDefault="009854BB">
      <w:pPr>
        <w:pStyle w:val="PrincipalActRegPage1"/>
      </w:pPr>
      <w:r>
        <w:fldChar w:fldCharType="begin"/>
      </w:r>
      <w:r>
        <w:instrText xml:space="preserve"> STYLEREF "PrincipalAct_Reg"</w:instrText>
      </w:r>
      <w:r>
        <w:fldChar w:fldCharType="separate"/>
      </w:r>
      <w:r w:rsidR="008B7FDC">
        <w:rPr>
          <w:noProof/>
        </w:rPr>
        <w:t>Architects Act 2004</w:t>
      </w:r>
      <w:r>
        <w:fldChar w:fldCharType="end"/>
      </w:r>
    </w:p>
    <w:p w:rsidR="00E84A1B" w:rsidRDefault="009854BB">
      <w:pPr>
        <w:pStyle w:val="NameofActRegPage1"/>
        <w:spacing w:before="1800" w:after="4200"/>
        <w:outlineLvl w:val="0"/>
      </w:pPr>
      <w:r>
        <w:fldChar w:fldCharType="begin"/>
      </w:r>
      <w:r>
        <w:instrText xml:space="preserve"> STYLEREF "Name Of Act/Reg"</w:instrText>
      </w:r>
      <w:r>
        <w:fldChar w:fldCharType="separate"/>
      </w:r>
      <w:r w:rsidR="008B7FDC">
        <w:rPr>
          <w:noProof/>
        </w:rPr>
        <w:t>Architects Regulations 2005</w:t>
      </w:r>
      <w:r>
        <w:fldChar w:fldCharType="end"/>
      </w:r>
    </w:p>
    <w:p w:rsidR="00E84A1B" w:rsidRDefault="00E84A1B">
      <w:pPr>
        <w:jc w:val="center"/>
        <w:sectPr w:rsidR="00E84A1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A284D" w:rsidRDefault="00AA284D">
      <w:pPr>
        <w:pStyle w:val="WA"/>
      </w:pPr>
      <w:r>
        <w:lastRenderedPageBreak/>
        <w:t>Western Australia</w:t>
      </w:r>
    </w:p>
    <w:p w:rsidR="00E84A1B" w:rsidRDefault="009854BB">
      <w:pPr>
        <w:pStyle w:val="NameofActRegPage1"/>
      </w:pPr>
      <w:r>
        <w:fldChar w:fldCharType="begin"/>
      </w:r>
      <w:r>
        <w:instrText xml:space="preserve"> STYLEREF "Name Of Act/Reg"</w:instrText>
      </w:r>
      <w:r>
        <w:fldChar w:fldCharType="separate"/>
      </w:r>
      <w:r w:rsidR="008B7FDC">
        <w:rPr>
          <w:noProof/>
        </w:rPr>
        <w:t>Architects Regulations 2005</w:t>
      </w:r>
      <w:r>
        <w:fldChar w:fldCharType="end"/>
      </w:r>
    </w:p>
    <w:p w:rsidR="00E84A1B" w:rsidRDefault="009854BB">
      <w:pPr>
        <w:pStyle w:val="Arrangement"/>
      </w:pPr>
      <w:r>
        <w:t>Contents</w:t>
      </w:r>
    </w:p>
    <w:p w:rsidR="004C07F5" w:rsidRDefault="009854B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C07F5">
        <w:t>Part 1 — Preliminary</w:t>
      </w:r>
    </w:p>
    <w:p w:rsidR="004C07F5" w:rsidRDefault="004C07F5">
      <w:pPr>
        <w:pStyle w:val="TOC8"/>
        <w:rPr>
          <w:rFonts w:asciiTheme="minorHAnsi" w:eastAsiaTheme="minorEastAsia" w:hAnsiTheme="minorHAnsi" w:cstheme="minorBidi"/>
          <w:szCs w:val="22"/>
        </w:rPr>
      </w:pPr>
      <w:r>
        <w:t>1.</w:t>
      </w:r>
      <w:r>
        <w:tab/>
        <w:t>Citation</w:t>
      </w:r>
      <w:r>
        <w:tab/>
      </w:r>
      <w:r>
        <w:fldChar w:fldCharType="begin"/>
      </w:r>
      <w:r>
        <w:instrText xml:space="preserve"> PAGEREF _Toc75503072 \h </w:instrText>
      </w:r>
      <w:r>
        <w:fldChar w:fldCharType="separate"/>
      </w:r>
      <w:r w:rsidR="008B7FDC">
        <w:t>1</w:t>
      </w:r>
      <w:r>
        <w:fldChar w:fldCharType="end"/>
      </w:r>
    </w:p>
    <w:p w:rsidR="004C07F5" w:rsidRDefault="004C07F5">
      <w:pPr>
        <w:pStyle w:val="TOC8"/>
        <w:rPr>
          <w:rFonts w:asciiTheme="minorHAnsi" w:eastAsiaTheme="minorEastAsia" w:hAnsiTheme="minorHAnsi" w:cstheme="minorBidi"/>
          <w:szCs w:val="22"/>
        </w:rPr>
      </w:pPr>
      <w:r>
        <w:t>2.</w:t>
      </w:r>
      <w:r>
        <w:tab/>
        <w:t>Commencement</w:t>
      </w:r>
      <w:r>
        <w:tab/>
      </w:r>
      <w:r>
        <w:fldChar w:fldCharType="begin"/>
      </w:r>
      <w:r>
        <w:instrText xml:space="preserve"> PAGEREF _Toc75503073 \h </w:instrText>
      </w:r>
      <w:r>
        <w:fldChar w:fldCharType="separate"/>
      </w:r>
      <w:r w:rsidR="008B7FDC">
        <w:t>1</w:t>
      </w:r>
      <w:r>
        <w:fldChar w:fldCharType="end"/>
      </w:r>
    </w:p>
    <w:p w:rsidR="004C07F5" w:rsidRDefault="004C07F5">
      <w:pPr>
        <w:pStyle w:val="TOC8"/>
        <w:rPr>
          <w:rFonts w:asciiTheme="minorHAnsi" w:eastAsiaTheme="minorEastAsia" w:hAnsiTheme="minorHAnsi" w:cstheme="minorBidi"/>
          <w:szCs w:val="22"/>
        </w:rPr>
      </w:pPr>
      <w:r>
        <w:t>3.</w:t>
      </w:r>
      <w:r>
        <w:tab/>
        <w:t>Terms used</w:t>
      </w:r>
      <w:r>
        <w:tab/>
      </w:r>
      <w:r>
        <w:fldChar w:fldCharType="begin"/>
      </w:r>
      <w:r>
        <w:instrText xml:space="preserve"> PAGEREF _Toc75503074 \h </w:instrText>
      </w:r>
      <w:r>
        <w:fldChar w:fldCharType="separate"/>
      </w:r>
      <w:r w:rsidR="008B7FDC">
        <w:t>1</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2 — The Architects Board</w:t>
      </w:r>
    </w:p>
    <w:p w:rsidR="004C07F5" w:rsidRDefault="004C07F5">
      <w:pPr>
        <w:pStyle w:val="TOC4"/>
        <w:tabs>
          <w:tab w:val="right" w:leader="dot" w:pos="7077"/>
        </w:tabs>
        <w:rPr>
          <w:rFonts w:asciiTheme="minorHAnsi" w:eastAsiaTheme="minorEastAsia" w:hAnsiTheme="minorHAnsi" w:cstheme="minorBidi"/>
          <w:b w:val="0"/>
          <w:szCs w:val="22"/>
        </w:rPr>
      </w:pPr>
      <w:r>
        <w:t>Division 1 — Nominations</w:t>
      </w:r>
    </w:p>
    <w:p w:rsidR="004C07F5" w:rsidRDefault="004C07F5">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_Toc75503077 \h </w:instrText>
      </w:r>
      <w:r>
        <w:fldChar w:fldCharType="separate"/>
      </w:r>
      <w:r w:rsidR="008B7FDC">
        <w:t>2</w:t>
      </w:r>
      <w:r>
        <w:fldChar w:fldCharType="end"/>
      </w:r>
    </w:p>
    <w:p w:rsidR="004C07F5" w:rsidRDefault="004C07F5">
      <w:pPr>
        <w:pStyle w:val="TOC4"/>
        <w:tabs>
          <w:tab w:val="right" w:leader="dot" w:pos="7077"/>
        </w:tabs>
        <w:rPr>
          <w:rFonts w:asciiTheme="minorHAnsi" w:eastAsiaTheme="minorEastAsia" w:hAnsiTheme="minorHAnsi" w:cstheme="minorBidi"/>
          <w:b w:val="0"/>
          <w:szCs w:val="22"/>
        </w:rPr>
      </w:pPr>
      <w:r>
        <w:t>Division 2 — Elections</w:t>
      </w:r>
    </w:p>
    <w:p w:rsidR="004C07F5" w:rsidRDefault="004C07F5">
      <w:pPr>
        <w:pStyle w:val="TOC8"/>
        <w:rPr>
          <w:rFonts w:asciiTheme="minorHAnsi" w:eastAsiaTheme="minorEastAsia" w:hAnsiTheme="minorHAnsi" w:cstheme="minorBidi"/>
          <w:szCs w:val="22"/>
        </w:rPr>
      </w:pPr>
      <w:r>
        <w:t>5.</w:t>
      </w:r>
      <w:r>
        <w:tab/>
        <w:t>N</w:t>
      </w:r>
      <w:r w:rsidRPr="00062D4C">
        <w:rPr>
          <w:snapToGrid w:val="0"/>
        </w:rPr>
        <w:t>ominations</w:t>
      </w:r>
      <w:r>
        <w:tab/>
      </w:r>
      <w:r>
        <w:fldChar w:fldCharType="begin"/>
      </w:r>
      <w:r>
        <w:instrText xml:space="preserve"> PAGEREF _Toc75503079 \h </w:instrText>
      </w:r>
      <w:r>
        <w:fldChar w:fldCharType="separate"/>
      </w:r>
      <w:r w:rsidR="008B7FDC">
        <w:t>2</w:t>
      </w:r>
      <w:r>
        <w:fldChar w:fldCharType="end"/>
      </w:r>
    </w:p>
    <w:p w:rsidR="004C07F5" w:rsidRDefault="004C07F5">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_Toc75503080 \h </w:instrText>
      </w:r>
      <w:r>
        <w:fldChar w:fldCharType="separate"/>
      </w:r>
      <w:r w:rsidR="008B7FDC">
        <w:t>3</w:t>
      </w:r>
      <w:r>
        <w:fldChar w:fldCharType="end"/>
      </w:r>
    </w:p>
    <w:p w:rsidR="004C07F5" w:rsidRDefault="004C07F5">
      <w:pPr>
        <w:pStyle w:val="TOC8"/>
        <w:rPr>
          <w:rFonts w:asciiTheme="minorHAnsi" w:eastAsiaTheme="minorEastAsia" w:hAnsiTheme="minorHAnsi" w:cstheme="minorBidi"/>
          <w:szCs w:val="22"/>
        </w:rPr>
      </w:pPr>
      <w:r>
        <w:t>7.</w:t>
      </w:r>
      <w:r>
        <w:tab/>
        <w:t>Voting papers</w:t>
      </w:r>
      <w:r>
        <w:tab/>
      </w:r>
      <w:r>
        <w:fldChar w:fldCharType="begin"/>
      </w:r>
      <w:r>
        <w:instrText xml:space="preserve"> PAGEREF _Toc75503081 \h </w:instrText>
      </w:r>
      <w:r>
        <w:fldChar w:fldCharType="separate"/>
      </w:r>
      <w:r w:rsidR="008B7FDC">
        <w:t>4</w:t>
      </w:r>
      <w:r>
        <w:fldChar w:fldCharType="end"/>
      </w:r>
    </w:p>
    <w:p w:rsidR="004C07F5" w:rsidRDefault="004C07F5">
      <w:pPr>
        <w:pStyle w:val="TOC8"/>
        <w:rPr>
          <w:rFonts w:asciiTheme="minorHAnsi" w:eastAsiaTheme="minorEastAsia" w:hAnsiTheme="minorHAnsi" w:cstheme="minorBidi"/>
          <w:szCs w:val="22"/>
        </w:rPr>
      </w:pPr>
      <w:r>
        <w:t>8.</w:t>
      </w:r>
      <w:r>
        <w:tab/>
      </w:r>
      <w:r w:rsidRPr="00062D4C">
        <w:rPr>
          <w:snapToGrid w:val="0"/>
        </w:rPr>
        <w:t>Counting of votes</w:t>
      </w:r>
      <w:r>
        <w:tab/>
      </w:r>
      <w:r>
        <w:fldChar w:fldCharType="begin"/>
      </w:r>
      <w:r>
        <w:instrText xml:space="preserve"> PAGEREF _Toc75503082 \h </w:instrText>
      </w:r>
      <w:r>
        <w:fldChar w:fldCharType="separate"/>
      </w:r>
      <w:r w:rsidR="008B7FDC">
        <w:t>4</w:t>
      </w:r>
      <w:r>
        <w:fldChar w:fldCharType="end"/>
      </w:r>
    </w:p>
    <w:p w:rsidR="004C07F5" w:rsidRDefault="004C07F5">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_Toc75503083 \h </w:instrText>
      </w:r>
      <w:r>
        <w:fldChar w:fldCharType="separate"/>
      </w:r>
      <w:r w:rsidR="008B7FDC">
        <w:t>5</w:t>
      </w:r>
      <w:r>
        <w:fldChar w:fldCharType="end"/>
      </w:r>
    </w:p>
    <w:p w:rsidR="004C07F5" w:rsidRDefault="004C07F5">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_Toc75503084 \h </w:instrText>
      </w:r>
      <w:r>
        <w:fldChar w:fldCharType="separate"/>
      </w:r>
      <w:r w:rsidR="008B7FDC">
        <w:t>5</w:t>
      </w:r>
      <w:r>
        <w:fldChar w:fldCharType="end"/>
      </w:r>
    </w:p>
    <w:p w:rsidR="004C07F5" w:rsidRDefault="004C07F5">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_Toc75503085 \h </w:instrText>
      </w:r>
      <w:r>
        <w:fldChar w:fldCharType="separate"/>
      </w:r>
      <w:r w:rsidR="008B7FDC">
        <w:t>5</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3 — Registration and licensing</w:t>
      </w:r>
    </w:p>
    <w:p w:rsidR="004C07F5" w:rsidRDefault="004C07F5">
      <w:pPr>
        <w:pStyle w:val="TOC4"/>
        <w:tabs>
          <w:tab w:val="right" w:leader="dot" w:pos="7077"/>
        </w:tabs>
        <w:rPr>
          <w:rFonts w:asciiTheme="minorHAnsi" w:eastAsiaTheme="minorEastAsia" w:hAnsiTheme="minorHAnsi" w:cstheme="minorBidi"/>
          <w:b w:val="0"/>
          <w:szCs w:val="22"/>
        </w:rPr>
      </w:pPr>
      <w:r>
        <w:t>Division 1 — Registration</w:t>
      </w:r>
    </w:p>
    <w:p w:rsidR="004C07F5" w:rsidRDefault="004C07F5">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_Toc75503088 \h </w:instrText>
      </w:r>
      <w:r>
        <w:fldChar w:fldCharType="separate"/>
      </w:r>
      <w:r w:rsidR="008B7FDC">
        <w:t>6</w:t>
      </w:r>
      <w:r>
        <w:fldChar w:fldCharType="end"/>
      </w:r>
    </w:p>
    <w:p w:rsidR="004C07F5" w:rsidRDefault="004C07F5">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_Toc75503089 \h </w:instrText>
      </w:r>
      <w:r>
        <w:fldChar w:fldCharType="separate"/>
      </w:r>
      <w:r w:rsidR="008B7FDC">
        <w:t>7</w:t>
      </w:r>
      <w:r>
        <w:fldChar w:fldCharType="end"/>
      </w:r>
    </w:p>
    <w:p w:rsidR="004C07F5" w:rsidRDefault="004C07F5">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_Toc75503090 \h </w:instrText>
      </w:r>
      <w:r>
        <w:fldChar w:fldCharType="separate"/>
      </w:r>
      <w:r w:rsidR="008B7FDC">
        <w:t>7</w:t>
      </w:r>
      <w:r>
        <w:fldChar w:fldCharType="end"/>
      </w:r>
    </w:p>
    <w:p w:rsidR="004C07F5" w:rsidRDefault="004C07F5">
      <w:pPr>
        <w:pStyle w:val="TOC4"/>
        <w:tabs>
          <w:tab w:val="right" w:leader="dot" w:pos="7077"/>
        </w:tabs>
        <w:rPr>
          <w:rFonts w:asciiTheme="minorHAnsi" w:eastAsiaTheme="minorEastAsia" w:hAnsiTheme="minorHAnsi" w:cstheme="minorBidi"/>
          <w:b w:val="0"/>
          <w:szCs w:val="22"/>
        </w:rPr>
      </w:pPr>
      <w:r>
        <w:t>Division 2 — Licensing</w:t>
      </w:r>
    </w:p>
    <w:p w:rsidR="004C07F5" w:rsidRDefault="004C07F5">
      <w:pPr>
        <w:pStyle w:val="TOC8"/>
        <w:rPr>
          <w:rFonts w:asciiTheme="minorHAnsi" w:eastAsiaTheme="minorEastAsia" w:hAnsiTheme="minorHAnsi" w:cstheme="minorBidi"/>
          <w:szCs w:val="22"/>
        </w:rPr>
      </w:pPr>
      <w:r>
        <w:t>15A.</w:t>
      </w:r>
      <w:r>
        <w:tab/>
        <w:t xml:space="preserve">Extended meaning of </w:t>
      </w:r>
      <w:r w:rsidRPr="00062D4C">
        <w:rPr>
          <w:i/>
          <w:iCs/>
        </w:rPr>
        <w:t>corporation</w:t>
      </w:r>
      <w:r>
        <w:tab/>
      </w:r>
      <w:r>
        <w:fldChar w:fldCharType="begin"/>
      </w:r>
      <w:r>
        <w:instrText xml:space="preserve"> PAGEREF _Toc75503092 \h </w:instrText>
      </w:r>
      <w:r>
        <w:fldChar w:fldCharType="separate"/>
      </w:r>
      <w:r w:rsidR="008B7FDC">
        <w:t>8</w:t>
      </w:r>
      <w:r>
        <w:fldChar w:fldCharType="end"/>
      </w:r>
    </w:p>
    <w:p w:rsidR="004C07F5" w:rsidRDefault="004C07F5">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_Toc75503093 \h </w:instrText>
      </w:r>
      <w:r>
        <w:fldChar w:fldCharType="separate"/>
      </w:r>
      <w:r w:rsidR="008B7FDC">
        <w:t>8</w:t>
      </w:r>
      <w:r>
        <w:fldChar w:fldCharType="end"/>
      </w:r>
    </w:p>
    <w:p w:rsidR="004C07F5" w:rsidRDefault="004C07F5">
      <w:pPr>
        <w:pStyle w:val="TOC4"/>
        <w:tabs>
          <w:tab w:val="right" w:leader="dot" w:pos="7077"/>
        </w:tabs>
        <w:rPr>
          <w:rFonts w:asciiTheme="minorHAnsi" w:eastAsiaTheme="minorEastAsia" w:hAnsiTheme="minorHAnsi" w:cstheme="minorBidi"/>
          <w:b w:val="0"/>
          <w:szCs w:val="22"/>
        </w:rPr>
      </w:pPr>
      <w:r>
        <w:lastRenderedPageBreak/>
        <w:t>Division 3 — The register</w:t>
      </w:r>
    </w:p>
    <w:p w:rsidR="004C07F5" w:rsidRDefault="004C07F5">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_Toc75503095 \h </w:instrText>
      </w:r>
      <w:r>
        <w:fldChar w:fldCharType="separate"/>
      </w:r>
      <w:r w:rsidR="008B7FDC">
        <w:t>9</w:t>
      </w:r>
      <w:r>
        <w:fldChar w:fldCharType="end"/>
      </w:r>
    </w:p>
    <w:p w:rsidR="004C07F5" w:rsidRDefault="004C07F5">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rsidR="004C07F5" w:rsidRDefault="004C07F5">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_Toc75503097 \h </w:instrText>
      </w:r>
      <w:r>
        <w:fldChar w:fldCharType="separate"/>
      </w:r>
      <w:r w:rsidR="008B7FDC">
        <w:t>9</w:t>
      </w:r>
      <w:r>
        <w:fldChar w:fldCharType="end"/>
      </w:r>
    </w:p>
    <w:p w:rsidR="004C07F5" w:rsidRDefault="004C07F5">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_Toc75503098 \h </w:instrText>
      </w:r>
      <w:r>
        <w:fldChar w:fldCharType="separate"/>
      </w:r>
      <w:r w:rsidR="008B7FDC">
        <w:t>10</w:t>
      </w:r>
      <w:r>
        <w:fldChar w:fldCharType="end"/>
      </w:r>
    </w:p>
    <w:p w:rsidR="004C07F5" w:rsidRDefault="004C07F5">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_Toc75503099 \h </w:instrText>
      </w:r>
      <w:r>
        <w:fldChar w:fldCharType="separate"/>
      </w:r>
      <w:r w:rsidR="008B7FDC">
        <w:t>10</w:t>
      </w:r>
      <w:r>
        <w:fldChar w:fldCharType="end"/>
      </w:r>
    </w:p>
    <w:p w:rsidR="004C07F5" w:rsidRDefault="004C07F5">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_Toc75503100 \h </w:instrText>
      </w:r>
      <w:r>
        <w:fldChar w:fldCharType="separate"/>
      </w:r>
      <w:r w:rsidR="008B7FDC">
        <w:t>11</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4 — Insurance</w:t>
      </w:r>
    </w:p>
    <w:p w:rsidR="004C07F5" w:rsidRDefault="004C07F5">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_Toc75503102 \h </w:instrText>
      </w:r>
      <w:r>
        <w:fldChar w:fldCharType="separate"/>
      </w:r>
      <w:r w:rsidR="008B7FDC">
        <w:t>12</w:t>
      </w:r>
      <w:r>
        <w:fldChar w:fldCharType="end"/>
      </w:r>
    </w:p>
    <w:p w:rsidR="004C07F5" w:rsidRDefault="004C07F5">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_Toc75503103 \h </w:instrText>
      </w:r>
      <w:r>
        <w:fldChar w:fldCharType="separate"/>
      </w:r>
      <w:r w:rsidR="008B7FDC">
        <w:t>12</w:t>
      </w:r>
      <w:r>
        <w:fldChar w:fldCharType="end"/>
      </w:r>
    </w:p>
    <w:p w:rsidR="004C07F5" w:rsidRDefault="004C07F5">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_Toc75503104 \h </w:instrText>
      </w:r>
      <w:r>
        <w:fldChar w:fldCharType="separate"/>
      </w:r>
      <w:r w:rsidR="008B7FDC">
        <w:t>12</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5 — Disciplinary proceedings</w:t>
      </w:r>
    </w:p>
    <w:p w:rsidR="004C07F5" w:rsidRDefault="004C07F5">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_Toc75503106 \h </w:instrText>
      </w:r>
      <w:r>
        <w:fldChar w:fldCharType="separate"/>
      </w:r>
      <w:r w:rsidR="008B7FDC">
        <w:t>14</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6 — Fees</w:t>
      </w:r>
    </w:p>
    <w:p w:rsidR="004C07F5" w:rsidRDefault="004C07F5">
      <w:pPr>
        <w:pStyle w:val="TOC8"/>
        <w:rPr>
          <w:rFonts w:asciiTheme="minorHAnsi" w:eastAsiaTheme="minorEastAsia" w:hAnsiTheme="minorHAnsi" w:cstheme="minorBidi"/>
          <w:szCs w:val="22"/>
        </w:rPr>
      </w:pPr>
      <w:r>
        <w:t>21.</w:t>
      </w:r>
      <w:r>
        <w:tab/>
        <w:t>Fees</w:t>
      </w:r>
      <w:r>
        <w:tab/>
      </w:r>
      <w:r>
        <w:fldChar w:fldCharType="begin"/>
      </w:r>
      <w:r>
        <w:instrText xml:space="preserve"> PAGEREF _Toc75503108 \h </w:instrText>
      </w:r>
      <w:r>
        <w:fldChar w:fldCharType="separate"/>
      </w:r>
      <w:r w:rsidR="008B7FDC">
        <w:t>16</w:t>
      </w:r>
      <w:r>
        <w:fldChar w:fldCharType="end"/>
      </w:r>
    </w:p>
    <w:p w:rsidR="004C07F5" w:rsidRDefault="004C07F5">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_Toc75503109 \h </w:instrText>
      </w:r>
      <w:r>
        <w:fldChar w:fldCharType="separate"/>
      </w:r>
      <w:r w:rsidR="008B7FDC">
        <w:t>16</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Part 7 — Miscellaneous</w:t>
      </w:r>
    </w:p>
    <w:p w:rsidR="004C07F5" w:rsidRDefault="004C07F5">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_Toc75503111 \h </w:instrText>
      </w:r>
      <w:r>
        <w:fldChar w:fldCharType="separate"/>
      </w:r>
      <w:r w:rsidR="008B7FDC">
        <w:t>17</w:t>
      </w:r>
      <w:r>
        <w:fldChar w:fldCharType="end"/>
      </w:r>
    </w:p>
    <w:p w:rsidR="004C07F5" w:rsidRDefault="004C07F5">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_Toc75503112 \h </w:instrText>
      </w:r>
      <w:r>
        <w:fldChar w:fldCharType="separate"/>
      </w:r>
      <w:r w:rsidR="008B7FDC">
        <w:t>17</w:t>
      </w:r>
      <w:r>
        <w:fldChar w:fldCharType="end"/>
      </w:r>
    </w:p>
    <w:p w:rsidR="004C07F5" w:rsidRDefault="004C07F5">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_Toc75503113 \h </w:instrText>
      </w:r>
      <w:r>
        <w:fldChar w:fldCharType="separate"/>
      </w:r>
      <w:r w:rsidR="008B7FDC">
        <w:t>17</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Schedule 1 — Fees</w:t>
      </w:r>
    </w:p>
    <w:p w:rsidR="004C07F5" w:rsidRDefault="004C07F5">
      <w:pPr>
        <w:pStyle w:val="TOC2"/>
        <w:tabs>
          <w:tab w:val="right" w:leader="dot" w:pos="7077"/>
        </w:tabs>
        <w:rPr>
          <w:rFonts w:asciiTheme="minorHAnsi" w:eastAsiaTheme="minorEastAsia" w:hAnsiTheme="minorHAnsi" w:cstheme="minorBidi"/>
          <w:b w:val="0"/>
          <w:sz w:val="22"/>
          <w:szCs w:val="22"/>
        </w:rPr>
      </w:pPr>
      <w:r>
        <w:t>Notes</w:t>
      </w:r>
    </w:p>
    <w:p w:rsidR="004C07F5" w:rsidRDefault="004C07F5" w:rsidP="004C07F5">
      <w:pPr>
        <w:pStyle w:val="TOC8"/>
        <w:rPr>
          <w:rFonts w:asciiTheme="minorHAnsi" w:eastAsiaTheme="minorEastAsia" w:hAnsiTheme="minorHAnsi" w:cstheme="minorBidi"/>
          <w:szCs w:val="22"/>
        </w:rPr>
      </w:pPr>
      <w:r>
        <w:tab/>
        <w:t>Compilation table</w:t>
      </w:r>
      <w:r>
        <w:tab/>
      </w:r>
      <w:r>
        <w:fldChar w:fldCharType="begin"/>
      </w:r>
      <w:r>
        <w:instrText xml:space="preserve"> PAGEREF _Toc75503116 \h </w:instrText>
      </w:r>
      <w:r>
        <w:fldChar w:fldCharType="separate"/>
      </w:r>
      <w:r w:rsidR="008B7FDC">
        <w:t>21</w:t>
      </w:r>
      <w:r>
        <w:fldChar w:fldCharType="end"/>
      </w:r>
    </w:p>
    <w:p w:rsidR="004C07F5" w:rsidRDefault="004C07F5">
      <w:pPr>
        <w:pStyle w:val="TOC2"/>
        <w:tabs>
          <w:tab w:val="right" w:leader="dot" w:pos="7077"/>
        </w:tabs>
        <w:rPr>
          <w:rFonts w:asciiTheme="minorHAnsi" w:eastAsiaTheme="minorEastAsia" w:hAnsiTheme="minorHAnsi" w:cstheme="minorBidi"/>
          <w:b w:val="0"/>
          <w:sz w:val="22"/>
          <w:szCs w:val="22"/>
        </w:rPr>
      </w:pPr>
      <w:r>
        <w:t>Defined terms</w:t>
      </w:r>
    </w:p>
    <w:p w:rsidR="00E84A1B" w:rsidRDefault="009854B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84A1B" w:rsidRDefault="00E84A1B">
      <w:pPr>
        <w:pStyle w:val="NoteHeading"/>
        <w:sectPr w:rsidR="00E84A1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E84A1B" w:rsidRDefault="009854BB">
      <w:pPr>
        <w:pStyle w:val="PrincipalActReg"/>
      </w:pPr>
      <w:r>
        <w:lastRenderedPageBreak/>
        <w:t>Architects Act 2004</w:t>
      </w:r>
    </w:p>
    <w:p w:rsidR="00E84A1B" w:rsidRDefault="009854BB">
      <w:pPr>
        <w:pStyle w:val="NameofActReg"/>
      </w:pPr>
      <w:r>
        <w:t>Architects Regulations 2005</w:t>
      </w:r>
    </w:p>
    <w:p w:rsidR="00E84A1B" w:rsidRDefault="009854BB">
      <w:pPr>
        <w:pStyle w:val="Heading2"/>
        <w:pageBreakBefore w:val="0"/>
        <w:spacing w:before="240"/>
      </w:pPr>
      <w:bookmarkStart w:id="3" w:name="_Toc75348743"/>
      <w:bookmarkStart w:id="4" w:name="_Toc75349175"/>
      <w:bookmarkStart w:id="5" w:name="_Toc75503071"/>
      <w:r>
        <w:rPr>
          <w:rStyle w:val="CharPartNo"/>
        </w:rPr>
        <w:t>Part 1</w:t>
      </w:r>
      <w:r>
        <w:rPr>
          <w:rStyle w:val="CharDivNo"/>
        </w:rPr>
        <w:t> </w:t>
      </w:r>
      <w:r>
        <w:t>—</w:t>
      </w:r>
      <w:r>
        <w:rPr>
          <w:rStyle w:val="CharDivText"/>
        </w:rPr>
        <w:t> </w:t>
      </w:r>
      <w:r>
        <w:rPr>
          <w:rStyle w:val="CharPartText"/>
        </w:rPr>
        <w:t>Preliminary</w:t>
      </w:r>
      <w:bookmarkEnd w:id="3"/>
      <w:bookmarkEnd w:id="4"/>
      <w:bookmarkEnd w:id="5"/>
    </w:p>
    <w:p w:rsidR="00E84A1B" w:rsidRDefault="009854BB">
      <w:pPr>
        <w:pStyle w:val="Heading5"/>
      </w:pPr>
      <w:bookmarkStart w:id="6" w:name="_Toc75503072"/>
      <w:r>
        <w:rPr>
          <w:rStyle w:val="CharSectno"/>
        </w:rPr>
        <w:t>1</w:t>
      </w:r>
      <w:r>
        <w:t>.</w:t>
      </w:r>
      <w:r>
        <w:tab/>
        <w:t>Citation</w:t>
      </w:r>
      <w:bookmarkEnd w:id="6"/>
    </w:p>
    <w:p w:rsidR="00E84A1B" w:rsidRDefault="009854BB">
      <w:pPr>
        <w:pStyle w:val="Subsection"/>
      </w:pPr>
      <w:r>
        <w:tab/>
      </w:r>
      <w:r>
        <w:tab/>
      </w:r>
      <w:r>
        <w:rPr>
          <w:spacing w:val="-2"/>
        </w:rPr>
        <w:t>These</w:t>
      </w:r>
      <w:r>
        <w:t xml:space="preserve"> </w:t>
      </w:r>
      <w:r>
        <w:rPr>
          <w:spacing w:val="-2"/>
        </w:rPr>
        <w:t>regulations</w:t>
      </w:r>
      <w:r>
        <w:t xml:space="preserve"> are the </w:t>
      </w:r>
      <w:r>
        <w:rPr>
          <w:i/>
        </w:rPr>
        <w:t>Architects Regulations 2005</w:t>
      </w:r>
      <w:r>
        <w:t>.</w:t>
      </w:r>
    </w:p>
    <w:p w:rsidR="00E84A1B" w:rsidRDefault="009854BB">
      <w:pPr>
        <w:pStyle w:val="Heading5"/>
      </w:pPr>
      <w:bookmarkStart w:id="7" w:name="_Toc75503073"/>
      <w:r>
        <w:rPr>
          <w:rStyle w:val="CharSectno"/>
        </w:rPr>
        <w:t>2</w:t>
      </w:r>
      <w:r>
        <w:t>.</w:t>
      </w:r>
      <w:r>
        <w:tab/>
        <w:t>Commencement</w:t>
      </w:r>
      <w:bookmarkEnd w:id="7"/>
    </w:p>
    <w:p w:rsidR="00E84A1B" w:rsidRDefault="009854BB">
      <w:pPr>
        <w:pStyle w:val="Subsection"/>
      </w:pPr>
      <w:r>
        <w:tab/>
      </w:r>
      <w:r>
        <w:tab/>
        <w:t xml:space="preserve">These regulations come into operation on the day on which the </w:t>
      </w:r>
      <w:r>
        <w:rPr>
          <w:i/>
        </w:rPr>
        <w:t>Architects Act 2004</w:t>
      </w:r>
      <w:r>
        <w:t xml:space="preserve"> comes into operation.</w:t>
      </w:r>
    </w:p>
    <w:p w:rsidR="00E84A1B" w:rsidRDefault="009854BB">
      <w:pPr>
        <w:pStyle w:val="Heading5"/>
      </w:pPr>
      <w:bookmarkStart w:id="8" w:name="_Toc75503074"/>
      <w:r>
        <w:rPr>
          <w:rStyle w:val="CharSectno"/>
        </w:rPr>
        <w:t>3</w:t>
      </w:r>
      <w:r>
        <w:t>.</w:t>
      </w:r>
      <w:r>
        <w:tab/>
        <w:t>Terms used</w:t>
      </w:r>
      <w:bookmarkEnd w:id="8"/>
    </w:p>
    <w:p w:rsidR="00E84A1B" w:rsidRDefault="009854BB">
      <w:pPr>
        <w:pStyle w:val="Subsection"/>
      </w:pPr>
      <w:r>
        <w:tab/>
      </w:r>
      <w:r>
        <w:tab/>
        <w:t xml:space="preserve">In these regulations — </w:t>
      </w:r>
    </w:p>
    <w:p w:rsidR="00E84A1B" w:rsidRDefault="009854BB">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rsidR="00E84A1B" w:rsidRDefault="009854BB">
      <w:pPr>
        <w:pStyle w:val="Defstart"/>
      </w:pPr>
      <w:r>
        <w:rPr>
          <w:b/>
        </w:rPr>
        <w:tab/>
      </w:r>
      <w:r>
        <w:rPr>
          <w:rStyle w:val="CharDefText"/>
        </w:rPr>
        <w:t>return day</w:t>
      </w:r>
      <w:r>
        <w:t xml:space="preserve"> means the day set by the Board as the last day for the return of the voting papers for an election under regulations 8 and 9;</w:t>
      </w:r>
    </w:p>
    <w:p w:rsidR="00E84A1B" w:rsidRDefault="009854BB">
      <w:pPr>
        <w:pStyle w:val="Defstart"/>
      </w:pPr>
      <w:r>
        <w:rPr>
          <w:b/>
        </w:rPr>
        <w:tab/>
      </w:r>
      <w:r>
        <w:rPr>
          <w:rStyle w:val="CharDefText"/>
        </w:rPr>
        <w:t>section</w:t>
      </w:r>
      <w:r>
        <w:t xml:space="preserve"> means section of the Act.</w:t>
      </w:r>
    </w:p>
    <w:p w:rsidR="00E84A1B" w:rsidRDefault="009854BB">
      <w:pPr>
        <w:pStyle w:val="Heading2"/>
      </w:pPr>
      <w:bookmarkStart w:id="9" w:name="_Toc75348747"/>
      <w:bookmarkStart w:id="10" w:name="_Toc75349179"/>
      <w:bookmarkStart w:id="11" w:name="_Toc75503075"/>
      <w:r>
        <w:rPr>
          <w:rStyle w:val="CharPartNo"/>
        </w:rPr>
        <w:lastRenderedPageBreak/>
        <w:t>Part 2</w:t>
      </w:r>
      <w:r>
        <w:t> — </w:t>
      </w:r>
      <w:r>
        <w:rPr>
          <w:rStyle w:val="CharPartText"/>
        </w:rPr>
        <w:t>The Architects Board</w:t>
      </w:r>
      <w:bookmarkEnd w:id="9"/>
      <w:bookmarkEnd w:id="10"/>
      <w:bookmarkEnd w:id="11"/>
    </w:p>
    <w:p w:rsidR="00E84A1B" w:rsidRDefault="009854BB">
      <w:pPr>
        <w:pStyle w:val="Heading3"/>
      </w:pPr>
      <w:bookmarkStart w:id="12" w:name="_Toc75348748"/>
      <w:bookmarkStart w:id="13" w:name="_Toc75349180"/>
      <w:bookmarkStart w:id="14" w:name="_Toc75503076"/>
      <w:r>
        <w:rPr>
          <w:rStyle w:val="CharDivNo"/>
        </w:rPr>
        <w:t>Division 1</w:t>
      </w:r>
      <w:r>
        <w:t> — </w:t>
      </w:r>
      <w:r>
        <w:rPr>
          <w:rStyle w:val="CharDivText"/>
        </w:rPr>
        <w:t>Nominations</w:t>
      </w:r>
      <w:bookmarkEnd w:id="12"/>
      <w:bookmarkEnd w:id="13"/>
      <w:bookmarkEnd w:id="14"/>
    </w:p>
    <w:p w:rsidR="00E84A1B" w:rsidRDefault="009854BB">
      <w:pPr>
        <w:pStyle w:val="Heading5"/>
      </w:pPr>
      <w:bookmarkStart w:id="15" w:name="_Toc75503077"/>
      <w:r>
        <w:rPr>
          <w:rStyle w:val="CharSectno"/>
        </w:rPr>
        <w:t>4</w:t>
      </w:r>
      <w:r>
        <w:t>.</w:t>
      </w:r>
      <w:r>
        <w:tab/>
        <w:t>Bodies that nominate persons for ministerial appointment of members</w:t>
      </w:r>
      <w:bookmarkEnd w:id="15"/>
    </w:p>
    <w:p w:rsidR="00E84A1B" w:rsidRDefault="009854BB">
      <w:pPr>
        <w:pStyle w:val="Subsection"/>
      </w:pPr>
      <w:r>
        <w:tab/>
      </w:r>
      <w:r>
        <w:tab/>
        <w:t xml:space="preserve">The following bodies are prescribed for the purposes of section 7(1)(b) — </w:t>
      </w:r>
    </w:p>
    <w:p w:rsidR="00E84A1B" w:rsidRDefault="009854BB">
      <w:pPr>
        <w:pStyle w:val="Indenta"/>
      </w:pPr>
      <w:r>
        <w:tab/>
        <w:t>(a)</w:t>
      </w:r>
      <w:r>
        <w:tab/>
        <w:t>the Royal Australian Institute of Architects;</w:t>
      </w:r>
    </w:p>
    <w:p w:rsidR="00E84A1B" w:rsidRDefault="009854BB">
      <w:pPr>
        <w:pStyle w:val="Indenta"/>
      </w:pPr>
      <w:r>
        <w:tab/>
        <w:t>(b)</w:t>
      </w:r>
      <w:r>
        <w:tab/>
        <w:t>the Association of Consulting Architects — Australia;</w:t>
      </w:r>
    </w:p>
    <w:p w:rsidR="00E84A1B" w:rsidRDefault="009854BB">
      <w:pPr>
        <w:pStyle w:val="Indenta"/>
      </w:pPr>
      <w:r>
        <w:tab/>
        <w:t>(c)</w:t>
      </w:r>
      <w:r>
        <w:tab/>
        <w:t>the University of Western Australia;</w:t>
      </w:r>
    </w:p>
    <w:p w:rsidR="00E84A1B" w:rsidRDefault="009854BB">
      <w:pPr>
        <w:pStyle w:val="Indenta"/>
      </w:pPr>
      <w:r>
        <w:tab/>
        <w:t>(d)</w:t>
      </w:r>
      <w:r>
        <w:tab/>
        <w:t>the Curtin University of Technology.</w:t>
      </w:r>
    </w:p>
    <w:p w:rsidR="00E84A1B" w:rsidRDefault="009854BB">
      <w:pPr>
        <w:pStyle w:val="Heading3"/>
      </w:pPr>
      <w:bookmarkStart w:id="16" w:name="_Toc75348750"/>
      <w:bookmarkStart w:id="17" w:name="_Toc75349182"/>
      <w:bookmarkStart w:id="18" w:name="_Toc75503078"/>
      <w:r>
        <w:rPr>
          <w:rStyle w:val="CharDivNo"/>
        </w:rPr>
        <w:t>Division 2</w:t>
      </w:r>
      <w:r>
        <w:t> — </w:t>
      </w:r>
      <w:r>
        <w:rPr>
          <w:rStyle w:val="CharDivText"/>
        </w:rPr>
        <w:t>Elections</w:t>
      </w:r>
      <w:bookmarkEnd w:id="16"/>
      <w:bookmarkEnd w:id="17"/>
      <w:bookmarkEnd w:id="18"/>
    </w:p>
    <w:p w:rsidR="00E84A1B" w:rsidRDefault="009854BB">
      <w:pPr>
        <w:pStyle w:val="Heading5"/>
        <w:rPr>
          <w:snapToGrid w:val="0"/>
        </w:rPr>
      </w:pPr>
      <w:bookmarkStart w:id="19" w:name="_Toc75503079"/>
      <w:r>
        <w:rPr>
          <w:rStyle w:val="CharSectno"/>
        </w:rPr>
        <w:t>5</w:t>
      </w:r>
      <w:r>
        <w:t>.</w:t>
      </w:r>
      <w:r>
        <w:tab/>
        <w:t>N</w:t>
      </w:r>
      <w:r>
        <w:rPr>
          <w:snapToGrid w:val="0"/>
        </w:rPr>
        <w:t>ominations</w:t>
      </w:r>
      <w:bookmarkEnd w:id="19"/>
    </w:p>
    <w:p w:rsidR="00E84A1B" w:rsidRDefault="009854BB">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rsidR="00E84A1B" w:rsidRDefault="009854BB">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rsidR="00E84A1B" w:rsidRDefault="009854BB">
      <w:pPr>
        <w:pStyle w:val="Indenta"/>
        <w:rPr>
          <w:snapToGrid w:val="0"/>
        </w:rPr>
      </w:pPr>
      <w:r>
        <w:rPr>
          <w:snapToGrid w:val="0"/>
        </w:rPr>
        <w:tab/>
        <w:t>(b)</w:t>
      </w:r>
      <w:r>
        <w:rPr>
          <w:snapToGrid w:val="0"/>
        </w:rPr>
        <w:tab/>
        <w:t xml:space="preserve">becomes vacant under </w:t>
      </w:r>
      <w:r>
        <w:t>Schedule 1 clause 3 of the Act</w:t>
      </w:r>
      <w:r>
        <w:rPr>
          <w:snapToGrid w:val="0"/>
        </w:rPr>
        <w:t>.</w:t>
      </w:r>
    </w:p>
    <w:p w:rsidR="00E84A1B" w:rsidRDefault="009854BB">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rsidR="00E84A1B" w:rsidRDefault="009854BB">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rsidR="00E84A1B" w:rsidRDefault="009854BB">
      <w:pPr>
        <w:pStyle w:val="Indenta"/>
      </w:pPr>
      <w:r>
        <w:tab/>
        <w:t>(b)</w:t>
      </w:r>
      <w:r>
        <w:tab/>
        <w:t xml:space="preserve">written notice — </w:t>
      </w:r>
    </w:p>
    <w:p w:rsidR="00E84A1B" w:rsidRDefault="009854BB">
      <w:pPr>
        <w:pStyle w:val="Indenti"/>
      </w:pPr>
      <w:r>
        <w:tab/>
        <w:t>(i)</w:t>
      </w:r>
      <w:r>
        <w:tab/>
        <w:t>of the number of members to be elected under section 7(1)(c) in the particular election; and</w:t>
      </w:r>
    </w:p>
    <w:p w:rsidR="00E84A1B" w:rsidRDefault="009854BB">
      <w:pPr>
        <w:pStyle w:val="Indenti"/>
      </w:pPr>
      <w:r>
        <w:tab/>
        <w:t>(ii)</w:t>
      </w:r>
      <w:r>
        <w:tab/>
        <w:t>of the period for which the successful candidate is to hold office; and</w:t>
      </w:r>
    </w:p>
    <w:p w:rsidR="00E84A1B" w:rsidRDefault="009854BB">
      <w:pPr>
        <w:pStyle w:val="Indenti"/>
        <w:rPr>
          <w:snapToGrid w:val="0"/>
        </w:rPr>
      </w:pPr>
      <w:r>
        <w:rPr>
          <w:snapToGrid w:val="0"/>
        </w:rPr>
        <w:lastRenderedPageBreak/>
        <w:tab/>
        <w:t>(iii)</w:t>
      </w:r>
      <w:r>
        <w:rPr>
          <w:snapToGrid w:val="0"/>
        </w:rPr>
        <w:tab/>
        <w:t>of the time by which nominations are to be received by the Board; and</w:t>
      </w:r>
    </w:p>
    <w:p w:rsidR="00E84A1B" w:rsidRDefault="009854BB">
      <w:pPr>
        <w:pStyle w:val="Indenti"/>
        <w:rPr>
          <w:snapToGrid w:val="0"/>
        </w:rPr>
      </w:pPr>
      <w:r>
        <w:rPr>
          <w:snapToGrid w:val="0"/>
        </w:rPr>
        <w:tab/>
        <w:t>(iv)</w:t>
      </w:r>
      <w:r>
        <w:rPr>
          <w:snapToGrid w:val="0"/>
        </w:rPr>
        <w:tab/>
        <w:t xml:space="preserve">of </w:t>
      </w:r>
      <w:r>
        <w:t xml:space="preserve">the return day; </w:t>
      </w:r>
      <w:r>
        <w:rPr>
          <w:snapToGrid w:val="0"/>
        </w:rPr>
        <w:t>and</w:t>
      </w:r>
    </w:p>
    <w:p w:rsidR="00E84A1B" w:rsidRDefault="009854BB">
      <w:pPr>
        <w:pStyle w:val="Indenti"/>
      </w:pPr>
      <w:r>
        <w:tab/>
        <w:t>(v)</w:t>
      </w:r>
      <w:r>
        <w:tab/>
        <w:t>that a nomination will not be accepted unless the candidate provides, for inclusion with the voting papers, a statement about the nominee’s qualifications, experience and reasons for nomination.</w:t>
      </w:r>
    </w:p>
    <w:p w:rsidR="00E84A1B" w:rsidRDefault="009854BB">
      <w:pPr>
        <w:pStyle w:val="Subsection"/>
      </w:pPr>
      <w:r>
        <w:tab/>
        <w:t>(3)</w:t>
      </w:r>
      <w:r>
        <w:tab/>
        <w:t xml:space="preserve">The nomination paper and notices are to be sent </w:t>
      </w:r>
      <w:r>
        <w:rPr>
          <w:snapToGrid w:val="0"/>
        </w:rPr>
        <w:t xml:space="preserve">to the registered person’s registered address — </w:t>
      </w:r>
    </w:p>
    <w:p w:rsidR="00E84A1B" w:rsidRDefault="009854BB">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rsidR="00E84A1B" w:rsidRDefault="009854BB">
      <w:pPr>
        <w:pStyle w:val="Indenta"/>
        <w:rPr>
          <w:i/>
          <w:iCs/>
        </w:rPr>
      </w:pPr>
      <w:r>
        <w:tab/>
        <w:t>(b)</w:t>
      </w:r>
      <w:r>
        <w:tab/>
        <w:t>in the case of an office mentioned in subregulation (1)(b), as soon as is practicable after the office becomes vacant.</w:t>
      </w:r>
    </w:p>
    <w:p w:rsidR="00E84A1B" w:rsidRDefault="009854BB">
      <w:pPr>
        <w:pStyle w:val="Heading5"/>
        <w:rPr>
          <w:snapToGrid w:val="0"/>
        </w:rPr>
      </w:pPr>
      <w:bookmarkStart w:id="20" w:name="_Toc75503080"/>
      <w:r>
        <w:rPr>
          <w:rStyle w:val="CharSectno"/>
        </w:rPr>
        <w:t>6</w:t>
      </w:r>
      <w:r>
        <w:t>.</w:t>
      </w:r>
      <w:r>
        <w:tab/>
        <w:t>List of candidates</w:t>
      </w:r>
      <w:bookmarkEnd w:id="20"/>
    </w:p>
    <w:p w:rsidR="00E84A1B" w:rsidRDefault="009854BB">
      <w:pPr>
        <w:pStyle w:val="Subsection"/>
        <w:rPr>
          <w:snapToGrid w:val="0"/>
        </w:rPr>
      </w:pPr>
      <w:r>
        <w:tab/>
        <w:t>(1)</w:t>
      </w:r>
      <w:r>
        <w:tab/>
        <w:t>The Board</w:t>
      </w:r>
      <w:r>
        <w:rPr>
          <w:snapToGrid w:val="0"/>
        </w:rPr>
        <w:t xml:space="preserve"> is to prepare a list of candidates for election from the nominations made under regulation 5.</w:t>
      </w:r>
    </w:p>
    <w:p w:rsidR="00E84A1B" w:rsidRDefault="009854BB">
      <w:pPr>
        <w:pStyle w:val="Subsection"/>
      </w:pPr>
      <w:r>
        <w:rPr>
          <w:snapToGrid w:val="0"/>
        </w:rPr>
        <w:tab/>
        <w:t>(2)</w:t>
      </w:r>
      <w:r>
        <w:rPr>
          <w:snapToGrid w:val="0"/>
        </w:rPr>
        <w:tab/>
      </w:r>
      <w:r>
        <w:t xml:space="preserve">The Board is not to include a person’s name in the list if — </w:t>
      </w:r>
    </w:p>
    <w:p w:rsidR="00E84A1B" w:rsidRDefault="009854BB">
      <w:pPr>
        <w:pStyle w:val="Indenta"/>
      </w:pPr>
      <w:r>
        <w:tab/>
        <w:t>(a)</w:t>
      </w:r>
      <w:r>
        <w:tab/>
        <w:t>the person has not signed the nomination form; or</w:t>
      </w:r>
    </w:p>
    <w:p w:rsidR="00E84A1B" w:rsidRDefault="009854BB">
      <w:pPr>
        <w:pStyle w:val="Indenta"/>
      </w:pPr>
      <w:r>
        <w:tab/>
        <w:t>(b)</w:t>
      </w:r>
      <w:r>
        <w:tab/>
        <w:t>the nomination was not received by the time mentioned in regulation 5(2)(b)(iii); or</w:t>
      </w:r>
    </w:p>
    <w:p w:rsidR="00E84A1B" w:rsidRDefault="009854BB">
      <w:pPr>
        <w:pStyle w:val="Indenta"/>
      </w:pPr>
      <w:r>
        <w:tab/>
        <w:t>(c)</w:t>
      </w:r>
      <w:r>
        <w:tab/>
        <w:t>the person has not provided a statement mentioned in regulation 5(2)(b)(v); or</w:t>
      </w:r>
    </w:p>
    <w:p w:rsidR="00E84A1B" w:rsidRDefault="009854BB">
      <w:pPr>
        <w:pStyle w:val="Indenta"/>
        <w:rPr>
          <w:snapToGrid w:val="0"/>
        </w:rPr>
      </w:pPr>
      <w:r>
        <w:tab/>
        <w:t>(d)</w:t>
      </w:r>
      <w:r>
        <w:tab/>
        <w:t xml:space="preserve">the person is </w:t>
      </w:r>
      <w:r>
        <w:rPr>
          <w:snapToGrid w:val="0"/>
        </w:rPr>
        <w:t>not eligible for election because of section 7(5)(a) or (b).</w:t>
      </w:r>
    </w:p>
    <w:p w:rsidR="00E84A1B" w:rsidRDefault="009854BB">
      <w:pPr>
        <w:pStyle w:val="Heading5"/>
        <w:pageBreakBefore/>
        <w:spacing w:before="0"/>
      </w:pPr>
      <w:bookmarkStart w:id="21" w:name="_Toc75503081"/>
      <w:r>
        <w:rPr>
          <w:rStyle w:val="CharSectno"/>
        </w:rPr>
        <w:lastRenderedPageBreak/>
        <w:t>7</w:t>
      </w:r>
      <w:r>
        <w:t>.</w:t>
      </w:r>
      <w:r>
        <w:tab/>
        <w:t>Voting papers</w:t>
      </w:r>
      <w:bookmarkEnd w:id="21"/>
    </w:p>
    <w:p w:rsidR="00E84A1B" w:rsidRDefault="009854BB">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rsidR="00E84A1B" w:rsidRDefault="009854BB">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rsidR="00E84A1B" w:rsidRDefault="009854BB">
      <w:pPr>
        <w:pStyle w:val="Subsection"/>
      </w:pPr>
      <w:r>
        <w:tab/>
        <w:t>(3)</w:t>
      </w:r>
      <w:r>
        <w:tab/>
        <w:t xml:space="preserve">The voting paper is to contain — </w:t>
      </w:r>
    </w:p>
    <w:p w:rsidR="00E84A1B" w:rsidRDefault="009854BB">
      <w:pPr>
        <w:pStyle w:val="Indenta"/>
        <w:rPr>
          <w:snapToGrid w:val="0"/>
        </w:rPr>
      </w:pPr>
      <w:r>
        <w:tab/>
        <w:t>(a)</w:t>
      </w:r>
      <w:r>
        <w:tab/>
      </w:r>
      <w:r>
        <w:rPr>
          <w:snapToGrid w:val="0"/>
        </w:rPr>
        <w:t>the list of candidates; and</w:t>
      </w:r>
    </w:p>
    <w:p w:rsidR="00E84A1B" w:rsidRDefault="009854BB">
      <w:pPr>
        <w:pStyle w:val="Indenta"/>
      </w:pPr>
      <w:r>
        <w:tab/>
        <w:t>(b)</w:t>
      </w:r>
      <w:r>
        <w:tab/>
        <w:t>notice of the number of members to be elected under section 7(1)(c) in the particular election; and</w:t>
      </w:r>
    </w:p>
    <w:p w:rsidR="00E84A1B" w:rsidRDefault="009854BB">
      <w:pPr>
        <w:pStyle w:val="Indenta"/>
        <w:rPr>
          <w:snapToGrid w:val="0"/>
        </w:rPr>
      </w:pPr>
      <w:r>
        <w:rPr>
          <w:snapToGrid w:val="0"/>
        </w:rPr>
        <w:tab/>
        <w:t>(c)</w:t>
      </w:r>
      <w:r>
        <w:rPr>
          <w:snapToGrid w:val="0"/>
        </w:rPr>
        <w:tab/>
        <w:t>notice of the return day; and</w:t>
      </w:r>
    </w:p>
    <w:p w:rsidR="00E84A1B" w:rsidRDefault="009854BB">
      <w:pPr>
        <w:pStyle w:val="Indenta"/>
        <w:rPr>
          <w:snapToGrid w:val="0"/>
        </w:rPr>
      </w:pPr>
      <w:r>
        <w:tab/>
        <w:t>(d)</w:t>
      </w:r>
      <w:r>
        <w:tab/>
        <w:t>instructions on how the elector is to record his or her vote</w:t>
      </w:r>
      <w:r>
        <w:rPr>
          <w:snapToGrid w:val="0"/>
        </w:rPr>
        <w:t>; and</w:t>
      </w:r>
    </w:p>
    <w:p w:rsidR="00E84A1B" w:rsidRDefault="009854BB">
      <w:pPr>
        <w:pStyle w:val="Indenta"/>
        <w:rPr>
          <w:snapToGrid w:val="0"/>
        </w:rPr>
      </w:pPr>
      <w:r>
        <w:rPr>
          <w:snapToGrid w:val="0"/>
        </w:rPr>
        <w:tab/>
        <w:t>(e)</w:t>
      </w:r>
      <w:r>
        <w:rPr>
          <w:snapToGrid w:val="0"/>
        </w:rPr>
        <w:tab/>
        <w:t>notice that the vote will not be counted if it is not received by the Board by the return day.</w:t>
      </w:r>
    </w:p>
    <w:p w:rsidR="00E84A1B" w:rsidRDefault="009854BB">
      <w:pPr>
        <w:pStyle w:val="Subsection"/>
      </w:pPr>
      <w:r>
        <w:tab/>
        <w:t>(4)</w:t>
      </w:r>
      <w:r>
        <w:tab/>
        <w:t>The voting paper is to be in a form approved by the Board and signed by the registrar or the chairperson of the Board.</w:t>
      </w:r>
    </w:p>
    <w:p w:rsidR="00E84A1B" w:rsidRDefault="009854BB">
      <w:pPr>
        <w:pStyle w:val="Heading5"/>
        <w:rPr>
          <w:snapToGrid w:val="0"/>
        </w:rPr>
      </w:pPr>
      <w:bookmarkStart w:id="22" w:name="_Toc75503082"/>
      <w:r>
        <w:rPr>
          <w:rStyle w:val="CharSectno"/>
        </w:rPr>
        <w:t>8</w:t>
      </w:r>
      <w:r>
        <w:t>.</w:t>
      </w:r>
      <w:r>
        <w:tab/>
      </w:r>
      <w:r>
        <w:rPr>
          <w:snapToGrid w:val="0"/>
        </w:rPr>
        <w:t>Counting of votes</w:t>
      </w:r>
      <w:bookmarkEnd w:id="22"/>
    </w:p>
    <w:p w:rsidR="00E84A1B" w:rsidRDefault="009854BB">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rsidR="00E84A1B" w:rsidRDefault="009854BB">
      <w:pPr>
        <w:pStyle w:val="Indenta"/>
        <w:rPr>
          <w:snapToGrid w:val="0"/>
        </w:rPr>
      </w:pPr>
      <w:r>
        <w:rPr>
          <w:snapToGrid w:val="0"/>
        </w:rPr>
        <w:tab/>
        <w:t>(a)</w:t>
      </w:r>
      <w:r>
        <w:rPr>
          <w:snapToGrid w:val="0"/>
        </w:rPr>
        <w:tab/>
        <w:t xml:space="preserve">open and examine the votes received by the Board on or before the return day; and </w:t>
      </w:r>
    </w:p>
    <w:p w:rsidR="00E84A1B" w:rsidRDefault="009854BB">
      <w:pPr>
        <w:pStyle w:val="Indenta"/>
        <w:rPr>
          <w:snapToGrid w:val="0"/>
        </w:rPr>
      </w:pPr>
      <w:r>
        <w:rPr>
          <w:snapToGrid w:val="0"/>
        </w:rPr>
        <w:tab/>
        <w:t>(b)</w:t>
      </w:r>
      <w:r>
        <w:rPr>
          <w:snapToGrid w:val="0"/>
        </w:rPr>
        <w:tab/>
        <w:t>count the votes that have been correctly recorded in accordance with the instructions mentioned in regulation 7(3)(d).</w:t>
      </w:r>
    </w:p>
    <w:p w:rsidR="00E84A1B" w:rsidRDefault="009854BB">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rsidR="00E84A1B" w:rsidRDefault="009854BB">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rsidR="00E84A1B" w:rsidRDefault="009854BB">
      <w:pPr>
        <w:pStyle w:val="Heading5"/>
      </w:pPr>
      <w:bookmarkStart w:id="23" w:name="_Toc75503083"/>
      <w:r>
        <w:rPr>
          <w:rStyle w:val="CharSectno"/>
        </w:rPr>
        <w:t>9</w:t>
      </w:r>
      <w:r>
        <w:t>.</w:t>
      </w:r>
      <w:r>
        <w:tab/>
        <w:t>Nominations not exceeding vacancies</w:t>
      </w:r>
      <w:bookmarkEnd w:id="23"/>
    </w:p>
    <w:p w:rsidR="00E84A1B" w:rsidRDefault="009854BB">
      <w:pPr>
        <w:pStyle w:val="Subsection"/>
        <w:rPr>
          <w:snapToGrid w:val="0"/>
        </w:rPr>
      </w:pPr>
      <w:r>
        <w:rPr>
          <w:snapToGrid w:val="0"/>
        </w:rPr>
        <w:tab/>
      </w:r>
      <w:r>
        <w:rPr>
          <w:snapToGrid w:val="0"/>
        </w:rPr>
        <w:tab/>
        <w:t xml:space="preserve">If the number of names in the list of candidates does not exceed the number of members to be elected — </w:t>
      </w:r>
    </w:p>
    <w:p w:rsidR="00E84A1B" w:rsidRDefault="009854BB">
      <w:pPr>
        <w:pStyle w:val="Indenta"/>
        <w:rPr>
          <w:snapToGrid w:val="0"/>
        </w:rPr>
      </w:pPr>
      <w:r>
        <w:rPr>
          <w:snapToGrid w:val="0"/>
        </w:rPr>
        <w:tab/>
        <w:t>(a)</w:t>
      </w:r>
      <w:r>
        <w:rPr>
          <w:snapToGrid w:val="0"/>
        </w:rPr>
        <w:tab/>
        <w:t>it is not necessary to conduct an election under regulations 7 and 8; and</w:t>
      </w:r>
    </w:p>
    <w:p w:rsidR="00E84A1B" w:rsidRDefault="009854BB">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rsidR="00E84A1B" w:rsidRDefault="009854BB">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rsidR="00E84A1B" w:rsidRDefault="009854BB">
      <w:pPr>
        <w:pStyle w:val="Heading5"/>
        <w:rPr>
          <w:snapToGrid w:val="0"/>
        </w:rPr>
      </w:pPr>
      <w:bookmarkStart w:id="24" w:name="_Toc75503084"/>
      <w:r>
        <w:rPr>
          <w:rStyle w:val="CharSectno"/>
        </w:rPr>
        <w:t>10</w:t>
      </w:r>
      <w:r>
        <w:t>.</w:t>
      </w:r>
      <w:r>
        <w:tab/>
        <w:t>Names of elected members to be published on website</w:t>
      </w:r>
      <w:bookmarkEnd w:id="24"/>
    </w:p>
    <w:p w:rsidR="00E84A1B" w:rsidRDefault="009854BB">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rsidR="00E84A1B" w:rsidRDefault="009854BB">
      <w:pPr>
        <w:pStyle w:val="Indenta"/>
        <w:rPr>
          <w:snapToGrid w:val="0"/>
        </w:rPr>
      </w:pPr>
      <w:r>
        <w:rPr>
          <w:snapToGrid w:val="0"/>
        </w:rPr>
        <w:tab/>
        <w:t>(a)</w:t>
      </w:r>
      <w:r>
        <w:rPr>
          <w:snapToGrid w:val="0"/>
        </w:rPr>
        <w:tab/>
        <w:t>who are elected under regulations 7 and 8; or</w:t>
      </w:r>
    </w:p>
    <w:p w:rsidR="00E84A1B" w:rsidRDefault="009854BB">
      <w:pPr>
        <w:pStyle w:val="Indenta"/>
        <w:rPr>
          <w:snapToGrid w:val="0"/>
        </w:rPr>
      </w:pPr>
      <w:r>
        <w:rPr>
          <w:snapToGrid w:val="0"/>
        </w:rPr>
        <w:tab/>
        <w:t>(b)</w:t>
      </w:r>
      <w:r>
        <w:rPr>
          <w:snapToGrid w:val="0"/>
        </w:rPr>
        <w:tab/>
        <w:t>who, under regulation 9(b) or (c), are to be taken to be elected.</w:t>
      </w:r>
    </w:p>
    <w:p w:rsidR="00E84A1B" w:rsidRDefault="009854BB">
      <w:pPr>
        <w:pStyle w:val="Footnotesection"/>
      </w:pPr>
      <w:r>
        <w:tab/>
        <w:t>[Regulation 10 amended: SL 2021/7 r. 4.]</w:t>
      </w:r>
    </w:p>
    <w:p w:rsidR="00E84A1B" w:rsidRDefault="009854BB">
      <w:pPr>
        <w:pStyle w:val="Heading5"/>
      </w:pPr>
      <w:bookmarkStart w:id="25" w:name="_Toc75503085"/>
      <w:r>
        <w:rPr>
          <w:rStyle w:val="CharSectno"/>
        </w:rPr>
        <w:t>11</w:t>
      </w:r>
      <w:r>
        <w:t>.</w:t>
      </w:r>
      <w:r>
        <w:tab/>
        <w:t>Electors to vote once only</w:t>
      </w:r>
      <w:bookmarkEnd w:id="25"/>
    </w:p>
    <w:p w:rsidR="00E84A1B" w:rsidRDefault="009854BB">
      <w:pPr>
        <w:pStyle w:val="Subsection"/>
      </w:pPr>
      <w:r>
        <w:tab/>
        <w:t>(1)</w:t>
      </w:r>
      <w:r>
        <w:tab/>
        <w:t>A registered person must not vote more than once in an election under this Division.</w:t>
      </w:r>
    </w:p>
    <w:p w:rsidR="00E84A1B" w:rsidRDefault="009854BB">
      <w:pPr>
        <w:pStyle w:val="Penstart"/>
      </w:pPr>
      <w:r>
        <w:tab/>
        <w:t>Penalty: a fine of $2 000.</w:t>
      </w:r>
    </w:p>
    <w:p w:rsidR="00E84A1B" w:rsidRDefault="009854BB">
      <w:pPr>
        <w:pStyle w:val="Subsection"/>
      </w:pPr>
      <w:r>
        <w:tab/>
        <w:t>(2)</w:t>
      </w:r>
      <w:r>
        <w:tab/>
        <w:t xml:space="preserve">In subregulation (1) — </w:t>
      </w:r>
    </w:p>
    <w:p w:rsidR="00E84A1B" w:rsidRDefault="009854BB">
      <w:pPr>
        <w:pStyle w:val="Defstart"/>
      </w:pPr>
      <w:r>
        <w:rPr>
          <w:b/>
        </w:rPr>
        <w:tab/>
      </w:r>
      <w:r>
        <w:rPr>
          <w:rStyle w:val="CharDefText"/>
        </w:rPr>
        <w:t>vote</w:t>
      </w:r>
      <w:r>
        <w:t xml:space="preserve"> does not include a casting vote under regulation 8(3) or the election of a Board member under regulation 9(c).</w:t>
      </w:r>
    </w:p>
    <w:p w:rsidR="00E84A1B" w:rsidRDefault="009854BB">
      <w:pPr>
        <w:pStyle w:val="Heading2"/>
      </w:pPr>
      <w:bookmarkStart w:id="26" w:name="_Toc75348758"/>
      <w:bookmarkStart w:id="27" w:name="_Toc75349190"/>
      <w:bookmarkStart w:id="28" w:name="_Toc75503086"/>
      <w:r>
        <w:rPr>
          <w:rStyle w:val="CharPartNo"/>
        </w:rPr>
        <w:lastRenderedPageBreak/>
        <w:t>Part 3</w:t>
      </w:r>
      <w:r>
        <w:t> — </w:t>
      </w:r>
      <w:r>
        <w:rPr>
          <w:rStyle w:val="CharPartText"/>
        </w:rPr>
        <w:t>Registration and licensing</w:t>
      </w:r>
      <w:bookmarkEnd w:id="26"/>
      <w:bookmarkEnd w:id="27"/>
      <w:bookmarkEnd w:id="28"/>
    </w:p>
    <w:p w:rsidR="00E84A1B" w:rsidRDefault="009854BB">
      <w:pPr>
        <w:pStyle w:val="Heading3"/>
      </w:pPr>
      <w:bookmarkStart w:id="29" w:name="_Toc75348759"/>
      <w:bookmarkStart w:id="30" w:name="_Toc75349191"/>
      <w:bookmarkStart w:id="31" w:name="_Toc75503087"/>
      <w:r>
        <w:rPr>
          <w:rStyle w:val="CharDivNo"/>
        </w:rPr>
        <w:t>Division 1</w:t>
      </w:r>
      <w:r>
        <w:t> — </w:t>
      </w:r>
      <w:r>
        <w:rPr>
          <w:rStyle w:val="CharDivText"/>
        </w:rPr>
        <w:t>Registration</w:t>
      </w:r>
      <w:bookmarkEnd w:id="29"/>
      <w:bookmarkEnd w:id="30"/>
      <w:bookmarkEnd w:id="31"/>
    </w:p>
    <w:p w:rsidR="00E84A1B" w:rsidRDefault="009854BB">
      <w:pPr>
        <w:pStyle w:val="Heading5"/>
      </w:pPr>
      <w:bookmarkStart w:id="32" w:name="_Toc75503088"/>
      <w:r>
        <w:rPr>
          <w:rStyle w:val="CharSectno"/>
        </w:rPr>
        <w:t>12</w:t>
      </w:r>
      <w:r>
        <w:t>.</w:t>
      </w:r>
      <w:r>
        <w:tab/>
        <w:t>Registration requirements</w:t>
      </w:r>
      <w:bookmarkEnd w:id="32"/>
    </w:p>
    <w:p w:rsidR="00E84A1B" w:rsidRDefault="009854BB">
      <w:pPr>
        <w:pStyle w:val="Subsection"/>
      </w:pPr>
      <w:r>
        <w:tab/>
      </w:r>
      <w:r>
        <w:tab/>
        <w:t xml:space="preserve">For the purposes of section 29(b), the requirements in relation to a natural person are that the person — </w:t>
      </w:r>
    </w:p>
    <w:p w:rsidR="00E84A1B" w:rsidRDefault="009854BB">
      <w:pPr>
        <w:pStyle w:val="Indenta"/>
      </w:pPr>
      <w:r>
        <w:tab/>
        <w:t>(a)</w:t>
      </w:r>
      <w:r>
        <w:tab/>
        <w:t xml:space="preserve">either — </w:t>
      </w:r>
    </w:p>
    <w:p w:rsidR="00E84A1B" w:rsidRDefault="009854BB">
      <w:pPr>
        <w:pStyle w:val="Indenti"/>
      </w:pPr>
      <w:r>
        <w:tab/>
        <w:t>(i)</w:t>
      </w:r>
      <w:r>
        <w:tab/>
        <w:t>holds a qualification obtained as a result of the successful completion of an architectural education course that has been accredited by the Board under section 10(c); or</w:t>
      </w:r>
    </w:p>
    <w:p w:rsidR="00E84A1B" w:rsidRDefault="009854BB">
      <w:pPr>
        <w:pStyle w:val="Indenti"/>
      </w:pPr>
      <w:r>
        <w:tab/>
        <w:t>(ii)</w:t>
      </w:r>
      <w:r>
        <w:tab/>
        <w:t>holds a qualification that in the opinion of the Board is equivalent to such a qualification (after having regard to the advice of the Architects Accreditation Council of Australia where relevant); or</w:t>
      </w:r>
    </w:p>
    <w:p w:rsidR="00E84A1B" w:rsidRDefault="009854BB">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rsidR="00E84A1B" w:rsidRDefault="009854BB">
      <w:pPr>
        <w:pStyle w:val="Indenta"/>
      </w:pPr>
      <w:r>
        <w:tab/>
      </w:r>
      <w:r>
        <w:tab/>
        <w:t>and</w:t>
      </w:r>
    </w:p>
    <w:p w:rsidR="00E84A1B" w:rsidRDefault="009854BB">
      <w:pPr>
        <w:pStyle w:val="Indenta"/>
      </w:pPr>
      <w:r>
        <w:tab/>
        <w:t>(b)</w:t>
      </w:r>
      <w:r>
        <w:tab/>
        <w:t>has been assessed as eligible to sit, and has passed, the examinations mentioned in regulation 13; and</w:t>
      </w:r>
    </w:p>
    <w:p w:rsidR="00E84A1B" w:rsidRDefault="009854BB">
      <w:pPr>
        <w:pStyle w:val="Indenta"/>
      </w:pPr>
      <w:r>
        <w:tab/>
        <w:t>(c)</w:t>
      </w:r>
      <w:r>
        <w:tab/>
        <w:t>has not been convicted of an offence, whether in this State or elsewhere, the nature of which renders the person unfit to be a registered person; and</w:t>
      </w:r>
    </w:p>
    <w:p w:rsidR="00E84A1B" w:rsidRDefault="009854BB">
      <w:pPr>
        <w:pStyle w:val="Indenta"/>
      </w:pPr>
      <w:r>
        <w:tab/>
        <w:t>(d)</w:t>
      </w:r>
      <w:r>
        <w:tab/>
        <w:t>is otherwise a fit and proper person.</w:t>
      </w:r>
    </w:p>
    <w:p w:rsidR="00E84A1B" w:rsidRDefault="009854BB">
      <w:pPr>
        <w:pStyle w:val="Heading5"/>
      </w:pPr>
      <w:bookmarkStart w:id="33" w:name="_Toc75503089"/>
      <w:r>
        <w:rPr>
          <w:rStyle w:val="CharSectno"/>
        </w:rPr>
        <w:lastRenderedPageBreak/>
        <w:t>13</w:t>
      </w:r>
      <w:r>
        <w:t>.</w:t>
      </w:r>
      <w:r>
        <w:tab/>
        <w:t>Examinations to be passed</w:t>
      </w:r>
      <w:bookmarkEnd w:id="33"/>
    </w:p>
    <w:p w:rsidR="00E84A1B" w:rsidRDefault="009854BB">
      <w:pPr>
        <w:pStyle w:val="Subsection"/>
        <w:keepNext/>
      </w:pPr>
      <w:r>
        <w:tab/>
      </w:r>
      <w:r>
        <w:tab/>
        <w:t xml:space="preserve">The examinations to be passed by a person desiring to be registered are — </w:t>
      </w:r>
    </w:p>
    <w:p w:rsidR="00E84A1B" w:rsidRDefault="009854BB">
      <w:pPr>
        <w:pStyle w:val="Indenta"/>
      </w:pPr>
      <w:r>
        <w:tab/>
        <w:t>(a)</w:t>
      </w:r>
      <w:r>
        <w:tab/>
        <w:t>the version of the written examination, known as the National Examination Paper, set by the Architects Accreditation Council of Australia for use at the time the person takes the examination; and</w:t>
      </w:r>
    </w:p>
    <w:p w:rsidR="00E84A1B" w:rsidRDefault="009854BB">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rsidR="00E84A1B" w:rsidRDefault="009854BB">
      <w:pPr>
        <w:pStyle w:val="Heading5"/>
      </w:pPr>
      <w:bookmarkStart w:id="34" w:name="_Toc75503090"/>
      <w:r>
        <w:rPr>
          <w:rStyle w:val="CharSectno"/>
        </w:rPr>
        <w:t>14</w:t>
      </w:r>
      <w:r>
        <w:t>.</w:t>
      </w:r>
      <w:r>
        <w:tab/>
        <w:t>Conduct of examinations</w:t>
      </w:r>
      <w:bookmarkEnd w:id="34"/>
    </w:p>
    <w:p w:rsidR="00E84A1B" w:rsidRDefault="009854BB">
      <w:pPr>
        <w:pStyle w:val="Subsection"/>
      </w:pPr>
      <w:r>
        <w:tab/>
        <w:t>(1)</w:t>
      </w:r>
      <w:r>
        <w:tab/>
        <w:t>The Board may conduct examinations of the kind mentioned in regulation 13 at such times and at such intervals as it thinks fit.</w:t>
      </w:r>
    </w:p>
    <w:p w:rsidR="00E84A1B" w:rsidRDefault="009854BB">
      <w:pPr>
        <w:pStyle w:val="Subsection"/>
      </w:pPr>
      <w:r>
        <w:tab/>
        <w:t>(2)</w:t>
      </w:r>
      <w:r>
        <w:tab/>
        <w:t>A person who wishes to take an examination (including an assessment for eligibility for taking an examination) must pay the Board the fee prescribed by regulation 21 in relation to the examination.</w:t>
      </w:r>
    </w:p>
    <w:p w:rsidR="00E84A1B" w:rsidRDefault="009854BB">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rsidR="00E84A1B" w:rsidRDefault="009854BB">
      <w:pPr>
        <w:pStyle w:val="Indenta"/>
      </w:pPr>
      <w:r>
        <w:tab/>
        <w:t>(a)</w:t>
      </w:r>
      <w:r>
        <w:tab/>
        <w:t>may, at any time during the examination, direct the candidate to leave the examination room; and</w:t>
      </w:r>
    </w:p>
    <w:p w:rsidR="00E84A1B" w:rsidRDefault="009854BB">
      <w:pPr>
        <w:pStyle w:val="Indenta"/>
      </w:pPr>
      <w:r>
        <w:tab/>
        <w:t>(b)</w:t>
      </w:r>
      <w:r>
        <w:tab/>
        <w:t>is to given a written report about the incident to the Board.</w:t>
      </w:r>
    </w:p>
    <w:p w:rsidR="00E84A1B" w:rsidRDefault="009854BB">
      <w:pPr>
        <w:pStyle w:val="Subsection"/>
      </w:pPr>
      <w:r>
        <w:tab/>
        <w:t>(4)</w:t>
      </w:r>
      <w:r>
        <w:tab/>
        <w:t xml:space="preserve">The Board, in such manner as it thinks fit — </w:t>
      </w:r>
    </w:p>
    <w:p w:rsidR="00E84A1B" w:rsidRDefault="009854BB">
      <w:pPr>
        <w:pStyle w:val="Indenta"/>
      </w:pPr>
      <w:r>
        <w:tab/>
        <w:t>(a)</w:t>
      </w:r>
      <w:r>
        <w:tab/>
        <w:t>is to notify each candidate for an examination conducted by the Board of the candidate’s results; and</w:t>
      </w:r>
    </w:p>
    <w:p w:rsidR="00E84A1B" w:rsidRDefault="009854BB">
      <w:pPr>
        <w:pStyle w:val="Indenta"/>
      </w:pPr>
      <w:r>
        <w:tab/>
        <w:t>(b)</w:t>
      </w:r>
      <w:r>
        <w:tab/>
        <w:t>is to inform each unsuccessful candidate of his or her areas of weakness.</w:t>
      </w:r>
    </w:p>
    <w:p w:rsidR="00E84A1B" w:rsidRDefault="009854BB">
      <w:pPr>
        <w:pStyle w:val="Heading3"/>
        <w:pageBreakBefore/>
        <w:spacing w:before="0"/>
      </w:pPr>
      <w:bookmarkStart w:id="35" w:name="_Toc75348763"/>
      <w:bookmarkStart w:id="36" w:name="_Toc75349195"/>
      <w:bookmarkStart w:id="37" w:name="_Toc75503091"/>
      <w:r>
        <w:rPr>
          <w:rStyle w:val="CharDivNo"/>
        </w:rPr>
        <w:lastRenderedPageBreak/>
        <w:t>Division 2</w:t>
      </w:r>
      <w:r>
        <w:t> — </w:t>
      </w:r>
      <w:r>
        <w:rPr>
          <w:rStyle w:val="CharDivText"/>
        </w:rPr>
        <w:t>Licensing</w:t>
      </w:r>
      <w:bookmarkEnd w:id="35"/>
      <w:bookmarkEnd w:id="36"/>
      <w:bookmarkEnd w:id="37"/>
    </w:p>
    <w:p w:rsidR="00E84A1B" w:rsidRDefault="009854BB">
      <w:pPr>
        <w:pStyle w:val="Heading5"/>
      </w:pPr>
      <w:bookmarkStart w:id="38" w:name="_Toc75503092"/>
      <w:r>
        <w:rPr>
          <w:rStyle w:val="CharSectno"/>
        </w:rPr>
        <w:t>15A</w:t>
      </w:r>
      <w:r>
        <w:t>.</w:t>
      </w:r>
      <w:r>
        <w:tab/>
        <w:t xml:space="preserve">Extended meaning of </w:t>
      </w:r>
      <w:r>
        <w:rPr>
          <w:i/>
          <w:iCs/>
        </w:rPr>
        <w:t>corporation</w:t>
      </w:r>
      <w:bookmarkEnd w:id="38"/>
    </w:p>
    <w:p w:rsidR="00E84A1B" w:rsidRDefault="009854BB">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rsidR="00E84A1B" w:rsidRDefault="009854BB">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rsidR="00E84A1B">
        <w:trPr>
          <w:tblHeader/>
        </w:trPr>
        <w:tc>
          <w:tcPr>
            <w:tcW w:w="1134" w:type="dxa"/>
          </w:tcPr>
          <w:p w:rsidR="00E84A1B" w:rsidRDefault="009854BB">
            <w:pPr>
              <w:pStyle w:val="TableNAm"/>
              <w:jc w:val="center"/>
              <w:rPr>
                <w:b/>
                <w:bCs/>
              </w:rPr>
            </w:pPr>
            <w:r>
              <w:rPr>
                <w:b/>
                <w:bCs/>
              </w:rPr>
              <w:t>Item no.</w:t>
            </w:r>
          </w:p>
        </w:tc>
        <w:tc>
          <w:tcPr>
            <w:tcW w:w="4394" w:type="dxa"/>
          </w:tcPr>
          <w:p w:rsidR="00E84A1B" w:rsidRDefault="009854BB">
            <w:pPr>
              <w:pStyle w:val="TableNAm"/>
              <w:jc w:val="center"/>
              <w:rPr>
                <w:b/>
                <w:bCs/>
              </w:rPr>
            </w:pPr>
            <w:r>
              <w:rPr>
                <w:b/>
                <w:bCs/>
              </w:rPr>
              <w:t>Entity</w:t>
            </w:r>
          </w:p>
        </w:tc>
      </w:tr>
      <w:tr w:rsidR="00E84A1B">
        <w:tc>
          <w:tcPr>
            <w:tcW w:w="1134" w:type="dxa"/>
          </w:tcPr>
          <w:p w:rsidR="00E84A1B" w:rsidRDefault="009854BB">
            <w:pPr>
              <w:pStyle w:val="TableNAm"/>
            </w:pPr>
            <w:r>
              <w:t>1.</w:t>
            </w:r>
          </w:p>
        </w:tc>
        <w:tc>
          <w:tcPr>
            <w:tcW w:w="4394" w:type="dxa"/>
          </w:tcPr>
          <w:p w:rsidR="00E84A1B" w:rsidRDefault="009854BB">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rsidR="00E84A1B">
        <w:tc>
          <w:tcPr>
            <w:tcW w:w="1134" w:type="dxa"/>
          </w:tcPr>
          <w:p w:rsidR="00E84A1B" w:rsidRDefault="009854BB">
            <w:pPr>
              <w:pStyle w:val="TableNAm"/>
            </w:pPr>
            <w:r>
              <w:t>2.</w:t>
            </w:r>
          </w:p>
        </w:tc>
        <w:tc>
          <w:tcPr>
            <w:tcW w:w="4394" w:type="dxa"/>
          </w:tcPr>
          <w:p w:rsidR="00E84A1B" w:rsidRDefault="009854BB">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rsidR="00E84A1B" w:rsidRDefault="009854BB">
      <w:pPr>
        <w:pStyle w:val="Footnotesection"/>
      </w:pPr>
      <w:r>
        <w:tab/>
        <w:t>[Regulation 15A inserted: Gazette 30 Jun 2009 p. 2621-2.]</w:t>
      </w:r>
    </w:p>
    <w:p w:rsidR="00E84A1B" w:rsidRDefault="009854BB">
      <w:pPr>
        <w:pStyle w:val="Heading5"/>
      </w:pPr>
      <w:bookmarkStart w:id="39" w:name="_Toc75503093"/>
      <w:r>
        <w:rPr>
          <w:rStyle w:val="CharSectno"/>
        </w:rPr>
        <w:t>15</w:t>
      </w:r>
      <w:r>
        <w:t>.</w:t>
      </w:r>
      <w:r>
        <w:tab/>
        <w:t>Licensing requirements</w:t>
      </w:r>
      <w:bookmarkEnd w:id="39"/>
    </w:p>
    <w:p w:rsidR="00E84A1B" w:rsidRDefault="009854BB">
      <w:pPr>
        <w:pStyle w:val="Subsection"/>
      </w:pPr>
      <w:r>
        <w:tab/>
      </w:r>
      <w:r>
        <w:tab/>
        <w:t xml:space="preserve">For the purposes of section 31(b), the requirements in relation to a corporation are that — </w:t>
      </w:r>
    </w:p>
    <w:p w:rsidR="00E84A1B" w:rsidRDefault="009854BB">
      <w:pPr>
        <w:pStyle w:val="Indenta"/>
      </w:pPr>
      <w:r>
        <w:tab/>
        <w:t>(a)</w:t>
      </w:r>
      <w:r>
        <w:tab/>
        <w:t>the corporation’s constitution is, or the rules governing the corporation’s internal management are, acceptable to the Board; and</w:t>
      </w:r>
    </w:p>
    <w:p w:rsidR="00E84A1B" w:rsidRDefault="009854BB">
      <w:pPr>
        <w:pStyle w:val="Indenta"/>
      </w:pPr>
      <w:r>
        <w:tab/>
        <w:t>(b)</w:t>
      </w:r>
      <w:r>
        <w:tab/>
        <w:t>each of the directors of the corporation is acceptable to the Board; and</w:t>
      </w:r>
    </w:p>
    <w:p w:rsidR="00E84A1B" w:rsidRDefault="009854BB">
      <w:pPr>
        <w:pStyle w:val="Indenta"/>
      </w:pPr>
      <w:r>
        <w:tab/>
        <w:t>(c)</w:t>
      </w:r>
      <w:r>
        <w:tab/>
        <w:t>all architectural work to be done by the corporation is to be done under the direct control and supervision of a registered person who is an officer or employee of the corporation; and</w:t>
      </w:r>
    </w:p>
    <w:p w:rsidR="00E84A1B" w:rsidRDefault="009854BB">
      <w:pPr>
        <w:pStyle w:val="Indenta"/>
      </w:pPr>
      <w:r>
        <w:lastRenderedPageBreak/>
        <w:tab/>
        <w:t>(d)</w:t>
      </w:r>
      <w:r>
        <w:tab/>
        <w:t>the means by which the corporation proposes to comply with paragraph (c) are acceptable to the Board; and</w:t>
      </w:r>
    </w:p>
    <w:p w:rsidR="00E84A1B" w:rsidRDefault="009854BB">
      <w:pPr>
        <w:pStyle w:val="Indenta"/>
      </w:pPr>
      <w:r>
        <w:tab/>
        <w:t>(e)</w:t>
      </w:r>
      <w:r>
        <w:tab/>
        <w:t>the person who will have ultimate responsibility for the architectural work to be done by the corporation is a registered person who is an officer or employee of the corporation; and</w:t>
      </w:r>
    </w:p>
    <w:p w:rsidR="00E84A1B" w:rsidRDefault="009854BB">
      <w:pPr>
        <w:pStyle w:val="Indenta"/>
      </w:pPr>
      <w:r>
        <w:tab/>
        <w:t>(f)</w:t>
      </w:r>
      <w:r>
        <w:tab/>
        <w:t>the name under which the corporation proposes to carry on the practice of architecture is acceptable to the Board.</w:t>
      </w:r>
    </w:p>
    <w:p w:rsidR="00E84A1B" w:rsidRDefault="009854BB">
      <w:pPr>
        <w:pStyle w:val="Heading3"/>
      </w:pPr>
      <w:bookmarkStart w:id="40" w:name="_Toc75348766"/>
      <w:bookmarkStart w:id="41" w:name="_Toc75349198"/>
      <w:bookmarkStart w:id="42" w:name="_Toc75503094"/>
      <w:r>
        <w:rPr>
          <w:rStyle w:val="CharDivNo"/>
        </w:rPr>
        <w:t>Division 3</w:t>
      </w:r>
      <w:r>
        <w:t> — </w:t>
      </w:r>
      <w:r>
        <w:rPr>
          <w:rStyle w:val="CharDivText"/>
        </w:rPr>
        <w:t>The register</w:t>
      </w:r>
      <w:bookmarkEnd w:id="40"/>
      <w:bookmarkEnd w:id="41"/>
      <w:bookmarkEnd w:id="42"/>
    </w:p>
    <w:p w:rsidR="00E84A1B" w:rsidRDefault="009854BB">
      <w:pPr>
        <w:pStyle w:val="Heading5"/>
      </w:pPr>
      <w:bookmarkStart w:id="43" w:name="_Toc75503095"/>
      <w:r>
        <w:rPr>
          <w:rStyle w:val="CharSectno"/>
        </w:rPr>
        <w:t>16</w:t>
      </w:r>
      <w:r>
        <w:t>.</w:t>
      </w:r>
      <w:r>
        <w:tab/>
        <w:t>Divisions of the register — registered persons</w:t>
      </w:r>
      <w:bookmarkEnd w:id="43"/>
    </w:p>
    <w:p w:rsidR="00E84A1B" w:rsidRDefault="009854BB">
      <w:pPr>
        <w:pStyle w:val="Subsection"/>
      </w:pPr>
      <w:r>
        <w:tab/>
      </w:r>
      <w:r>
        <w:tab/>
        <w:t>The divisions of the register in relation to registered persons are —</w:t>
      </w:r>
    </w:p>
    <w:p w:rsidR="00E84A1B" w:rsidRDefault="009854BB">
      <w:pPr>
        <w:pStyle w:val="Indenta"/>
      </w:pPr>
      <w:r>
        <w:tab/>
        <w:t>(a)</w:t>
      </w:r>
      <w:r>
        <w:tab/>
        <w:t>division 1 for registered persons who are currently practising architecture;</w:t>
      </w:r>
    </w:p>
    <w:p w:rsidR="00E84A1B" w:rsidRDefault="009854BB">
      <w:pPr>
        <w:pStyle w:val="Indenta"/>
      </w:pPr>
      <w:r>
        <w:tab/>
        <w:t>(b)</w:t>
      </w:r>
      <w:r>
        <w:tab/>
        <w:t>division 2 for registered persons who are not currently practising architecture.</w:t>
      </w:r>
    </w:p>
    <w:p w:rsidR="00E84A1B" w:rsidRDefault="009854BB">
      <w:pPr>
        <w:pStyle w:val="Heading3"/>
      </w:pPr>
      <w:bookmarkStart w:id="44" w:name="_Toc75348768"/>
      <w:bookmarkStart w:id="45" w:name="_Toc75349200"/>
      <w:bookmarkStart w:id="46" w:name="_Toc75503096"/>
      <w:r>
        <w:rPr>
          <w:rStyle w:val="CharDivNo"/>
        </w:rPr>
        <w:t>Division 4</w:t>
      </w:r>
      <w:r>
        <w:t> — </w:t>
      </w:r>
      <w:r>
        <w:rPr>
          <w:rStyle w:val="CharDivText"/>
        </w:rPr>
        <w:t>Other matters relating to registration and licensing</w:t>
      </w:r>
      <w:bookmarkEnd w:id="44"/>
      <w:bookmarkEnd w:id="45"/>
      <w:bookmarkEnd w:id="46"/>
    </w:p>
    <w:p w:rsidR="00E84A1B" w:rsidRDefault="009854BB">
      <w:pPr>
        <w:pStyle w:val="Footnoteheading"/>
      </w:pPr>
      <w:r>
        <w:tab/>
        <w:t>[Heading inserted: Gazette 28 Dec 2007 p. 6412.]</w:t>
      </w:r>
    </w:p>
    <w:p w:rsidR="00E84A1B" w:rsidRDefault="009854BB">
      <w:pPr>
        <w:pStyle w:val="Heading5"/>
      </w:pPr>
      <w:bookmarkStart w:id="47" w:name="_Toc75503097"/>
      <w:r>
        <w:rPr>
          <w:rStyle w:val="CharSectno"/>
        </w:rPr>
        <w:t>16A</w:t>
      </w:r>
      <w:r>
        <w:t>.</w:t>
      </w:r>
      <w:r>
        <w:tab/>
        <w:t>Duration of registration and licences</w:t>
      </w:r>
      <w:bookmarkEnd w:id="47"/>
    </w:p>
    <w:p w:rsidR="00E84A1B" w:rsidRDefault="009854BB">
      <w:pPr>
        <w:pStyle w:val="Subsection"/>
      </w:pPr>
      <w:r>
        <w:tab/>
      </w:r>
      <w:r>
        <w:tab/>
        <w:t xml:space="preserve">For the purposes of section 35 — </w:t>
      </w:r>
    </w:p>
    <w:p w:rsidR="00E84A1B" w:rsidRDefault="009854BB">
      <w:pPr>
        <w:pStyle w:val="Indenta"/>
      </w:pPr>
      <w:r>
        <w:tab/>
        <w:t>(a)</w:t>
      </w:r>
      <w:r>
        <w:tab/>
        <w:t>a registration that occurs after 2007 has effect until 30 June in the year following that in which the registration occurs; and</w:t>
      </w:r>
    </w:p>
    <w:p w:rsidR="00E84A1B" w:rsidRDefault="009854BB">
      <w:pPr>
        <w:pStyle w:val="Indenta"/>
      </w:pPr>
      <w:r>
        <w:tab/>
        <w:t>(b)</w:t>
      </w:r>
      <w:r>
        <w:tab/>
        <w:t>a licence that is granted after 2007 has effect until 30 June in the year following that in which the licence is granted.</w:t>
      </w:r>
    </w:p>
    <w:p w:rsidR="00E84A1B" w:rsidRDefault="009854BB">
      <w:pPr>
        <w:pStyle w:val="Footnotesection"/>
      </w:pPr>
      <w:r>
        <w:tab/>
        <w:t>[Regulation 16A inserted: Gazette 28 Dec 2007 p. 6412.]</w:t>
      </w:r>
    </w:p>
    <w:p w:rsidR="00E84A1B" w:rsidRDefault="009854BB">
      <w:pPr>
        <w:pStyle w:val="Heading5"/>
        <w:pageBreakBefore/>
        <w:spacing w:before="0"/>
      </w:pPr>
      <w:bookmarkStart w:id="48" w:name="_Toc75503098"/>
      <w:r>
        <w:rPr>
          <w:rStyle w:val="CharSectno"/>
        </w:rPr>
        <w:lastRenderedPageBreak/>
        <w:t>16B</w:t>
      </w:r>
      <w:r>
        <w:t>.</w:t>
      </w:r>
      <w:r>
        <w:tab/>
        <w:t>Renewal period</w:t>
      </w:r>
      <w:bookmarkEnd w:id="48"/>
    </w:p>
    <w:p w:rsidR="00E84A1B" w:rsidRDefault="009854BB">
      <w:pPr>
        <w:pStyle w:val="Subsection"/>
      </w:pPr>
      <w:r>
        <w:tab/>
      </w:r>
      <w:r>
        <w:tab/>
        <w:t>For the purposes of section 36(1), the renewal of a registration or a licence in 2008 is to be for a period of 18 months.</w:t>
      </w:r>
    </w:p>
    <w:p w:rsidR="00E84A1B" w:rsidRDefault="009854BB">
      <w:pPr>
        <w:pStyle w:val="Footnotesection"/>
      </w:pPr>
      <w:r>
        <w:tab/>
        <w:t>[Regulation 16B inserted: Gazette 28 Dec 2007 p. 6412.]</w:t>
      </w:r>
    </w:p>
    <w:p w:rsidR="00E84A1B" w:rsidRDefault="009854BB">
      <w:pPr>
        <w:pStyle w:val="Heading5"/>
      </w:pPr>
      <w:bookmarkStart w:id="49" w:name="_Toc75503099"/>
      <w:r>
        <w:rPr>
          <w:rStyle w:val="CharSectno"/>
        </w:rPr>
        <w:t>16C</w:t>
      </w:r>
      <w:r>
        <w:t>.</w:t>
      </w:r>
      <w:r>
        <w:tab/>
        <w:t>When renewal fees fall due</w:t>
      </w:r>
      <w:bookmarkEnd w:id="49"/>
    </w:p>
    <w:p w:rsidR="00E84A1B" w:rsidRDefault="009854BB">
      <w:pPr>
        <w:pStyle w:val="Subsection"/>
      </w:pPr>
      <w:r>
        <w:tab/>
        <w:t>(1)</w:t>
      </w:r>
      <w:r>
        <w:tab/>
        <w:t xml:space="preserve">For the purposes of section 37(1), the day on which the fee for the renewal, in 2008, of a person’s registration or a corporation’s licence falls due is — </w:t>
      </w:r>
    </w:p>
    <w:p w:rsidR="00E84A1B" w:rsidRDefault="009854BB">
      <w:pPr>
        <w:pStyle w:val="Indenta"/>
      </w:pPr>
      <w:r>
        <w:tab/>
        <w:t>(a)</w:t>
      </w:r>
      <w:r>
        <w:tab/>
        <w:t>31 March 2008; or</w:t>
      </w:r>
    </w:p>
    <w:p w:rsidR="00E84A1B" w:rsidRDefault="009854BB">
      <w:pPr>
        <w:pStyle w:val="Indenta"/>
      </w:pPr>
      <w:r>
        <w:tab/>
        <w:t>(b)</w:t>
      </w:r>
      <w:r>
        <w:tab/>
        <w:t>the day set by the Board under subregulation (3).</w:t>
      </w:r>
    </w:p>
    <w:p w:rsidR="00E84A1B" w:rsidRDefault="009854BB">
      <w:pPr>
        <w:pStyle w:val="Subsection"/>
      </w:pPr>
      <w:r>
        <w:tab/>
        <w:t>(2)</w:t>
      </w:r>
      <w:r>
        <w:tab/>
        <w:t>A registered person may apply to the Board for the Board to set a day after 31 March 2008 to be the day on which the fee for the renewal of the person’s registration in 2008 falls due.</w:t>
      </w:r>
    </w:p>
    <w:p w:rsidR="00E84A1B" w:rsidRDefault="009854BB">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rsidR="00E84A1B" w:rsidRDefault="009854BB">
      <w:pPr>
        <w:pStyle w:val="Subsection"/>
      </w:pPr>
      <w:r>
        <w:tab/>
        <w:t>(4)</w:t>
      </w:r>
      <w:r>
        <w:tab/>
        <w:t xml:space="preserve">For the purposes of section 37(1), the day on which the fee for the renewal, in a year after 2008, of a person’s registration or a corporation’s licence falls due is — </w:t>
      </w:r>
    </w:p>
    <w:p w:rsidR="00E84A1B" w:rsidRDefault="009854BB">
      <w:pPr>
        <w:pStyle w:val="Indenta"/>
      </w:pPr>
      <w:r>
        <w:tab/>
        <w:t>(a)</w:t>
      </w:r>
      <w:r>
        <w:tab/>
        <w:t xml:space="preserve">30 September of that year (the </w:t>
      </w:r>
      <w:r>
        <w:rPr>
          <w:rStyle w:val="CharDefText"/>
        </w:rPr>
        <w:t>renewal year</w:t>
      </w:r>
      <w:r>
        <w:t>); or</w:t>
      </w:r>
    </w:p>
    <w:p w:rsidR="00E84A1B" w:rsidRDefault="009854BB">
      <w:pPr>
        <w:pStyle w:val="Indenta"/>
      </w:pPr>
      <w:r>
        <w:tab/>
        <w:t>(b)</w:t>
      </w:r>
      <w:r>
        <w:tab/>
        <w:t>the day set by the Board under subregulation (6).</w:t>
      </w:r>
    </w:p>
    <w:p w:rsidR="00E84A1B" w:rsidRDefault="009854BB">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rsidR="00E84A1B" w:rsidRDefault="009854BB">
      <w:pPr>
        <w:pStyle w:val="Subsection"/>
      </w:pPr>
      <w:r>
        <w:tab/>
        <w:t>(6)</w:t>
      </w:r>
      <w:r>
        <w:tab/>
        <w:t xml:space="preserve">On an application under subregulation (5) the Board, if satisfied that the applicant is experiencing hardship, may set a day after 30 September in the renewal year but before 1 April in the </w:t>
      </w:r>
      <w:r>
        <w:lastRenderedPageBreak/>
        <w:t>following year to be the day on which the fee for the renewal of the person’s registration in the renewal year falls due.</w:t>
      </w:r>
    </w:p>
    <w:p w:rsidR="00E84A1B" w:rsidRDefault="009854BB">
      <w:pPr>
        <w:pStyle w:val="Footnotesection"/>
      </w:pPr>
      <w:r>
        <w:tab/>
        <w:t>[Regulation 16C inserted: Gazette 28 Dec 2007 p. 6412</w:t>
      </w:r>
      <w:r>
        <w:noBreakHyphen/>
        <w:t>13.]</w:t>
      </w:r>
    </w:p>
    <w:p w:rsidR="00E84A1B" w:rsidRDefault="009854BB">
      <w:pPr>
        <w:pStyle w:val="Heading5"/>
      </w:pPr>
      <w:bookmarkStart w:id="50" w:name="_Toc75503100"/>
      <w:r>
        <w:rPr>
          <w:rStyle w:val="CharSectno"/>
        </w:rPr>
        <w:t>16D</w:t>
      </w:r>
      <w:r>
        <w:t>.</w:t>
      </w:r>
      <w:r>
        <w:tab/>
        <w:t>Reduction or refund of renewal fee for registered persons</w:t>
      </w:r>
      <w:bookmarkEnd w:id="50"/>
    </w:p>
    <w:p w:rsidR="00E84A1B" w:rsidRDefault="009854BB">
      <w:pPr>
        <w:pStyle w:val="Subsection"/>
      </w:pPr>
      <w:r>
        <w:tab/>
      </w:r>
      <w:r>
        <w:tab/>
        <w:t xml:space="preserve">The Board may, of its own volition, reduce or refund part of a renewal fee payable or paid by a registered person if the Board — </w:t>
      </w:r>
    </w:p>
    <w:p w:rsidR="00E84A1B" w:rsidRDefault="009854BB">
      <w:pPr>
        <w:pStyle w:val="Indenta"/>
      </w:pPr>
      <w:r>
        <w:tab/>
        <w:t>(a)</w:t>
      </w:r>
      <w:r>
        <w:tab/>
        <w:t>does not impose a condition of the kind mentioned in section 30(2)(a) in respect of the renewal of the registration; and</w:t>
      </w:r>
    </w:p>
    <w:p w:rsidR="00E84A1B" w:rsidRDefault="009854BB">
      <w:pPr>
        <w:pStyle w:val="Indenta"/>
      </w:pPr>
      <w:r>
        <w:tab/>
        <w:t>(b)</w:t>
      </w:r>
      <w:r>
        <w:tab/>
        <w:t>is satisfied that that part of the renewal fee would relate to the functions that the Board would have if such a condition were imposed.</w:t>
      </w:r>
    </w:p>
    <w:p w:rsidR="00E84A1B" w:rsidRDefault="009854BB">
      <w:pPr>
        <w:pStyle w:val="Footnotesection"/>
      </w:pPr>
      <w:r>
        <w:tab/>
        <w:t>[Regulation 16D inserted: Gazette 28 Dec 2007 p. 6413.]</w:t>
      </w:r>
    </w:p>
    <w:p w:rsidR="00E84A1B" w:rsidRDefault="009854BB">
      <w:pPr>
        <w:pStyle w:val="Heading2"/>
      </w:pPr>
      <w:bookmarkStart w:id="51" w:name="_Toc75348773"/>
      <w:bookmarkStart w:id="52" w:name="_Toc75349205"/>
      <w:bookmarkStart w:id="53" w:name="_Toc75503101"/>
      <w:r>
        <w:rPr>
          <w:rStyle w:val="CharPartNo"/>
        </w:rPr>
        <w:lastRenderedPageBreak/>
        <w:t>Part 4</w:t>
      </w:r>
      <w:r>
        <w:rPr>
          <w:rStyle w:val="CharDivNo"/>
        </w:rPr>
        <w:t> </w:t>
      </w:r>
      <w:r>
        <w:t>—</w:t>
      </w:r>
      <w:r>
        <w:rPr>
          <w:rStyle w:val="CharDivText"/>
        </w:rPr>
        <w:t> </w:t>
      </w:r>
      <w:r>
        <w:rPr>
          <w:rStyle w:val="CharPartText"/>
        </w:rPr>
        <w:t>Insurance</w:t>
      </w:r>
      <w:bookmarkEnd w:id="51"/>
      <w:bookmarkEnd w:id="52"/>
      <w:bookmarkEnd w:id="53"/>
    </w:p>
    <w:p w:rsidR="00E84A1B" w:rsidRDefault="009854BB">
      <w:pPr>
        <w:pStyle w:val="Heading5"/>
        <w:spacing w:before="180"/>
      </w:pPr>
      <w:bookmarkStart w:id="54" w:name="_Toc75503102"/>
      <w:r>
        <w:rPr>
          <w:rStyle w:val="CharSectno"/>
        </w:rPr>
        <w:t>17</w:t>
      </w:r>
      <w:r>
        <w:t>.</w:t>
      </w:r>
      <w:r>
        <w:tab/>
        <w:t>Amount of insurance cover</w:t>
      </w:r>
      <w:bookmarkEnd w:id="54"/>
    </w:p>
    <w:p w:rsidR="00E84A1B" w:rsidRDefault="009854BB">
      <w:pPr>
        <w:pStyle w:val="Subsection"/>
        <w:spacing w:before="120"/>
      </w:pPr>
      <w:r>
        <w:tab/>
      </w:r>
      <w:r>
        <w:tab/>
        <w:t>For the purposes of sections 30(2)(b) and 32(2)(c), the minimum amount of insurance cover is $1 000 000.</w:t>
      </w:r>
    </w:p>
    <w:p w:rsidR="00E84A1B" w:rsidRDefault="009854BB">
      <w:pPr>
        <w:pStyle w:val="Heading5"/>
        <w:spacing w:before="180"/>
      </w:pPr>
      <w:bookmarkStart w:id="55" w:name="_Toc75503103"/>
      <w:r>
        <w:rPr>
          <w:rStyle w:val="CharSectno"/>
        </w:rPr>
        <w:t>18</w:t>
      </w:r>
      <w:r>
        <w:t>.</w:t>
      </w:r>
      <w:r>
        <w:tab/>
        <w:t>Information about insurance cover — registered persons</w:t>
      </w:r>
      <w:bookmarkEnd w:id="55"/>
    </w:p>
    <w:p w:rsidR="00E84A1B" w:rsidRDefault="009854BB">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rsidR="00E84A1B" w:rsidRDefault="009854BB">
      <w:pPr>
        <w:pStyle w:val="Indenta"/>
        <w:spacing w:before="60"/>
      </w:pPr>
      <w:r>
        <w:tab/>
        <w:t>(a)</w:t>
      </w:r>
      <w:r>
        <w:tab/>
        <w:t>the period in respect of which the insurance cover is in effect; and</w:t>
      </w:r>
    </w:p>
    <w:p w:rsidR="00E84A1B" w:rsidRDefault="009854BB">
      <w:pPr>
        <w:pStyle w:val="Indenta"/>
        <w:spacing w:before="60"/>
      </w:pPr>
      <w:r>
        <w:tab/>
        <w:t>(b)</w:t>
      </w:r>
      <w:r>
        <w:tab/>
        <w:t>the amount of the insurance cover; and</w:t>
      </w:r>
    </w:p>
    <w:p w:rsidR="00E84A1B" w:rsidRDefault="009854BB">
      <w:pPr>
        <w:pStyle w:val="Indenta"/>
        <w:spacing w:before="60"/>
      </w:pPr>
      <w:r>
        <w:tab/>
        <w:t>(c)</w:t>
      </w:r>
      <w:r>
        <w:tab/>
        <w:t>the categories of persons in respect of whose acts and omissions the insurance cover applies.</w:t>
      </w:r>
    </w:p>
    <w:p w:rsidR="00E84A1B" w:rsidRDefault="009854BB">
      <w:pPr>
        <w:pStyle w:val="Subsection"/>
        <w:spacing w:before="120"/>
      </w:pPr>
      <w:r>
        <w:tab/>
        <w:t>(2)</w:t>
      </w:r>
      <w:r>
        <w:tab/>
        <w:t xml:space="preserve">The time for giving the Board information mentioned in subregulation (1) is — </w:t>
      </w:r>
    </w:p>
    <w:p w:rsidR="00E84A1B" w:rsidRDefault="009854BB">
      <w:pPr>
        <w:pStyle w:val="Indenta"/>
        <w:spacing w:before="60"/>
      </w:pPr>
      <w:r>
        <w:tab/>
        <w:t>(a)</w:t>
      </w:r>
      <w:r>
        <w:tab/>
        <w:t>in the case of the initial registration, 28 days after the day on which the registered person is advised of the registration; and</w:t>
      </w:r>
    </w:p>
    <w:p w:rsidR="00E84A1B" w:rsidRDefault="009854BB">
      <w:pPr>
        <w:pStyle w:val="Indenta"/>
        <w:spacing w:before="60"/>
      </w:pPr>
      <w:r>
        <w:tab/>
        <w:t>(b)</w:t>
      </w:r>
      <w:r>
        <w:tab/>
        <w:t>in the case of a renewal of registration, 14 days after the day on which the registered person is advised of the renewal; and</w:t>
      </w:r>
    </w:p>
    <w:p w:rsidR="00E84A1B" w:rsidRDefault="009854BB">
      <w:pPr>
        <w:pStyle w:val="Indenta"/>
        <w:spacing w:before="60"/>
      </w:pPr>
      <w:r>
        <w:tab/>
        <w:t>(c)</w:t>
      </w:r>
      <w:r>
        <w:tab/>
        <w:t>in any case where the insurer, the period of insurance or the amount or type of cover is changed after the period mentioned in paragraph (a) or (b), 14 days after the change occurs.</w:t>
      </w:r>
    </w:p>
    <w:p w:rsidR="00E84A1B" w:rsidRDefault="009854BB">
      <w:pPr>
        <w:pStyle w:val="Heading5"/>
        <w:spacing w:before="180"/>
      </w:pPr>
      <w:bookmarkStart w:id="56" w:name="_Toc75503104"/>
      <w:r>
        <w:rPr>
          <w:rStyle w:val="CharSectno"/>
        </w:rPr>
        <w:t>19</w:t>
      </w:r>
      <w:r>
        <w:t>.</w:t>
      </w:r>
      <w:r>
        <w:tab/>
        <w:t>Information about insurance cover — licensed corporations</w:t>
      </w:r>
      <w:bookmarkEnd w:id="56"/>
    </w:p>
    <w:p w:rsidR="00E84A1B" w:rsidRDefault="009854BB">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rsidR="00E84A1B" w:rsidRDefault="009854BB">
      <w:pPr>
        <w:pStyle w:val="Indenta"/>
      </w:pPr>
      <w:r>
        <w:tab/>
        <w:t>(a)</w:t>
      </w:r>
      <w:r>
        <w:tab/>
        <w:t>the period in respect of which the insurance cover is in effect; and</w:t>
      </w:r>
    </w:p>
    <w:p w:rsidR="00E84A1B" w:rsidRDefault="009854BB">
      <w:pPr>
        <w:pStyle w:val="Indenta"/>
      </w:pPr>
      <w:r>
        <w:lastRenderedPageBreak/>
        <w:tab/>
        <w:t>(b)</w:t>
      </w:r>
      <w:r>
        <w:tab/>
        <w:t>the amount of the insurance cover; and</w:t>
      </w:r>
    </w:p>
    <w:p w:rsidR="00E84A1B" w:rsidRDefault="009854BB">
      <w:pPr>
        <w:pStyle w:val="Indenta"/>
      </w:pPr>
      <w:r>
        <w:tab/>
        <w:t>(c)</w:t>
      </w:r>
      <w:r>
        <w:tab/>
        <w:t>the categories of persons in respect of whose acts and omissions the insurance cover applies.</w:t>
      </w:r>
    </w:p>
    <w:p w:rsidR="00E84A1B" w:rsidRDefault="009854BB">
      <w:pPr>
        <w:pStyle w:val="Subsection"/>
      </w:pPr>
      <w:r>
        <w:tab/>
        <w:t>(2)</w:t>
      </w:r>
      <w:r>
        <w:tab/>
        <w:t xml:space="preserve">The time for giving the Board information mentioned in subregulation (1) is — </w:t>
      </w:r>
    </w:p>
    <w:p w:rsidR="00E84A1B" w:rsidRDefault="009854BB">
      <w:pPr>
        <w:pStyle w:val="Indenta"/>
      </w:pPr>
      <w:r>
        <w:tab/>
        <w:t>(a)</w:t>
      </w:r>
      <w:r>
        <w:tab/>
        <w:t>in the case of the initial grant of the licence, 28 days after the day on which the licensed corporation is advised of the grant of the licence; and</w:t>
      </w:r>
    </w:p>
    <w:p w:rsidR="00E84A1B" w:rsidRDefault="009854BB">
      <w:pPr>
        <w:pStyle w:val="Indenta"/>
      </w:pPr>
      <w:r>
        <w:tab/>
        <w:t>(b)</w:t>
      </w:r>
      <w:r>
        <w:tab/>
        <w:t>in the case of a renewal of a licence, 14 days after the day on which the licensed corporation is advised of the renewal; and</w:t>
      </w:r>
    </w:p>
    <w:p w:rsidR="00E84A1B" w:rsidRDefault="009854BB">
      <w:pPr>
        <w:pStyle w:val="Indenta"/>
      </w:pPr>
      <w:r>
        <w:tab/>
        <w:t>(c)</w:t>
      </w:r>
      <w:r>
        <w:tab/>
        <w:t>in any case where the insurer, the period of insurance or the amount or type of cover is changed after the period mentioned in paragraph (a) or (b), 14 days after the change occurs.</w:t>
      </w:r>
    </w:p>
    <w:p w:rsidR="00E84A1B" w:rsidRDefault="009854BB">
      <w:pPr>
        <w:pStyle w:val="Heading2"/>
      </w:pPr>
      <w:bookmarkStart w:id="57" w:name="_Toc75348777"/>
      <w:bookmarkStart w:id="58" w:name="_Toc75349209"/>
      <w:bookmarkStart w:id="59" w:name="_Toc75503105"/>
      <w:r>
        <w:rPr>
          <w:rStyle w:val="CharPartNo"/>
        </w:rPr>
        <w:lastRenderedPageBreak/>
        <w:t>Part 5</w:t>
      </w:r>
      <w:r>
        <w:rPr>
          <w:rStyle w:val="CharDivNo"/>
        </w:rPr>
        <w:t> </w:t>
      </w:r>
      <w:r>
        <w:t>—</w:t>
      </w:r>
      <w:r>
        <w:rPr>
          <w:rStyle w:val="CharDivText"/>
        </w:rPr>
        <w:t> </w:t>
      </w:r>
      <w:r>
        <w:rPr>
          <w:rStyle w:val="CharPartText"/>
        </w:rPr>
        <w:t>Disciplinary proceedings</w:t>
      </w:r>
      <w:bookmarkEnd w:id="57"/>
      <w:bookmarkEnd w:id="58"/>
      <w:bookmarkEnd w:id="59"/>
    </w:p>
    <w:p w:rsidR="00E84A1B" w:rsidRDefault="009854BB">
      <w:pPr>
        <w:pStyle w:val="Heading5"/>
      </w:pPr>
      <w:bookmarkStart w:id="60" w:name="_Toc75503106"/>
      <w:r>
        <w:rPr>
          <w:rStyle w:val="CharSectno"/>
        </w:rPr>
        <w:t>20</w:t>
      </w:r>
      <w:r>
        <w:t>.</w:t>
      </w:r>
      <w:r>
        <w:tab/>
        <w:t>Unprofessional conduct as an architect</w:t>
      </w:r>
      <w:bookmarkEnd w:id="60"/>
    </w:p>
    <w:p w:rsidR="00E84A1B" w:rsidRDefault="009854BB">
      <w:pPr>
        <w:pStyle w:val="Subsection"/>
      </w:pPr>
      <w:r>
        <w:tab/>
      </w:r>
      <w:r>
        <w:tab/>
        <w:t>For the purposes of section 56(2), the following conduct of a person (</w:t>
      </w:r>
      <w:r>
        <w:rPr>
          <w:rStyle w:val="CharDefText"/>
        </w:rPr>
        <w:t>person 1</w:t>
      </w:r>
      <w:r>
        <w:t xml:space="preserve">) constitutes unprofessional conduct as an architect — </w:t>
      </w:r>
    </w:p>
    <w:p w:rsidR="00E84A1B" w:rsidRDefault="009854BB">
      <w:pPr>
        <w:pStyle w:val="Indenta"/>
      </w:pPr>
      <w:r>
        <w:tab/>
        <w:t>(a)</w:t>
      </w:r>
      <w:r>
        <w:tab/>
        <w:t>holding out or in any way implying that person 1’s name is entered in a particular division of the register if the name is not entered in that division of the register;</w:t>
      </w:r>
    </w:p>
    <w:p w:rsidR="00E84A1B" w:rsidRDefault="009854BB">
      <w:pPr>
        <w:pStyle w:val="Indenta"/>
      </w:pPr>
      <w:r>
        <w:tab/>
        <w:t>(b)</w:t>
      </w:r>
      <w:r>
        <w:tab/>
        <w:t xml:space="preserve">using, in connection with an architectural service provided by person 1 — </w:t>
      </w:r>
    </w:p>
    <w:p w:rsidR="00E84A1B" w:rsidRDefault="009854BB">
      <w:pPr>
        <w:pStyle w:val="Indenti"/>
      </w:pPr>
      <w:r>
        <w:tab/>
        <w:t>(i)</w:t>
      </w:r>
      <w:r>
        <w:tab/>
        <w:t>the name of a registered person who is not a partner or employee of person 1; or</w:t>
      </w:r>
    </w:p>
    <w:p w:rsidR="00E84A1B" w:rsidRDefault="009854BB">
      <w:pPr>
        <w:pStyle w:val="Indenti"/>
      </w:pPr>
      <w:r>
        <w:tab/>
        <w:t>(ii)</w:t>
      </w:r>
      <w:r>
        <w:tab/>
        <w:t>the name of a licensed corporation of which person 1 is not an officer, employee or partner;</w:t>
      </w:r>
    </w:p>
    <w:p w:rsidR="00E84A1B" w:rsidRDefault="009854BB">
      <w:pPr>
        <w:pStyle w:val="Indenta"/>
      </w:pPr>
      <w:r>
        <w:tab/>
        <w:t>(c)</w:t>
      </w:r>
      <w:r>
        <w:tab/>
        <w:t>allowing a natural person (</w:t>
      </w:r>
      <w:r>
        <w:rPr>
          <w:rStyle w:val="CharDefText"/>
        </w:rPr>
        <w:t>person 2</w:t>
      </w:r>
      <w:r>
        <w:t xml:space="preserve">) to practise in person 1’s name in connection with an architectural service provided by person 2 if — </w:t>
      </w:r>
    </w:p>
    <w:p w:rsidR="00E84A1B" w:rsidRDefault="009854BB">
      <w:pPr>
        <w:pStyle w:val="Indenti"/>
      </w:pPr>
      <w:r>
        <w:tab/>
        <w:t>(i)</w:t>
      </w:r>
      <w:r>
        <w:tab/>
        <w:t>person 2 is not registered; or</w:t>
      </w:r>
    </w:p>
    <w:p w:rsidR="00E84A1B" w:rsidRDefault="009854BB">
      <w:pPr>
        <w:pStyle w:val="Indenti"/>
      </w:pPr>
      <w:r>
        <w:tab/>
        <w:t>(ii)</w:t>
      </w:r>
      <w:r>
        <w:tab/>
        <w:t xml:space="preserve">person 2 is registered but is not a partner or employee of person 1; </w:t>
      </w:r>
    </w:p>
    <w:p w:rsidR="00E84A1B" w:rsidRDefault="009854BB">
      <w:pPr>
        <w:pStyle w:val="Indenta"/>
      </w:pPr>
      <w:r>
        <w:tab/>
        <w:t>(d)</w:t>
      </w:r>
      <w:r>
        <w:tab/>
        <w:t xml:space="preserve">allowing a corporation to practise in person 1’s name in connection with an architectural service provided by the corporation if — </w:t>
      </w:r>
    </w:p>
    <w:p w:rsidR="00E84A1B" w:rsidRDefault="009854BB">
      <w:pPr>
        <w:pStyle w:val="Indenti"/>
      </w:pPr>
      <w:r>
        <w:tab/>
        <w:t>(i)</w:t>
      </w:r>
      <w:r>
        <w:tab/>
        <w:t>the corporation is not a licensed corporation; or</w:t>
      </w:r>
    </w:p>
    <w:p w:rsidR="00E84A1B" w:rsidRDefault="009854BB">
      <w:pPr>
        <w:pStyle w:val="Indenti"/>
      </w:pPr>
      <w:r>
        <w:tab/>
        <w:t>(ii)</w:t>
      </w:r>
      <w:r>
        <w:tab/>
        <w:t>the corporation is a licensed corporation but person 1 is not an officer of the corporation;</w:t>
      </w:r>
    </w:p>
    <w:p w:rsidR="00E84A1B" w:rsidRDefault="009854BB">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rsidR="00E84A1B" w:rsidRDefault="009854BB">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rsidR="00E84A1B" w:rsidRDefault="009854BB">
      <w:pPr>
        <w:pStyle w:val="Indenta"/>
      </w:pPr>
      <w:r>
        <w:tab/>
        <w:t>(g)</w:t>
      </w:r>
      <w:r>
        <w:tab/>
        <w:t xml:space="preserve">failing to disclose to a client a direct or indirect pecuniary interest (other than an interest in a public company) that person 1 has in any product or service that person 1 — </w:t>
      </w:r>
    </w:p>
    <w:p w:rsidR="00E84A1B" w:rsidRDefault="009854BB">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rsidR="00E84A1B" w:rsidRDefault="009854BB">
      <w:pPr>
        <w:pStyle w:val="Indenti"/>
        <w:rPr>
          <w:b/>
          <w:i/>
          <w:snapToGrid w:val="0"/>
        </w:rPr>
      </w:pPr>
      <w:r>
        <w:rPr>
          <w:snapToGrid w:val="0"/>
        </w:rPr>
        <w:tab/>
        <w:t>(ii)</w:t>
      </w:r>
      <w:r>
        <w:rPr>
          <w:snapToGrid w:val="0"/>
        </w:rPr>
        <w:tab/>
        <w:t>uses or causes to be used in connection with that project;</w:t>
      </w:r>
    </w:p>
    <w:p w:rsidR="00E84A1B" w:rsidRDefault="009854BB">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rsidR="00E84A1B" w:rsidRDefault="009854BB">
      <w:pPr>
        <w:pStyle w:val="Indenti"/>
        <w:rPr>
          <w:snapToGrid w:val="0"/>
        </w:rPr>
      </w:pPr>
      <w:r>
        <w:rPr>
          <w:snapToGrid w:val="0"/>
        </w:rPr>
        <w:tab/>
        <w:t>(i)</w:t>
      </w:r>
      <w:r>
        <w:rPr>
          <w:snapToGrid w:val="0"/>
        </w:rPr>
        <w:tab/>
        <w:t xml:space="preserve">the client’s written acknowledgment of the disclosure of the interest; and </w:t>
      </w:r>
    </w:p>
    <w:p w:rsidR="00E84A1B" w:rsidRDefault="009854BB">
      <w:pPr>
        <w:pStyle w:val="Indenti"/>
        <w:rPr>
          <w:snapToGrid w:val="0"/>
        </w:rPr>
      </w:pPr>
      <w:r>
        <w:tab/>
        <w:t>(ii)</w:t>
      </w:r>
      <w:r>
        <w:tab/>
        <w:t xml:space="preserve">the client’s written consent to </w:t>
      </w:r>
      <w:r>
        <w:rPr>
          <w:snapToGrid w:val="0"/>
        </w:rPr>
        <w:t>the use of the product or service.</w:t>
      </w:r>
    </w:p>
    <w:p w:rsidR="00E84A1B" w:rsidRDefault="009854BB">
      <w:pPr>
        <w:pStyle w:val="Heading2"/>
      </w:pPr>
      <w:bookmarkStart w:id="61" w:name="_Toc75348779"/>
      <w:bookmarkStart w:id="62" w:name="_Toc75349211"/>
      <w:bookmarkStart w:id="63" w:name="_Toc75503107"/>
      <w:r>
        <w:rPr>
          <w:rStyle w:val="CharPartNo"/>
        </w:rPr>
        <w:lastRenderedPageBreak/>
        <w:t>Part 6</w:t>
      </w:r>
      <w:r>
        <w:rPr>
          <w:rStyle w:val="CharDivNo"/>
        </w:rPr>
        <w:t> </w:t>
      </w:r>
      <w:r>
        <w:t>—</w:t>
      </w:r>
      <w:r>
        <w:rPr>
          <w:rStyle w:val="CharDivText"/>
        </w:rPr>
        <w:t> </w:t>
      </w:r>
      <w:r>
        <w:rPr>
          <w:rStyle w:val="CharPartText"/>
        </w:rPr>
        <w:t>Fees</w:t>
      </w:r>
      <w:bookmarkEnd w:id="61"/>
      <w:bookmarkEnd w:id="62"/>
      <w:bookmarkEnd w:id="63"/>
    </w:p>
    <w:p w:rsidR="00E84A1B" w:rsidRDefault="009854BB">
      <w:pPr>
        <w:pStyle w:val="Heading5"/>
      </w:pPr>
      <w:bookmarkStart w:id="64" w:name="_Toc75503108"/>
      <w:r>
        <w:rPr>
          <w:rStyle w:val="CharSectno"/>
        </w:rPr>
        <w:t>21</w:t>
      </w:r>
      <w:r>
        <w:t>.</w:t>
      </w:r>
      <w:r>
        <w:tab/>
        <w:t>Fees</w:t>
      </w:r>
      <w:bookmarkEnd w:id="64"/>
    </w:p>
    <w:p w:rsidR="00E84A1B" w:rsidRDefault="009854BB">
      <w:pPr>
        <w:pStyle w:val="Subsection"/>
      </w:pPr>
      <w:r>
        <w:tab/>
      </w:r>
      <w:r>
        <w:tab/>
        <w:t>The fee set out in column 3 of Schedule 1 in respect of a matter is prescribed in relation to the matter.</w:t>
      </w:r>
    </w:p>
    <w:p w:rsidR="00E84A1B" w:rsidRDefault="009854BB">
      <w:pPr>
        <w:pStyle w:val="Heading5"/>
      </w:pPr>
      <w:bookmarkStart w:id="65" w:name="_Toc75503109"/>
      <w:r>
        <w:rPr>
          <w:rStyle w:val="CharSectno"/>
        </w:rPr>
        <w:t>22</w:t>
      </w:r>
      <w:r>
        <w:t>.</w:t>
      </w:r>
      <w:r>
        <w:tab/>
        <w:t>Reduction, waiver or refund of fee payable or paid under s. 44(2) or 45</w:t>
      </w:r>
      <w:bookmarkEnd w:id="65"/>
    </w:p>
    <w:p w:rsidR="00E84A1B" w:rsidRDefault="009854BB">
      <w:pPr>
        <w:pStyle w:val="Subsection"/>
      </w:pPr>
      <w:r>
        <w:tab/>
      </w:r>
      <w:r>
        <w:tab/>
        <w:t xml:space="preserve">The Board may, if it considers it appropriate in the circumstances of the case to do so, reduce, waive or refund a fee payable or paid in any of the following circumstances — </w:t>
      </w:r>
    </w:p>
    <w:p w:rsidR="00E84A1B" w:rsidRDefault="009854BB">
      <w:pPr>
        <w:pStyle w:val="Indenta"/>
      </w:pPr>
      <w:r>
        <w:tab/>
        <w:t>(a)</w:t>
      </w:r>
      <w:r>
        <w:tab/>
        <w:t>by a person applying under section 44(2) to obtain a certified copy of a part of, or entry in, the register;</w:t>
      </w:r>
    </w:p>
    <w:p w:rsidR="00E84A1B" w:rsidRDefault="009854BB">
      <w:pPr>
        <w:pStyle w:val="Indenta"/>
      </w:pPr>
      <w:r>
        <w:tab/>
        <w:t>(b)</w:t>
      </w:r>
      <w:r>
        <w:tab/>
        <w:t>by a registered person or a licensed corporation applying under section 45 to amend the particulars entered in the register.</w:t>
      </w:r>
    </w:p>
    <w:p w:rsidR="00E84A1B" w:rsidRDefault="009854BB">
      <w:pPr>
        <w:pStyle w:val="Footnotesection"/>
      </w:pPr>
      <w:r>
        <w:tab/>
        <w:t>[Regulation 22 inserted: SL 2021/7 r. 5.]</w:t>
      </w:r>
    </w:p>
    <w:p w:rsidR="00E84A1B" w:rsidRDefault="009854BB">
      <w:pPr>
        <w:pStyle w:val="Heading2"/>
      </w:pPr>
      <w:bookmarkStart w:id="66" w:name="_Toc75348782"/>
      <w:bookmarkStart w:id="67" w:name="_Toc75349214"/>
      <w:bookmarkStart w:id="68" w:name="_Toc75503110"/>
      <w:r>
        <w:rPr>
          <w:rStyle w:val="CharPartNo"/>
        </w:rPr>
        <w:lastRenderedPageBreak/>
        <w:t>Part 7</w:t>
      </w:r>
      <w:r>
        <w:rPr>
          <w:rStyle w:val="CharDivNo"/>
        </w:rPr>
        <w:t> </w:t>
      </w:r>
      <w:r>
        <w:t>—</w:t>
      </w:r>
      <w:r>
        <w:rPr>
          <w:rStyle w:val="CharDivText"/>
        </w:rPr>
        <w:t> </w:t>
      </w:r>
      <w:r>
        <w:rPr>
          <w:rStyle w:val="CharPartText"/>
        </w:rPr>
        <w:t>Miscellaneous</w:t>
      </w:r>
      <w:bookmarkEnd w:id="66"/>
      <w:bookmarkEnd w:id="67"/>
      <w:bookmarkEnd w:id="68"/>
    </w:p>
    <w:p w:rsidR="00E84A1B" w:rsidRDefault="009854BB">
      <w:pPr>
        <w:pStyle w:val="Heading5"/>
      </w:pPr>
      <w:bookmarkStart w:id="69" w:name="_Toc75503111"/>
      <w:r>
        <w:rPr>
          <w:rStyle w:val="CharSectno"/>
        </w:rPr>
        <w:t>23</w:t>
      </w:r>
      <w:r>
        <w:t>.</w:t>
      </w:r>
      <w:r>
        <w:tab/>
        <w:t>Certificates of registration, licence documents to be available for inspection</w:t>
      </w:r>
      <w:bookmarkEnd w:id="69"/>
    </w:p>
    <w:p w:rsidR="00E84A1B" w:rsidRDefault="009854BB">
      <w:pPr>
        <w:pStyle w:val="Subsection"/>
      </w:pPr>
      <w:r>
        <w:tab/>
        <w:t>(1)</w:t>
      </w:r>
      <w:r>
        <w:tab/>
        <w:t>A registered person must ensure that a certificate of registration issued to the person is available for inspection by any person during business hours at the person’s registered address.</w:t>
      </w:r>
    </w:p>
    <w:p w:rsidR="00E84A1B" w:rsidRDefault="009854BB">
      <w:pPr>
        <w:pStyle w:val="Subsection"/>
      </w:pPr>
      <w:r>
        <w:tab/>
        <w:t>(2)</w:t>
      </w:r>
      <w:r>
        <w:tab/>
        <w:t>A licensed corporation must ensure that a licence document issued to the corporation is available for inspection by any person during business hours at the corporation’s registered address.</w:t>
      </w:r>
    </w:p>
    <w:p w:rsidR="00E84A1B" w:rsidRDefault="009854BB">
      <w:pPr>
        <w:pStyle w:val="Penstart"/>
      </w:pPr>
      <w:r>
        <w:tab/>
        <w:t>Penalty applicable to subregulations (1) and (2): a fine of $1 000.</w:t>
      </w:r>
    </w:p>
    <w:p w:rsidR="00E84A1B" w:rsidRDefault="009854BB">
      <w:pPr>
        <w:pStyle w:val="Heading5"/>
      </w:pPr>
      <w:bookmarkStart w:id="70" w:name="_Toc75503112"/>
      <w:r>
        <w:rPr>
          <w:rStyle w:val="CharSectno"/>
        </w:rPr>
        <w:t>24</w:t>
      </w:r>
      <w:r>
        <w:t>.</w:t>
      </w:r>
      <w:r>
        <w:tab/>
        <w:t>Advice about changes in practising status</w:t>
      </w:r>
      <w:bookmarkEnd w:id="70"/>
    </w:p>
    <w:p w:rsidR="00E84A1B" w:rsidRDefault="009854BB">
      <w:pPr>
        <w:pStyle w:val="Subsection"/>
      </w:pPr>
      <w:r>
        <w:tab/>
        <w:t>(1)</w:t>
      </w:r>
      <w:r>
        <w:tab/>
        <w:t>A registered person whose name is entered in division 2 of the register must give the registrar written advice if the person starts practising architecture.</w:t>
      </w:r>
    </w:p>
    <w:p w:rsidR="00E84A1B" w:rsidRDefault="009854BB">
      <w:pPr>
        <w:pStyle w:val="Subsection"/>
      </w:pPr>
      <w:r>
        <w:tab/>
        <w:t>(2)</w:t>
      </w:r>
      <w:r>
        <w:tab/>
        <w:t>A registered person whose name is entered in division 1 of the register must give the registrar written advice if the person stops practising architecture.</w:t>
      </w:r>
    </w:p>
    <w:p w:rsidR="00E84A1B" w:rsidRDefault="009854BB">
      <w:pPr>
        <w:pStyle w:val="Subsection"/>
      </w:pPr>
      <w:r>
        <w:tab/>
        <w:t>(3)</w:t>
      </w:r>
      <w:r>
        <w:tab/>
        <w:t>The advice referred to in subregulation (1) or (2) must be given no later than 30 days after the change occurs.</w:t>
      </w:r>
    </w:p>
    <w:p w:rsidR="00E84A1B" w:rsidRDefault="009854BB">
      <w:pPr>
        <w:pStyle w:val="Heading5"/>
      </w:pPr>
      <w:bookmarkStart w:id="71" w:name="_Toc75503113"/>
      <w:r>
        <w:rPr>
          <w:rStyle w:val="CharSectno"/>
        </w:rPr>
        <w:t>25</w:t>
      </w:r>
      <w:r>
        <w:t>.</w:t>
      </w:r>
      <w:r>
        <w:tab/>
        <w:t>Consent to use a name other than a name recorded in the register</w:t>
      </w:r>
      <w:bookmarkEnd w:id="71"/>
    </w:p>
    <w:p w:rsidR="00E84A1B" w:rsidRDefault="009854BB">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rsidR="00E84A1B" w:rsidRDefault="009854BB">
      <w:pPr>
        <w:pStyle w:val="Indenta"/>
      </w:pPr>
      <w:r>
        <w:tab/>
        <w:t>(a)</w:t>
      </w:r>
      <w:r>
        <w:tab/>
        <w:t>made in writing in a manner and form determined by the Board; and</w:t>
      </w:r>
    </w:p>
    <w:p w:rsidR="00E84A1B" w:rsidRDefault="009854BB">
      <w:pPr>
        <w:pStyle w:val="Indenta"/>
      </w:pPr>
      <w:r>
        <w:lastRenderedPageBreak/>
        <w:tab/>
        <w:t>(b)</w:t>
      </w:r>
      <w:r>
        <w:tab/>
        <w:t xml:space="preserve">accompanied by the fee prescribed by regulation 21 in relation to the application. </w:t>
      </w:r>
    </w:p>
    <w:p w:rsidR="00E84A1B" w:rsidRDefault="009854BB">
      <w:pPr>
        <w:pStyle w:val="Subsection"/>
      </w:pPr>
      <w:r>
        <w:tab/>
        <w:t>(2)</w:t>
      </w:r>
      <w:r>
        <w:tab/>
        <w:t>The applicant is to provide the Board with any further information that the Board requires in any particular case and is to verify the information by statutory declaration if required by the Board to do so.</w:t>
      </w:r>
    </w:p>
    <w:p w:rsidR="00E84A1B" w:rsidRDefault="009854BB">
      <w:pPr>
        <w:pStyle w:val="Subsection"/>
      </w:pPr>
      <w:r>
        <w:tab/>
        <w:t>(3)</w:t>
      </w:r>
      <w:r>
        <w:tab/>
        <w:t xml:space="preserve">Without limiting the kinds of condition that the Board may impose in relation to the name of the practice, the Board may impose as a condition of the giving of its consent — </w:t>
      </w:r>
    </w:p>
    <w:p w:rsidR="00E84A1B" w:rsidRDefault="009854BB">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rsidR="00E84A1B" w:rsidRDefault="009854BB">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rsidR="00E84A1B" w:rsidRDefault="00E84A1B">
      <w:pPr>
        <w:sectPr w:rsidR="00E84A1B">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AA284D" w:rsidRDefault="00AA284D" w:rsidP="00AA284D">
      <w:pPr>
        <w:pStyle w:val="yScheduleHeading"/>
      </w:pPr>
      <w:bookmarkStart w:id="72" w:name="_Toc75349218"/>
      <w:bookmarkStart w:id="73" w:name="_Toc75503114"/>
      <w:bookmarkStart w:id="74" w:name="_Toc75348786"/>
      <w:r w:rsidRPr="004C07F5">
        <w:rPr>
          <w:rStyle w:val="CharSchNo"/>
        </w:rPr>
        <w:lastRenderedPageBreak/>
        <w:t>Schedule 1</w:t>
      </w:r>
      <w:r>
        <w:t> — </w:t>
      </w:r>
      <w:r w:rsidRPr="004C07F5">
        <w:rPr>
          <w:rStyle w:val="CharSchText"/>
        </w:rPr>
        <w:t>Fees</w:t>
      </w:r>
      <w:bookmarkEnd w:id="72"/>
      <w:bookmarkEnd w:id="73"/>
    </w:p>
    <w:p w:rsidR="00AA284D" w:rsidRDefault="00AA284D" w:rsidP="00AA284D">
      <w:pPr>
        <w:pStyle w:val="yShoulderClause"/>
      </w:pPr>
      <w:r>
        <w:t>[r. 21]</w:t>
      </w:r>
    </w:p>
    <w:p w:rsidR="00AA284D" w:rsidRPr="004C07F5" w:rsidRDefault="00AA284D" w:rsidP="004C07F5">
      <w:pPr>
        <w:pStyle w:val="yFootnoteheading"/>
        <w:spacing w:after="120"/>
      </w:pPr>
      <w:r>
        <w:tab/>
        <w:t>[Heading inserted: SL 2021/86 r. 4.]</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43"/>
        <w:gridCol w:w="4257"/>
        <w:gridCol w:w="988"/>
      </w:tblGrid>
      <w:tr w:rsidR="00AA284D" w:rsidTr="004C07F5">
        <w:trPr>
          <w:cantSplit/>
          <w:tblHeader/>
        </w:trPr>
        <w:tc>
          <w:tcPr>
            <w:tcW w:w="1843" w:type="dxa"/>
            <w:noWrap/>
          </w:tcPr>
          <w:p w:rsidR="00AA284D" w:rsidRDefault="00AA284D" w:rsidP="00634D08">
            <w:pPr>
              <w:pStyle w:val="yTableNAm"/>
              <w:jc w:val="center"/>
              <w:rPr>
                <w:b/>
              </w:rPr>
            </w:pPr>
            <w:r>
              <w:rPr>
                <w:b/>
              </w:rPr>
              <w:t>Provision of Act or regulations</w:t>
            </w:r>
          </w:p>
        </w:tc>
        <w:tc>
          <w:tcPr>
            <w:tcW w:w="4257" w:type="dxa"/>
            <w:noWrap/>
            <w:vAlign w:val="bottom"/>
          </w:tcPr>
          <w:p w:rsidR="00AA284D" w:rsidRDefault="00AA284D" w:rsidP="00634D08">
            <w:pPr>
              <w:pStyle w:val="yTableNAm"/>
              <w:jc w:val="center"/>
              <w:rPr>
                <w:b/>
              </w:rPr>
            </w:pPr>
            <w:r>
              <w:rPr>
                <w:b/>
              </w:rPr>
              <w:t>Subject matter</w:t>
            </w:r>
          </w:p>
        </w:tc>
        <w:tc>
          <w:tcPr>
            <w:tcW w:w="988" w:type="dxa"/>
            <w:noWrap/>
            <w:vAlign w:val="bottom"/>
          </w:tcPr>
          <w:p w:rsidR="00AA284D" w:rsidRDefault="00AA284D" w:rsidP="00634D08">
            <w:pPr>
              <w:pStyle w:val="yTableNAm"/>
              <w:jc w:val="center"/>
              <w:rPr>
                <w:b/>
              </w:rPr>
            </w:pPr>
            <w:r>
              <w:rPr>
                <w:b/>
              </w:rPr>
              <w:t>Fee ($)</w:t>
            </w:r>
          </w:p>
        </w:tc>
      </w:tr>
      <w:tr w:rsidR="00AA284D" w:rsidTr="004C07F5">
        <w:trPr>
          <w:cantSplit/>
        </w:trPr>
        <w:tc>
          <w:tcPr>
            <w:tcW w:w="1843" w:type="dxa"/>
            <w:noWrap/>
          </w:tcPr>
          <w:p w:rsidR="00AA284D" w:rsidRDefault="00AA284D" w:rsidP="00634D08">
            <w:pPr>
              <w:pStyle w:val="yTableNAm"/>
            </w:pPr>
            <w:r>
              <w:t>s. 33(1)(b)(i)</w:t>
            </w:r>
          </w:p>
        </w:tc>
        <w:tc>
          <w:tcPr>
            <w:tcW w:w="4257" w:type="dxa"/>
            <w:noWrap/>
          </w:tcPr>
          <w:p w:rsidR="00AA284D" w:rsidRDefault="00AA284D" w:rsidP="00634D08">
            <w:pPr>
              <w:pStyle w:val="yTableNAm"/>
            </w:pPr>
            <w:r>
              <w:t>Application for registration</w:t>
            </w:r>
          </w:p>
        </w:tc>
        <w:tc>
          <w:tcPr>
            <w:tcW w:w="988" w:type="dxa"/>
            <w:noWrap/>
            <w:vAlign w:val="bottom"/>
          </w:tcPr>
          <w:p w:rsidR="00AA284D" w:rsidRDefault="00AA284D" w:rsidP="00634D08">
            <w:pPr>
              <w:pStyle w:val="yTableNAm"/>
              <w:jc w:val="right"/>
            </w:pPr>
            <w:r>
              <w:t>150.00</w:t>
            </w:r>
          </w:p>
        </w:tc>
      </w:tr>
      <w:tr w:rsidR="00AA284D" w:rsidTr="004C07F5">
        <w:trPr>
          <w:cantSplit/>
        </w:trPr>
        <w:tc>
          <w:tcPr>
            <w:tcW w:w="1843" w:type="dxa"/>
            <w:noWrap/>
          </w:tcPr>
          <w:p w:rsidR="00AA284D" w:rsidRDefault="00AA284D" w:rsidP="00634D08">
            <w:pPr>
              <w:pStyle w:val="yTableNAm"/>
            </w:pPr>
            <w:r>
              <w:t>s. 33(1)(b)(i)</w:t>
            </w:r>
          </w:p>
        </w:tc>
        <w:tc>
          <w:tcPr>
            <w:tcW w:w="4257" w:type="dxa"/>
            <w:noWrap/>
          </w:tcPr>
          <w:p w:rsidR="00AA284D" w:rsidRDefault="00AA284D" w:rsidP="00634D08">
            <w:pPr>
              <w:pStyle w:val="yTableNAm"/>
            </w:pPr>
            <w:r>
              <w:t>Application for grant of licence</w:t>
            </w:r>
          </w:p>
        </w:tc>
        <w:tc>
          <w:tcPr>
            <w:tcW w:w="988" w:type="dxa"/>
            <w:noWrap/>
            <w:vAlign w:val="bottom"/>
          </w:tcPr>
          <w:p w:rsidR="00AA284D" w:rsidRDefault="00AA284D" w:rsidP="00634D08">
            <w:pPr>
              <w:pStyle w:val="yTableNAm"/>
              <w:jc w:val="right"/>
            </w:pPr>
            <w:r>
              <w:t>270.00</w:t>
            </w:r>
          </w:p>
        </w:tc>
      </w:tr>
      <w:tr w:rsidR="00AA284D" w:rsidTr="004C07F5">
        <w:trPr>
          <w:cantSplit/>
        </w:trPr>
        <w:tc>
          <w:tcPr>
            <w:tcW w:w="1843" w:type="dxa"/>
            <w:noWrap/>
          </w:tcPr>
          <w:p w:rsidR="00AA284D" w:rsidRDefault="00AA284D" w:rsidP="00634D08">
            <w:pPr>
              <w:pStyle w:val="yTableNAm"/>
            </w:pPr>
            <w:r>
              <w:t>s. 33(1)(b)(ii)</w:t>
            </w:r>
          </w:p>
        </w:tc>
        <w:tc>
          <w:tcPr>
            <w:tcW w:w="4257" w:type="dxa"/>
            <w:noWrap/>
          </w:tcPr>
          <w:p w:rsidR="00AA284D" w:rsidRDefault="00AA284D" w:rsidP="00634D08">
            <w:pPr>
              <w:pStyle w:val="yTableNAm"/>
            </w:pPr>
            <w:r>
              <w:t>Registration fee</w:t>
            </w:r>
          </w:p>
        </w:tc>
        <w:tc>
          <w:tcPr>
            <w:tcW w:w="988" w:type="dxa"/>
            <w:noWrap/>
            <w:vAlign w:val="bottom"/>
          </w:tcPr>
          <w:p w:rsidR="00AA284D" w:rsidRDefault="00AA284D" w:rsidP="00634D08">
            <w:pPr>
              <w:pStyle w:val="yTableNAm"/>
              <w:jc w:val="right"/>
            </w:pPr>
            <w:r>
              <w:t>216.00</w:t>
            </w:r>
          </w:p>
        </w:tc>
      </w:tr>
      <w:tr w:rsidR="00AA284D" w:rsidTr="004C07F5">
        <w:trPr>
          <w:cantSplit/>
        </w:trPr>
        <w:tc>
          <w:tcPr>
            <w:tcW w:w="1843" w:type="dxa"/>
            <w:noWrap/>
          </w:tcPr>
          <w:p w:rsidR="00AA284D" w:rsidRDefault="00AA284D" w:rsidP="00634D08">
            <w:pPr>
              <w:pStyle w:val="yTableNAm"/>
            </w:pPr>
            <w:r>
              <w:t>s. 33(1)(b)(ii)</w:t>
            </w:r>
          </w:p>
        </w:tc>
        <w:tc>
          <w:tcPr>
            <w:tcW w:w="4257" w:type="dxa"/>
            <w:noWrap/>
          </w:tcPr>
          <w:p w:rsidR="00AA284D" w:rsidRDefault="00AA284D" w:rsidP="00634D08">
            <w:pPr>
              <w:pStyle w:val="yTableNAm"/>
            </w:pPr>
            <w:r>
              <w:t>Licence fee</w:t>
            </w:r>
          </w:p>
        </w:tc>
        <w:tc>
          <w:tcPr>
            <w:tcW w:w="988" w:type="dxa"/>
            <w:noWrap/>
            <w:vAlign w:val="bottom"/>
          </w:tcPr>
          <w:p w:rsidR="00AA284D" w:rsidRDefault="00AA284D" w:rsidP="00634D08">
            <w:pPr>
              <w:pStyle w:val="yTableNAm"/>
              <w:jc w:val="right"/>
            </w:pPr>
            <w:r>
              <w:t>375.00</w:t>
            </w:r>
          </w:p>
        </w:tc>
      </w:tr>
      <w:tr w:rsidR="00AA284D" w:rsidTr="004C07F5">
        <w:trPr>
          <w:cantSplit/>
        </w:trPr>
        <w:tc>
          <w:tcPr>
            <w:tcW w:w="1843" w:type="dxa"/>
            <w:noWrap/>
          </w:tcPr>
          <w:p w:rsidR="00AA284D" w:rsidRDefault="00AA284D" w:rsidP="00634D08">
            <w:pPr>
              <w:pStyle w:val="yTableNAm"/>
            </w:pPr>
            <w:r>
              <w:t>s. 37(1)</w:t>
            </w:r>
          </w:p>
        </w:tc>
        <w:tc>
          <w:tcPr>
            <w:tcW w:w="4257" w:type="dxa"/>
            <w:noWrap/>
          </w:tcPr>
          <w:p w:rsidR="00AA284D" w:rsidRDefault="00AA284D" w:rsidP="00634D08">
            <w:pPr>
              <w:pStyle w:val="yTableNAm"/>
            </w:pPr>
            <w:r>
              <w:t>Renewal of registration</w:t>
            </w:r>
          </w:p>
        </w:tc>
        <w:tc>
          <w:tcPr>
            <w:tcW w:w="988" w:type="dxa"/>
            <w:noWrap/>
            <w:vAlign w:val="bottom"/>
          </w:tcPr>
          <w:p w:rsidR="00AA284D" w:rsidRDefault="00AA284D" w:rsidP="00634D08">
            <w:pPr>
              <w:pStyle w:val="yTableNAm"/>
              <w:jc w:val="right"/>
            </w:pPr>
            <w:r>
              <w:t>247.00</w:t>
            </w:r>
          </w:p>
        </w:tc>
      </w:tr>
      <w:tr w:rsidR="00AA284D" w:rsidTr="004C07F5">
        <w:trPr>
          <w:cantSplit/>
        </w:trPr>
        <w:tc>
          <w:tcPr>
            <w:tcW w:w="1843" w:type="dxa"/>
            <w:noWrap/>
          </w:tcPr>
          <w:p w:rsidR="00AA284D" w:rsidRDefault="00AA284D" w:rsidP="00634D08">
            <w:pPr>
              <w:pStyle w:val="yTableNAm"/>
            </w:pPr>
            <w:r>
              <w:t>s. 37(1)</w:t>
            </w:r>
          </w:p>
        </w:tc>
        <w:tc>
          <w:tcPr>
            <w:tcW w:w="4257" w:type="dxa"/>
            <w:noWrap/>
          </w:tcPr>
          <w:p w:rsidR="00AA284D" w:rsidRDefault="00AA284D" w:rsidP="00634D08">
            <w:pPr>
              <w:pStyle w:val="yTableNAm"/>
            </w:pPr>
            <w:r>
              <w:t>Renewal of licence</w:t>
            </w:r>
          </w:p>
        </w:tc>
        <w:tc>
          <w:tcPr>
            <w:tcW w:w="988" w:type="dxa"/>
            <w:noWrap/>
            <w:vAlign w:val="bottom"/>
          </w:tcPr>
          <w:p w:rsidR="00AA284D" w:rsidRDefault="00AA284D" w:rsidP="00634D08">
            <w:pPr>
              <w:pStyle w:val="yTableNAm"/>
              <w:jc w:val="right"/>
            </w:pPr>
            <w:r>
              <w:t>463.00</w:t>
            </w:r>
          </w:p>
        </w:tc>
      </w:tr>
      <w:tr w:rsidR="00AA284D" w:rsidTr="004C07F5">
        <w:trPr>
          <w:cantSplit/>
        </w:trPr>
        <w:tc>
          <w:tcPr>
            <w:tcW w:w="1843" w:type="dxa"/>
            <w:noWrap/>
          </w:tcPr>
          <w:p w:rsidR="00AA284D" w:rsidRDefault="00AA284D" w:rsidP="00634D08">
            <w:pPr>
              <w:pStyle w:val="yTableNAm"/>
            </w:pPr>
            <w:r>
              <w:t>s. 37(2)(c)</w:t>
            </w:r>
          </w:p>
        </w:tc>
        <w:tc>
          <w:tcPr>
            <w:tcW w:w="4257" w:type="dxa"/>
            <w:noWrap/>
          </w:tcPr>
          <w:p w:rsidR="00AA284D" w:rsidRDefault="00AA284D" w:rsidP="00634D08">
            <w:pPr>
              <w:pStyle w:val="yTableNAm"/>
            </w:pPr>
            <w:r>
              <w:t>Restoration of name to the register if name removed under s. 37(1)</w:t>
            </w:r>
          </w:p>
        </w:tc>
        <w:tc>
          <w:tcPr>
            <w:tcW w:w="988" w:type="dxa"/>
            <w:noWrap/>
            <w:vAlign w:val="bottom"/>
          </w:tcPr>
          <w:p w:rsidR="00AA284D" w:rsidRDefault="00AA284D" w:rsidP="00634D08">
            <w:pPr>
              <w:pStyle w:val="yTableNAm"/>
              <w:jc w:val="right"/>
            </w:pPr>
            <w:r>
              <w:t>59.00</w:t>
            </w:r>
          </w:p>
        </w:tc>
      </w:tr>
      <w:tr w:rsidR="00AA284D" w:rsidTr="004C07F5">
        <w:trPr>
          <w:cantSplit/>
        </w:trPr>
        <w:tc>
          <w:tcPr>
            <w:tcW w:w="1843" w:type="dxa"/>
            <w:noWrap/>
          </w:tcPr>
          <w:p w:rsidR="00AA284D" w:rsidRDefault="00AA284D" w:rsidP="00634D08">
            <w:pPr>
              <w:pStyle w:val="yTableNAm"/>
            </w:pPr>
            <w:r>
              <w:t>s. 44(2)</w:t>
            </w:r>
          </w:p>
        </w:tc>
        <w:tc>
          <w:tcPr>
            <w:tcW w:w="4257" w:type="dxa"/>
            <w:noWrap/>
          </w:tcPr>
          <w:p w:rsidR="00AA284D" w:rsidRDefault="00AA284D" w:rsidP="00634D08">
            <w:pPr>
              <w:pStyle w:val="yTableNAm"/>
            </w:pPr>
            <w:r>
              <w:t>Certified copy of part of, or entry in, the register</w:t>
            </w:r>
          </w:p>
        </w:tc>
        <w:tc>
          <w:tcPr>
            <w:tcW w:w="988" w:type="dxa"/>
            <w:noWrap/>
            <w:vAlign w:val="bottom"/>
          </w:tcPr>
          <w:p w:rsidR="00AA284D" w:rsidRDefault="00AA284D" w:rsidP="00634D08">
            <w:pPr>
              <w:pStyle w:val="yTableNAm"/>
              <w:jc w:val="right"/>
            </w:pPr>
            <w:r>
              <w:t>75.00</w:t>
            </w:r>
          </w:p>
        </w:tc>
      </w:tr>
      <w:tr w:rsidR="00AA284D" w:rsidTr="004C07F5">
        <w:trPr>
          <w:cantSplit/>
        </w:trPr>
        <w:tc>
          <w:tcPr>
            <w:tcW w:w="1843" w:type="dxa"/>
            <w:noWrap/>
          </w:tcPr>
          <w:p w:rsidR="00AA284D" w:rsidRDefault="00AA284D" w:rsidP="00634D08">
            <w:pPr>
              <w:pStyle w:val="yTableNAm"/>
            </w:pPr>
            <w:r>
              <w:t>s. 45</w:t>
            </w:r>
          </w:p>
        </w:tc>
        <w:tc>
          <w:tcPr>
            <w:tcW w:w="4257" w:type="dxa"/>
            <w:noWrap/>
          </w:tcPr>
          <w:p w:rsidR="00AA284D" w:rsidRDefault="00AA284D" w:rsidP="00634D08">
            <w:pPr>
              <w:pStyle w:val="yTableNAm"/>
            </w:pPr>
            <w:r>
              <w:t>Amendment of particulars entered in the register</w:t>
            </w:r>
          </w:p>
        </w:tc>
        <w:tc>
          <w:tcPr>
            <w:tcW w:w="988" w:type="dxa"/>
            <w:noWrap/>
            <w:vAlign w:val="bottom"/>
          </w:tcPr>
          <w:p w:rsidR="00AA284D" w:rsidRDefault="00AA284D" w:rsidP="00634D08">
            <w:pPr>
              <w:pStyle w:val="yTableNAm"/>
              <w:jc w:val="right"/>
            </w:pPr>
            <w:r>
              <w:t>27.00</w:t>
            </w:r>
          </w:p>
        </w:tc>
      </w:tr>
      <w:tr w:rsidR="00AA284D" w:rsidTr="004C07F5">
        <w:trPr>
          <w:cantSplit/>
        </w:trPr>
        <w:tc>
          <w:tcPr>
            <w:tcW w:w="1843" w:type="dxa"/>
            <w:noWrap/>
          </w:tcPr>
          <w:p w:rsidR="00AA284D" w:rsidRDefault="00AA284D" w:rsidP="00634D08">
            <w:pPr>
              <w:pStyle w:val="yTableNAm"/>
            </w:pPr>
            <w:r>
              <w:t>s. 51(2)</w:t>
            </w:r>
          </w:p>
        </w:tc>
        <w:tc>
          <w:tcPr>
            <w:tcW w:w="4257" w:type="dxa"/>
            <w:noWrap/>
          </w:tcPr>
          <w:p w:rsidR="00AA284D" w:rsidRDefault="00AA284D" w:rsidP="00634D08">
            <w:pPr>
              <w:pStyle w:val="yTableNAm"/>
            </w:pPr>
            <w:r>
              <w:t>Restoration of name to the register if name removed under s. 47 or 49</w:t>
            </w:r>
          </w:p>
        </w:tc>
        <w:tc>
          <w:tcPr>
            <w:tcW w:w="988" w:type="dxa"/>
            <w:noWrap/>
            <w:vAlign w:val="bottom"/>
          </w:tcPr>
          <w:p w:rsidR="00AA284D" w:rsidRDefault="00AA284D" w:rsidP="00634D08">
            <w:pPr>
              <w:pStyle w:val="yTableNAm"/>
              <w:jc w:val="right"/>
            </w:pPr>
            <w:r>
              <w:t>27.00</w:t>
            </w:r>
          </w:p>
        </w:tc>
      </w:tr>
      <w:tr w:rsidR="00AA284D" w:rsidTr="004C07F5">
        <w:trPr>
          <w:cantSplit/>
        </w:trPr>
        <w:tc>
          <w:tcPr>
            <w:tcW w:w="1843" w:type="dxa"/>
            <w:noWrap/>
          </w:tcPr>
          <w:p w:rsidR="00AA284D" w:rsidRDefault="00AA284D" w:rsidP="00634D08">
            <w:pPr>
              <w:pStyle w:val="yTableNAm"/>
            </w:pPr>
            <w:r>
              <w:t>s. 51(5)</w:t>
            </w:r>
          </w:p>
        </w:tc>
        <w:tc>
          <w:tcPr>
            <w:tcW w:w="4257" w:type="dxa"/>
            <w:noWrap/>
          </w:tcPr>
          <w:p w:rsidR="00AA284D" w:rsidRDefault="00AA284D" w:rsidP="00634D08">
            <w:pPr>
              <w:pStyle w:val="yTableNAm"/>
            </w:pPr>
            <w:r>
              <w:t>Restoration of name to the register if name removed by way of disciplinary action</w:t>
            </w:r>
          </w:p>
        </w:tc>
        <w:tc>
          <w:tcPr>
            <w:tcW w:w="988" w:type="dxa"/>
            <w:noWrap/>
            <w:vAlign w:val="bottom"/>
          </w:tcPr>
          <w:p w:rsidR="00AA284D" w:rsidRDefault="00AA284D" w:rsidP="00634D08">
            <w:pPr>
              <w:pStyle w:val="yTableNAm"/>
              <w:jc w:val="right"/>
            </w:pPr>
            <w:r>
              <w:t>51.00</w:t>
            </w:r>
          </w:p>
        </w:tc>
      </w:tr>
      <w:tr w:rsidR="00AA284D" w:rsidTr="004C07F5">
        <w:trPr>
          <w:cantSplit/>
        </w:trPr>
        <w:tc>
          <w:tcPr>
            <w:tcW w:w="1843" w:type="dxa"/>
            <w:noWrap/>
          </w:tcPr>
          <w:p w:rsidR="00AA284D" w:rsidRDefault="00AA284D" w:rsidP="00634D08">
            <w:pPr>
              <w:pStyle w:val="yTableNAm"/>
            </w:pPr>
            <w:r>
              <w:t>s. 71(2)(j) and r. 14(2)</w:t>
            </w:r>
          </w:p>
        </w:tc>
        <w:tc>
          <w:tcPr>
            <w:tcW w:w="4257" w:type="dxa"/>
            <w:noWrap/>
          </w:tcPr>
          <w:p w:rsidR="00AA284D" w:rsidRDefault="00AA284D" w:rsidP="00634D08">
            <w:pPr>
              <w:pStyle w:val="yTableNAm"/>
            </w:pPr>
            <w:r>
              <w:t>Assessment of eligibility for, and taking, the National Examination Paper examination</w:t>
            </w:r>
          </w:p>
        </w:tc>
        <w:tc>
          <w:tcPr>
            <w:tcW w:w="988" w:type="dxa"/>
            <w:noWrap/>
            <w:vAlign w:val="bottom"/>
          </w:tcPr>
          <w:p w:rsidR="00AA284D" w:rsidRDefault="00AA284D" w:rsidP="00634D08">
            <w:pPr>
              <w:pStyle w:val="yTableNAm"/>
              <w:jc w:val="right"/>
            </w:pPr>
            <w:r>
              <w:t>465.00</w:t>
            </w:r>
          </w:p>
        </w:tc>
      </w:tr>
      <w:tr w:rsidR="00AA284D" w:rsidTr="004C07F5">
        <w:trPr>
          <w:cantSplit/>
        </w:trPr>
        <w:tc>
          <w:tcPr>
            <w:tcW w:w="1843" w:type="dxa"/>
            <w:noWrap/>
          </w:tcPr>
          <w:p w:rsidR="00AA284D" w:rsidRDefault="00AA284D" w:rsidP="00634D08">
            <w:pPr>
              <w:pStyle w:val="yTableNAm"/>
            </w:pPr>
            <w:r>
              <w:t>s. 71(2)(j) and r. 14(2)</w:t>
            </w:r>
          </w:p>
        </w:tc>
        <w:tc>
          <w:tcPr>
            <w:tcW w:w="4257" w:type="dxa"/>
            <w:noWrap/>
          </w:tcPr>
          <w:p w:rsidR="00AA284D" w:rsidRDefault="00AA284D" w:rsidP="00634D08">
            <w:pPr>
              <w:pStyle w:val="yTableNAm"/>
            </w:pPr>
            <w:r>
              <w:t>Taking the Examination by Interview</w:t>
            </w:r>
          </w:p>
          <w:p w:rsidR="00AA284D" w:rsidRDefault="00AA284D" w:rsidP="00634D08">
            <w:pPr>
              <w:pStyle w:val="yTableNAm"/>
              <w:rPr>
                <w:rStyle w:val="DraftersNotes"/>
              </w:rPr>
            </w:pPr>
            <w:r>
              <w:t>Supplementary Examination by Interview</w:t>
            </w:r>
          </w:p>
        </w:tc>
        <w:tc>
          <w:tcPr>
            <w:tcW w:w="988" w:type="dxa"/>
            <w:noWrap/>
            <w:vAlign w:val="bottom"/>
          </w:tcPr>
          <w:p w:rsidR="00AA284D" w:rsidRDefault="00AA284D" w:rsidP="00634D08">
            <w:pPr>
              <w:pStyle w:val="yTableNAm"/>
              <w:jc w:val="right"/>
            </w:pPr>
            <w:r>
              <w:t>395.00</w:t>
            </w:r>
          </w:p>
          <w:p w:rsidR="00AA284D" w:rsidRDefault="00AA284D" w:rsidP="00634D08">
            <w:pPr>
              <w:pStyle w:val="yTableNAm"/>
              <w:jc w:val="right"/>
            </w:pPr>
            <w:r>
              <w:t>395.00</w:t>
            </w:r>
          </w:p>
        </w:tc>
      </w:tr>
      <w:tr w:rsidR="00AA284D" w:rsidTr="004C07F5">
        <w:trPr>
          <w:cantSplit/>
        </w:trPr>
        <w:tc>
          <w:tcPr>
            <w:tcW w:w="1843" w:type="dxa"/>
            <w:noWrap/>
          </w:tcPr>
          <w:p w:rsidR="00AA284D" w:rsidRDefault="00AA284D" w:rsidP="00634D08">
            <w:pPr>
              <w:pStyle w:val="yTableNAm"/>
            </w:pPr>
            <w:r>
              <w:lastRenderedPageBreak/>
              <w:t>s. 71(2)(j) and r. 25(1)(b)</w:t>
            </w:r>
          </w:p>
        </w:tc>
        <w:tc>
          <w:tcPr>
            <w:tcW w:w="4257" w:type="dxa"/>
            <w:noWrap/>
          </w:tcPr>
          <w:p w:rsidR="00AA284D" w:rsidRDefault="00AA284D" w:rsidP="00634D08">
            <w:pPr>
              <w:pStyle w:val="yTableNAm"/>
            </w:pPr>
            <w:r>
              <w:t>Application for Board’s consent to a name under which a person or corporation can carry on the practice of architecture</w:t>
            </w:r>
          </w:p>
        </w:tc>
        <w:tc>
          <w:tcPr>
            <w:tcW w:w="988" w:type="dxa"/>
            <w:noWrap/>
            <w:vAlign w:val="bottom"/>
          </w:tcPr>
          <w:p w:rsidR="00AA284D" w:rsidRDefault="00AA284D" w:rsidP="00634D08">
            <w:pPr>
              <w:pStyle w:val="yTableNAm"/>
              <w:jc w:val="right"/>
            </w:pPr>
            <w:r>
              <w:t>150.00</w:t>
            </w:r>
          </w:p>
        </w:tc>
      </w:tr>
    </w:tbl>
    <w:p w:rsidR="00AA284D" w:rsidRPr="004C07F5" w:rsidRDefault="00AA284D" w:rsidP="004C07F5">
      <w:pPr>
        <w:pStyle w:val="yFootnotesection"/>
      </w:pPr>
      <w:r>
        <w:tab/>
        <w:t>[Schedule 1 inserted: SL 2021/86 r. 4.]</w:t>
      </w:r>
    </w:p>
    <w:bookmarkEnd w:id="74"/>
    <w:p w:rsidR="00E84A1B" w:rsidRDefault="009854B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84A1B" w:rsidRDefault="00E84A1B">
      <w:pPr>
        <w:sectPr w:rsidR="00E84A1B">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E84A1B" w:rsidRDefault="009854BB">
      <w:pPr>
        <w:pStyle w:val="nHeading2"/>
      </w:pPr>
      <w:bookmarkStart w:id="76" w:name="_Toc75348787"/>
      <w:bookmarkStart w:id="77" w:name="_Toc75349219"/>
      <w:bookmarkStart w:id="78" w:name="_Toc75503115"/>
      <w:r>
        <w:lastRenderedPageBreak/>
        <w:t>Notes</w:t>
      </w:r>
      <w:bookmarkEnd w:id="76"/>
      <w:bookmarkEnd w:id="77"/>
      <w:bookmarkEnd w:id="78"/>
    </w:p>
    <w:p w:rsidR="00E84A1B" w:rsidRDefault="009854BB">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w:t>
      </w:r>
    </w:p>
    <w:p w:rsidR="00E84A1B" w:rsidRDefault="009854BB">
      <w:pPr>
        <w:pStyle w:val="nHeading3"/>
      </w:pPr>
      <w:bookmarkStart w:id="79" w:name="_Toc75503116"/>
      <w:r>
        <w:t>Compilation table</w:t>
      </w:r>
      <w:bookmarkEnd w:id="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84A1B" w:rsidTr="00AA284D">
        <w:trPr>
          <w:tblHeader/>
        </w:trPr>
        <w:tc>
          <w:tcPr>
            <w:tcW w:w="3118" w:type="dxa"/>
          </w:tcPr>
          <w:p w:rsidR="00E84A1B" w:rsidRDefault="009854BB">
            <w:pPr>
              <w:pStyle w:val="nTable"/>
              <w:spacing w:after="40"/>
              <w:rPr>
                <w:b/>
              </w:rPr>
            </w:pPr>
            <w:r>
              <w:rPr>
                <w:b/>
              </w:rPr>
              <w:t>Citation</w:t>
            </w:r>
          </w:p>
        </w:tc>
        <w:tc>
          <w:tcPr>
            <w:tcW w:w="1276" w:type="dxa"/>
          </w:tcPr>
          <w:p w:rsidR="00E84A1B" w:rsidRDefault="009854BB">
            <w:pPr>
              <w:pStyle w:val="nTable"/>
              <w:spacing w:after="40"/>
              <w:rPr>
                <w:b/>
              </w:rPr>
            </w:pPr>
            <w:r>
              <w:rPr>
                <w:b/>
              </w:rPr>
              <w:t>Published</w:t>
            </w:r>
          </w:p>
        </w:tc>
        <w:tc>
          <w:tcPr>
            <w:tcW w:w="2693" w:type="dxa"/>
          </w:tcPr>
          <w:p w:rsidR="00E84A1B" w:rsidRDefault="009854BB">
            <w:pPr>
              <w:pStyle w:val="nTable"/>
              <w:spacing w:after="40"/>
              <w:rPr>
                <w:b/>
              </w:rPr>
            </w:pPr>
            <w:r>
              <w:rPr>
                <w:b/>
              </w:rPr>
              <w:t>Commencement</w:t>
            </w:r>
          </w:p>
        </w:tc>
      </w:tr>
      <w:tr w:rsidR="00E84A1B" w:rsidTr="00AA284D">
        <w:tblPrEx>
          <w:tblBorders>
            <w:top w:val="none" w:sz="0" w:space="0" w:color="auto"/>
            <w:bottom w:val="none" w:sz="0" w:space="0" w:color="auto"/>
            <w:insideH w:val="none" w:sz="0" w:space="0" w:color="auto"/>
          </w:tblBorders>
        </w:tblPrEx>
        <w:tc>
          <w:tcPr>
            <w:tcW w:w="3118" w:type="dxa"/>
            <w:tcBorders>
              <w:top w:val="single" w:sz="8" w:space="0" w:color="auto"/>
            </w:tcBorders>
          </w:tcPr>
          <w:p w:rsidR="00E84A1B" w:rsidRDefault="009854BB">
            <w:pPr>
              <w:pStyle w:val="nTable"/>
              <w:spacing w:after="40"/>
            </w:pPr>
            <w:r>
              <w:rPr>
                <w:i/>
                <w:noProof/>
                <w:snapToGrid w:val="0"/>
              </w:rPr>
              <w:t>Architects Regulations 2005</w:t>
            </w:r>
          </w:p>
        </w:tc>
        <w:tc>
          <w:tcPr>
            <w:tcW w:w="1276" w:type="dxa"/>
            <w:tcBorders>
              <w:top w:val="single" w:sz="8" w:space="0" w:color="auto"/>
            </w:tcBorders>
          </w:tcPr>
          <w:p w:rsidR="00E84A1B" w:rsidRDefault="009854BB">
            <w:pPr>
              <w:pStyle w:val="nTable"/>
              <w:spacing w:after="40"/>
            </w:pPr>
            <w:r>
              <w:t>15 Nov 2005 p. 5608</w:t>
            </w:r>
            <w:r>
              <w:noBreakHyphen/>
              <w:t>19</w:t>
            </w:r>
          </w:p>
        </w:tc>
        <w:tc>
          <w:tcPr>
            <w:tcW w:w="2693" w:type="dxa"/>
            <w:tcBorders>
              <w:top w:val="single" w:sz="8" w:space="0" w:color="auto"/>
            </w:tcBorders>
          </w:tcPr>
          <w:p w:rsidR="00E84A1B" w:rsidRDefault="009854BB">
            <w:pPr>
              <w:pStyle w:val="nTable"/>
              <w:spacing w:after="40"/>
            </w:pPr>
            <w:r>
              <w:t xml:space="preserve">16 Nov 2005 (see r. 2 and </w:t>
            </w:r>
            <w:r>
              <w:rPr>
                <w:i/>
                <w:iCs/>
              </w:rPr>
              <w:t xml:space="preserve">Gazette </w:t>
            </w:r>
            <w:r>
              <w:t>15 Nov 2005 p. 5597)</w:t>
            </w:r>
          </w:p>
        </w:tc>
      </w:tr>
      <w:tr w:rsidR="00E84A1B" w:rsidTr="00AA284D">
        <w:tblPrEx>
          <w:tblBorders>
            <w:top w:val="none" w:sz="0" w:space="0" w:color="auto"/>
            <w:bottom w:val="none" w:sz="0" w:space="0" w:color="auto"/>
            <w:insideH w:val="none" w:sz="0" w:space="0" w:color="auto"/>
          </w:tblBorders>
        </w:tblPrEx>
        <w:tc>
          <w:tcPr>
            <w:tcW w:w="3118" w:type="dxa"/>
          </w:tcPr>
          <w:p w:rsidR="00E84A1B" w:rsidRDefault="009854BB">
            <w:pPr>
              <w:pStyle w:val="nTable"/>
              <w:spacing w:after="40"/>
              <w:rPr>
                <w:i/>
                <w:noProof/>
                <w:snapToGrid w:val="0"/>
              </w:rPr>
            </w:pPr>
            <w:r>
              <w:rPr>
                <w:i/>
                <w:noProof/>
                <w:snapToGrid w:val="0"/>
              </w:rPr>
              <w:t>Architects Amendment Regulations 2007</w:t>
            </w:r>
          </w:p>
        </w:tc>
        <w:tc>
          <w:tcPr>
            <w:tcW w:w="1276" w:type="dxa"/>
          </w:tcPr>
          <w:p w:rsidR="00E84A1B" w:rsidRDefault="009854BB">
            <w:pPr>
              <w:pStyle w:val="nTable"/>
              <w:spacing w:after="40"/>
            </w:pPr>
            <w:r>
              <w:t>28 Dec 2007 p. 6411</w:t>
            </w:r>
            <w:r>
              <w:noBreakHyphen/>
              <w:t>14</w:t>
            </w:r>
          </w:p>
        </w:tc>
        <w:tc>
          <w:tcPr>
            <w:tcW w:w="2693" w:type="dxa"/>
          </w:tcPr>
          <w:p w:rsidR="00E84A1B" w:rsidRDefault="009854BB">
            <w:pPr>
              <w:pStyle w:val="nTable"/>
              <w:spacing w:after="40"/>
            </w:pPr>
            <w:r>
              <w:t>r. 1 and 2: 28 Dec 2007 (see r. 2(a));</w:t>
            </w:r>
            <w:r>
              <w:br/>
              <w:t>Regulations other than r. 1 and 2: 1 Jan 2008 (see r. 2(b))</w:t>
            </w:r>
          </w:p>
        </w:tc>
      </w:tr>
      <w:tr w:rsidR="00E84A1B" w:rsidTr="00AA284D">
        <w:tblPrEx>
          <w:tblBorders>
            <w:top w:val="none" w:sz="0" w:space="0" w:color="auto"/>
            <w:bottom w:val="none" w:sz="0" w:space="0" w:color="auto"/>
            <w:insideH w:val="none" w:sz="0" w:space="0" w:color="auto"/>
          </w:tblBorders>
        </w:tblPrEx>
        <w:trPr>
          <w:cantSplit/>
        </w:trPr>
        <w:tc>
          <w:tcPr>
            <w:tcW w:w="7087" w:type="dxa"/>
            <w:gridSpan w:val="3"/>
          </w:tcPr>
          <w:p w:rsidR="00E84A1B" w:rsidRDefault="009854BB">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rsidR="00E84A1B" w:rsidTr="00AA284D">
        <w:tblPrEx>
          <w:tblBorders>
            <w:top w:val="none" w:sz="0" w:space="0" w:color="auto"/>
            <w:bottom w:val="none" w:sz="0" w:space="0" w:color="auto"/>
            <w:insideH w:val="none" w:sz="0" w:space="0" w:color="auto"/>
          </w:tblBorders>
        </w:tblPrEx>
        <w:tc>
          <w:tcPr>
            <w:tcW w:w="3118" w:type="dxa"/>
          </w:tcPr>
          <w:p w:rsidR="00E84A1B" w:rsidRDefault="009854BB">
            <w:pPr>
              <w:pStyle w:val="nTable"/>
              <w:spacing w:after="40"/>
              <w:rPr>
                <w:i/>
                <w:noProof/>
                <w:snapToGrid w:val="0"/>
              </w:rPr>
            </w:pPr>
            <w:r>
              <w:rPr>
                <w:i/>
                <w:noProof/>
                <w:snapToGrid w:val="0"/>
              </w:rPr>
              <w:t>Architects Amendment Regulations 2009</w:t>
            </w:r>
          </w:p>
        </w:tc>
        <w:tc>
          <w:tcPr>
            <w:tcW w:w="1276" w:type="dxa"/>
          </w:tcPr>
          <w:p w:rsidR="00E84A1B" w:rsidRDefault="009854BB">
            <w:pPr>
              <w:pStyle w:val="nTable"/>
              <w:spacing w:after="40"/>
            </w:pPr>
            <w:r>
              <w:t>30 Jun 2009 p. 2621-2</w:t>
            </w:r>
          </w:p>
        </w:tc>
        <w:tc>
          <w:tcPr>
            <w:tcW w:w="2693" w:type="dxa"/>
          </w:tcPr>
          <w:p w:rsidR="00E84A1B" w:rsidRDefault="009854BB">
            <w:pPr>
              <w:pStyle w:val="nTable"/>
              <w:spacing w:after="40"/>
            </w:pPr>
            <w:r>
              <w:t>r. 1 and 2: 30 Jun 2009 (see r. 2(a));</w:t>
            </w:r>
            <w:r>
              <w:br/>
              <w:t>Regulations other than r. 1 and 2: 1 Jul 2009 (see r. 2(b))</w:t>
            </w:r>
          </w:p>
        </w:tc>
      </w:tr>
      <w:tr w:rsidR="00E84A1B" w:rsidTr="00AA284D">
        <w:tblPrEx>
          <w:tblBorders>
            <w:top w:val="none" w:sz="0" w:space="0" w:color="auto"/>
            <w:bottom w:val="none" w:sz="0" w:space="0" w:color="auto"/>
            <w:insideH w:val="none" w:sz="0" w:space="0" w:color="auto"/>
          </w:tblBorders>
        </w:tblPrEx>
        <w:tc>
          <w:tcPr>
            <w:tcW w:w="3118" w:type="dxa"/>
          </w:tcPr>
          <w:p w:rsidR="00E84A1B" w:rsidRDefault="009854BB">
            <w:pPr>
              <w:pStyle w:val="nTable"/>
              <w:spacing w:after="40"/>
              <w:rPr>
                <w:i/>
                <w:noProof/>
                <w:snapToGrid w:val="0"/>
              </w:rPr>
            </w:pPr>
            <w:r>
              <w:rPr>
                <w:i/>
                <w:noProof/>
                <w:snapToGrid w:val="0"/>
              </w:rPr>
              <w:t>Architects Amendment Regulations 2013</w:t>
            </w:r>
          </w:p>
        </w:tc>
        <w:tc>
          <w:tcPr>
            <w:tcW w:w="1276" w:type="dxa"/>
          </w:tcPr>
          <w:p w:rsidR="00E84A1B" w:rsidRDefault="009854BB">
            <w:pPr>
              <w:pStyle w:val="nTable"/>
              <w:spacing w:after="40"/>
            </w:pPr>
            <w:r>
              <w:t>27 Jun 2013 p. 2659-60</w:t>
            </w:r>
          </w:p>
        </w:tc>
        <w:tc>
          <w:tcPr>
            <w:tcW w:w="2693" w:type="dxa"/>
          </w:tcPr>
          <w:p w:rsidR="00E84A1B" w:rsidRDefault="009854BB">
            <w:pPr>
              <w:pStyle w:val="nTable"/>
              <w:spacing w:after="40"/>
            </w:pPr>
            <w:r>
              <w:t>r. 1 and 2: 27 Jun 2013 (see r. 2(a));</w:t>
            </w:r>
            <w:r>
              <w:br/>
              <w:t>Regulations other than r. 1 and 2: 1 Jul 2013 (see r. 2(b))</w:t>
            </w:r>
          </w:p>
        </w:tc>
      </w:tr>
      <w:tr w:rsidR="00E84A1B" w:rsidTr="00AA284D">
        <w:tblPrEx>
          <w:tblBorders>
            <w:top w:val="none" w:sz="0" w:space="0" w:color="auto"/>
            <w:bottom w:val="none" w:sz="0" w:space="0" w:color="auto"/>
            <w:insideH w:val="none" w:sz="0" w:space="0" w:color="auto"/>
          </w:tblBorders>
        </w:tblPrEx>
        <w:tc>
          <w:tcPr>
            <w:tcW w:w="3118" w:type="dxa"/>
          </w:tcPr>
          <w:p w:rsidR="00E84A1B" w:rsidRDefault="009854BB">
            <w:pPr>
              <w:pStyle w:val="nTable"/>
              <w:spacing w:after="40"/>
              <w:rPr>
                <w:noProof/>
                <w:snapToGrid w:val="0"/>
              </w:rPr>
            </w:pPr>
            <w:r>
              <w:rPr>
                <w:i/>
              </w:rPr>
              <w:t>Commerce Regulations Amendment (Fees and Charges) Regulations 2017</w:t>
            </w:r>
            <w:r>
              <w:t xml:space="preserve"> Pt. 2</w:t>
            </w:r>
          </w:p>
        </w:tc>
        <w:tc>
          <w:tcPr>
            <w:tcW w:w="1276" w:type="dxa"/>
          </w:tcPr>
          <w:p w:rsidR="00E84A1B" w:rsidRDefault="009854BB">
            <w:pPr>
              <w:pStyle w:val="nTable"/>
              <w:spacing w:after="40"/>
            </w:pPr>
            <w:r>
              <w:t>23 Jun 2017 p. 3213</w:t>
            </w:r>
            <w:r>
              <w:noBreakHyphen/>
              <w:t>52</w:t>
            </w:r>
          </w:p>
        </w:tc>
        <w:tc>
          <w:tcPr>
            <w:tcW w:w="2693" w:type="dxa"/>
          </w:tcPr>
          <w:p w:rsidR="00E84A1B" w:rsidRDefault="009854BB">
            <w:pPr>
              <w:pStyle w:val="nTable"/>
              <w:spacing w:after="40"/>
            </w:pPr>
            <w:r>
              <w:t>1 Jul 2017 (see r. 2(b))</w:t>
            </w:r>
          </w:p>
        </w:tc>
      </w:tr>
      <w:tr w:rsidR="00E84A1B" w:rsidTr="00AA284D">
        <w:tc>
          <w:tcPr>
            <w:tcW w:w="7087" w:type="dxa"/>
            <w:gridSpan w:val="3"/>
            <w:tcBorders>
              <w:top w:val="nil"/>
              <w:bottom w:val="nil"/>
            </w:tcBorders>
          </w:tcPr>
          <w:p w:rsidR="00E84A1B" w:rsidRDefault="009854BB">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rsidR="00E84A1B" w:rsidTr="004C07F5">
        <w:tc>
          <w:tcPr>
            <w:tcW w:w="3118" w:type="dxa"/>
            <w:tcBorders>
              <w:top w:val="nil"/>
              <w:bottom w:val="nil"/>
            </w:tcBorders>
          </w:tcPr>
          <w:p w:rsidR="00E84A1B" w:rsidRDefault="009854BB">
            <w:pPr>
              <w:pStyle w:val="nTable"/>
              <w:spacing w:after="40"/>
              <w:rPr>
                <w:i/>
              </w:rPr>
            </w:pPr>
            <w:r>
              <w:rPr>
                <w:i/>
                <w:noProof/>
                <w:snapToGrid w:val="0"/>
              </w:rPr>
              <w:t>Architects Amendment Regulations 2021</w:t>
            </w:r>
          </w:p>
        </w:tc>
        <w:tc>
          <w:tcPr>
            <w:tcW w:w="1276" w:type="dxa"/>
            <w:tcBorders>
              <w:top w:val="nil"/>
              <w:bottom w:val="nil"/>
            </w:tcBorders>
          </w:tcPr>
          <w:p w:rsidR="00E84A1B" w:rsidRDefault="009854BB">
            <w:pPr>
              <w:pStyle w:val="nTable"/>
              <w:spacing w:after="40"/>
            </w:pPr>
            <w:r>
              <w:t>SL 2021/7</w:t>
            </w:r>
            <w:r>
              <w:br/>
              <w:t>29 Jan 2021</w:t>
            </w:r>
          </w:p>
        </w:tc>
        <w:tc>
          <w:tcPr>
            <w:tcW w:w="2693" w:type="dxa"/>
            <w:tcBorders>
              <w:top w:val="nil"/>
              <w:bottom w:val="nil"/>
            </w:tcBorders>
          </w:tcPr>
          <w:p w:rsidR="00E84A1B" w:rsidRDefault="009854BB">
            <w:pPr>
              <w:pStyle w:val="nTable"/>
              <w:spacing w:after="40"/>
            </w:pPr>
            <w:r>
              <w:t>r. 1 and 2: 29 Jan 2021 (see r. 2(a));</w:t>
            </w:r>
            <w:r>
              <w:br/>
              <w:t>Regulations other than r. 1 and 2: 30 Jan 2021 (see r. 2(b))</w:t>
            </w:r>
          </w:p>
        </w:tc>
      </w:tr>
      <w:tr w:rsidR="00AA284D" w:rsidTr="00AA284D">
        <w:tc>
          <w:tcPr>
            <w:tcW w:w="3118" w:type="dxa"/>
            <w:tcBorders>
              <w:top w:val="nil"/>
              <w:bottom w:val="single" w:sz="8" w:space="0" w:color="auto"/>
            </w:tcBorders>
          </w:tcPr>
          <w:p w:rsidR="00AA284D" w:rsidRDefault="00AA284D" w:rsidP="00AA284D">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single" w:sz="8" w:space="0" w:color="auto"/>
            </w:tcBorders>
          </w:tcPr>
          <w:p w:rsidR="00AA284D" w:rsidRDefault="00AA284D" w:rsidP="00AA284D">
            <w:pPr>
              <w:pStyle w:val="nTable"/>
              <w:spacing w:after="40"/>
            </w:pPr>
            <w:r>
              <w:t>SL 2021/86 21 Jun 2021</w:t>
            </w:r>
          </w:p>
        </w:tc>
        <w:tc>
          <w:tcPr>
            <w:tcW w:w="2693" w:type="dxa"/>
            <w:tcBorders>
              <w:top w:val="nil"/>
              <w:bottom w:val="single" w:sz="8" w:space="0" w:color="auto"/>
            </w:tcBorders>
          </w:tcPr>
          <w:p w:rsidR="00AA284D" w:rsidRDefault="00AA284D" w:rsidP="00AA284D">
            <w:pPr>
              <w:pStyle w:val="nTable"/>
              <w:spacing w:after="40"/>
            </w:pPr>
            <w:r>
              <w:t>1 Jul 2021 (see r. 2(b))</w:t>
            </w:r>
          </w:p>
        </w:tc>
      </w:tr>
    </w:tbl>
    <w:p w:rsidR="00E84A1B" w:rsidRDefault="00E84A1B"/>
    <w:p w:rsidR="00E84A1B" w:rsidRDefault="00E84A1B">
      <w:pPr>
        <w:sectPr w:rsidR="00E84A1B">
          <w:headerReference w:type="even" r:id="rId27"/>
          <w:headerReference w:type="default" r:id="rId28"/>
          <w:pgSz w:w="11907" w:h="16840" w:code="9"/>
          <w:pgMar w:top="2376" w:right="2404" w:bottom="3544" w:left="2404" w:header="720" w:footer="3380" w:gutter="0"/>
          <w:cols w:space="720"/>
          <w:noEndnote/>
          <w:docGrid w:linePitch="326"/>
        </w:sectPr>
      </w:pPr>
    </w:p>
    <w:p w:rsidR="00E84A1B" w:rsidRDefault="009854BB">
      <w:pPr>
        <w:pStyle w:val="nHeading2"/>
        <w:rPr>
          <w:sz w:val="28"/>
        </w:rPr>
      </w:pPr>
      <w:bookmarkStart w:id="81" w:name="_Toc75348790"/>
      <w:bookmarkStart w:id="82" w:name="_Toc75349221"/>
      <w:bookmarkStart w:id="83" w:name="_Toc75503117"/>
      <w:r>
        <w:rPr>
          <w:sz w:val="28"/>
        </w:rPr>
        <w:lastRenderedPageBreak/>
        <w:t>Defined terms</w:t>
      </w:r>
      <w:bookmarkEnd w:id="81"/>
      <w:bookmarkEnd w:id="82"/>
      <w:bookmarkEnd w:id="83"/>
    </w:p>
    <w:p w:rsidR="00E84A1B" w:rsidRDefault="00E84A1B">
      <w:pPr>
        <w:ind w:left="850" w:right="850"/>
        <w:jc w:val="center"/>
        <w:rPr>
          <w:i/>
          <w:sz w:val="18"/>
        </w:rPr>
      </w:pPr>
    </w:p>
    <w:p w:rsidR="00E84A1B" w:rsidRDefault="009854BB">
      <w:pPr>
        <w:ind w:left="850" w:right="850"/>
        <w:jc w:val="center"/>
        <w:rPr>
          <w:i/>
          <w:sz w:val="18"/>
        </w:rPr>
      </w:pPr>
      <w:r>
        <w:rPr>
          <w:i/>
          <w:sz w:val="18"/>
        </w:rPr>
        <w:t>[This is a list of terms defined and the provisions where they are defined.  The list is not part of the law.]</w:t>
      </w:r>
    </w:p>
    <w:p w:rsidR="00E84A1B" w:rsidRDefault="009854BB">
      <w:pPr>
        <w:pBdr>
          <w:bottom w:val="single" w:sz="4" w:space="1" w:color="auto"/>
        </w:pBdr>
        <w:tabs>
          <w:tab w:val="right" w:pos="7070"/>
        </w:tabs>
        <w:ind w:left="578"/>
        <w:rPr>
          <w:b/>
          <w:sz w:val="20"/>
        </w:rPr>
      </w:pPr>
      <w:r>
        <w:rPr>
          <w:b/>
          <w:sz w:val="20"/>
        </w:rPr>
        <w:t>Defined term</w:t>
      </w:r>
      <w:r>
        <w:rPr>
          <w:b/>
          <w:sz w:val="20"/>
        </w:rPr>
        <w:tab/>
        <w:t>Provision(s)</w:t>
      </w:r>
    </w:p>
    <w:p w:rsidR="00E84A1B" w:rsidRDefault="009854BB">
      <w:pPr>
        <w:pStyle w:val="DefinedTerms"/>
      </w:pPr>
      <w:r>
        <w:t>person 1</w:t>
      </w:r>
      <w:r>
        <w:tab/>
        <w:t>20</w:t>
      </w:r>
    </w:p>
    <w:p w:rsidR="00E84A1B" w:rsidRDefault="009854BB">
      <w:pPr>
        <w:pStyle w:val="DefinedTerms"/>
      </w:pPr>
      <w:r>
        <w:t>person 2</w:t>
      </w:r>
      <w:r>
        <w:tab/>
        <w:t>20</w:t>
      </w:r>
    </w:p>
    <w:p w:rsidR="00E84A1B" w:rsidRDefault="009854BB">
      <w:pPr>
        <w:pStyle w:val="DefinedTerms"/>
      </w:pPr>
      <w:r>
        <w:t>registered address</w:t>
      </w:r>
      <w:r>
        <w:tab/>
        <w:t>3</w:t>
      </w:r>
    </w:p>
    <w:p w:rsidR="00E84A1B" w:rsidRDefault="009854BB">
      <w:pPr>
        <w:pStyle w:val="DefinedTerms"/>
      </w:pPr>
      <w:r>
        <w:t>renewal year</w:t>
      </w:r>
      <w:r>
        <w:tab/>
        <w:t>16C(4)</w:t>
      </w:r>
    </w:p>
    <w:p w:rsidR="00E84A1B" w:rsidRDefault="009854BB">
      <w:pPr>
        <w:pStyle w:val="DefinedTerms"/>
      </w:pPr>
      <w:r>
        <w:t>return day</w:t>
      </w:r>
      <w:r>
        <w:tab/>
        <w:t>3</w:t>
      </w:r>
    </w:p>
    <w:p w:rsidR="00E84A1B" w:rsidRDefault="009854BB">
      <w:pPr>
        <w:pStyle w:val="DefinedTerms"/>
      </w:pPr>
      <w:r>
        <w:t>section</w:t>
      </w:r>
      <w:r>
        <w:tab/>
        <w:t>3</w:t>
      </w:r>
    </w:p>
    <w:p w:rsidR="00E84A1B" w:rsidRDefault="009854BB">
      <w:pPr>
        <w:pStyle w:val="DefinedTerms"/>
      </w:pPr>
      <w:r>
        <w:t>vote</w:t>
      </w:r>
      <w:r>
        <w:tab/>
        <w:t>11(2)</w:t>
      </w:r>
    </w:p>
    <w:p w:rsidR="00E84A1B" w:rsidRDefault="00E84A1B"/>
    <w:p w:rsidR="00E84A1B" w:rsidRDefault="00E84A1B">
      <w:pPr>
        <w:sectPr w:rsidR="00E84A1B">
          <w:headerReference w:type="even" r:id="rId29"/>
          <w:headerReference w:type="default" r:id="rId30"/>
          <w:pgSz w:w="11907" w:h="16840" w:code="9"/>
          <w:pgMar w:top="2381" w:right="2409" w:bottom="3543" w:left="2409" w:header="720" w:footer="3380" w:gutter="0"/>
          <w:cols w:space="720"/>
          <w:noEndnote/>
          <w:docGrid w:linePitch="326"/>
        </w:sectPr>
      </w:pPr>
    </w:p>
    <w:p w:rsidR="00E84A1B" w:rsidRDefault="00E84A1B"/>
    <w:sectPr w:rsidR="00E84A1B" w:rsidSect="00B0163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1B" w:rsidRDefault="009854BB">
      <w:pPr>
        <w:rPr>
          <w:b/>
          <w:sz w:val="28"/>
        </w:rPr>
      </w:pPr>
      <w:r>
        <w:rPr>
          <w:b/>
          <w:sz w:val="28"/>
        </w:rPr>
        <w:t>Endnotes</w:t>
      </w:r>
    </w:p>
    <w:p w:rsidR="00E84A1B" w:rsidRDefault="009854BB">
      <w:pPr>
        <w:spacing w:after="240"/>
        <w:rPr>
          <w:rFonts w:ascii="Times" w:hAnsi="Times"/>
          <w:sz w:val="18"/>
        </w:rPr>
      </w:pPr>
      <w:r>
        <w:rPr>
          <w:sz w:val="20"/>
        </w:rPr>
        <w:t>[For ease of reference detach these notes and read them alongside the draft.]</w:t>
      </w:r>
    </w:p>
    <w:p w:rsidR="00E84A1B" w:rsidRDefault="00E84A1B"/>
  </w:endnote>
  <w:endnote w:type="continuationSeparator" w:id="0">
    <w:p w:rsidR="00E84A1B" w:rsidRDefault="00E84A1B">
      <w:pPr>
        <w:pStyle w:val="Footer"/>
      </w:pPr>
    </w:p>
    <w:p w:rsidR="00E84A1B" w:rsidRDefault="00E8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Bdr>
        <w:bottom w:val="single" w:sz="4" w:space="1" w:color="auto"/>
      </w:pBdr>
      <w:rPr>
        <w:sz w:val="20"/>
      </w:rPr>
    </w:pPr>
  </w:p>
  <w:p w:rsidR="00E84A1B" w:rsidRDefault="009854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7F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7FDC">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E84A1B" w:rsidRDefault="009854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1B" w:rsidRDefault="009854BB">
      <w:r>
        <w:separator/>
      </w:r>
    </w:p>
  </w:footnote>
  <w:footnote w:type="continuationSeparator" w:id="0">
    <w:p w:rsidR="00E84A1B" w:rsidRDefault="0098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DC" w:rsidRDefault="008B7F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4A1B">
      <w:trPr>
        <w:cantSplit/>
        <w:jc w:val="center"/>
      </w:trPr>
      <w:tc>
        <w:tcPr>
          <w:tcW w:w="7258" w:type="dxa"/>
          <w:gridSpan w:val="2"/>
        </w:tcPr>
        <w:p w:rsidR="00E84A1B" w:rsidRDefault="009854BB">
          <w:pPr>
            <w:pStyle w:val="Header"/>
          </w:pPr>
          <w:r>
            <w:rPr>
              <w:b/>
              <w:i/>
            </w:rPr>
            <w:fldChar w:fldCharType="begin"/>
          </w:r>
          <w:r>
            <w:rPr>
              <w:b/>
              <w:i/>
            </w:rPr>
            <w:instrText>STYLEREF "Name of Act/Reg"</w:instrText>
          </w:r>
          <w:r>
            <w:rPr>
              <w:b/>
              <w:i/>
            </w:rPr>
            <w:fldChar w:fldCharType="separate"/>
          </w:r>
          <w:r w:rsidR="008B7FDC">
            <w:rPr>
              <w:b/>
              <w:i/>
            </w:rPr>
            <w:t>Architects Regulations 2005</w:t>
          </w:r>
          <w:r>
            <w:rPr>
              <w:b/>
              <w:i/>
            </w:rPr>
            <w:fldChar w:fldCharType="end"/>
          </w:r>
        </w:p>
      </w:tc>
    </w:tr>
    <w:tr w:rsidR="00E84A1B">
      <w:trPr>
        <w:jc w:val="center"/>
      </w:trPr>
      <w:tc>
        <w:tcPr>
          <w:tcW w:w="1548" w:type="dxa"/>
        </w:tcPr>
        <w:p w:rsidR="00E84A1B" w:rsidRDefault="009854BB">
          <w:pPr>
            <w:pStyle w:val="Header"/>
            <w:spacing w:before="40"/>
          </w:pPr>
          <w:r>
            <w:rPr>
              <w:b/>
            </w:rPr>
            <w:fldChar w:fldCharType="begin"/>
          </w:r>
          <w:r>
            <w:rPr>
              <w:b/>
            </w:rPr>
            <w:instrText>styleref CharSchno</w:instrText>
          </w:r>
          <w:r>
            <w:rPr>
              <w:b/>
            </w:rPr>
            <w:fldChar w:fldCharType="end"/>
          </w:r>
        </w:p>
      </w:tc>
      <w:tc>
        <w:tcPr>
          <w:tcW w:w="5715" w:type="dxa"/>
        </w:tcPr>
        <w:p w:rsidR="00E84A1B" w:rsidRDefault="009854BB">
          <w:pPr>
            <w:pStyle w:val="Header"/>
            <w:spacing w:before="40"/>
          </w:pPr>
          <w:r>
            <w:fldChar w:fldCharType="begin"/>
          </w:r>
          <w:r>
            <w:instrText>styleref CharSchText</w:instrText>
          </w:r>
          <w:r>
            <w:fldChar w:fldCharType="end"/>
          </w:r>
        </w:p>
      </w:tc>
    </w:tr>
    <w:tr w:rsidR="00E84A1B">
      <w:trPr>
        <w:jc w:val="center"/>
      </w:trPr>
      <w:tc>
        <w:tcPr>
          <w:tcW w:w="1548" w:type="dxa"/>
        </w:tcPr>
        <w:p w:rsidR="00E84A1B" w:rsidRDefault="009854B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84A1B" w:rsidRDefault="009854BB">
          <w:pPr>
            <w:pStyle w:val="Header"/>
            <w:spacing w:before="40"/>
          </w:pPr>
          <w:r>
            <w:fldChar w:fldCharType="begin"/>
          </w:r>
          <w:r>
            <w:instrText xml:space="preserve"> styleref CharSDivText </w:instrText>
          </w:r>
          <w:r>
            <w:fldChar w:fldCharType="end"/>
          </w:r>
        </w:p>
      </w:tc>
    </w:tr>
    <w:tr w:rsidR="00E84A1B">
      <w:trPr>
        <w:jc w:val="center"/>
      </w:trPr>
      <w:tc>
        <w:tcPr>
          <w:tcW w:w="1548" w:type="dxa"/>
        </w:tcPr>
        <w:p w:rsidR="00E84A1B" w:rsidRDefault="00E84A1B">
          <w:pPr>
            <w:pStyle w:val="Header"/>
            <w:spacing w:before="40"/>
          </w:pPr>
        </w:p>
      </w:tc>
      <w:tc>
        <w:tcPr>
          <w:tcW w:w="5715" w:type="dxa"/>
        </w:tcPr>
        <w:p w:rsidR="00E84A1B" w:rsidRDefault="00E84A1B">
          <w:pPr>
            <w:pStyle w:val="Header"/>
            <w:spacing w:before="40"/>
          </w:pPr>
        </w:p>
      </w:tc>
    </w:tr>
  </w:tbl>
  <w:p w:rsidR="00E84A1B" w:rsidRDefault="00E84A1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84A1B">
      <w:trPr>
        <w:cantSplit/>
        <w:jc w:val="center"/>
      </w:trPr>
      <w:tc>
        <w:tcPr>
          <w:tcW w:w="7263" w:type="dxa"/>
          <w:gridSpan w:val="2"/>
        </w:tcPr>
        <w:p w:rsidR="00E84A1B" w:rsidRDefault="009854BB">
          <w:pPr>
            <w:pStyle w:val="Header"/>
            <w:ind w:right="17"/>
            <w:jc w:val="right"/>
          </w:pPr>
          <w:r>
            <w:rPr>
              <w:b/>
              <w:i/>
            </w:rPr>
            <w:fldChar w:fldCharType="begin"/>
          </w:r>
          <w:r>
            <w:rPr>
              <w:b/>
              <w:i/>
            </w:rPr>
            <w:instrText>Styleref "Name of Act/Reg"</w:instrText>
          </w:r>
          <w:r>
            <w:rPr>
              <w:b/>
              <w:i/>
            </w:rPr>
            <w:fldChar w:fldCharType="separate"/>
          </w:r>
          <w:r w:rsidR="008B7FDC">
            <w:rPr>
              <w:b/>
              <w:i/>
            </w:rPr>
            <w:t>Architects Regulations 2005</w:t>
          </w:r>
          <w:r>
            <w:rPr>
              <w:b/>
              <w:i/>
            </w:rPr>
            <w:fldChar w:fldCharType="end"/>
          </w:r>
        </w:p>
      </w:tc>
    </w:tr>
    <w:tr w:rsidR="00E84A1B">
      <w:trPr>
        <w:jc w:val="center"/>
      </w:trPr>
      <w:tc>
        <w:tcPr>
          <w:tcW w:w="5715" w:type="dxa"/>
          <w:vAlign w:val="bottom"/>
        </w:tcPr>
        <w:p w:rsidR="00E84A1B" w:rsidRDefault="009854BB">
          <w:pPr>
            <w:pStyle w:val="Header"/>
            <w:spacing w:before="40"/>
            <w:jc w:val="right"/>
          </w:pPr>
          <w:r>
            <w:fldChar w:fldCharType="begin"/>
          </w:r>
          <w:r>
            <w:instrText>styleref CharSchText</w:instrText>
          </w:r>
          <w:r>
            <w:fldChar w:fldCharType="end"/>
          </w:r>
        </w:p>
      </w:tc>
      <w:tc>
        <w:tcPr>
          <w:tcW w:w="1548" w:type="dxa"/>
        </w:tcPr>
        <w:p w:rsidR="00E84A1B" w:rsidRDefault="009854BB">
          <w:pPr>
            <w:pStyle w:val="Header"/>
            <w:spacing w:before="40"/>
            <w:ind w:right="17"/>
            <w:jc w:val="right"/>
          </w:pPr>
          <w:r>
            <w:rPr>
              <w:b/>
            </w:rPr>
            <w:fldChar w:fldCharType="begin"/>
          </w:r>
          <w:r>
            <w:rPr>
              <w:b/>
            </w:rPr>
            <w:instrText>styleref CharSchno</w:instrText>
          </w:r>
          <w:r>
            <w:rPr>
              <w:b/>
            </w:rPr>
            <w:fldChar w:fldCharType="end"/>
          </w:r>
        </w:p>
      </w:tc>
    </w:tr>
    <w:tr w:rsidR="00E84A1B">
      <w:trPr>
        <w:jc w:val="center"/>
      </w:trPr>
      <w:tc>
        <w:tcPr>
          <w:tcW w:w="5715" w:type="dxa"/>
        </w:tcPr>
        <w:p w:rsidR="00E84A1B" w:rsidRDefault="009854BB">
          <w:pPr>
            <w:pStyle w:val="Header"/>
            <w:spacing w:before="40"/>
            <w:jc w:val="right"/>
          </w:pPr>
          <w:r>
            <w:fldChar w:fldCharType="begin"/>
          </w:r>
          <w:r>
            <w:instrText xml:space="preserve"> styleref CharSDivText </w:instrText>
          </w:r>
          <w:r>
            <w:fldChar w:fldCharType="end"/>
          </w:r>
        </w:p>
      </w:tc>
      <w:tc>
        <w:tcPr>
          <w:tcW w:w="1548" w:type="dxa"/>
        </w:tcPr>
        <w:p w:rsidR="00E84A1B" w:rsidRDefault="009854B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84A1B">
      <w:trPr>
        <w:jc w:val="center"/>
      </w:trPr>
      <w:tc>
        <w:tcPr>
          <w:tcW w:w="5715" w:type="dxa"/>
        </w:tcPr>
        <w:p w:rsidR="00E84A1B" w:rsidRDefault="00E84A1B">
          <w:pPr>
            <w:pStyle w:val="Header"/>
            <w:spacing w:before="40"/>
            <w:jc w:val="right"/>
          </w:pPr>
        </w:p>
      </w:tc>
      <w:tc>
        <w:tcPr>
          <w:tcW w:w="1548" w:type="dxa"/>
        </w:tcPr>
        <w:p w:rsidR="00E84A1B" w:rsidRDefault="00E84A1B">
          <w:pPr>
            <w:pStyle w:val="Header"/>
            <w:spacing w:before="40"/>
            <w:ind w:right="17"/>
            <w:jc w:val="right"/>
          </w:pPr>
        </w:p>
      </w:tc>
    </w:tr>
  </w:tbl>
  <w:p w:rsidR="00E84A1B" w:rsidRDefault="00E84A1B">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4A1B">
      <w:trPr>
        <w:cantSplit/>
        <w:jc w:val="center"/>
      </w:trPr>
      <w:tc>
        <w:tcPr>
          <w:tcW w:w="7258" w:type="dxa"/>
          <w:gridSpan w:val="2"/>
        </w:tcPr>
        <w:p w:rsidR="00E84A1B" w:rsidRDefault="009854BB">
          <w:pPr>
            <w:pStyle w:val="Header"/>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1548" w:type="dxa"/>
        </w:tcPr>
        <w:p w:rsidR="00E84A1B" w:rsidRDefault="009854BB">
          <w:pPr>
            <w:pStyle w:val="Header"/>
            <w:spacing w:before="40"/>
          </w:pPr>
          <w:r>
            <w:rPr>
              <w:b/>
            </w:rPr>
            <w:fldChar w:fldCharType="begin"/>
          </w:r>
          <w:r>
            <w:rPr>
              <w:b/>
            </w:rPr>
            <w:instrText xml:space="preserve"> STYLEREF "nHeading 2" </w:instrText>
          </w:r>
          <w:r>
            <w:rPr>
              <w:b/>
            </w:rPr>
            <w:fldChar w:fldCharType="separate"/>
          </w:r>
          <w:r w:rsidR="008B7FDC">
            <w:rPr>
              <w:b/>
            </w:rPr>
            <w:t>Notes</w:t>
          </w:r>
          <w:r>
            <w:rPr>
              <w:b/>
            </w:rPr>
            <w:fldChar w:fldCharType="end"/>
          </w:r>
        </w:p>
      </w:tc>
      <w:tc>
        <w:tcPr>
          <w:tcW w:w="5715" w:type="dxa"/>
        </w:tcPr>
        <w:p w:rsidR="00E84A1B" w:rsidRDefault="009854BB">
          <w:pPr>
            <w:pStyle w:val="Header"/>
            <w:spacing w:before="40"/>
          </w:pPr>
          <w:r>
            <w:fldChar w:fldCharType="begin"/>
          </w:r>
          <w:r>
            <w:instrText xml:space="preserve"> STYLEREF "nHeading 3" </w:instrText>
          </w:r>
          <w:r>
            <w:fldChar w:fldCharType="separate"/>
          </w:r>
          <w:r w:rsidR="008B7FDC">
            <w:t>Compilation table</w:t>
          </w:r>
          <w:r>
            <w:fldChar w:fldCharType="end"/>
          </w:r>
        </w:p>
      </w:tc>
    </w:tr>
    <w:tr w:rsidR="00E84A1B">
      <w:trPr>
        <w:jc w:val="center"/>
      </w:trPr>
      <w:tc>
        <w:tcPr>
          <w:tcW w:w="1548" w:type="dxa"/>
        </w:tcPr>
        <w:p w:rsidR="00E84A1B" w:rsidRDefault="00E84A1B">
          <w:pPr>
            <w:pStyle w:val="Header"/>
            <w:spacing w:before="40"/>
          </w:pPr>
        </w:p>
      </w:tc>
      <w:tc>
        <w:tcPr>
          <w:tcW w:w="5715" w:type="dxa"/>
        </w:tcPr>
        <w:p w:rsidR="00E84A1B" w:rsidRDefault="00E84A1B">
          <w:pPr>
            <w:pStyle w:val="Header"/>
            <w:spacing w:before="40"/>
          </w:pPr>
        </w:p>
      </w:tc>
    </w:tr>
    <w:tr w:rsidR="00E84A1B">
      <w:trPr>
        <w:cantSplit/>
        <w:jc w:val="center"/>
      </w:trPr>
      <w:tc>
        <w:tcPr>
          <w:tcW w:w="7258" w:type="dxa"/>
          <w:gridSpan w:val="2"/>
        </w:tcPr>
        <w:p w:rsidR="00E84A1B" w:rsidRDefault="00E84A1B">
          <w:pPr>
            <w:pStyle w:val="Header"/>
            <w:spacing w:before="40"/>
          </w:pPr>
        </w:p>
      </w:tc>
    </w:tr>
  </w:tbl>
  <w:p w:rsidR="00E84A1B" w:rsidRDefault="00E84A1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4A1B">
      <w:trPr>
        <w:cantSplit/>
        <w:jc w:val="center"/>
      </w:trPr>
      <w:tc>
        <w:tcPr>
          <w:tcW w:w="7258" w:type="dxa"/>
          <w:gridSpan w:val="2"/>
        </w:tcPr>
        <w:p w:rsidR="00E84A1B" w:rsidRDefault="009854BB">
          <w:pPr>
            <w:pStyle w:val="Header"/>
            <w:ind w:right="17"/>
            <w:jc w:val="right"/>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5715" w:type="dxa"/>
        </w:tcPr>
        <w:p w:rsidR="00E84A1B" w:rsidRDefault="009854BB">
          <w:pPr>
            <w:pStyle w:val="Header"/>
            <w:spacing w:before="40"/>
            <w:jc w:val="right"/>
          </w:pPr>
          <w:r>
            <w:fldChar w:fldCharType="begin"/>
          </w:r>
          <w:r>
            <w:instrText xml:space="preserve"> STYLEREF "nHeading 3" </w:instrText>
          </w:r>
          <w:r>
            <w:fldChar w:fldCharType="separate"/>
          </w:r>
          <w:r w:rsidR="008B7FDC">
            <w:t>Compilation table</w:t>
          </w:r>
          <w:r>
            <w:fldChar w:fldCharType="end"/>
          </w:r>
        </w:p>
      </w:tc>
      <w:tc>
        <w:tcPr>
          <w:tcW w:w="1548" w:type="dxa"/>
        </w:tcPr>
        <w:p w:rsidR="00E84A1B" w:rsidRDefault="009854BB">
          <w:pPr>
            <w:pStyle w:val="Header"/>
            <w:spacing w:before="40"/>
            <w:ind w:right="17"/>
            <w:jc w:val="right"/>
          </w:pPr>
          <w:r>
            <w:rPr>
              <w:b/>
            </w:rPr>
            <w:fldChar w:fldCharType="begin"/>
          </w:r>
          <w:r>
            <w:rPr>
              <w:b/>
            </w:rPr>
            <w:instrText xml:space="preserve"> STYLEREF "nHeading 2" </w:instrText>
          </w:r>
          <w:r>
            <w:rPr>
              <w:b/>
            </w:rPr>
            <w:fldChar w:fldCharType="separate"/>
          </w:r>
          <w:r w:rsidR="008B7FDC">
            <w:rPr>
              <w:b/>
            </w:rPr>
            <w:t>Notes</w:t>
          </w:r>
          <w:r>
            <w:rPr>
              <w:b/>
            </w:rPr>
            <w:fldChar w:fldCharType="end"/>
          </w:r>
        </w:p>
      </w:tc>
    </w:tr>
    <w:tr w:rsidR="00E84A1B">
      <w:trPr>
        <w:jc w:val="center"/>
      </w:trPr>
      <w:tc>
        <w:tcPr>
          <w:tcW w:w="5715" w:type="dxa"/>
        </w:tcPr>
        <w:p w:rsidR="00E84A1B" w:rsidRDefault="00E84A1B">
          <w:pPr>
            <w:pStyle w:val="Header"/>
            <w:spacing w:before="40"/>
            <w:jc w:val="right"/>
          </w:pPr>
        </w:p>
      </w:tc>
      <w:tc>
        <w:tcPr>
          <w:tcW w:w="1548" w:type="dxa"/>
        </w:tcPr>
        <w:p w:rsidR="00E84A1B" w:rsidRDefault="00E84A1B">
          <w:pPr>
            <w:pStyle w:val="Header"/>
            <w:spacing w:before="40"/>
            <w:ind w:right="17"/>
            <w:jc w:val="right"/>
          </w:pPr>
        </w:p>
      </w:tc>
    </w:tr>
    <w:tr w:rsidR="00E84A1B">
      <w:trPr>
        <w:cantSplit/>
        <w:jc w:val="center"/>
      </w:trPr>
      <w:tc>
        <w:tcPr>
          <w:tcW w:w="7258" w:type="dxa"/>
          <w:gridSpan w:val="2"/>
        </w:tcPr>
        <w:p w:rsidR="00E84A1B" w:rsidRDefault="00E84A1B">
          <w:pPr>
            <w:pStyle w:val="Header"/>
            <w:spacing w:before="40"/>
            <w:ind w:right="17"/>
            <w:jc w:val="right"/>
          </w:pPr>
        </w:p>
      </w:tc>
    </w:tr>
  </w:tbl>
  <w:p w:rsidR="00E84A1B" w:rsidRDefault="00E84A1B">
    <w:pPr>
      <w:pStyle w:val="Header"/>
      <w:pBdr>
        <w:top w:val="single" w:sz="4" w:space="1" w:color="auto"/>
      </w:pBdr>
    </w:pPr>
    <w:bookmarkStart w:id="80" w:name="Compilation"/>
    <w:bookmarkEnd w:id="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84A1B">
      <w:trPr>
        <w:cantSplit/>
        <w:jc w:val="center"/>
      </w:trPr>
      <w:tc>
        <w:tcPr>
          <w:tcW w:w="7263" w:type="dxa"/>
          <w:gridSpan w:val="2"/>
        </w:tcPr>
        <w:p w:rsidR="00E84A1B" w:rsidRDefault="009854BB">
          <w:pPr>
            <w:pStyle w:val="Header"/>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1348" w:type="dxa"/>
        </w:tcPr>
        <w:p w:rsidR="00E84A1B" w:rsidRDefault="00E84A1B">
          <w:pPr>
            <w:pStyle w:val="Header"/>
            <w:spacing w:before="40"/>
          </w:pPr>
        </w:p>
      </w:tc>
      <w:tc>
        <w:tcPr>
          <w:tcW w:w="5915" w:type="dxa"/>
        </w:tcPr>
        <w:p w:rsidR="00E84A1B" w:rsidRDefault="00E84A1B">
          <w:pPr>
            <w:pStyle w:val="Header"/>
            <w:spacing w:before="40"/>
          </w:pPr>
        </w:p>
      </w:tc>
    </w:tr>
    <w:tr w:rsidR="00E84A1B">
      <w:trPr>
        <w:jc w:val="center"/>
      </w:trPr>
      <w:tc>
        <w:tcPr>
          <w:tcW w:w="1348" w:type="dxa"/>
        </w:tcPr>
        <w:p w:rsidR="00E84A1B" w:rsidRDefault="00E84A1B">
          <w:pPr>
            <w:pStyle w:val="Header"/>
            <w:spacing w:before="40"/>
          </w:pPr>
        </w:p>
      </w:tc>
      <w:tc>
        <w:tcPr>
          <w:tcW w:w="5915" w:type="dxa"/>
        </w:tcPr>
        <w:p w:rsidR="00E84A1B" w:rsidRDefault="00E84A1B">
          <w:pPr>
            <w:pStyle w:val="Header"/>
            <w:spacing w:before="40"/>
          </w:pPr>
        </w:p>
      </w:tc>
    </w:tr>
    <w:tr w:rsidR="00E84A1B">
      <w:trPr>
        <w:cantSplit/>
        <w:jc w:val="center"/>
      </w:trPr>
      <w:tc>
        <w:tcPr>
          <w:tcW w:w="7263" w:type="dxa"/>
          <w:gridSpan w:val="2"/>
        </w:tcPr>
        <w:p w:rsidR="00E84A1B" w:rsidRDefault="009854BB">
          <w:pPr>
            <w:pStyle w:val="Header"/>
            <w:spacing w:before="40"/>
          </w:pPr>
          <w:r>
            <w:t>Defined terms</w:t>
          </w:r>
        </w:p>
      </w:tc>
    </w:tr>
  </w:tbl>
  <w:p w:rsidR="00E84A1B" w:rsidRDefault="00E84A1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84A1B">
      <w:trPr>
        <w:cantSplit/>
        <w:jc w:val="center"/>
      </w:trPr>
      <w:tc>
        <w:tcPr>
          <w:tcW w:w="7263" w:type="dxa"/>
          <w:gridSpan w:val="2"/>
        </w:tcPr>
        <w:p w:rsidR="00E84A1B" w:rsidRDefault="009854BB">
          <w:pPr>
            <w:pStyle w:val="Header"/>
            <w:spacing w:before="40"/>
            <w:ind w:right="17"/>
            <w:jc w:val="right"/>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5884" w:type="dxa"/>
        </w:tcPr>
        <w:p w:rsidR="00E84A1B" w:rsidRDefault="00E84A1B">
          <w:pPr>
            <w:pStyle w:val="Header"/>
            <w:spacing w:before="40"/>
            <w:jc w:val="right"/>
          </w:pPr>
        </w:p>
      </w:tc>
      <w:tc>
        <w:tcPr>
          <w:tcW w:w="1379" w:type="dxa"/>
        </w:tcPr>
        <w:p w:rsidR="00E84A1B" w:rsidRDefault="00E84A1B">
          <w:pPr>
            <w:pStyle w:val="Header"/>
            <w:spacing w:before="40"/>
            <w:ind w:right="17"/>
            <w:jc w:val="right"/>
          </w:pPr>
        </w:p>
      </w:tc>
    </w:tr>
    <w:tr w:rsidR="00E84A1B">
      <w:trPr>
        <w:jc w:val="center"/>
      </w:trPr>
      <w:tc>
        <w:tcPr>
          <w:tcW w:w="5884" w:type="dxa"/>
        </w:tcPr>
        <w:p w:rsidR="00E84A1B" w:rsidRDefault="00E84A1B">
          <w:pPr>
            <w:pStyle w:val="Header"/>
            <w:spacing w:before="40"/>
            <w:jc w:val="right"/>
          </w:pPr>
        </w:p>
      </w:tc>
      <w:tc>
        <w:tcPr>
          <w:tcW w:w="1379" w:type="dxa"/>
        </w:tcPr>
        <w:p w:rsidR="00E84A1B" w:rsidRDefault="00E84A1B">
          <w:pPr>
            <w:pStyle w:val="Header"/>
            <w:spacing w:before="40"/>
            <w:ind w:right="17"/>
            <w:jc w:val="right"/>
          </w:pPr>
        </w:p>
      </w:tc>
    </w:tr>
    <w:tr w:rsidR="00E84A1B">
      <w:trPr>
        <w:cantSplit/>
        <w:jc w:val="center"/>
      </w:trPr>
      <w:tc>
        <w:tcPr>
          <w:tcW w:w="7263" w:type="dxa"/>
          <w:gridSpan w:val="2"/>
        </w:tcPr>
        <w:p w:rsidR="00E84A1B" w:rsidRDefault="009854BB">
          <w:pPr>
            <w:pStyle w:val="Header"/>
            <w:spacing w:before="40"/>
            <w:ind w:right="17"/>
            <w:jc w:val="right"/>
          </w:pPr>
          <w:r>
            <w:t>Defined terms</w:t>
          </w:r>
        </w:p>
      </w:tc>
    </w:tr>
  </w:tbl>
  <w:p w:rsidR="00E84A1B" w:rsidRDefault="00E84A1B">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DC" w:rsidRDefault="008B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4A1B">
      <w:trPr>
        <w:cantSplit/>
        <w:jc w:val="center"/>
      </w:trPr>
      <w:tc>
        <w:tcPr>
          <w:tcW w:w="7258" w:type="dxa"/>
          <w:gridSpan w:val="2"/>
        </w:tcPr>
        <w:p w:rsidR="00E84A1B" w:rsidRDefault="009854BB">
          <w:pPr>
            <w:pStyle w:val="Header"/>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1548" w:type="dxa"/>
        </w:tcPr>
        <w:p w:rsidR="00E84A1B" w:rsidRDefault="00E84A1B">
          <w:pPr>
            <w:pStyle w:val="Header"/>
            <w:spacing w:before="40"/>
          </w:pPr>
        </w:p>
      </w:tc>
      <w:tc>
        <w:tcPr>
          <w:tcW w:w="5715" w:type="dxa"/>
        </w:tcPr>
        <w:p w:rsidR="00E84A1B" w:rsidRDefault="00E84A1B">
          <w:pPr>
            <w:pStyle w:val="Header"/>
            <w:spacing w:before="40"/>
          </w:pPr>
        </w:p>
      </w:tc>
    </w:tr>
    <w:tr w:rsidR="00E84A1B">
      <w:trPr>
        <w:jc w:val="center"/>
      </w:trPr>
      <w:tc>
        <w:tcPr>
          <w:tcW w:w="1548" w:type="dxa"/>
        </w:tcPr>
        <w:p w:rsidR="00E84A1B" w:rsidRDefault="00E84A1B">
          <w:pPr>
            <w:pStyle w:val="Header"/>
            <w:spacing w:before="40"/>
          </w:pPr>
        </w:p>
      </w:tc>
      <w:tc>
        <w:tcPr>
          <w:tcW w:w="5715" w:type="dxa"/>
        </w:tcPr>
        <w:p w:rsidR="00E84A1B" w:rsidRDefault="00E84A1B">
          <w:pPr>
            <w:pStyle w:val="Header"/>
            <w:spacing w:before="40"/>
          </w:pPr>
        </w:p>
      </w:tc>
    </w:tr>
    <w:tr w:rsidR="00E84A1B">
      <w:trPr>
        <w:cantSplit/>
        <w:jc w:val="center"/>
      </w:trPr>
      <w:tc>
        <w:tcPr>
          <w:tcW w:w="7258" w:type="dxa"/>
          <w:gridSpan w:val="2"/>
        </w:tcPr>
        <w:p w:rsidR="00E84A1B" w:rsidRDefault="009854BB">
          <w:pPr>
            <w:pStyle w:val="Header"/>
            <w:spacing w:before="40"/>
          </w:pPr>
          <w:r>
            <w:t>Contents</w:t>
          </w:r>
        </w:p>
      </w:tc>
    </w:tr>
  </w:tbl>
  <w:p w:rsidR="00E84A1B" w:rsidRDefault="00E84A1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4A1B">
      <w:trPr>
        <w:cantSplit/>
        <w:jc w:val="center"/>
      </w:trPr>
      <w:tc>
        <w:tcPr>
          <w:tcW w:w="7258" w:type="dxa"/>
          <w:gridSpan w:val="2"/>
        </w:tcPr>
        <w:p w:rsidR="00E84A1B" w:rsidRDefault="009854BB">
          <w:pPr>
            <w:pStyle w:val="Header"/>
            <w:ind w:right="17"/>
            <w:jc w:val="right"/>
          </w:pPr>
          <w:r>
            <w:rPr>
              <w:b/>
              <w:i/>
            </w:rPr>
            <w:fldChar w:fldCharType="begin"/>
          </w:r>
          <w:r>
            <w:rPr>
              <w:b/>
              <w:i/>
            </w:rPr>
            <w:instrText xml:space="preserve"> STYLEREF "Name of Act/Reg" </w:instrText>
          </w:r>
          <w:r>
            <w:rPr>
              <w:b/>
              <w:i/>
            </w:rPr>
            <w:fldChar w:fldCharType="separate"/>
          </w:r>
          <w:r w:rsidR="008B7FDC">
            <w:rPr>
              <w:b/>
              <w:i/>
            </w:rPr>
            <w:t>Architects Regulations 2005</w:t>
          </w:r>
          <w:r>
            <w:rPr>
              <w:b/>
              <w:i/>
            </w:rPr>
            <w:fldChar w:fldCharType="end"/>
          </w:r>
        </w:p>
      </w:tc>
    </w:tr>
    <w:tr w:rsidR="00E84A1B">
      <w:trPr>
        <w:jc w:val="center"/>
      </w:trPr>
      <w:tc>
        <w:tcPr>
          <w:tcW w:w="5715" w:type="dxa"/>
        </w:tcPr>
        <w:p w:rsidR="00E84A1B" w:rsidRDefault="00E84A1B">
          <w:pPr>
            <w:pStyle w:val="Header"/>
            <w:spacing w:before="40"/>
            <w:jc w:val="right"/>
          </w:pPr>
        </w:p>
      </w:tc>
      <w:tc>
        <w:tcPr>
          <w:tcW w:w="1548" w:type="dxa"/>
        </w:tcPr>
        <w:p w:rsidR="00E84A1B" w:rsidRDefault="00E84A1B">
          <w:pPr>
            <w:pStyle w:val="Header"/>
            <w:spacing w:before="40"/>
            <w:ind w:right="17"/>
            <w:jc w:val="right"/>
          </w:pPr>
        </w:p>
      </w:tc>
    </w:tr>
    <w:tr w:rsidR="00E84A1B">
      <w:trPr>
        <w:jc w:val="center"/>
      </w:trPr>
      <w:tc>
        <w:tcPr>
          <w:tcW w:w="5715" w:type="dxa"/>
        </w:tcPr>
        <w:p w:rsidR="00E84A1B" w:rsidRDefault="00E84A1B">
          <w:pPr>
            <w:pStyle w:val="Header"/>
            <w:spacing w:before="40"/>
            <w:jc w:val="right"/>
          </w:pPr>
        </w:p>
      </w:tc>
      <w:tc>
        <w:tcPr>
          <w:tcW w:w="1548" w:type="dxa"/>
        </w:tcPr>
        <w:p w:rsidR="00E84A1B" w:rsidRDefault="00E84A1B">
          <w:pPr>
            <w:pStyle w:val="Header"/>
            <w:spacing w:before="40"/>
            <w:ind w:right="17"/>
            <w:jc w:val="right"/>
          </w:pPr>
        </w:p>
      </w:tc>
    </w:tr>
    <w:tr w:rsidR="00E84A1B">
      <w:trPr>
        <w:cantSplit/>
        <w:jc w:val="center"/>
      </w:trPr>
      <w:tc>
        <w:tcPr>
          <w:tcW w:w="7258" w:type="dxa"/>
          <w:gridSpan w:val="2"/>
        </w:tcPr>
        <w:p w:rsidR="00E84A1B" w:rsidRDefault="009854BB">
          <w:pPr>
            <w:pStyle w:val="Header"/>
            <w:spacing w:before="40"/>
            <w:ind w:right="17"/>
            <w:jc w:val="right"/>
          </w:pPr>
          <w:r>
            <w:t>Contents</w:t>
          </w:r>
        </w:p>
      </w:tc>
    </w:tr>
  </w:tbl>
  <w:p w:rsidR="00E84A1B" w:rsidRDefault="00E84A1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4A1B">
      <w:trPr>
        <w:cantSplit/>
        <w:jc w:val="center"/>
      </w:trPr>
      <w:tc>
        <w:tcPr>
          <w:tcW w:w="7258" w:type="dxa"/>
          <w:gridSpan w:val="2"/>
        </w:tcPr>
        <w:p w:rsidR="00E84A1B" w:rsidRDefault="009854BB">
          <w:pPr>
            <w:pStyle w:val="Header"/>
          </w:pPr>
          <w:r>
            <w:rPr>
              <w:b/>
              <w:i/>
            </w:rPr>
            <w:fldChar w:fldCharType="begin"/>
          </w:r>
          <w:r>
            <w:rPr>
              <w:b/>
              <w:i/>
            </w:rPr>
            <w:instrText>Styleref "Name of Act/Reg"</w:instrText>
          </w:r>
          <w:r>
            <w:rPr>
              <w:b/>
              <w:i/>
            </w:rPr>
            <w:fldChar w:fldCharType="separate"/>
          </w:r>
          <w:r w:rsidR="008B7FDC">
            <w:rPr>
              <w:b/>
              <w:i/>
            </w:rPr>
            <w:t>Architects Regulations 2005</w:t>
          </w:r>
          <w:r>
            <w:rPr>
              <w:b/>
              <w:i/>
            </w:rPr>
            <w:fldChar w:fldCharType="end"/>
          </w:r>
        </w:p>
      </w:tc>
    </w:tr>
    <w:tr w:rsidR="00E84A1B">
      <w:trPr>
        <w:jc w:val="center"/>
      </w:trPr>
      <w:tc>
        <w:tcPr>
          <w:tcW w:w="1548" w:type="dxa"/>
        </w:tcPr>
        <w:p w:rsidR="00E84A1B" w:rsidRDefault="009854BB">
          <w:pPr>
            <w:pStyle w:val="Header"/>
            <w:spacing w:before="40"/>
          </w:pPr>
          <w:r>
            <w:rPr>
              <w:b/>
            </w:rPr>
            <w:fldChar w:fldCharType="begin"/>
          </w:r>
          <w:r>
            <w:rPr>
              <w:b/>
            </w:rPr>
            <w:instrText>styleref CharPartNo</w:instrText>
          </w:r>
          <w:r>
            <w:rPr>
              <w:b/>
            </w:rPr>
            <w:fldChar w:fldCharType="end"/>
          </w:r>
        </w:p>
      </w:tc>
      <w:tc>
        <w:tcPr>
          <w:tcW w:w="5715" w:type="dxa"/>
        </w:tcPr>
        <w:p w:rsidR="00E84A1B" w:rsidRDefault="009854BB">
          <w:pPr>
            <w:pStyle w:val="Header"/>
            <w:spacing w:before="40"/>
          </w:pPr>
          <w:r>
            <w:fldChar w:fldCharType="begin"/>
          </w:r>
          <w:r>
            <w:instrText>styleref CharPartText</w:instrText>
          </w:r>
          <w:r>
            <w:fldChar w:fldCharType="end"/>
          </w:r>
        </w:p>
      </w:tc>
    </w:tr>
    <w:tr w:rsidR="00E84A1B">
      <w:trPr>
        <w:jc w:val="center"/>
      </w:trPr>
      <w:tc>
        <w:tcPr>
          <w:tcW w:w="1548" w:type="dxa"/>
        </w:tcPr>
        <w:p w:rsidR="00E84A1B" w:rsidRDefault="009854BB">
          <w:pPr>
            <w:pStyle w:val="Header"/>
            <w:spacing w:before="40"/>
          </w:pPr>
          <w:r>
            <w:rPr>
              <w:b/>
            </w:rPr>
            <w:fldChar w:fldCharType="begin"/>
          </w:r>
          <w:r>
            <w:rPr>
              <w:b/>
            </w:rPr>
            <w:instrText xml:space="preserve"> styleref CharDivNo </w:instrText>
          </w:r>
          <w:r>
            <w:rPr>
              <w:b/>
            </w:rPr>
            <w:fldChar w:fldCharType="end"/>
          </w:r>
        </w:p>
      </w:tc>
      <w:tc>
        <w:tcPr>
          <w:tcW w:w="5715" w:type="dxa"/>
        </w:tcPr>
        <w:p w:rsidR="00E84A1B" w:rsidRDefault="009854BB">
          <w:pPr>
            <w:pStyle w:val="Header"/>
            <w:spacing w:before="40"/>
          </w:pPr>
          <w:r>
            <w:fldChar w:fldCharType="begin"/>
          </w:r>
          <w:r>
            <w:instrText xml:space="preserve"> styleref CharDivText </w:instrText>
          </w:r>
          <w:r>
            <w:fldChar w:fldCharType="end"/>
          </w:r>
        </w:p>
      </w:tc>
    </w:tr>
    <w:tr w:rsidR="00E84A1B">
      <w:trPr>
        <w:cantSplit/>
        <w:jc w:val="center"/>
      </w:trPr>
      <w:tc>
        <w:tcPr>
          <w:tcW w:w="7258" w:type="dxa"/>
          <w:gridSpan w:val="2"/>
        </w:tcPr>
        <w:p w:rsidR="00E84A1B" w:rsidRDefault="009854BB">
          <w:pPr>
            <w:pStyle w:val="Header"/>
            <w:spacing w:before="40"/>
          </w:pPr>
          <w:r>
            <w:rPr>
              <w:b/>
            </w:rPr>
            <w:t xml:space="preserve">r. </w:t>
          </w:r>
          <w:r>
            <w:rPr>
              <w:b/>
            </w:rPr>
            <w:fldChar w:fldCharType="begin"/>
          </w:r>
          <w:r>
            <w:rPr>
              <w:b/>
            </w:rPr>
            <w:instrText>styleref CharSectno</w:instrText>
          </w:r>
          <w:r>
            <w:rPr>
              <w:b/>
            </w:rPr>
            <w:fldChar w:fldCharType="separate"/>
          </w:r>
          <w:r w:rsidR="008B7FDC">
            <w:rPr>
              <w:b/>
            </w:rPr>
            <w:t>1</w:t>
          </w:r>
          <w:r>
            <w:rPr>
              <w:b/>
            </w:rPr>
            <w:fldChar w:fldCharType="end"/>
          </w:r>
        </w:p>
      </w:tc>
    </w:tr>
  </w:tbl>
  <w:p w:rsidR="00E84A1B" w:rsidRDefault="00E84A1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4A1B">
      <w:trPr>
        <w:cantSplit/>
        <w:jc w:val="center"/>
      </w:trPr>
      <w:tc>
        <w:tcPr>
          <w:tcW w:w="7258" w:type="dxa"/>
          <w:gridSpan w:val="2"/>
        </w:tcPr>
        <w:p w:rsidR="00E84A1B" w:rsidRDefault="009854BB">
          <w:pPr>
            <w:pStyle w:val="Header"/>
            <w:ind w:right="17"/>
            <w:jc w:val="right"/>
          </w:pPr>
          <w:r>
            <w:rPr>
              <w:b/>
              <w:i/>
            </w:rPr>
            <w:fldChar w:fldCharType="begin"/>
          </w:r>
          <w:r>
            <w:rPr>
              <w:b/>
              <w:i/>
            </w:rPr>
            <w:instrText>Styleref "Name of Act/Reg"</w:instrText>
          </w:r>
          <w:r>
            <w:rPr>
              <w:b/>
              <w:i/>
            </w:rPr>
            <w:fldChar w:fldCharType="separate"/>
          </w:r>
          <w:r w:rsidR="008B7FDC">
            <w:rPr>
              <w:b/>
              <w:i/>
            </w:rPr>
            <w:t>Architects Regulations 2005</w:t>
          </w:r>
          <w:r>
            <w:rPr>
              <w:b/>
              <w:i/>
            </w:rPr>
            <w:fldChar w:fldCharType="end"/>
          </w:r>
        </w:p>
      </w:tc>
    </w:tr>
    <w:tr w:rsidR="00E84A1B">
      <w:trPr>
        <w:jc w:val="center"/>
      </w:trPr>
      <w:tc>
        <w:tcPr>
          <w:tcW w:w="5715" w:type="dxa"/>
        </w:tcPr>
        <w:p w:rsidR="00E84A1B" w:rsidRDefault="009854BB">
          <w:pPr>
            <w:pStyle w:val="Header"/>
            <w:spacing w:before="40"/>
            <w:jc w:val="right"/>
          </w:pPr>
          <w:r>
            <w:fldChar w:fldCharType="begin"/>
          </w:r>
          <w:r>
            <w:instrText>styleref CharPartText</w:instrText>
          </w:r>
          <w:r>
            <w:fldChar w:fldCharType="end"/>
          </w:r>
        </w:p>
      </w:tc>
      <w:tc>
        <w:tcPr>
          <w:tcW w:w="1548" w:type="dxa"/>
        </w:tcPr>
        <w:p w:rsidR="00E84A1B" w:rsidRDefault="009854BB">
          <w:pPr>
            <w:pStyle w:val="Header"/>
            <w:spacing w:before="40"/>
            <w:ind w:right="17"/>
            <w:jc w:val="right"/>
          </w:pPr>
          <w:r>
            <w:rPr>
              <w:b/>
            </w:rPr>
            <w:fldChar w:fldCharType="begin"/>
          </w:r>
          <w:r>
            <w:rPr>
              <w:b/>
            </w:rPr>
            <w:instrText>styleref CharPartNo</w:instrText>
          </w:r>
          <w:r>
            <w:rPr>
              <w:b/>
            </w:rPr>
            <w:fldChar w:fldCharType="end"/>
          </w:r>
        </w:p>
      </w:tc>
    </w:tr>
    <w:tr w:rsidR="00E84A1B">
      <w:trPr>
        <w:jc w:val="center"/>
      </w:trPr>
      <w:tc>
        <w:tcPr>
          <w:tcW w:w="5715" w:type="dxa"/>
        </w:tcPr>
        <w:p w:rsidR="00E84A1B" w:rsidRDefault="009854BB">
          <w:pPr>
            <w:pStyle w:val="Header"/>
            <w:spacing w:before="40"/>
            <w:jc w:val="right"/>
          </w:pPr>
          <w:r>
            <w:fldChar w:fldCharType="begin"/>
          </w:r>
          <w:r>
            <w:instrText xml:space="preserve"> styleref CharDivText </w:instrText>
          </w:r>
          <w:r>
            <w:fldChar w:fldCharType="end"/>
          </w:r>
        </w:p>
      </w:tc>
      <w:tc>
        <w:tcPr>
          <w:tcW w:w="1548" w:type="dxa"/>
        </w:tcPr>
        <w:p w:rsidR="00E84A1B" w:rsidRDefault="009854BB">
          <w:pPr>
            <w:pStyle w:val="Header"/>
            <w:spacing w:before="40"/>
            <w:ind w:right="17"/>
            <w:jc w:val="right"/>
          </w:pPr>
          <w:r>
            <w:rPr>
              <w:b/>
            </w:rPr>
            <w:fldChar w:fldCharType="begin"/>
          </w:r>
          <w:r>
            <w:rPr>
              <w:b/>
            </w:rPr>
            <w:instrText xml:space="preserve"> styleref CharDivNo </w:instrText>
          </w:r>
          <w:r>
            <w:rPr>
              <w:b/>
            </w:rPr>
            <w:fldChar w:fldCharType="end"/>
          </w:r>
        </w:p>
      </w:tc>
    </w:tr>
    <w:tr w:rsidR="00E84A1B">
      <w:trPr>
        <w:cantSplit/>
        <w:jc w:val="center"/>
      </w:trPr>
      <w:tc>
        <w:tcPr>
          <w:tcW w:w="7258" w:type="dxa"/>
          <w:gridSpan w:val="2"/>
        </w:tcPr>
        <w:p w:rsidR="00E84A1B" w:rsidRDefault="009854B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B7FDC">
            <w:rPr>
              <w:b/>
            </w:rPr>
            <w:t>1</w:t>
          </w:r>
          <w:r>
            <w:rPr>
              <w:b/>
            </w:rPr>
            <w:fldChar w:fldCharType="end"/>
          </w:r>
        </w:p>
      </w:tc>
    </w:tr>
  </w:tbl>
  <w:p w:rsidR="00E84A1B" w:rsidRDefault="00E84A1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1B" w:rsidRDefault="00E8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501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s>
  <w:rsids>
    <w:rsidRoot w:val="00AA284D"/>
    <w:rsid w:val="004C07F5"/>
    <w:rsid w:val="006E0A26"/>
    <w:rsid w:val="008B7FDC"/>
    <w:rsid w:val="009854BB"/>
    <w:rsid w:val="00AA284D"/>
    <w:rsid w:val="00DA472B"/>
    <w:rsid w:val="00E84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4697</Words>
  <Characters>22594</Characters>
  <Application>Microsoft Office Word</Application>
  <DocSecurity>0</DocSecurity>
  <Lines>728</Lines>
  <Paragraphs>462</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26829</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2005 - 02-d0-00</dc:title>
  <dc:subject/>
  <dc:creator/>
  <cp:keywords/>
  <dc:description/>
  <cp:lastModifiedBy>Master Repository Process</cp:lastModifiedBy>
  <cp:revision>4</cp:revision>
  <cp:lastPrinted>2019-05-21T07:59:00Z</cp:lastPrinted>
  <dcterms:created xsi:type="dcterms:W3CDTF">2021-06-30T00:56:00Z</dcterms:created>
  <dcterms:modified xsi:type="dcterms:W3CDTF">2021-06-30T00:56:00Z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02-d0-00</vt:lpwstr>
  </property>
  <property fmtid="{D5CDD505-2E9C-101B-9397-08002B2CF9AE}" pid="9" name="CommencementDate">
    <vt:lpwstr>20210701</vt:lpwstr>
  </property>
</Properties>
</file>