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438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_Toc75515367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_Toc75515368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_Toc75515369 \h </w:instrText>
      </w:r>
      <w:r>
        <w:fldChar w:fldCharType="separate"/>
      </w:r>
      <w:r>
        <w:t>1</w:t>
      </w:r>
      <w:r>
        <w:fldChar w:fldCharType="end"/>
      </w:r>
    </w:p>
    <w:p>
      <w:pPr>
        <w:pStyle w:val="TOC8"/>
        <w:rPr>
          <w:rFonts w:asciiTheme="minorHAnsi" w:eastAsiaTheme="minorEastAsia" w:hAnsiTheme="minorHAnsi" w:cstheme="minorBidi"/>
          <w:szCs w:val="22"/>
        </w:rPr>
      </w:pPr>
      <w:r>
        <w:t>3A.</w:t>
      </w:r>
      <w:r>
        <w:tab/>
        <w:t xml:space="preserve">Transitional provision relating to </w:t>
      </w:r>
      <w:r>
        <w:rPr>
          <w:i/>
        </w:rPr>
        <w:t>Building Amendment Regulations 2019</w:t>
      </w:r>
      <w:r>
        <w:t xml:space="preserve"> Part 3</w:t>
      </w:r>
      <w:r>
        <w:tab/>
      </w:r>
      <w:r>
        <w:fldChar w:fldCharType="begin"/>
      </w:r>
      <w:r>
        <w:instrText xml:space="preserve"> PAGEREF _Toc75515370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_Toc75515372 \h </w:instrText>
      </w:r>
      <w:r>
        <w:fldChar w:fldCharType="separate"/>
      </w:r>
      <w:r>
        <w:t>5</w:t>
      </w:r>
      <w:r>
        <w:fldChar w:fldCharType="end"/>
      </w:r>
    </w:p>
    <w:p>
      <w:pPr>
        <w:pStyle w:val="TOC8"/>
        <w:rPr>
          <w:rFonts w:asciiTheme="minorHAnsi" w:eastAsiaTheme="minorEastAsia" w:hAnsiTheme="minorHAnsi" w:cstheme="minorBidi"/>
          <w:szCs w:val="22"/>
        </w:rPr>
      </w:pPr>
      <w:r>
        <w:t>5A.</w:t>
      </w:r>
      <w:r>
        <w:tab/>
        <w:t>Authorised persons (s. 3)</w:t>
      </w:r>
      <w:r>
        <w:tab/>
      </w:r>
      <w:r>
        <w:fldChar w:fldCharType="begin"/>
      </w:r>
      <w:r>
        <w:instrText xml:space="preserve"> PAGEREF _Toc75515373 \h </w:instrText>
      </w:r>
      <w:r>
        <w:fldChar w:fldCharType="separate"/>
      </w:r>
      <w:r>
        <w:t>6</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_Toc75515374 \h </w:instrText>
      </w:r>
      <w:r>
        <w:fldChar w:fldCharType="separate"/>
      </w:r>
      <w:r>
        <w:t>6</w:t>
      </w:r>
      <w:r>
        <w:fldChar w:fldCharType="end"/>
      </w:r>
    </w:p>
    <w:p>
      <w:pPr>
        <w:pStyle w:val="TOC8"/>
        <w:rPr>
          <w:rFonts w:asciiTheme="minorHAnsi" w:eastAsiaTheme="minorEastAsia" w:hAnsiTheme="minorHAnsi" w:cstheme="minorBidi"/>
          <w:szCs w:val="22"/>
        </w:rPr>
      </w:pPr>
      <w:r>
        <w:t>6A.</w:t>
      </w:r>
      <w:r>
        <w:tab/>
        <w:t>Building work (s. 3)</w:t>
      </w:r>
      <w:r>
        <w:tab/>
      </w:r>
      <w:r>
        <w:fldChar w:fldCharType="begin"/>
      </w:r>
      <w:r>
        <w:instrText xml:space="preserve"> PAGEREF _Toc75515375 \h </w:instrText>
      </w:r>
      <w:r>
        <w:fldChar w:fldCharType="separate"/>
      </w:r>
      <w:r>
        <w:t>8</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_Toc75515376 \h </w:instrText>
      </w:r>
      <w:r>
        <w:fldChar w:fldCharType="separate"/>
      </w:r>
      <w:r>
        <w:t>8</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_Toc75515377 \h </w:instrText>
      </w:r>
      <w:r>
        <w:fldChar w:fldCharType="separate"/>
      </w:r>
      <w:r>
        <w:t>8</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_Toc75515378 \h </w:instrText>
      </w:r>
      <w:r>
        <w:fldChar w:fldCharType="separate"/>
      </w:r>
      <w:r>
        <w:t>10</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_Toc75515379 \h </w:instrText>
      </w:r>
      <w:r>
        <w:fldChar w:fldCharType="separate"/>
      </w:r>
      <w:r>
        <w:t>10</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_Toc75515380 \h </w:instrText>
      </w:r>
      <w:r>
        <w:fldChar w:fldCharType="separate"/>
      </w:r>
      <w:r>
        <w:t>11</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_Toc75515381 \h </w:instrText>
      </w:r>
      <w:r>
        <w:fldChar w:fldCharType="separate"/>
      </w:r>
      <w:r>
        <w:t>11</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_Toc75515382 \h </w:instrText>
      </w:r>
      <w:r>
        <w:fldChar w:fldCharType="separate"/>
      </w:r>
      <w:r>
        <w:t>12</w:t>
      </w:r>
      <w:r>
        <w:fldChar w:fldCharType="end"/>
      </w:r>
    </w:p>
    <w:p>
      <w:pPr>
        <w:pStyle w:val="TOC8"/>
        <w:rPr>
          <w:rFonts w:asciiTheme="minorHAnsi" w:eastAsiaTheme="minorEastAsia" w:hAnsiTheme="minorHAnsi" w:cstheme="minorBidi"/>
          <w:szCs w:val="22"/>
        </w:rPr>
      </w:pPr>
      <w:r>
        <w:t>14A.</w:t>
      </w:r>
      <w:r>
        <w:tab/>
        <w:t>Confidentiality exceptions (s. 146)</w:t>
      </w:r>
      <w:r>
        <w:tab/>
      </w:r>
      <w:r>
        <w:fldChar w:fldCharType="begin"/>
      </w:r>
      <w:r>
        <w:instrText xml:space="preserve"> PAGEREF _Toc75515383 \h </w:instrText>
      </w:r>
      <w:r>
        <w:fldChar w:fldCharType="separate"/>
      </w:r>
      <w:r>
        <w:t>12</w:t>
      </w:r>
      <w:r>
        <w:fldChar w:fldCharType="end"/>
      </w:r>
    </w:p>
    <w:p>
      <w:pPr>
        <w:pStyle w:val="TOC8"/>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_Toc75515384 \h </w:instrText>
      </w:r>
      <w:r>
        <w:fldChar w:fldCharType="separate"/>
      </w:r>
      <w:r>
        <w:t>13</w:t>
      </w:r>
      <w:r>
        <w:fldChar w:fldCharType="end"/>
      </w:r>
    </w:p>
    <w:p>
      <w:pPr>
        <w:pStyle w:val="TOC8"/>
        <w:rPr>
          <w:rFonts w:asciiTheme="minorHAnsi" w:eastAsiaTheme="minorEastAsia" w:hAnsiTheme="minorHAnsi" w:cstheme="minorBidi"/>
          <w:szCs w:val="22"/>
        </w:rPr>
      </w:pPr>
      <w:r>
        <w:t>15B.</w:t>
      </w:r>
      <w:r>
        <w:tab/>
        <w:t>Modifications to AS 1926.1</w:t>
      </w:r>
      <w:r>
        <w:noBreakHyphen/>
        <w:t>2012 (s. 150)</w:t>
      </w:r>
      <w:r>
        <w:tab/>
      </w:r>
      <w:r>
        <w:fldChar w:fldCharType="begin"/>
      </w:r>
      <w:r>
        <w:instrText xml:space="preserve"> PAGEREF _Toc75515385 \h </w:instrText>
      </w:r>
      <w:r>
        <w:fldChar w:fldCharType="separate"/>
      </w:r>
      <w:r>
        <w:t>14</w:t>
      </w:r>
      <w:r>
        <w:fldChar w:fldCharType="end"/>
      </w:r>
    </w:p>
    <w:p>
      <w:pPr>
        <w:pStyle w:val="TOC8"/>
        <w:rPr>
          <w:rFonts w:asciiTheme="minorHAnsi" w:eastAsiaTheme="minorEastAsia" w:hAnsiTheme="minorHAnsi" w:cstheme="minorBidi"/>
          <w:szCs w:val="22"/>
        </w:rPr>
      </w:pPr>
      <w:r>
        <w:t>15C.</w:t>
      </w:r>
      <w:r>
        <w:tab/>
        <w:t>Modifications to Building Code (s. 150)</w:t>
      </w:r>
      <w:r>
        <w:tab/>
      </w:r>
      <w:r>
        <w:fldChar w:fldCharType="begin"/>
      </w:r>
      <w:r>
        <w:instrText xml:space="preserve"> PAGEREF _Toc75515386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_Toc75515388 \h </w:instrText>
      </w:r>
      <w:r>
        <w:fldChar w:fldCharType="separate"/>
      </w:r>
      <w:r>
        <w:t>16</w:t>
      </w:r>
      <w:r>
        <w:fldChar w:fldCharType="end"/>
      </w:r>
    </w:p>
    <w:p>
      <w:pPr>
        <w:pStyle w:val="TOC8"/>
        <w:rPr>
          <w:rFonts w:asciiTheme="minorHAnsi" w:eastAsiaTheme="minorEastAsia" w:hAnsiTheme="minorHAnsi" w:cstheme="minorBidi"/>
          <w:szCs w:val="22"/>
        </w:rPr>
      </w:pPr>
      <w:r>
        <w:t>16.</w:t>
      </w:r>
      <w:r>
        <w:tab/>
        <w:t>Application for building and demolition permits (s. 16)</w:t>
      </w:r>
      <w:r>
        <w:tab/>
      </w:r>
      <w:r>
        <w:fldChar w:fldCharType="begin"/>
      </w:r>
      <w:r>
        <w:instrText xml:space="preserve"> PAGEREF _Toc75515389 \h </w:instrText>
      </w:r>
      <w:r>
        <w:fldChar w:fldCharType="separate"/>
      </w:r>
      <w:r>
        <w:t>16</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_Toc75515390 \h </w:instrText>
      </w:r>
      <w:r>
        <w:fldChar w:fldCharType="separate"/>
      </w:r>
      <w:r>
        <w:t>18</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_Toc75515391 \h </w:instrText>
      </w:r>
      <w:r>
        <w:fldChar w:fldCharType="separate"/>
      </w:r>
      <w:r>
        <w:t>18</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_Toc75515392 \h </w:instrText>
      </w:r>
      <w:r>
        <w:fldChar w:fldCharType="separate"/>
      </w:r>
      <w:r>
        <w:t>20</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_Toc75515393 \h </w:instrText>
      </w:r>
      <w:r>
        <w:fldChar w:fldCharType="separate"/>
      </w:r>
      <w:r>
        <w:t>21</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_Toc75515394 \h </w:instrText>
      </w:r>
      <w:r>
        <w:fldChar w:fldCharType="separate"/>
      </w:r>
      <w:r>
        <w:t>22</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_Toc75515395 \h </w:instrText>
      </w:r>
      <w:r>
        <w:fldChar w:fldCharType="separate"/>
      </w:r>
      <w:r>
        <w:t>23</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_Toc75515396 \h </w:instrText>
      </w:r>
      <w:r>
        <w:fldChar w:fldCharType="separate"/>
      </w:r>
      <w:r>
        <w:t>24</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_Toc75515397 \h </w:instrText>
      </w:r>
      <w:r>
        <w:fldChar w:fldCharType="separate"/>
      </w:r>
      <w:r>
        <w:t>25</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_Toc75515398 \h </w:instrText>
      </w:r>
      <w:r>
        <w:fldChar w:fldCharType="separate"/>
      </w:r>
      <w:r>
        <w:t>25</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_Toc75515399 \h </w:instrText>
      </w:r>
      <w:r>
        <w:fldChar w:fldCharType="separate"/>
      </w:r>
      <w:r>
        <w:t>26</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_Toc75515400 \h </w:instrText>
      </w:r>
      <w:r>
        <w:fldChar w:fldCharType="separate"/>
      </w:r>
      <w:r>
        <w:t>27</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_Toc75515401 \h </w:instrText>
      </w:r>
      <w:r>
        <w:fldChar w:fldCharType="separate"/>
      </w:r>
      <w:r>
        <w:t>27</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_Toc75515402 \h </w:instrText>
      </w:r>
      <w:r>
        <w:fldChar w:fldCharType="separate"/>
      </w:r>
      <w:r>
        <w:t>28</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_Toc75515403 \h </w:instrText>
      </w:r>
      <w:r>
        <w:fldChar w:fldCharType="separate"/>
      </w:r>
      <w:r>
        <w:t>29</w:t>
      </w:r>
      <w:r>
        <w:fldChar w:fldCharType="end"/>
      </w:r>
    </w:p>
    <w:p>
      <w:pPr>
        <w:pStyle w:val="TOC8"/>
        <w:rPr>
          <w:rFonts w:asciiTheme="minorHAnsi" w:eastAsiaTheme="minorEastAsia" w:hAnsiTheme="minorHAnsi" w:cstheme="minorBidi"/>
          <w:szCs w:val="22"/>
        </w:rPr>
      </w:pPr>
      <w:r>
        <w:t>28.</w:t>
      </w:r>
      <w:r>
        <w:tab/>
        <w:t>Required inspection: barrier to private swimming pool (s. 36(2)(a))</w:t>
      </w:r>
      <w:r>
        <w:tab/>
      </w:r>
      <w:r>
        <w:fldChar w:fldCharType="begin"/>
      </w:r>
      <w:r>
        <w:instrText xml:space="preserve"> PAGEREF _Toc75515404 \h </w:instrText>
      </w:r>
      <w:r>
        <w:fldChar w:fldCharType="separate"/>
      </w:r>
      <w:r>
        <w:t>29</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_Toc75515405 \h </w:instrText>
      </w:r>
      <w:r>
        <w:fldChar w:fldCharType="separate"/>
      </w:r>
      <w:r>
        <w:t>29</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_Toc75515406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Building standards</w:t>
      </w:r>
    </w:p>
    <w:p>
      <w:pPr>
        <w:pStyle w:val="TOC4"/>
        <w:tabs>
          <w:tab w:val="right" w:leader="dot" w:pos="7077"/>
        </w:tabs>
        <w:rPr>
          <w:rFonts w:asciiTheme="minorHAnsi" w:eastAsiaTheme="minorEastAsia" w:hAnsiTheme="minorHAnsi" w:cstheme="minorBidi"/>
          <w:b w:val="0"/>
          <w:szCs w:val="22"/>
        </w:rPr>
      </w:pPr>
      <w:r>
        <w:t>Division 1 — Applicable building standards</w:t>
      </w:r>
    </w:p>
    <w:p>
      <w:pPr>
        <w:pStyle w:val="TOC6"/>
        <w:tabs>
          <w:tab w:val="right" w:leader="dot" w:pos="7077"/>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_Toc75515410 \h </w:instrText>
      </w:r>
      <w:r>
        <w:fldChar w:fldCharType="separate"/>
      </w:r>
      <w:r>
        <w:t>31</w:t>
      </w:r>
      <w:r>
        <w:fldChar w:fldCharType="end"/>
      </w:r>
    </w:p>
    <w:p>
      <w:pPr>
        <w:pStyle w:val="TOC8"/>
        <w:rPr>
          <w:rFonts w:asciiTheme="minorHAnsi" w:eastAsiaTheme="minorEastAsia" w:hAnsiTheme="minorHAnsi" w:cstheme="minorBidi"/>
          <w:szCs w:val="22"/>
        </w:rPr>
      </w:pPr>
      <w:r>
        <w:lastRenderedPageBreak/>
        <w:t>31BA.</w:t>
      </w:r>
      <w:r>
        <w:tab/>
        <w:t>Applicable building standards for buildings and incidental structures in bush fire prone areas (s. 3, 19(3), 37(1) and (2), 57(3), 49(b), 51(2) and (3))</w:t>
      </w:r>
      <w:r>
        <w:tab/>
      </w:r>
      <w:r>
        <w:fldChar w:fldCharType="begin"/>
      </w:r>
      <w:r>
        <w:instrText xml:space="preserve"> PAGEREF _Toc75515411 \h </w:instrText>
      </w:r>
      <w:r>
        <w:fldChar w:fldCharType="separate"/>
      </w:r>
      <w:r>
        <w:t>32</w:t>
      </w:r>
      <w:r>
        <w:fldChar w:fldCharType="end"/>
      </w:r>
    </w:p>
    <w:p>
      <w:pPr>
        <w:pStyle w:val="TOC8"/>
        <w:rPr>
          <w:rFonts w:asciiTheme="minorHAnsi" w:eastAsiaTheme="minorEastAsia" w:hAnsiTheme="minorHAnsi" w:cstheme="minorBidi"/>
          <w:szCs w:val="22"/>
        </w:rPr>
      </w:pPr>
      <w:r>
        <w:t>31C.</w:t>
      </w:r>
      <w:r>
        <w:tab/>
        <w:t>Applicable building standards for swimming pools (s. 3, 19(3) and 37(1) and (2))</w:t>
      </w:r>
      <w:r>
        <w:tab/>
      </w:r>
      <w:r>
        <w:fldChar w:fldCharType="begin"/>
      </w:r>
      <w:r>
        <w:instrText xml:space="preserve"> PAGEREF _Toc75515412 \h </w:instrText>
      </w:r>
      <w:r>
        <w:fldChar w:fldCharType="separate"/>
      </w:r>
      <w:r>
        <w:t>39</w:t>
      </w:r>
      <w:r>
        <w:fldChar w:fldCharType="end"/>
      </w:r>
    </w:p>
    <w:p>
      <w:pPr>
        <w:pStyle w:val="TOC8"/>
        <w:rPr>
          <w:rFonts w:asciiTheme="minorHAnsi" w:eastAsiaTheme="minorEastAsia" w:hAnsiTheme="minorHAnsi" w:cstheme="minorBidi"/>
          <w:szCs w:val="22"/>
        </w:rPr>
      </w:pPr>
      <w:r>
        <w:t>31D.</w:t>
      </w:r>
      <w:r>
        <w:tab/>
        <w:t>Applicable building standards for relocated buildings and incidental structures (other than swimming pools) (s. 3, 19(3) and 37(1) and (2))</w:t>
      </w:r>
      <w:r>
        <w:tab/>
      </w:r>
      <w:r>
        <w:fldChar w:fldCharType="begin"/>
      </w:r>
      <w:r>
        <w:instrText xml:space="preserve"> PAGEREF _Toc75515413 \h </w:instrText>
      </w:r>
      <w:r>
        <w:fldChar w:fldCharType="separate"/>
      </w:r>
      <w:r>
        <w:t>41</w:t>
      </w:r>
      <w:r>
        <w:fldChar w:fldCharType="end"/>
      </w:r>
    </w:p>
    <w:p>
      <w:pPr>
        <w:pStyle w:val="TOC8"/>
        <w:rPr>
          <w:rFonts w:asciiTheme="minorHAnsi" w:eastAsiaTheme="minorEastAsia" w:hAnsiTheme="minorHAnsi" w:cstheme="minorBidi"/>
          <w:szCs w:val="22"/>
        </w:rPr>
      </w:pPr>
      <w:r>
        <w:t>31E.</w:t>
      </w:r>
      <w:r>
        <w:tab/>
        <w:t>Applicable building standards for building work done without permit (s. 3 and 37(2))</w:t>
      </w:r>
      <w:r>
        <w:tab/>
      </w:r>
      <w:r>
        <w:fldChar w:fldCharType="begin"/>
      </w:r>
      <w:r>
        <w:instrText xml:space="preserve"> PAGEREF _Toc75515414 \h </w:instrText>
      </w:r>
      <w:r>
        <w:fldChar w:fldCharType="separate"/>
      </w:r>
      <w:r>
        <w:t>47</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(s. 3, 57(3) and 49(a))</w:t>
      </w:r>
      <w:r>
        <w:tab/>
      </w:r>
      <w:r>
        <w:fldChar w:fldCharType="begin"/>
      </w:r>
      <w:r>
        <w:instrText xml:space="preserve"> PAGEREF _Toc75515415 \h </w:instrText>
      </w:r>
      <w:r>
        <w:fldChar w:fldCharType="separate"/>
      </w:r>
      <w:r>
        <w:t>47</w:t>
      </w:r>
      <w:r>
        <w:fldChar w:fldCharType="end"/>
      </w:r>
    </w:p>
    <w:p>
      <w:pPr>
        <w:pStyle w:val="TOC8"/>
        <w:rPr>
          <w:rFonts w:asciiTheme="minorHAnsi" w:eastAsiaTheme="minorEastAsia" w:hAnsiTheme="minorHAnsi" w:cstheme="minorBidi"/>
          <w:szCs w:val="22"/>
        </w:rPr>
      </w:pPr>
      <w:r>
        <w:t>31G.</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r>
        <w:tab/>
      </w:r>
      <w:r>
        <w:fldChar w:fldCharType="begin"/>
      </w:r>
      <w:r>
        <w:instrText xml:space="preserve"> PAGEREF _Toc75515416 \h </w:instrText>
      </w:r>
      <w:r>
        <w:fldChar w:fldCharType="separate"/>
      </w:r>
      <w:r>
        <w:t>48</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_Toc75515417 \h </w:instrText>
      </w:r>
      <w:r>
        <w:fldChar w:fldCharType="separate"/>
      </w:r>
      <w:r>
        <w:t>49</w:t>
      </w:r>
      <w:r>
        <w:fldChar w:fldCharType="end"/>
      </w:r>
    </w:p>
    <w:p>
      <w:pPr>
        <w:pStyle w:val="TOC8"/>
        <w:rPr>
          <w:rFonts w:asciiTheme="minorHAnsi" w:eastAsiaTheme="minorEastAsia" w:hAnsiTheme="minorHAnsi" w:cstheme="minorBidi"/>
          <w:szCs w:val="22"/>
        </w:rPr>
      </w:pPr>
      <w:r>
        <w:t>31HA.</w:t>
      </w:r>
      <w:r>
        <w:tab/>
        <w:t>Applicable building standards for non</w:t>
      </w:r>
      <w:r>
        <w:noBreakHyphen/>
        <w:t>combustible external walls (s. 3, 19(3), 37(1) and (2) and 57(3))</w:t>
      </w:r>
      <w:r>
        <w:tab/>
      </w:r>
      <w:r>
        <w:fldChar w:fldCharType="begin"/>
      </w:r>
      <w:r>
        <w:instrText xml:space="preserve"> PAGEREF _Toc75515418 \h </w:instrText>
      </w:r>
      <w:r>
        <w:fldChar w:fldCharType="separate"/>
      </w:r>
      <w:r>
        <w:t>50</w:t>
      </w:r>
      <w:r>
        <w:fldChar w:fldCharType="end"/>
      </w:r>
    </w:p>
    <w:p>
      <w:pPr>
        <w:pStyle w:val="TOC8"/>
        <w:rPr>
          <w:rFonts w:asciiTheme="minorHAnsi" w:eastAsiaTheme="minorEastAsia" w:hAnsiTheme="minorHAnsi" w:cstheme="minorBidi"/>
          <w:szCs w:val="22"/>
        </w:rPr>
      </w:pPr>
      <w:r>
        <w:t>31HB.</w:t>
      </w:r>
      <w:r>
        <w:tab/>
        <w:t xml:space="preserve">Transitional provisions for </w:t>
      </w:r>
      <w:r>
        <w:rPr>
          <w:i/>
        </w:rPr>
        <w:t>Building Amendment Regulations (No. 3) 2015</w:t>
      </w:r>
      <w:r>
        <w:tab/>
      </w:r>
      <w:r>
        <w:fldChar w:fldCharType="begin"/>
      </w:r>
      <w:r>
        <w:instrText xml:space="preserve"> PAGEREF _Toc75515419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_Toc75515421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_Toc75515423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Non</w:t>
      </w:r>
      <w:r>
        <w:noBreakHyphen/>
        <w:t>application, modification, of building standards</w:t>
      </w:r>
    </w:p>
    <w:p>
      <w:pPr>
        <w:pStyle w:val="TOC8"/>
        <w:rPr>
          <w:rFonts w:asciiTheme="minorHAnsi" w:eastAsiaTheme="minorEastAsia" w:hAnsiTheme="minorHAnsi" w:cstheme="minorBidi"/>
          <w:szCs w:val="22"/>
        </w:rPr>
      </w:pPr>
      <w:r>
        <w:t>31.</w:t>
      </w:r>
      <w:r>
        <w:tab/>
        <w:t>Terms used</w:t>
      </w:r>
      <w:r>
        <w:tab/>
      </w:r>
      <w:r>
        <w:fldChar w:fldCharType="begin"/>
      </w:r>
      <w:r>
        <w:instrText xml:space="preserve"> PAGEREF _Toc75515425 \h </w:instrText>
      </w:r>
      <w:r>
        <w:fldChar w:fldCharType="separate"/>
      </w:r>
      <w:r>
        <w:t>55</w:t>
      </w:r>
      <w:r>
        <w:fldChar w:fldCharType="end"/>
      </w:r>
    </w:p>
    <w:p>
      <w:pPr>
        <w:pStyle w:val="TOC8"/>
        <w:rPr>
          <w:rFonts w:asciiTheme="minorHAnsi" w:eastAsiaTheme="minorEastAsia" w:hAnsiTheme="minorHAnsi" w:cstheme="minorBidi"/>
          <w:szCs w:val="22"/>
        </w:rPr>
      </w:pPr>
      <w:r>
        <w:t>32.</w:t>
      </w:r>
      <w:r>
        <w:tab/>
        <w:t>Statements to accompany application (s. 39(8)(b))</w:t>
      </w:r>
      <w:r>
        <w:tab/>
      </w:r>
      <w:r>
        <w:fldChar w:fldCharType="begin"/>
      </w:r>
      <w:r>
        <w:instrText xml:space="preserve"> PAGEREF _Toc75515426 \h </w:instrText>
      </w:r>
      <w:r>
        <w:fldChar w:fldCharType="separate"/>
      </w:r>
      <w:r>
        <w:t>55</w:t>
      </w:r>
      <w:r>
        <w:fldChar w:fldCharType="end"/>
      </w:r>
    </w:p>
    <w:p>
      <w:pPr>
        <w:pStyle w:val="TOC8"/>
        <w:rPr>
          <w:rFonts w:asciiTheme="minorHAnsi" w:eastAsiaTheme="minorEastAsia" w:hAnsiTheme="minorHAnsi" w:cstheme="minorBidi"/>
          <w:szCs w:val="22"/>
        </w:rPr>
      </w:pPr>
      <w:r>
        <w:t>32A.</w:t>
      </w:r>
      <w:r>
        <w:tab/>
        <w:t>Statement to accompany transitional bush fire application (s. 39(8)(b))</w:t>
      </w:r>
      <w:r>
        <w:tab/>
      </w:r>
      <w:r>
        <w:fldChar w:fldCharType="begin"/>
      </w:r>
      <w:r>
        <w:instrText xml:space="preserve"> PAGEREF _Toc75515427 \h </w:instrText>
      </w:r>
      <w:r>
        <w:fldChar w:fldCharType="separate"/>
      </w:r>
      <w:r>
        <w:t>57</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_Toc75515428 \h </w:instrText>
      </w:r>
      <w:r>
        <w:fldChar w:fldCharType="separate"/>
      </w:r>
      <w:r>
        <w:t>58</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_Toc75515429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_Toc75515431 \h </w:instrText>
      </w:r>
      <w:r>
        <w:fldChar w:fldCharType="separate"/>
      </w:r>
      <w:r>
        <w:t>60</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_Toc75515432 \h </w:instrText>
      </w:r>
      <w:r>
        <w:fldChar w:fldCharType="separate"/>
      </w:r>
      <w:r>
        <w:t>60</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_Toc75515433 \h </w:instrText>
      </w:r>
      <w:r>
        <w:fldChar w:fldCharType="separate"/>
      </w:r>
      <w:r>
        <w:t>61</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_Toc75515434 \h </w:instrText>
      </w:r>
      <w:r>
        <w:fldChar w:fldCharType="separate"/>
      </w:r>
      <w:r>
        <w:t>63</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_Toc75515435 \h </w:instrText>
      </w:r>
      <w:r>
        <w:fldChar w:fldCharType="separate"/>
      </w:r>
      <w:r>
        <w:t>63</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_Toc75515436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not required (s. 9(b))</w:t>
      </w:r>
      <w:r>
        <w:tab/>
      </w:r>
      <w:r>
        <w:fldChar w:fldCharType="begin"/>
      </w:r>
      <w:r>
        <w:instrText xml:space="preserve"> PAGEREF _Toc75515438 \h </w:instrText>
      </w:r>
      <w:r>
        <w:fldChar w:fldCharType="separate"/>
      </w:r>
      <w:r>
        <w:t>66</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_Toc75515439 \h </w:instrText>
      </w:r>
      <w:r>
        <w:fldChar w:fldCharType="separate"/>
      </w:r>
      <w:r>
        <w:t>67</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_Toc75515440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_Toc75515442 \h </w:instrText>
      </w:r>
      <w:r>
        <w:fldChar w:fldCharType="separate"/>
      </w:r>
      <w:r>
        <w:t>69</w:t>
      </w:r>
      <w:r>
        <w:fldChar w:fldCharType="end"/>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_Toc75515443 \h </w:instrText>
      </w:r>
      <w:r>
        <w:fldChar w:fldCharType="separate"/>
      </w:r>
      <w:r>
        <w:t>69</w:t>
      </w:r>
      <w:r>
        <w:fldChar w:fldCharType="end"/>
      </w:r>
    </w:p>
    <w:p>
      <w:pPr>
        <w:pStyle w:val="TOC8"/>
        <w:rPr>
          <w:rFonts w:asciiTheme="minorHAnsi" w:eastAsiaTheme="minorEastAsia" w:hAnsiTheme="minorHAnsi" w:cstheme="minorBidi"/>
          <w:szCs w:val="22"/>
        </w:rPr>
      </w:pPr>
      <w:r>
        <w:t>45A.</w:t>
      </w:r>
      <w:r>
        <w:tab/>
        <w:t>Minor encroachments (s. 76(1)(c))</w:t>
      </w:r>
      <w:r>
        <w:tab/>
      </w:r>
      <w:r>
        <w:fldChar w:fldCharType="begin"/>
      </w:r>
      <w:r>
        <w:instrText xml:space="preserve"> PAGEREF _Toc75515444 \h </w:instrText>
      </w:r>
      <w:r>
        <w:fldChar w:fldCharType="separate"/>
      </w:r>
      <w:r>
        <w:t>69</w:t>
      </w:r>
      <w:r>
        <w:fldChar w:fldCharType="end"/>
      </w:r>
    </w:p>
    <w:p>
      <w:pPr>
        <w:pStyle w:val="TOC8"/>
        <w:rPr>
          <w:rFonts w:asciiTheme="minorHAnsi" w:eastAsiaTheme="minorEastAsia" w:hAnsiTheme="minorHAnsi" w:cstheme="minorBidi"/>
          <w:szCs w:val="22"/>
        </w:rPr>
      </w:pPr>
      <w:r>
        <w:t>45B.</w:t>
      </w:r>
      <w:r>
        <w:tab/>
        <w:t>Circumstances prescribed for purposes of section 76(1)(e)</w:t>
      </w:r>
      <w:r>
        <w:tab/>
      </w:r>
      <w:r>
        <w:fldChar w:fldCharType="begin"/>
      </w:r>
      <w:r>
        <w:instrText xml:space="preserve"> PAGEREF _Toc75515445 \h </w:instrText>
      </w:r>
      <w:r>
        <w:fldChar w:fldCharType="separate"/>
      </w:r>
      <w:r>
        <w:t>70</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_Toc75515446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Existing buildings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_Toc75515449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2A — Maintenance</w:t>
      </w:r>
    </w:p>
    <w:p>
      <w:pPr>
        <w:pStyle w:val="TOC8"/>
        <w:rPr>
          <w:rFonts w:asciiTheme="minorHAnsi" w:eastAsiaTheme="minorEastAsia" w:hAnsiTheme="minorHAnsi" w:cstheme="minorBidi"/>
          <w:szCs w:val="22"/>
        </w:rPr>
      </w:pPr>
      <w:r>
        <w:t>48A.</w:t>
      </w:r>
      <w:r>
        <w:tab/>
        <w:t>Maintenance of buildings</w:t>
      </w:r>
      <w:r>
        <w:tab/>
      </w:r>
      <w:r>
        <w:fldChar w:fldCharType="begin"/>
      </w:r>
      <w:r>
        <w:instrText xml:space="preserve"> PAGEREF _Toc75515451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_Toc75515453 \h </w:instrText>
      </w:r>
      <w:r>
        <w:fldChar w:fldCharType="separate"/>
      </w:r>
      <w:r>
        <w:t>76</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_Toc75515454 \h </w:instrText>
      </w:r>
      <w:r>
        <w:fldChar w:fldCharType="separate"/>
      </w:r>
      <w:r>
        <w:t>76</w:t>
      </w:r>
      <w:r>
        <w:fldChar w:fldCharType="end"/>
      </w:r>
    </w:p>
    <w:p>
      <w:pPr>
        <w:pStyle w:val="TOC8"/>
        <w:rPr>
          <w:rFonts w:asciiTheme="minorHAnsi" w:eastAsiaTheme="minorEastAsia" w:hAnsiTheme="minorHAnsi" w:cstheme="minorBidi"/>
          <w:szCs w:val="22"/>
        </w:rPr>
      </w:pPr>
      <w:r>
        <w:t>50.</w:t>
      </w:r>
      <w:r>
        <w:tab/>
        <w:t>Barrier to private swimming pool</w:t>
      </w:r>
      <w:r>
        <w:tab/>
      </w:r>
      <w:r>
        <w:fldChar w:fldCharType="begin"/>
      </w:r>
      <w:r>
        <w:instrText xml:space="preserve"> PAGEREF _Toc75515455 \h </w:instrText>
      </w:r>
      <w:r>
        <w:fldChar w:fldCharType="separate"/>
      </w:r>
      <w:r>
        <w:t>76</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_Toc75515456 \h </w:instrText>
      </w:r>
      <w:r>
        <w:fldChar w:fldCharType="separate"/>
      </w:r>
      <w:r>
        <w:t>78</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_Toc75515457 \h </w:instrText>
      </w:r>
      <w:r>
        <w:fldChar w:fldCharType="separate"/>
      </w:r>
      <w:r>
        <w:t>79</w:t>
      </w:r>
      <w:r>
        <w:fldChar w:fldCharType="end"/>
      </w:r>
    </w:p>
    <w:p>
      <w:pPr>
        <w:pStyle w:val="TOC8"/>
        <w:rPr>
          <w:rFonts w:asciiTheme="minorHAnsi" w:eastAsiaTheme="minorEastAsia" w:hAnsiTheme="minorHAnsi" w:cstheme="minorBidi"/>
          <w:szCs w:val="22"/>
        </w:rPr>
      </w:pPr>
      <w:r>
        <w:t>53.</w:t>
      </w:r>
      <w:r>
        <w:tab/>
        <w:t>Inspection of barrier to private swimming pool</w:t>
      </w:r>
      <w:r>
        <w:tab/>
      </w:r>
      <w:r>
        <w:fldChar w:fldCharType="begin"/>
      </w:r>
      <w:r>
        <w:instrText xml:space="preserve"> PAGEREF _Toc75515458 \h </w:instrText>
      </w:r>
      <w:r>
        <w:fldChar w:fldCharType="separate"/>
      </w:r>
      <w:r>
        <w:t>80</w:t>
      </w:r>
      <w:r>
        <w:fldChar w:fldCharType="end"/>
      </w:r>
    </w:p>
    <w:p>
      <w:pPr>
        <w:pStyle w:val="TOC8"/>
        <w:rPr>
          <w:rFonts w:asciiTheme="minorHAnsi" w:eastAsiaTheme="minorEastAsia" w:hAnsiTheme="minorHAnsi" w:cstheme="minorBidi"/>
          <w:szCs w:val="22"/>
        </w:rPr>
      </w:pPr>
      <w:r>
        <w:t>54A.</w:t>
      </w:r>
      <w:r>
        <w:tab/>
        <w:t>Temporary pool barriers</w:t>
      </w:r>
      <w:r>
        <w:tab/>
      </w:r>
      <w:r>
        <w:fldChar w:fldCharType="begin"/>
      </w:r>
      <w:r>
        <w:instrText xml:space="preserve"> PAGEREF _Toc75515459 \h </w:instrText>
      </w:r>
      <w:r>
        <w:fldChar w:fldCharType="separate"/>
      </w:r>
      <w:r>
        <w:t>80</w:t>
      </w:r>
      <w:r>
        <w:fldChar w:fldCharType="end"/>
      </w:r>
    </w:p>
    <w:p>
      <w:pPr>
        <w:pStyle w:val="TOC8"/>
        <w:rPr>
          <w:rFonts w:asciiTheme="minorHAnsi" w:eastAsiaTheme="minorEastAsia" w:hAnsiTheme="minorHAnsi" w:cstheme="minorBidi"/>
          <w:szCs w:val="22"/>
        </w:rPr>
      </w:pPr>
      <w:r>
        <w:t>54.</w:t>
      </w:r>
      <w:r>
        <w:tab/>
        <w:t>Transitional provisions — persons authorised to carry out inspections of private swimming pools</w:t>
      </w:r>
      <w:r>
        <w:tab/>
      </w:r>
      <w:r>
        <w:fldChar w:fldCharType="begin"/>
      </w:r>
      <w:r>
        <w:instrText xml:space="preserve"> PAGEREF _Toc75515460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_Toc75515462 \h </w:instrText>
      </w:r>
      <w:r>
        <w:fldChar w:fldCharType="separate"/>
      </w:r>
      <w:r>
        <w:t>81</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_Toc75515463 \h </w:instrText>
      </w:r>
      <w:r>
        <w:fldChar w:fldCharType="separate"/>
      </w:r>
      <w:r>
        <w:t>83</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_Toc75515464 \h </w:instrText>
      </w:r>
      <w:r>
        <w:fldChar w:fldCharType="separate"/>
      </w:r>
      <w:r>
        <w:t>84</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_Toc75515465 \h </w:instrText>
      </w:r>
      <w:r>
        <w:fldChar w:fldCharType="separate"/>
      </w:r>
      <w:r>
        <w:t>85</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_Toc75515466 \h </w:instrText>
      </w:r>
      <w:r>
        <w:fldChar w:fldCharType="separate"/>
      </w:r>
      <w:r>
        <w:t>85</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_Toc75515467 \h </w:instrText>
      </w:r>
      <w:r>
        <w:fldChar w:fldCharType="separate"/>
      </w:r>
      <w:r>
        <w:t>85</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_Toc75515468 \h </w:instrText>
      </w:r>
      <w:r>
        <w:fldChar w:fldCharType="separate"/>
      </w:r>
      <w:r>
        <w:t>87</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_Toc75515469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w:t>
      </w:r>
    </w:p>
    <w:p>
      <w:pPr>
        <w:pStyle w:val="TOC8"/>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_Toc75515471 \h </w:instrText>
      </w:r>
      <w:r>
        <w:fldChar w:fldCharType="separate"/>
      </w:r>
      <w:r>
        <w:t>90</w:t>
      </w:r>
      <w:r>
        <w:fldChar w:fldCharType="end"/>
      </w:r>
    </w:p>
    <w:p>
      <w:pPr>
        <w:pStyle w:val="TOC8"/>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_Toc75515472 \h </w:instrText>
      </w:r>
      <w:r>
        <w:fldChar w:fldCharType="separate"/>
      </w:r>
      <w:r>
        <w:t>90</w:t>
      </w:r>
      <w:r>
        <w:fldChar w:fldCharType="end"/>
      </w:r>
    </w:p>
    <w:p>
      <w:pPr>
        <w:pStyle w:val="TOC8"/>
        <w:rPr>
          <w:rFonts w:asciiTheme="minorHAnsi" w:eastAsiaTheme="minorEastAsia" w:hAnsiTheme="minorHAnsi" w:cstheme="minorBidi"/>
          <w:szCs w:val="22"/>
        </w:rPr>
      </w:pPr>
      <w:r>
        <w:t>71.</w:t>
      </w:r>
      <w:r>
        <w:tab/>
        <w:t>Forms</w:t>
      </w:r>
      <w:r>
        <w:tab/>
      </w:r>
      <w:r>
        <w:fldChar w:fldCharType="begin"/>
      </w:r>
      <w:r>
        <w:instrText xml:space="preserve"> PAGEREF _Toc75515473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_Toc75515475 \h </w:instrText>
      </w:r>
      <w:r>
        <w:fldChar w:fldCharType="separate"/>
      </w:r>
      <w:r>
        <w:t>92</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_Toc75515476 \h </w:instrText>
      </w:r>
      <w:r>
        <w:fldChar w:fldCharType="separate"/>
      </w:r>
      <w:r>
        <w:t>92</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_Toc75515477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4"/>
        <w:tabs>
          <w:tab w:val="right" w:leader="dot" w:pos="7077"/>
        </w:tabs>
        <w:rPr>
          <w:rFonts w:asciiTheme="minorHAnsi" w:eastAsiaTheme="minorEastAsia" w:hAnsiTheme="minorHAnsi" w:cstheme="minorBidi"/>
          <w:b w:val="0"/>
          <w:szCs w:val="22"/>
        </w:rPr>
      </w:pPr>
      <w:r>
        <w:t>Division 1 — Applications for building permits, demolition permits</w:t>
      </w:r>
    </w:p>
    <w:p>
      <w:pPr>
        <w:pStyle w:val="TOC4"/>
        <w:tabs>
          <w:tab w:val="right" w:leader="dot" w:pos="7077"/>
        </w:tabs>
        <w:rPr>
          <w:rFonts w:asciiTheme="minorHAnsi" w:eastAsiaTheme="minorEastAsia" w:hAnsiTheme="minorHAnsi" w:cstheme="minorBidi"/>
          <w:b w:val="0"/>
          <w:szCs w:val="22"/>
        </w:rPr>
      </w:pPr>
      <w:r>
        <w:t>Division 2 — Application for occupancy permits, building approval certificates</w:t>
      </w:r>
    </w:p>
    <w:p>
      <w:pPr>
        <w:pStyle w:val="TOC4"/>
        <w:tabs>
          <w:tab w:val="right" w:leader="dot" w:pos="7077"/>
        </w:tabs>
        <w:rPr>
          <w:rFonts w:asciiTheme="minorHAnsi" w:eastAsiaTheme="minorEastAsia" w:hAnsiTheme="minorHAnsi" w:cstheme="minorBidi"/>
          <w:b w:val="0"/>
          <w:szCs w:val="22"/>
        </w:rPr>
      </w:pPr>
      <w:r>
        <w:t>Division 3 — Other applications</w:t>
      </w:r>
    </w:p>
    <w:p>
      <w:pPr>
        <w:pStyle w:val="TOC2"/>
        <w:tabs>
          <w:tab w:val="right" w:leader="dot" w:pos="7077"/>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_Toc75515483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_Toc75515485 \h </w:instrText>
      </w:r>
      <w:r>
        <w:fldChar w:fldCharType="separate"/>
      </w:r>
      <w:r>
        <w:t>98</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_Toc75515486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Schedule 5 — Areas of State where Part 8 Division 2 applies</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 — Offences under these regulations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_Toc75515493 \h </w:instrText>
      </w:r>
      <w:r>
        <w:fldChar w:fldCharType="separate"/>
      </w:r>
      <w:r>
        <w:t>121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_Toc75515494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Building Act 2011</w:t>
      </w:r>
    </w:p>
    <w:p>
      <w:pPr>
        <w:pStyle w:val="NameofActReg"/>
        <w:spacing w:before="600" w:after="720"/>
      </w:pPr>
      <w:r>
        <w:t>Building Regulations 2012</w:t>
      </w:r>
    </w:p>
    <w:p>
      <w:pPr>
        <w:pStyle w:val="Heading2"/>
        <w:keepNext w:val="0"/>
        <w:pageBreakBefore w:val="0"/>
        <w:spacing w:before="240"/>
      </w:pPr>
      <w:bookmarkStart w:id="3" w:name="_Toc75350594"/>
      <w:bookmarkStart w:id="4" w:name="_Toc75350905"/>
      <w:bookmarkStart w:id="5" w:name="_Toc7551536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75515367"/>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Building Regulations 2012</w:t>
      </w:r>
      <w:r>
        <w:t>.</w:t>
      </w:r>
    </w:p>
    <w:p>
      <w:pPr>
        <w:pStyle w:val="Heading5"/>
        <w:rPr>
          <w:spacing w:val="-2"/>
        </w:rPr>
      </w:pPr>
      <w:bookmarkStart w:id="7" w:name="_Toc75515368"/>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p>
    <w:p>
      <w:pPr>
        <w:pStyle w:val="Heading5"/>
      </w:pPr>
      <w:bookmarkStart w:id="8" w:name="_Toc75515369"/>
      <w:r>
        <w:rPr>
          <w:rStyle w:val="CharSectno"/>
        </w:rPr>
        <w:t>3</w:t>
      </w:r>
      <w:r>
        <w:t>.</w:t>
      </w:r>
      <w:r>
        <w:tab/>
        <w:t>Terms used</w:t>
      </w:r>
      <w:bookmarkEnd w:id="8"/>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One Schedule 3;</w:t>
      </w:r>
    </w:p>
    <w:p>
      <w:pPr>
        <w:pStyle w:val="Defstart"/>
      </w:pPr>
      <w:r>
        <w:lastRenderedPageBreak/>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One and Two,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in relation to a swimming pool associated with a Class 1 or Class 10 building — performance requirement P2.7.1 in the Building Code Volume Two Part 2.7;</w:t>
      </w:r>
    </w:p>
    <w:p>
      <w:pPr>
        <w:pStyle w:val="Defpara"/>
      </w:pPr>
      <w:r>
        <w:tab/>
        <w:t>(b)</w:t>
      </w:r>
      <w:r>
        <w:tab/>
        <w:t>in relation to a swimming pool associated with a Class 2 to Class 9 building — performance requirement GP1.2(a) in the Building Code Volume One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or a Class 10a building or deck associated with a Class 2 or Class 3 building — the Building Code Volume One performance requirement GP5.1; and</w:t>
      </w:r>
    </w:p>
    <w:p>
      <w:pPr>
        <w:pStyle w:val="Defpara"/>
      </w:pPr>
      <w:r>
        <w:tab/>
        <w:t>(b)</w:t>
      </w:r>
      <w:r>
        <w:tab/>
        <w:t>in relation to a Class 1 building or a Class 10a building or deck associated with a Class 1 building — the Building Code Volume Two performance requirement P2.7.5;</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lastRenderedPageBreak/>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CV3</w:t>
      </w:r>
      <w:r>
        <w:t xml:space="preserve"> means the verification method CV3 set out in the Building Code Volume One Section C;</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One performance requirement CP2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Heritage of Western Australia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One Schedule 3;</w:t>
      </w:r>
    </w:p>
    <w:p>
      <w:pPr>
        <w:pStyle w:val="Defstart"/>
      </w:pPr>
      <w:r>
        <w:tab/>
      </w:r>
      <w:r>
        <w:rPr>
          <w:rStyle w:val="CharDefText"/>
        </w:rPr>
        <w:t>performance solution</w:t>
      </w:r>
      <w:r>
        <w:t xml:space="preserve"> has the meaning given in the Building Code Volume One Schedule 3;</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lastRenderedPageBreak/>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One Schedule 3;</w:t>
      </w:r>
    </w:p>
    <w:p>
      <w:pPr>
        <w:pStyle w:val="Defstart"/>
      </w:pPr>
      <w:r>
        <w:tab/>
      </w:r>
      <w:r>
        <w:rPr>
          <w:rStyle w:val="CharDefText"/>
        </w:rPr>
        <w:t>swimming pool</w:t>
      </w:r>
      <w:r>
        <w:t xml:space="preserve"> has the meaning given in the Building Code Volume One Schedule 3;</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 26 Mar 2019 p. 944 and 946; SL 2021/42 r. 4.]</w:t>
      </w:r>
    </w:p>
    <w:p>
      <w:pPr>
        <w:pStyle w:val="Heading5"/>
      </w:pPr>
      <w:bookmarkStart w:id="9" w:name="_Toc75515370"/>
      <w:r>
        <w:rPr>
          <w:rStyle w:val="CharSectno"/>
        </w:rPr>
        <w:t>3A</w:t>
      </w:r>
      <w:r>
        <w:t>.</w:t>
      </w:r>
      <w:r>
        <w:tab/>
        <w:t xml:space="preserve">Transitional provision relating to </w:t>
      </w:r>
      <w:r>
        <w:rPr>
          <w:i/>
        </w:rPr>
        <w:t>Building Amendment Regulations 2019</w:t>
      </w:r>
      <w:r>
        <w:t xml:space="preserve"> Part 3</w:t>
      </w:r>
      <w:bookmarkEnd w:id="9"/>
    </w:p>
    <w:p>
      <w:pPr>
        <w:pStyle w:val="Subsection"/>
      </w:pPr>
      <w:r>
        <w:tab/>
      </w:r>
      <w:r>
        <w:tab/>
        <w:t xml:space="preserve">In a case where, in accordance with these regulations, an edition of the Building Code that is earlier than the 2019 edition is applicable, these regulations apply, as necessary, as if the </w:t>
      </w:r>
      <w:r>
        <w:rPr>
          <w:i/>
        </w:rPr>
        <w:t>Building Amendment Regulations 2019</w:t>
      </w:r>
      <w:r>
        <w:t xml:space="preserve"> regulations 6 and 8 to 11 had not come into operation.</w:t>
      </w:r>
    </w:p>
    <w:p>
      <w:pPr>
        <w:pStyle w:val="Footnotesection"/>
        <w:spacing w:before="100"/>
      </w:pPr>
      <w:r>
        <w:tab/>
        <w:t>[Regulation 3A inserted: Gazette 26 Mar 2019 p. 944</w:t>
      </w:r>
      <w:r>
        <w:noBreakHyphen/>
        <w:t>5.]</w:t>
      </w:r>
    </w:p>
    <w:p>
      <w:pPr>
        <w:pStyle w:val="Heading2"/>
      </w:pPr>
      <w:bookmarkStart w:id="10" w:name="_Toc75350599"/>
      <w:bookmarkStart w:id="11" w:name="_Toc75350910"/>
      <w:bookmarkStart w:id="12" w:name="_Toc75515371"/>
      <w:r>
        <w:rPr>
          <w:rStyle w:val="CharPartNo"/>
        </w:rPr>
        <w:lastRenderedPageBreak/>
        <w:t>Part 2</w:t>
      </w:r>
      <w:r>
        <w:rPr>
          <w:rStyle w:val="CharDivNo"/>
        </w:rPr>
        <w:t> </w:t>
      </w:r>
      <w:r>
        <w:t>—</w:t>
      </w:r>
      <w:r>
        <w:rPr>
          <w:rStyle w:val="CharDivText"/>
        </w:rPr>
        <w:t> </w:t>
      </w:r>
      <w:r>
        <w:rPr>
          <w:rStyle w:val="CharPartText"/>
        </w:rPr>
        <w:t>General matters</w:t>
      </w:r>
      <w:bookmarkEnd w:id="10"/>
      <w:bookmarkEnd w:id="11"/>
      <w:bookmarkEnd w:id="12"/>
    </w:p>
    <w:p>
      <w:pPr>
        <w:pStyle w:val="Heading5"/>
      </w:pPr>
      <w:bookmarkStart w:id="13" w:name="_Toc75515372"/>
      <w:r>
        <w:rPr>
          <w:rStyle w:val="CharSectno"/>
        </w:rPr>
        <w:t>4</w:t>
      </w:r>
      <w:r>
        <w:t>.</w:t>
      </w:r>
      <w:r>
        <w:tab/>
        <w:t>Approval of manner or form of things (s. 3)</w:t>
      </w:r>
      <w:bookmarkEnd w:id="13"/>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lastRenderedPageBreak/>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14" w:name="_Toc75515373"/>
      <w:r>
        <w:rPr>
          <w:rStyle w:val="CharSectno"/>
        </w:rPr>
        <w:t>5A</w:t>
      </w:r>
      <w:r>
        <w:t>.</w:t>
      </w:r>
      <w:r>
        <w:tab/>
        <w:t>Authorised persons (s. 3)</w:t>
      </w:r>
      <w:bookmarkEnd w:id="14"/>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p>
    <w:p>
      <w:pPr>
        <w:pStyle w:val="Footnotesection"/>
      </w:pPr>
      <w:r>
        <w:tab/>
        <w:t>[Regulation 5A inserted: Gazette 18 Dec 2012 p. 6555-6.]</w:t>
      </w:r>
    </w:p>
    <w:p>
      <w:pPr>
        <w:pStyle w:val="Heading5"/>
      </w:pPr>
      <w:bookmarkStart w:id="15" w:name="_Toc75515374"/>
      <w:r>
        <w:rPr>
          <w:rStyle w:val="CharSectno"/>
        </w:rPr>
        <w:t>5</w:t>
      </w:r>
      <w:r>
        <w:t>.</w:t>
      </w:r>
      <w:r>
        <w:tab/>
        <w:t>Building surveyors (s. 3)</w:t>
      </w:r>
      <w:bookmarkEnd w:id="15"/>
    </w:p>
    <w:p>
      <w:pPr>
        <w:pStyle w:val="Subsection"/>
      </w:pPr>
      <w:r>
        <w:tab/>
      </w:r>
      <w:r>
        <w:tab/>
        <w:t xml:space="preserve">For the purposes of the definition of </w:t>
      </w:r>
      <w:r>
        <w:rPr>
          <w:b/>
          <w:i/>
        </w:rPr>
        <w:t>building surveyor</w:t>
      </w:r>
      <w:r>
        <w:t xml:space="preserve"> in section 3, a class of building service practitioner listed in an </w:t>
      </w:r>
      <w:r>
        <w:lastRenderedPageBreak/>
        <w:t>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2 000 m</w:t>
            </w:r>
            <w:r>
              <w:rPr>
                <w:vertAlign w:val="superscript"/>
              </w:rPr>
              <w:t>2</w:t>
            </w:r>
            <w:r>
              <w:t>; and</w:t>
            </w:r>
          </w:p>
          <w:p>
            <w:pPr>
              <w:pStyle w:val="TableNAm"/>
              <w:tabs>
                <w:tab w:val="clear" w:pos="567"/>
                <w:tab w:val="left" w:pos="479"/>
              </w:tabs>
              <w:spacing w:before="100"/>
              <w:ind w:left="507" w:hanging="507"/>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500 m</w:t>
            </w:r>
            <w:r>
              <w:rPr>
                <w:vertAlign w:val="superscript"/>
              </w:rPr>
              <w:t>2</w:t>
            </w:r>
            <w:r>
              <w:t>; and</w:t>
            </w:r>
          </w:p>
          <w:p>
            <w:pPr>
              <w:pStyle w:val="TableNAm"/>
              <w:tabs>
                <w:tab w:val="clear" w:pos="567"/>
                <w:tab w:val="left" w:pos="479"/>
              </w:tabs>
              <w:spacing w:before="100"/>
              <w:ind w:left="507" w:hanging="507"/>
            </w:pPr>
            <w:r>
              <w:t>(b)</w:t>
            </w:r>
            <w:r>
              <w:tab/>
              <w:t>not higher than 2 storeys.</w:t>
            </w:r>
          </w:p>
        </w:tc>
      </w:tr>
    </w:tbl>
    <w:p>
      <w:pPr>
        <w:pStyle w:val="Footnotesection"/>
        <w:spacing w:before="100"/>
      </w:pPr>
      <w:r>
        <w:tab/>
        <w:t>[Regulation 5 amended: Gazette 8 Aug 2017 p. 4344.]</w:t>
      </w:r>
    </w:p>
    <w:p>
      <w:pPr>
        <w:pStyle w:val="Heading5"/>
        <w:pageBreakBefore/>
        <w:spacing w:before="0"/>
      </w:pPr>
      <w:bookmarkStart w:id="16" w:name="_Toc75515375"/>
      <w:r>
        <w:rPr>
          <w:rStyle w:val="CharSectno"/>
        </w:rPr>
        <w:lastRenderedPageBreak/>
        <w:t>6A</w:t>
      </w:r>
      <w:r>
        <w:t>.</w:t>
      </w:r>
      <w:r>
        <w:tab/>
        <w:t>Building work (s. 3)</w:t>
      </w:r>
      <w:bookmarkEnd w:id="16"/>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17" w:name="_Toc75515376"/>
      <w:r>
        <w:rPr>
          <w:rStyle w:val="CharSectno"/>
        </w:rPr>
        <w:t>6</w:t>
      </w:r>
      <w:r>
        <w:t>.</w:t>
      </w:r>
      <w:r>
        <w:tab/>
        <w:t>Classification of buildings and incidental structures (s. 3)</w:t>
      </w:r>
      <w:bookmarkEnd w:id="17"/>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18" w:name="_Toc75515377"/>
      <w:r>
        <w:rPr>
          <w:rStyle w:val="CharSectno"/>
        </w:rPr>
        <w:t>10</w:t>
      </w:r>
      <w:r>
        <w:t>.</w:t>
      </w:r>
      <w:r>
        <w:tab/>
        <w:t>Owners of land (s. 5(1))</w:t>
      </w:r>
      <w:bookmarkEnd w:id="18"/>
    </w:p>
    <w:p>
      <w:pPr>
        <w:pStyle w:val="Subsection"/>
      </w:pPr>
      <w:r>
        <w:tab/>
        <w:t>(1A)</w:t>
      </w:r>
      <w:r>
        <w:tab/>
        <w:t xml:space="preserve">In this regulation — </w:t>
      </w:r>
    </w:p>
    <w:p>
      <w:pPr>
        <w:pStyle w:val="Defstart"/>
      </w:pPr>
      <w:r>
        <w:tab/>
      </w:r>
      <w:r>
        <w:rPr>
          <w:rStyle w:val="CharDefText"/>
        </w:rPr>
        <w:t>managed reserve</w:t>
      </w:r>
      <w:r>
        <w:t xml:space="preserve"> has the meaning given in the </w:t>
      </w:r>
      <w:r>
        <w:rPr>
          <w:i/>
        </w:rPr>
        <w:t>Land Administration Act 1997</w:t>
      </w:r>
      <w:r>
        <w:t xml:space="preserve"> section 3(1);</w:t>
      </w:r>
    </w:p>
    <w:p>
      <w:pPr>
        <w:pStyle w:val="Defstart"/>
      </w:pPr>
      <w:r>
        <w:tab/>
      </w:r>
      <w:r>
        <w:rPr>
          <w:rStyle w:val="CharDefText"/>
        </w:rPr>
        <w:t>management body</w:t>
      </w:r>
      <w:r>
        <w:t xml:space="preserve"> has the meaning given in the </w:t>
      </w:r>
      <w:r>
        <w:rPr>
          <w:i/>
        </w:rPr>
        <w:t>Land Administration Act 1997</w:t>
      </w:r>
      <w:r>
        <w:t xml:space="preserve"> section 3(1);</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pPr>
      <w:r>
        <w:tab/>
      </w:r>
      <w:r>
        <w:rPr>
          <w:rStyle w:val="CharDefText"/>
        </w:rPr>
        <w:t>strata leasehold estate</w:t>
      </w:r>
      <w:r>
        <w:t xml:space="preserve"> has the meaning given in the </w:t>
      </w:r>
      <w:r>
        <w:rPr>
          <w:i/>
        </w:rPr>
        <w:t>Strata Titles Act 1985</w:t>
      </w:r>
      <w:r>
        <w:t xml:space="preserve"> section 3(1).</w:t>
      </w:r>
    </w:p>
    <w:p>
      <w:pPr>
        <w:pStyle w:val="Subsection"/>
      </w:pPr>
      <w:r>
        <w:tab/>
        <w:t>(1)</w:t>
      </w:r>
      <w:r>
        <w:tab/>
        <w:t xml:space="preserve">For the purposes of paragraph (c) of the definition of </w:t>
      </w:r>
      <w:r>
        <w:rPr>
          <w:b/>
          <w:i/>
        </w:rPr>
        <w:t>owner</w:t>
      </w:r>
      <w:r>
        <w:t xml:space="preserve">, in relation to land held in freehold </w:t>
      </w:r>
      <w:r>
        <w:rPr>
          <w:rFonts w:hint="eastAsia"/>
        </w:rPr>
        <w:t>or held in leasehold under a strata lease</w:t>
      </w:r>
      <w:r>
        <w:t xml:space="preserve"> in section 5(1) the following interests are prescribed — </w:t>
      </w:r>
    </w:p>
    <w:p>
      <w:pPr>
        <w:pStyle w:val="Indenta"/>
      </w:pPr>
      <w:r>
        <w:tab/>
        <w:t>(a)</w:t>
      </w:r>
      <w:r>
        <w:tab/>
        <w:t>a leasehold interest in the land if the terms of the lease allow the lessee to undertake building work without the consent of each person whose name is registered as a proprietor of the land;</w:t>
      </w:r>
    </w:p>
    <w:p>
      <w:pPr>
        <w:pStyle w:val="Indenta"/>
      </w:pPr>
      <w:r>
        <w:lastRenderedPageBreak/>
        <w:tab/>
        <w:t>(b)</w:t>
      </w:r>
      <w:r>
        <w:tab/>
        <w:t>an interest as purchaser under a contract to purchase an estate in fee simple in the land or a strata leasehold estate in the land under a strata lease;</w:t>
      </w:r>
    </w:p>
    <w:p>
      <w:pPr>
        <w:pStyle w:val="Indenta"/>
      </w:pPr>
      <w:r>
        <w:tab/>
        <w:t>(c)</w:t>
      </w:r>
      <w:r>
        <w:tab/>
        <w:t xml:space="preserve">a freehold interest in the land or a strata leasehold estate in the land under a strata lease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w:t>
      </w:r>
      <w:r>
        <w:rPr>
          <w:rFonts w:hint="eastAsia"/>
        </w:rPr>
        <w:t>freehold</w:t>
      </w:r>
      <w:r>
        <w:t xml:space="preserve"> </w:t>
      </w:r>
      <w:r>
        <w:rPr>
          <w:rFonts w:hint="eastAsia"/>
        </w:rPr>
        <w:t>or held in leasehold under a strata lease</w:t>
      </w:r>
      <w:r>
        <w:t xml:space="preserve">,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 or a strata leasehold estate in the land under a strata lease.</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lastRenderedPageBreak/>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 31 Dec 2019 p. 4638</w:t>
      </w:r>
      <w:r>
        <w:noBreakHyphen/>
        <w:t>9.]</w:t>
      </w:r>
    </w:p>
    <w:p>
      <w:pPr>
        <w:pStyle w:val="Heading5"/>
      </w:pPr>
      <w:bookmarkStart w:id="19" w:name="_Toc75515378"/>
      <w:r>
        <w:rPr>
          <w:rStyle w:val="CharSectno"/>
        </w:rPr>
        <w:t>11A</w:t>
      </w:r>
      <w:r>
        <w:t>.</w:t>
      </w:r>
      <w:r>
        <w:tab/>
        <w:t>Restriction on circumstances where person treated as owner (s. 5(2))</w:t>
      </w:r>
      <w:bookmarkEnd w:id="19"/>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20" w:name="_Toc75515379"/>
      <w:r>
        <w:rPr>
          <w:rStyle w:val="CharSectno"/>
        </w:rPr>
        <w:t>11</w:t>
      </w:r>
      <w:r>
        <w:t>.</w:t>
      </w:r>
      <w:r>
        <w:tab/>
        <w:t>Fees</w:t>
      </w:r>
      <w:bookmarkEnd w:id="20"/>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21" w:name="_Toc75515380"/>
      <w:r>
        <w:rPr>
          <w:rStyle w:val="CharSectno"/>
        </w:rPr>
        <w:lastRenderedPageBreak/>
        <w:t>12</w:t>
      </w:r>
      <w:r>
        <w:t>.</w:t>
      </w:r>
      <w:r>
        <w:tab/>
        <w:t>Building records to be kept (s. 130)</w:t>
      </w:r>
      <w:bookmarkEnd w:id="21"/>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keepNext/>
        <w:keepLines/>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22" w:name="_Toc75515381"/>
      <w:r>
        <w:rPr>
          <w:rStyle w:val="CharSectno"/>
        </w:rPr>
        <w:t>13</w:t>
      </w:r>
      <w:r>
        <w:t>.</w:t>
      </w:r>
      <w:r>
        <w:tab/>
        <w:t>Inspection, copies of building records (s. 131)</w:t>
      </w:r>
      <w:bookmarkEnd w:id="22"/>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23" w:name="_Toc75515382"/>
      <w:r>
        <w:rPr>
          <w:rStyle w:val="CharSectno"/>
        </w:rPr>
        <w:lastRenderedPageBreak/>
        <w:t>14</w:t>
      </w:r>
      <w:r>
        <w:t>.</w:t>
      </w:r>
      <w:r>
        <w:tab/>
        <w:t>Provision of information to Building Commissioner (s. 132)</w:t>
      </w:r>
      <w:bookmarkEnd w:id="23"/>
    </w:p>
    <w:p>
      <w:pPr>
        <w:pStyle w:val="Subsection"/>
        <w:keepNext/>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24" w:name="_Toc75515383"/>
      <w:r>
        <w:rPr>
          <w:rStyle w:val="CharSectno"/>
        </w:rPr>
        <w:t>14A</w:t>
      </w:r>
      <w:r>
        <w:t>.</w:t>
      </w:r>
      <w:r>
        <w:tab/>
        <w:t>Confidentiality exceptions (s. 146)</w:t>
      </w:r>
      <w:bookmarkEnd w:id="24"/>
    </w:p>
    <w:p>
      <w:pPr>
        <w:pStyle w:val="Subsection"/>
      </w:pPr>
      <w:r>
        <w:tab/>
        <w:t>(1)</w:t>
      </w:r>
      <w:r>
        <w:tab/>
        <w:t xml:space="preserve">In this regulation — </w:t>
      </w:r>
    </w:p>
    <w:p>
      <w:pPr>
        <w:pStyle w:val="Defstart"/>
      </w:pPr>
      <w:r>
        <w:tab/>
      </w:r>
      <w:r>
        <w:rPr>
          <w:rStyle w:val="CharDefText"/>
        </w:rPr>
        <w:t>Commissioner</w:t>
      </w:r>
      <w:r>
        <w:t xml:space="preserve"> has the meaning given in the </w:t>
      </w:r>
      <w:r>
        <w:rPr>
          <w:i/>
        </w:rPr>
        <w:t>Occupational Safety and Health Act 1984</w:t>
      </w:r>
      <w:r>
        <w:t xml:space="preserve"> section 3(1);</w:t>
      </w:r>
    </w:p>
    <w:p>
      <w:pPr>
        <w:pStyle w:val="Defstart"/>
      </w:pPr>
      <w:r>
        <w:tab/>
      </w:r>
      <w:r>
        <w:rPr>
          <w:rStyle w:val="CharDefText"/>
        </w:rPr>
        <w:t>permit authority</w:t>
      </w:r>
      <w:r>
        <w:t xml:space="preserve"> means a permit authority for a building or permit authority for an incidental structure, as those terms are defined in section 3;</w:t>
      </w:r>
    </w:p>
    <w:p>
      <w:pPr>
        <w:pStyle w:val="Defstart"/>
      </w:pPr>
      <w:r>
        <w:tab/>
      </w:r>
      <w:r>
        <w:rPr>
          <w:rStyle w:val="CharDefText"/>
        </w:rPr>
        <w:t>Statistician</w:t>
      </w:r>
      <w:r>
        <w:t xml:space="preserve"> has the meaning given in the </w:t>
      </w:r>
      <w:r>
        <w:rPr>
          <w:i/>
        </w:rPr>
        <w:t xml:space="preserve">Census and Statistics Act 1905 </w:t>
      </w:r>
      <w:r>
        <w:t>(Commonwealth) section 3.</w:t>
      </w:r>
    </w:p>
    <w:p>
      <w:pPr>
        <w:pStyle w:val="Subsection"/>
      </w:pPr>
      <w:r>
        <w:tab/>
        <w:t>(2)</w:t>
      </w:r>
      <w:r>
        <w:tab/>
        <w:t>This regulation applies for the purposes of section 146(e).</w:t>
      </w:r>
    </w:p>
    <w:p>
      <w:pPr>
        <w:pStyle w:val="Subsection"/>
      </w:pPr>
      <w:r>
        <w:lastRenderedPageBreak/>
        <w:tab/>
        <w:t>(3)</w:t>
      </w:r>
      <w:r>
        <w:tab/>
        <w:t xml:space="preserve">Information obtained from a local government in relation to permits referred to in the </w:t>
      </w:r>
      <w:r>
        <w:rPr>
          <w:i/>
        </w:rPr>
        <w:t>Occupational Safety and Health Regulations 1996</w:t>
      </w:r>
      <w:r>
        <w:t xml:space="preserve"> regulation 2.10 may be disclosed to the Commissioner.</w:t>
      </w:r>
    </w:p>
    <w:p>
      <w:pPr>
        <w:pStyle w:val="Subsection"/>
      </w:pPr>
      <w:r>
        <w:tab/>
        <w:t>(4)</w:t>
      </w:r>
      <w:r>
        <w:tab/>
        <w:t xml:space="preserve">Information obtained from a permit authority in relation to the matters prescribed by the </w:t>
      </w:r>
      <w:r>
        <w:rPr>
          <w:i/>
        </w:rPr>
        <w:t xml:space="preserve">Census and Statistics Regulation 2016 </w:t>
      </w:r>
      <w:r>
        <w:t>(Commonwealth) regulation 13 items 10 and 41 may be disclosed to the Statistician.</w:t>
      </w:r>
    </w:p>
    <w:p>
      <w:pPr>
        <w:pStyle w:val="Footnotesection"/>
      </w:pPr>
      <w:r>
        <w:tab/>
        <w:t>[Regulation 14A inserted: Gazette 2 Aug 2019 p. 2991.]</w:t>
      </w:r>
    </w:p>
    <w:p>
      <w:pPr>
        <w:pStyle w:val="Heading5"/>
      </w:pPr>
      <w:bookmarkStart w:id="25" w:name="_Toc75515384"/>
      <w:r>
        <w:rPr>
          <w:rStyle w:val="CharSectno"/>
        </w:rPr>
        <w:t>15A</w:t>
      </w:r>
      <w:r>
        <w:t>.</w:t>
      </w:r>
      <w:r>
        <w:tab/>
        <w:t>Provision of information to FES Commissioner (s. 149)</w:t>
      </w:r>
      <w:bookmarkEnd w:id="25"/>
    </w:p>
    <w:p>
      <w:pPr>
        <w:pStyle w:val="Subsection"/>
        <w:keepNext/>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Pr>
      <w:bookmarkStart w:id="26" w:name="_Toc75515385"/>
      <w:r>
        <w:rPr>
          <w:rStyle w:val="CharSectno"/>
        </w:rPr>
        <w:lastRenderedPageBreak/>
        <w:t>15B</w:t>
      </w:r>
      <w:r>
        <w:t>.</w:t>
      </w:r>
      <w:r>
        <w:tab/>
        <w:t>Modifications to AS 1926.1</w:t>
      </w:r>
      <w:r>
        <w:noBreakHyphen/>
        <w:t>2012 (s. 150)</w:t>
      </w:r>
      <w:bookmarkEnd w:id="26"/>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keepNext/>
      </w:pPr>
      <w:r>
        <w:tab/>
        <w:t>(b)</w:t>
      </w:r>
      <w:r>
        <w:tab/>
        <w:t>is modified in Figure 2.6 to delete “100 mm” and insert:</w:t>
      </w:r>
    </w:p>
    <w:p>
      <w:pPr>
        <w:pStyle w:val="BlankOpen"/>
      </w:pPr>
    </w:p>
    <w:p>
      <w:pPr>
        <w:pStyle w:val="Indenta"/>
        <w:keepNext/>
      </w:pPr>
      <w:r>
        <w:tab/>
      </w:r>
      <w:r>
        <w:tab/>
        <w:t>10 mm</w:t>
      </w:r>
    </w:p>
    <w:p>
      <w:pPr>
        <w:pStyle w:val="BlankClose"/>
        <w:keepNext/>
      </w:pPr>
    </w:p>
    <w:p>
      <w:pPr>
        <w:pStyle w:val="Footnotesection"/>
      </w:pPr>
      <w:r>
        <w:tab/>
        <w:t>[Regulation 15B inserted: Gazette 15 Apr 2016 p. 1166.]</w:t>
      </w:r>
    </w:p>
    <w:p>
      <w:pPr>
        <w:pStyle w:val="Heading5"/>
      </w:pPr>
      <w:bookmarkStart w:id="27" w:name="_Toc75515386"/>
      <w:r>
        <w:rPr>
          <w:rStyle w:val="CharSectno"/>
        </w:rPr>
        <w:t>15C</w:t>
      </w:r>
      <w:r>
        <w:t>.</w:t>
      </w:r>
      <w:r>
        <w:tab/>
        <w:t>Modifications to Building Code (s. 150)</w:t>
      </w:r>
      <w:bookmarkEnd w:id="27"/>
    </w:p>
    <w:p>
      <w:pPr>
        <w:pStyle w:val="Subsection"/>
      </w:pPr>
      <w:r>
        <w:tab/>
        <w:t>(1)</w:t>
      </w:r>
      <w:r>
        <w:tab/>
        <w:t xml:space="preserve">This regulation modifies the text of the Building Code. </w:t>
      </w:r>
    </w:p>
    <w:p>
      <w:pPr>
        <w:pStyle w:val="Subsection"/>
      </w:pPr>
      <w:r>
        <w:tab/>
        <w:t>(2)</w:t>
      </w:r>
      <w:r>
        <w:tab/>
        <w:t xml:space="preserve">The Building Code Volume One Part J0.2 is modified to delete paragraph (a) and insert: </w:t>
      </w:r>
    </w:p>
    <w:p>
      <w:pPr>
        <w:pStyle w:val="BlankOpen"/>
      </w:pPr>
    </w:p>
    <w:p>
      <w:pPr>
        <w:pStyle w:val="Indenta"/>
      </w:pPr>
      <w:r>
        <w:tab/>
        <w:t>(a)</w:t>
      </w:r>
      <w:r>
        <w:tab/>
        <w:t>for reducing the heating or cooling loads—</w:t>
      </w:r>
    </w:p>
    <w:p>
      <w:pPr>
        <w:pStyle w:val="Indenti"/>
      </w:pPr>
      <w:r>
        <w:tab/>
        <w:t>(i)</w:t>
      </w:r>
      <w:r>
        <w:tab/>
        <w:t>collectively achieve an average energy rating of not less than 6 stars; and</w:t>
      </w:r>
    </w:p>
    <w:p>
      <w:pPr>
        <w:pStyle w:val="Indenti"/>
      </w:pPr>
      <w:r>
        <w:tab/>
        <w:t>(ii)</w:t>
      </w:r>
      <w:r>
        <w:tab/>
        <w:t>individually achieve an energy rating of not less than 5 stars,</w:t>
      </w:r>
    </w:p>
    <w:p>
      <w:pPr>
        <w:pStyle w:val="Indenta"/>
      </w:pPr>
      <w:r>
        <w:tab/>
      </w:r>
      <w:r>
        <w:tab/>
        <w:t xml:space="preserve">using </w:t>
      </w:r>
      <w:r>
        <w:rPr>
          <w:i/>
        </w:rPr>
        <w:t>house energy rating software</w:t>
      </w:r>
      <w:r>
        <w:t>; and</w:t>
      </w:r>
    </w:p>
    <w:p>
      <w:pPr>
        <w:pStyle w:val="BlankClose"/>
      </w:pPr>
    </w:p>
    <w:p>
      <w:pPr>
        <w:pStyle w:val="Subsection"/>
      </w:pPr>
      <w:r>
        <w:tab/>
        <w:t>(3)</w:t>
      </w:r>
      <w:r>
        <w:tab/>
        <w:t>The Building Code Volume Two Part 3.12.0.1 is modified as follows —</w:t>
      </w:r>
    </w:p>
    <w:p>
      <w:pPr>
        <w:pStyle w:val="Indenta"/>
      </w:pPr>
      <w:r>
        <w:tab/>
        <w:t>(a)</w:t>
      </w:r>
      <w:r>
        <w:tab/>
        <w:t xml:space="preserve">in paragraph (a) delete “A building must achieve an energy rating, including the separate heating and cooling </w:t>
      </w:r>
      <w:r>
        <w:lastRenderedPageBreak/>
        <w:t xml:space="preserve">load limits, using </w:t>
      </w:r>
      <w:r>
        <w:rPr>
          <w:i/>
        </w:rPr>
        <w:t>house energy rating software</w:t>
      </w:r>
      <w:r>
        <w:t>, of greater than or equal to—” and insert:</w:t>
      </w:r>
    </w:p>
    <w:p>
      <w:pPr>
        <w:pStyle w:val="BlankOpen"/>
      </w:pPr>
    </w:p>
    <w:p>
      <w:pPr>
        <w:pStyle w:val="Indenta"/>
      </w:pPr>
      <w:r>
        <w:tab/>
      </w:r>
      <w:r>
        <w:tab/>
        <w:t>To reduce heating or cooling loads, a building must achieve an energy rating, using</w:t>
      </w:r>
      <w:r>
        <w:rPr>
          <w:i/>
        </w:rPr>
        <w:t xml:space="preserve"> house energy rating software</w:t>
      </w:r>
      <w:r>
        <w:t>, of not less than—</w:t>
      </w:r>
    </w:p>
    <w:p>
      <w:pPr>
        <w:pStyle w:val="BlankClose"/>
      </w:pPr>
    </w:p>
    <w:p>
      <w:pPr>
        <w:pStyle w:val="Indenta"/>
      </w:pPr>
      <w:r>
        <w:tab/>
        <w:t>(b)</w:t>
      </w:r>
      <w:r>
        <w:tab/>
        <w:t>delete paragraph (b).</w:t>
      </w:r>
    </w:p>
    <w:p>
      <w:pPr>
        <w:pStyle w:val="Footnotesection"/>
      </w:pPr>
      <w:r>
        <w:tab/>
        <w:t>[Regulation 15C inserted: SL 2020/28 r. 4.]</w:t>
      </w:r>
    </w:p>
    <w:p>
      <w:pPr>
        <w:pStyle w:val="Heading2"/>
      </w:pPr>
      <w:bookmarkStart w:id="28" w:name="_Toc75350615"/>
      <w:bookmarkStart w:id="29" w:name="_Toc75350926"/>
      <w:bookmarkStart w:id="30" w:name="_Toc75515387"/>
      <w:r>
        <w:rPr>
          <w:rStyle w:val="CharPartNo"/>
        </w:rPr>
        <w:lastRenderedPageBreak/>
        <w:t>Part 3</w:t>
      </w:r>
      <w:r>
        <w:rPr>
          <w:rStyle w:val="CharDivNo"/>
        </w:rPr>
        <w:t> </w:t>
      </w:r>
      <w:r>
        <w:t>—</w:t>
      </w:r>
      <w:r>
        <w:rPr>
          <w:rStyle w:val="CharDivText"/>
        </w:rPr>
        <w:t> </w:t>
      </w:r>
      <w:r>
        <w:rPr>
          <w:rStyle w:val="CharPartText"/>
        </w:rPr>
        <w:t>Building and demolition permits</w:t>
      </w:r>
      <w:bookmarkEnd w:id="28"/>
      <w:bookmarkEnd w:id="29"/>
      <w:bookmarkEnd w:id="30"/>
    </w:p>
    <w:p>
      <w:pPr>
        <w:pStyle w:val="Heading5"/>
        <w:spacing w:before="240"/>
      </w:pPr>
      <w:bookmarkStart w:id="31" w:name="_Toc75515388"/>
      <w:r>
        <w:rPr>
          <w:rStyle w:val="CharSectno"/>
        </w:rPr>
        <w:t>15</w:t>
      </w:r>
      <w:r>
        <w:t>.</w:t>
      </w:r>
      <w:r>
        <w:tab/>
        <w:t>Uncertified applications (s. 14(2))</w:t>
      </w:r>
      <w:bookmarkEnd w:id="31"/>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32" w:name="_Toc75515389"/>
      <w:r>
        <w:rPr>
          <w:rStyle w:val="CharSectno"/>
        </w:rPr>
        <w:t>16</w:t>
      </w:r>
      <w:r>
        <w:t>.</w:t>
      </w:r>
      <w:r>
        <w:tab/>
        <w:t>Application for building and demolition permits (s. 16)</w:t>
      </w:r>
      <w:bookmarkEnd w:id="32"/>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lastRenderedPageBreak/>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lastRenderedPageBreak/>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33" w:name="_Toc75515390"/>
      <w:r>
        <w:rPr>
          <w:rStyle w:val="CharSectno"/>
        </w:rPr>
        <w:t>17</w:t>
      </w:r>
      <w:r>
        <w:t>.</w:t>
      </w:r>
      <w:r>
        <w:tab/>
        <w:t>Further information (s. 18(3) and (4))</w:t>
      </w:r>
      <w:bookmarkEnd w:id="33"/>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34" w:name="_Toc75515391"/>
      <w:r>
        <w:rPr>
          <w:rStyle w:val="CharSectno"/>
        </w:rPr>
        <w:t>18A</w:t>
      </w:r>
      <w:r>
        <w:t>.</w:t>
      </w:r>
      <w:r>
        <w:tab/>
        <w:t>Certificate of design compliance — contents (s. 19(5))</w:t>
      </w:r>
      <w:bookmarkEnd w:id="34"/>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 applied by the building surveyor in respect of the building or incidental structure;</w:t>
      </w:r>
    </w:p>
    <w:p>
      <w:pPr>
        <w:pStyle w:val="Indenta"/>
      </w:pPr>
      <w:r>
        <w:lastRenderedPageBreak/>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31BA(1) or 31D, a bush fire performance requirement applies to the building or deck — the additional information referred to in subregulation (2).</w:t>
      </w:r>
    </w:p>
    <w:p>
      <w:pPr>
        <w:pStyle w:val="Subsection"/>
        <w:keepNext/>
      </w:pPr>
      <w:r>
        <w:lastRenderedPageBreak/>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 SL 2020/46 r. 4; SL 2021/42 r. 5.]</w:t>
      </w:r>
    </w:p>
    <w:p>
      <w:pPr>
        <w:pStyle w:val="Heading5"/>
      </w:pPr>
      <w:bookmarkStart w:id="35" w:name="_Toc75515392"/>
      <w:r>
        <w:rPr>
          <w:rStyle w:val="CharSectno"/>
        </w:rPr>
        <w:t>18B</w:t>
      </w:r>
      <w:r>
        <w:t>.</w:t>
      </w:r>
      <w:r>
        <w:tab/>
        <w:t>Certificate of design compliance — preliminary action (s. 19(6))</w:t>
      </w:r>
      <w:bookmarkEnd w:id="35"/>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lastRenderedPageBreak/>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One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Gazette 18 Dec 2012 p. 6560-1; amended: Gazette 8 Aug 2017 p. 4345; 26 Mar 2019 p. 946.]</w:t>
      </w:r>
    </w:p>
    <w:p>
      <w:pPr>
        <w:pStyle w:val="Heading5"/>
      </w:pPr>
      <w:bookmarkStart w:id="36" w:name="_Toc75515393"/>
      <w:r>
        <w:rPr>
          <w:rStyle w:val="CharSectno"/>
        </w:rPr>
        <w:t>18C</w:t>
      </w:r>
      <w:r>
        <w:t>.</w:t>
      </w:r>
      <w:r>
        <w:tab/>
        <w:t>Certificate of design compliance — things to accompany (s. 149)</w:t>
      </w:r>
      <w:bookmarkEnd w:id="36"/>
    </w:p>
    <w:p>
      <w:pPr>
        <w:pStyle w:val="Subsection"/>
      </w:pPr>
      <w:r>
        <w:tab/>
        <w:t>(1)</w:t>
      </w:r>
      <w:r>
        <w:tab/>
        <w:t>It is sufficient compliance with regulation 18A(d)(i) to attach to the certificate of design compliance a copy of the advice given by the FES Commissioner.</w:t>
      </w:r>
    </w:p>
    <w:p>
      <w:pPr>
        <w:pStyle w:val="Subsection"/>
        <w:keepNext/>
      </w:pPr>
      <w:r>
        <w:lastRenderedPageBreak/>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37" w:name="_Toc75515394"/>
      <w:r>
        <w:rPr>
          <w:rStyle w:val="CharSectno"/>
        </w:rPr>
        <w:t>18</w:t>
      </w:r>
      <w:r>
        <w:t>.</w:t>
      </w:r>
      <w:r>
        <w:tab/>
        <w:t>Grant of building permit (s. 20)</w:t>
      </w:r>
      <w:bookmarkEnd w:id="37"/>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lastRenderedPageBreak/>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w:t>
      </w:r>
    </w:p>
    <w:p>
      <w:pPr>
        <w:pStyle w:val="Heading5"/>
      </w:pPr>
      <w:bookmarkStart w:id="38" w:name="_Toc75515395"/>
      <w:r>
        <w:rPr>
          <w:rStyle w:val="CharSectno"/>
        </w:rPr>
        <w:t>19</w:t>
      </w:r>
      <w:r>
        <w:t>.</w:t>
      </w:r>
      <w:r>
        <w:tab/>
        <w:t>Grant of demolition permit (s. 21)</w:t>
      </w:r>
      <w:bookmarkEnd w:id="38"/>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lastRenderedPageBreak/>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w:t>
      </w:r>
    </w:p>
    <w:p>
      <w:pPr>
        <w:pStyle w:val="Heading5"/>
      </w:pPr>
      <w:bookmarkStart w:id="39" w:name="_Toc75515396"/>
      <w:r>
        <w:rPr>
          <w:rStyle w:val="CharSectno"/>
        </w:rPr>
        <w:t>20</w:t>
      </w:r>
      <w:r>
        <w:t>.</w:t>
      </w:r>
      <w:r>
        <w:tab/>
        <w:t>Time for deciding application for building or demolition permit (s. 23)</w:t>
      </w:r>
      <w:bookmarkEnd w:id="39"/>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lastRenderedPageBreak/>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40" w:name="_Toc75515397"/>
      <w:r>
        <w:rPr>
          <w:rStyle w:val="CharSectno"/>
        </w:rPr>
        <w:t>21</w:t>
      </w:r>
      <w:r>
        <w:t>.</w:t>
      </w:r>
      <w:r>
        <w:tab/>
        <w:t>Form and content of building permit (s. 25)</w:t>
      </w:r>
      <w:bookmarkEnd w:id="40"/>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41" w:name="_Toc75515398"/>
      <w:r>
        <w:rPr>
          <w:rStyle w:val="CharSectno"/>
        </w:rPr>
        <w:t>22</w:t>
      </w:r>
      <w:r>
        <w:t>.</w:t>
      </w:r>
      <w:r>
        <w:tab/>
        <w:t>Form and content of demolition permit (s. 25)</w:t>
      </w:r>
      <w:bookmarkEnd w:id="41"/>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Gazette 21 Jun 2013 p. 2446.]</w:t>
      </w:r>
    </w:p>
    <w:p>
      <w:pPr>
        <w:pStyle w:val="Heading5"/>
        <w:pageBreakBefore/>
        <w:spacing w:before="0"/>
      </w:pPr>
      <w:bookmarkStart w:id="42" w:name="_Toc75515399"/>
      <w:r>
        <w:rPr>
          <w:rStyle w:val="CharSectno"/>
        </w:rPr>
        <w:lastRenderedPageBreak/>
        <w:t>23</w:t>
      </w:r>
      <w:r>
        <w:t>.</w:t>
      </w:r>
      <w:r>
        <w:tab/>
        <w:t>Application to extend time during which permit has effect (s. 32)</w:t>
      </w:r>
      <w:bookmarkEnd w:id="42"/>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lastRenderedPageBreak/>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43" w:name="_Toc75515400"/>
      <w:r>
        <w:rPr>
          <w:rStyle w:val="CharSectno"/>
        </w:rPr>
        <w:t>24</w:t>
      </w:r>
      <w:r>
        <w:t>.</w:t>
      </w:r>
      <w:r>
        <w:tab/>
        <w:t>Extension of time during which permit has effect (s. 32(3))</w:t>
      </w:r>
      <w:bookmarkEnd w:id="43"/>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44" w:name="_Toc75515401"/>
      <w:r>
        <w:rPr>
          <w:rStyle w:val="CharSectno"/>
        </w:rPr>
        <w:t>25</w:t>
      </w:r>
      <w:r>
        <w:t>.</w:t>
      </w:r>
      <w:r>
        <w:tab/>
        <w:t>Review of decision to refuse to extend time during which permit has effect (s. 32(3))</w:t>
      </w:r>
      <w:bookmarkEnd w:id="44"/>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lastRenderedPageBreak/>
        <w:tab/>
        <w:t>(c)</w:t>
      </w:r>
      <w:r>
        <w:tab/>
        <w:t>in relation to a condition imposed on the permit when the permit authority extends the time during which the permit has effect.</w:t>
      </w:r>
    </w:p>
    <w:p>
      <w:pPr>
        <w:pStyle w:val="Heading5"/>
        <w:keepNext w:val="0"/>
        <w:keepLines w:val="0"/>
        <w:spacing w:before="180"/>
      </w:pPr>
      <w:bookmarkStart w:id="45" w:name="_Toc75515402"/>
      <w:r>
        <w:rPr>
          <w:rStyle w:val="CharSectno"/>
        </w:rPr>
        <w:t>26</w:t>
      </w:r>
      <w:r>
        <w:t>.</w:t>
      </w:r>
      <w:r>
        <w:tab/>
        <w:t>Approval of new responsible person (s. 35(c))</w:t>
      </w:r>
      <w:bookmarkEnd w:id="45"/>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pageBreakBefore/>
        <w:spacing w:before="0"/>
      </w:pPr>
      <w:bookmarkStart w:id="46" w:name="_Toc75515403"/>
      <w:r>
        <w:rPr>
          <w:rStyle w:val="CharSectno"/>
        </w:rPr>
        <w:lastRenderedPageBreak/>
        <w:t>27</w:t>
      </w:r>
      <w:r>
        <w:t>.</w:t>
      </w:r>
      <w:r>
        <w:tab/>
        <w:t>Required inspection and tests: Class 2 to Class 9 buildings (s. 36(2)(a))</w:t>
      </w:r>
      <w:bookmarkEnd w:id="46"/>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47" w:name="_Toc75515404"/>
      <w:r>
        <w:rPr>
          <w:rStyle w:val="CharSectno"/>
        </w:rPr>
        <w:t>28</w:t>
      </w:r>
      <w:r>
        <w:t>.</w:t>
      </w:r>
      <w:r>
        <w:tab/>
        <w:t>Required inspection: barrier to private swimming pool (s. 36(2)(a))</w:t>
      </w:r>
      <w:bookmarkEnd w:id="47"/>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48" w:name="_Toc75515405"/>
      <w:r>
        <w:rPr>
          <w:rStyle w:val="CharSectno"/>
        </w:rPr>
        <w:t>29</w:t>
      </w:r>
      <w:r>
        <w:t>.</w:t>
      </w:r>
      <w:r>
        <w:tab/>
        <w:t>Inspection certificates (s. 36(2)(h) and (j))</w:t>
      </w:r>
      <w:bookmarkEnd w:id="48"/>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lastRenderedPageBreak/>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49" w:name="_Toc75515406"/>
      <w:r>
        <w:rPr>
          <w:rStyle w:val="CharSectno"/>
        </w:rPr>
        <w:t>30</w:t>
      </w:r>
      <w:r>
        <w:t>.</w:t>
      </w:r>
      <w:r>
        <w:tab/>
        <w:t>Transitional provisions (s. 203)</w:t>
      </w:r>
      <w:bookmarkEnd w:id="49"/>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50" w:name="_Toc75350635"/>
      <w:bookmarkStart w:id="51" w:name="_Toc75350946"/>
      <w:bookmarkStart w:id="52" w:name="_Toc75515407"/>
      <w:r>
        <w:rPr>
          <w:rStyle w:val="CharPartNo"/>
        </w:rPr>
        <w:lastRenderedPageBreak/>
        <w:t>Part 4</w:t>
      </w:r>
      <w:r>
        <w:t> — </w:t>
      </w:r>
      <w:r>
        <w:rPr>
          <w:rStyle w:val="CharPartText"/>
        </w:rPr>
        <w:t>Building standards</w:t>
      </w:r>
      <w:bookmarkEnd w:id="50"/>
      <w:bookmarkEnd w:id="51"/>
      <w:bookmarkEnd w:id="52"/>
    </w:p>
    <w:p>
      <w:pPr>
        <w:pStyle w:val="Heading3"/>
        <w:spacing w:before="220"/>
      </w:pPr>
      <w:bookmarkStart w:id="53" w:name="_Toc75350636"/>
      <w:bookmarkStart w:id="54" w:name="_Toc75350947"/>
      <w:bookmarkStart w:id="55" w:name="_Toc75515408"/>
      <w:r>
        <w:rPr>
          <w:rStyle w:val="CharDivNo"/>
        </w:rPr>
        <w:t>Division 1</w:t>
      </w:r>
      <w:r>
        <w:t> — </w:t>
      </w:r>
      <w:r>
        <w:rPr>
          <w:rStyle w:val="CharDivText"/>
        </w:rPr>
        <w:t>Applicable building standards</w:t>
      </w:r>
      <w:bookmarkEnd w:id="53"/>
      <w:bookmarkEnd w:id="54"/>
      <w:bookmarkEnd w:id="55"/>
    </w:p>
    <w:p>
      <w:pPr>
        <w:pStyle w:val="Footnoteheading"/>
        <w:spacing w:before="100"/>
      </w:pPr>
      <w:r>
        <w:tab/>
        <w:t>[Heading inserted: Gazette 18 Dec 2012 p. 6562.]</w:t>
      </w:r>
    </w:p>
    <w:p>
      <w:pPr>
        <w:pStyle w:val="Heading4"/>
        <w:spacing w:before="220"/>
      </w:pPr>
      <w:bookmarkStart w:id="56" w:name="_Toc75350637"/>
      <w:bookmarkStart w:id="57" w:name="_Toc75350948"/>
      <w:bookmarkStart w:id="58" w:name="_Toc75515409"/>
      <w:r>
        <w:t>Subdivision 1 — Building standards in relation to construction</w:t>
      </w:r>
      <w:bookmarkEnd w:id="56"/>
      <w:bookmarkEnd w:id="57"/>
      <w:bookmarkEnd w:id="58"/>
    </w:p>
    <w:p>
      <w:pPr>
        <w:pStyle w:val="Footnoteheading"/>
        <w:spacing w:before="100"/>
      </w:pPr>
      <w:r>
        <w:tab/>
        <w:t>[Heading inserted: Gazette 18 Dec 2012 p. 6562.]</w:t>
      </w:r>
    </w:p>
    <w:p>
      <w:pPr>
        <w:pStyle w:val="Heading5"/>
        <w:spacing w:before="200"/>
      </w:pPr>
      <w:bookmarkStart w:id="59" w:name="_Toc75515410"/>
      <w:r>
        <w:rPr>
          <w:rStyle w:val="CharSectno"/>
        </w:rPr>
        <w:t>31A</w:t>
      </w:r>
      <w:r>
        <w:t>.</w:t>
      </w:r>
      <w:r>
        <w:tab/>
        <w:t>Applicable building standards generally (s. 3, 19(3) and 37(1))</w:t>
      </w:r>
      <w:bookmarkEnd w:id="59"/>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pPr>
      <w:r>
        <w:tab/>
        <w:t>(b)</w:t>
      </w:r>
      <w:r>
        <w:tab/>
        <w:t>subject to subregulation (2A), set out in the edition of the Building Code that was in effect 12 months before the time the application for the building permit is made; or</w:t>
      </w:r>
    </w:p>
    <w:p>
      <w:pPr>
        <w:pStyle w:val="Indenta"/>
      </w:pPr>
      <w:r>
        <w:tab/>
        <w:t>(c)</w:t>
      </w:r>
      <w:r>
        <w:tab/>
        <w:t>subject to subregulation (3), set out in the edition of the Building Code that was in effect on 12 March 2018.</w:t>
      </w:r>
    </w:p>
    <w:p>
      <w:pPr>
        <w:pStyle w:val="Subsection"/>
      </w:pPr>
      <w:r>
        <w:tab/>
        <w:t>(2A)</w:t>
      </w:r>
      <w:r>
        <w:tab/>
        <w:t xml:space="preserve">Subregulation (2)(b) applies only if the application for the building permit is made — </w:t>
      </w:r>
    </w:p>
    <w:p>
      <w:pPr>
        <w:pStyle w:val="Indenta"/>
      </w:pPr>
      <w:r>
        <w:tab/>
        <w:t>(a)</w:t>
      </w:r>
      <w:r>
        <w:tab/>
        <w:t>on or before 30 April 2021; or</w:t>
      </w:r>
    </w:p>
    <w:p>
      <w:pPr>
        <w:pStyle w:val="Indenta"/>
      </w:pPr>
      <w:r>
        <w:tab/>
        <w:t>(b)</w:t>
      </w:r>
      <w:r>
        <w:tab/>
        <w:t>on or after 1 July 2021.</w:t>
      </w:r>
    </w:p>
    <w:p>
      <w:pPr>
        <w:pStyle w:val="Subsection"/>
      </w:pPr>
      <w:r>
        <w:lastRenderedPageBreak/>
        <w:tab/>
        <w:t>(3)</w:t>
      </w:r>
      <w:r>
        <w:tab/>
        <w:t>Subregulation (2)(c) applies only if the application for the building permit is made on or before 30 April 2021.</w:t>
      </w:r>
    </w:p>
    <w:p>
      <w:pPr>
        <w:pStyle w:val="Footnotesection"/>
        <w:spacing w:before="100"/>
      </w:pPr>
      <w:r>
        <w:tab/>
        <w:t>[Regulation 31A inserted: Gazette 18 Dec 2012 p. 6562-3; amended: Gazette 7 Dec 2015 p. 4898; 9 Mar 2018 p. 800; 5 Oct 2018 p. 4013; 26 Mar 2019 p. 946; SL 2020/46 r. 5; SL 2020/192 r. 4.]</w:t>
      </w:r>
    </w:p>
    <w:p>
      <w:pPr>
        <w:pStyle w:val="Heading5"/>
      </w:pPr>
      <w:bookmarkStart w:id="60" w:name="_Toc75515411"/>
      <w:r>
        <w:rPr>
          <w:rStyle w:val="CharSectno"/>
        </w:rPr>
        <w:t>31BA</w:t>
      </w:r>
      <w:r>
        <w:t>.</w:t>
      </w:r>
      <w:r>
        <w:tab/>
        <w:t>Applicable building standards for buildings and incidental structures in bush fire prone areas (s. 3, 19(3), 37(1) and (2), 57(3), 49(b), 51(2) and (3))</w:t>
      </w:r>
      <w:bookmarkEnd w:id="60"/>
    </w:p>
    <w:p>
      <w:pPr>
        <w:pStyle w:val="Subsection"/>
        <w:keepNext/>
        <w:spacing w:before="100"/>
      </w:pPr>
      <w:r>
        <w:tab/>
        <w:t>(1A)</w:t>
      </w:r>
      <w:r>
        <w:tab/>
        <w:t xml:space="preserve">In this regulation — </w:t>
      </w:r>
    </w:p>
    <w:p>
      <w:pPr>
        <w:pStyle w:val="Defstart"/>
      </w:pPr>
      <w:r>
        <w:tab/>
      </w:r>
      <w:r>
        <w:rPr>
          <w:rStyle w:val="CharDefText"/>
        </w:rPr>
        <w:t>bush fire standard</w:t>
      </w:r>
      <w:r>
        <w:t xml:space="preserve"> means — </w:t>
      </w:r>
    </w:p>
    <w:p>
      <w:pPr>
        <w:pStyle w:val="Defpara"/>
      </w:pPr>
      <w:r>
        <w:tab/>
        <w:t>(a)</w:t>
      </w:r>
      <w:r>
        <w:tab/>
        <w:t>a bush fire performance requirement; or</w:t>
      </w:r>
    </w:p>
    <w:p>
      <w:pPr>
        <w:pStyle w:val="Defpara"/>
      </w:pPr>
      <w:r>
        <w:tab/>
        <w:t>(b)</w:t>
      </w:r>
      <w:r>
        <w:tab/>
        <w:t>to the extent not covered by paragraph (a), a requirement imposed under any written law that is a requirement relating to —</w:t>
      </w:r>
    </w:p>
    <w:p>
      <w:pPr>
        <w:pStyle w:val="Defsubpara"/>
      </w:pPr>
      <w:r>
        <w:tab/>
        <w:t>(i)</w:t>
      </w:r>
      <w:r>
        <w:tab/>
        <w:t>a technical aspect of the construction of a building or incidental structure; and</w:t>
      </w:r>
    </w:p>
    <w:p>
      <w:pPr>
        <w:pStyle w:val="Defsubpara"/>
      </w:pPr>
      <w:r>
        <w:tab/>
        <w:t>(ii)</w:t>
      </w:r>
      <w:r>
        <w:tab/>
        <w:t>bush fires;</w:t>
      </w:r>
    </w:p>
    <w:p>
      <w:pPr>
        <w:pStyle w:val="PermNoteHeading"/>
      </w:pPr>
      <w:r>
        <w:tab/>
        <w:t>Note for this definition:</w:t>
      </w:r>
    </w:p>
    <w:p>
      <w:pPr>
        <w:pStyle w:val="PermNoteText"/>
      </w:pPr>
      <w:r>
        <w:tab/>
      </w:r>
      <w:r>
        <w:tab/>
        <w:t xml:space="preserve">Paragraph (b) includes, for example, requirements imposed under the </w:t>
      </w:r>
      <w:r>
        <w:rPr>
          <w:i/>
        </w:rPr>
        <w:t>Building Regulations 1989</w:t>
      </w:r>
      <w:r>
        <w:t>.</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relevant building</w:t>
      </w:r>
      <w:r>
        <w:t xml:space="preserve"> means a Class 1, Class 2 or Class 3 building that was not required to comply or substantially comply with a bush fire standard at the latest of the following times — </w:t>
      </w:r>
    </w:p>
    <w:p>
      <w:pPr>
        <w:pStyle w:val="Defpara"/>
      </w:pPr>
      <w:r>
        <w:tab/>
        <w:t>(a)</w:t>
      </w:r>
      <w:r>
        <w:tab/>
        <w:t>when the building was constructed;</w:t>
      </w:r>
    </w:p>
    <w:p>
      <w:pPr>
        <w:pStyle w:val="Defpara"/>
      </w:pPr>
      <w:r>
        <w:lastRenderedPageBreak/>
        <w:tab/>
        <w:t>(b)</w:t>
      </w:r>
      <w:r>
        <w:tab/>
        <w:t>if 1 or more applications or notices under section 49(b) or 51(2) or (3) or regulation 47(1) have been made or given in respect of the building — when the application or notice, or the last application or notice, was made or given;</w:t>
      </w:r>
    </w:p>
    <w:p>
      <w:pPr>
        <w:pStyle w:val="Defpara"/>
      </w:pPr>
      <w:r>
        <w:tab/>
        <w:t>(c)</w:t>
      </w:r>
      <w:r>
        <w:tab/>
        <w:t>if the building has been relocated — when the building was last relocated.</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Subsection"/>
      </w:pPr>
      <w:r>
        <w:tab/>
        <w:t>(1)</w:t>
      </w:r>
      <w:r>
        <w:tab/>
        <w:t xml:space="preserve">For the purposes of the definition of </w:t>
      </w:r>
      <w:r>
        <w:rPr>
          <w:b/>
          <w:i/>
        </w:rPr>
        <w:t>applicable building standard</w:t>
      </w:r>
      <w:r>
        <w:t xml:space="preserve"> in section 3, the building standards set out in Column 2 of the Table are prescribed as applicable building standards for the purposes set out in Column 1 of the Table opposite the standards.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843"/>
        <w:gridCol w:w="3402"/>
      </w:tblGrid>
      <w:tr>
        <w:trPr>
          <w:tblHeader/>
        </w:trPr>
        <w:tc>
          <w:tcPr>
            <w:tcW w:w="822" w:type="dxa"/>
            <w:noWrap/>
          </w:tcPr>
          <w:p>
            <w:pPr>
              <w:pStyle w:val="TableNAm"/>
              <w:jc w:val="center"/>
              <w:rPr>
                <w:b/>
                <w:bCs/>
              </w:rPr>
            </w:pPr>
            <w:r>
              <w:rPr>
                <w:b/>
                <w:bCs/>
              </w:rPr>
              <w:t>Item</w:t>
            </w:r>
          </w:p>
        </w:tc>
        <w:tc>
          <w:tcPr>
            <w:tcW w:w="1843" w:type="dxa"/>
            <w:noWrap/>
          </w:tcPr>
          <w:p>
            <w:pPr>
              <w:pStyle w:val="TableNAm"/>
              <w:jc w:val="center"/>
              <w:rPr>
                <w:b/>
                <w:bCs/>
              </w:rPr>
            </w:pPr>
            <w:r>
              <w:rPr>
                <w:b/>
                <w:bCs/>
              </w:rPr>
              <w:t>Column 1</w:t>
            </w:r>
          </w:p>
          <w:p>
            <w:pPr>
              <w:pStyle w:val="TableNAm"/>
              <w:jc w:val="center"/>
              <w:rPr>
                <w:b/>
                <w:bCs/>
              </w:rPr>
            </w:pPr>
            <w:r>
              <w:rPr>
                <w:b/>
                <w:bCs/>
              </w:rPr>
              <w:t>Purposes</w:t>
            </w:r>
          </w:p>
        </w:tc>
        <w:tc>
          <w:tcPr>
            <w:tcW w:w="3402" w:type="dxa"/>
            <w:noWrap/>
          </w:tcPr>
          <w:p>
            <w:pPr>
              <w:pStyle w:val="TableNAm"/>
              <w:jc w:val="center"/>
              <w:rPr>
                <w:b/>
                <w:bCs/>
              </w:rPr>
            </w:pPr>
            <w:r>
              <w:rPr>
                <w:b/>
                <w:bCs/>
              </w:rPr>
              <w:t>Column 2</w:t>
            </w:r>
          </w:p>
          <w:p>
            <w:pPr>
              <w:pStyle w:val="TableNAm"/>
              <w:jc w:val="center"/>
              <w:rPr>
                <w:b/>
                <w:bCs/>
              </w:rPr>
            </w:pPr>
            <w:r>
              <w:rPr>
                <w:b/>
                <w:bCs/>
              </w:rPr>
              <w:t>Applicable building standards</w:t>
            </w:r>
          </w:p>
        </w:tc>
      </w:tr>
      <w:tr>
        <w:tc>
          <w:tcPr>
            <w:tcW w:w="822" w:type="dxa"/>
            <w:noWrap/>
          </w:tcPr>
          <w:p>
            <w:pPr>
              <w:pStyle w:val="TableNAm"/>
            </w:pPr>
            <w:r>
              <w:t>1.</w:t>
            </w:r>
          </w:p>
        </w:tc>
        <w:tc>
          <w:tcPr>
            <w:tcW w:w="1843" w:type="dxa"/>
            <w:noWrap/>
          </w:tcPr>
          <w:p>
            <w:pPr>
              <w:pStyle w:val="TableNAm"/>
            </w:pPr>
            <w:r>
              <w:t>Section 19(3) in respect of all kinds of buildings and incidental structures located in a bush fire prone area</w:t>
            </w:r>
          </w:p>
        </w:tc>
        <w:tc>
          <w:tcPr>
            <w:tcW w:w="3402" w:type="dxa"/>
            <w:noWrap/>
          </w:tcPr>
          <w:p>
            <w:pPr>
              <w:pStyle w:val="TableNAm"/>
            </w:pPr>
            <w:r>
              <w:t xml:space="preserve">The requirements mentioned in regulation 31A(2) except that the bush fire performance requirements are not applicable building standards if — </w:t>
            </w:r>
          </w:p>
          <w:p>
            <w:pPr>
              <w:pStyle w:val="TableNAm"/>
              <w:ind w:left="459" w:hanging="459"/>
            </w:pPr>
            <w:r>
              <w:t>(a)</w:t>
            </w:r>
            <w:r>
              <w:tab/>
              <w:t>the building or incidental structure is or will be located in an area that, at any time during the 4</w:t>
            </w:r>
            <w:r>
              <w:noBreakHyphen/>
              <w:t>month period ending on the day on which the application is made, was not a bush fire prone area; or</w:t>
            </w:r>
          </w:p>
          <w:p>
            <w:pPr>
              <w:pStyle w:val="TableNAm"/>
              <w:ind w:left="459" w:hanging="459"/>
            </w:pPr>
            <w:r>
              <w:lastRenderedPageBreak/>
              <w:t>(b)</w:t>
            </w:r>
            <w:r>
              <w:tab/>
              <w:t xml:space="preserve">the building work that is proposed to be done in respect of the building or incidental structure is excluded building work only; or </w:t>
            </w:r>
          </w:p>
          <w:p>
            <w:pPr>
              <w:pStyle w:val="TableNAm"/>
              <w:ind w:left="459" w:hanging="459"/>
            </w:pPr>
            <w:r>
              <w:t>(c)</w:t>
            </w:r>
            <w:r>
              <w:tab/>
              <w:t xml:space="preserve">the building or incidental structure is or will be — </w:t>
            </w:r>
          </w:p>
          <w:p>
            <w:pPr>
              <w:pStyle w:val="TableNAm"/>
              <w:spacing w:before="60"/>
              <w:ind w:left="918" w:hanging="459"/>
            </w:pPr>
            <w:r>
              <w:t>(i)</w:t>
            </w:r>
            <w:r>
              <w:tab/>
              <w:t>a Class 10a building or deck; and</w:t>
            </w:r>
          </w:p>
          <w:p>
            <w:pPr>
              <w:pStyle w:val="TableNAm"/>
              <w:spacing w:before="60"/>
              <w:ind w:left="918" w:hanging="459"/>
            </w:pPr>
            <w:r>
              <w:t>(ii)</w:t>
            </w:r>
            <w:r>
              <w:tab/>
              <w:t>associated with a relevant building.</w:t>
            </w:r>
          </w:p>
        </w:tc>
      </w:tr>
      <w:tr>
        <w:tc>
          <w:tcPr>
            <w:tcW w:w="822" w:type="dxa"/>
            <w:noWrap/>
          </w:tcPr>
          <w:p>
            <w:pPr>
              <w:pStyle w:val="TableNAm"/>
            </w:pPr>
            <w:r>
              <w:lastRenderedPageBreak/>
              <w:t>2.</w:t>
            </w:r>
          </w:p>
        </w:tc>
        <w:tc>
          <w:tcPr>
            <w:tcW w:w="1843" w:type="dxa"/>
            <w:noWrap/>
          </w:tcPr>
          <w:p>
            <w:pPr>
              <w:pStyle w:val="TableNAm"/>
            </w:pPr>
            <w:r>
              <w:t>Section 37(1) in respect of all kinds of buildings and incidental structures located in a bush fire prone area</w:t>
            </w:r>
          </w:p>
        </w:tc>
        <w:tc>
          <w:tcPr>
            <w:tcW w:w="3402" w:type="dxa"/>
            <w:noWrap/>
          </w:tcPr>
          <w:p>
            <w:pPr>
              <w:pStyle w:val="TableNAm"/>
            </w:pPr>
            <w:r>
              <w:t xml:space="preserve">The requirements mentioned in regulation 31A(2)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application for the building permit was made, was not a bush fire prone area; or</w:t>
            </w:r>
          </w:p>
          <w:p>
            <w:pPr>
              <w:pStyle w:val="TableNAm"/>
              <w:keepNext/>
              <w:keepLines/>
              <w:ind w:left="459" w:hanging="459"/>
            </w:pPr>
            <w:r>
              <w:lastRenderedPageBreak/>
              <w:t>(b)</w:t>
            </w:r>
            <w:r>
              <w:tab/>
              <w:t>the building work done in respect of the building or incidental structure under the building permit is excluded building work only; or</w:t>
            </w:r>
          </w:p>
          <w:p>
            <w:pPr>
              <w:pStyle w:val="TableNAm"/>
              <w:ind w:left="459" w:hanging="459"/>
            </w:pPr>
            <w:r>
              <w:t>(c)</w:t>
            </w:r>
            <w:r>
              <w:tab/>
              <w:t xml:space="preserve">the building or incidental structure is — </w:t>
            </w:r>
          </w:p>
          <w:p>
            <w:pPr>
              <w:pStyle w:val="TableNAm"/>
              <w:spacing w:before="60"/>
              <w:ind w:left="918" w:hanging="459"/>
            </w:pPr>
            <w:r>
              <w:t>(i)</w:t>
            </w:r>
            <w:r>
              <w:tab/>
              <w:t>a Class 10a building or deck; and</w:t>
            </w:r>
          </w:p>
          <w:p>
            <w:pPr>
              <w:pStyle w:val="TableNAm"/>
              <w:spacing w:before="60"/>
              <w:ind w:left="918" w:hanging="459"/>
            </w:pPr>
            <w:r>
              <w:t>(ii)</w:t>
            </w:r>
            <w:r>
              <w:tab/>
              <w:t>associated with a relevant building.</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31HB(2).</w:t>
            </w:r>
          </w:p>
        </w:tc>
      </w:tr>
      <w:tr>
        <w:tc>
          <w:tcPr>
            <w:tcW w:w="822" w:type="dxa"/>
            <w:noWrap/>
          </w:tcPr>
          <w:p>
            <w:pPr>
              <w:pStyle w:val="TableNAm"/>
            </w:pPr>
            <w:r>
              <w:lastRenderedPageBreak/>
              <w:t>3.</w:t>
            </w:r>
          </w:p>
        </w:tc>
        <w:tc>
          <w:tcPr>
            <w:tcW w:w="1843" w:type="dxa"/>
            <w:noWrap/>
          </w:tcPr>
          <w:p>
            <w:pPr>
              <w:pStyle w:val="TableNAm"/>
            </w:pPr>
            <w:r>
              <w:t>Section 37(2) in respect of all kinds of buildings and incidental structures located in a bush fire prone area</w:t>
            </w:r>
          </w:p>
        </w:tc>
        <w:tc>
          <w:tcPr>
            <w:tcW w:w="3402" w:type="dxa"/>
            <w:noWrap/>
          </w:tcPr>
          <w:p>
            <w:pPr>
              <w:pStyle w:val="TableNAm"/>
            </w:pPr>
            <w:r>
              <w:t xml:space="preserve">The requirements mentioned in regulation 31E(2)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building work in respect of the building or incidental structure commenced, was not a bush fire prone area; or</w:t>
            </w:r>
          </w:p>
          <w:p>
            <w:pPr>
              <w:pStyle w:val="TableNAm"/>
              <w:ind w:left="459" w:hanging="459"/>
            </w:pPr>
            <w:r>
              <w:lastRenderedPageBreak/>
              <w:t>(b)</w:t>
            </w:r>
            <w:r>
              <w:tab/>
              <w:t>the building work done in respect of the building or incidental structure is excluded building work only; or</w:t>
            </w:r>
          </w:p>
          <w:p>
            <w:pPr>
              <w:pStyle w:val="TableNAm"/>
              <w:ind w:left="459" w:hanging="459"/>
            </w:pPr>
            <w:r>
              <w:t>(c)</w:t>
            </w:r>
            <w:r>
              <w:tab/>
              <w:t xml:space="preserve">the building or incidental structure is — </w:t>
            </w:r>
          </w:p>
          <w:p>
            <w:pPr>
              <w:pStyle w:val="TableNAm"/>
              <w:spacing w:before="60"/>
              <w:ind w:left="918" w:hanging="459"/>
            </w:pPr>
            <w:r>
              <w:t>(i)</w:t>
            </w:r>
            <w:r>
              <w:tab/>
              <w:t>a Class 10a building or deck; and</w:t>
            </w:r>
          </w:p>
          <w:p>
            <w:pPr>
              <w:pStyle w:val="TableNAm"/>
              <w:spacing w:before="60"/>
              <w:ind w:left="918" w:hanging="459"/>
            </w:pPr>
            <w:r>
              <w:t>(ii)</w:t>
            </w:r>
            <w:r>
              <w:tab/>
              <w:t>associated with a relevant building.</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31HB(3).</w:t>
            </w:r>
          </w:p>
        </w:tc>
      </w:tr>
      <w:tr>
        <w:tc>
          <w:tcPr>
            <w:tcW w:w="822" w:type="dxa"/>
            <w:noWrap/>
          </w:tcPr>
          <w:p>
            <w:pPr>
              <w:pStyle w:val="TableNAm"/>
            </w:pPr>
            <w:r>
              <w:lastRenderedPageBreak/>
              <w:t>4.</w:t>
            </w:r>
          </w:p>
        </w:tc>
        <w:tc>
          <w:tcPr>
            <w:tcW w:w="1843" w:type="dxa"/>
            <w:noWrap/>
          </w:tcPr>
          <w:p>
            <w:pPr>
              <w:pStyle w:val="TableNAm"/>
            </w:pPr>
            <w:r>
              <w:t>Section 57(3) for an application mentioned in section 49(b) in respect of all kinds of buildings located in a bush fire prone area</w:t>
            </w:r>
          </w:p>
        </w:tc>
        <w:tc>
          <w:tcPr>
            <w:tcW w:w="3402" w:type="dxa"/>
            <w:noWrap/>
          </w:tcPr>
          <w:p>
            <w:pPr>
              <w:pStyle w:val="TableNAm"/>
            </w:pPr>
            <w:r>
              <w:t>The requirements mentioned in regulation 31G(2) except that the bush fire performance requirements are not applicable building standards if the building is located in an area that, at any time during the 4</w:t>
            </w:r>
            <w:r>
              <w:noBreakHyphen/>
              <w:t>month period ending on the day on which the application is made, was not a bush fire prone area.</w:t>
            </w:r>
          </w:p>
        </w:tc>
      </w:tr>
      <w:tr>
        <w:trPr>
          <w:cantSplit/>
        </w:trPr>
        <w:tc>
          <w:tcPr>
            <w:tcW w:w="822" w:type="dxa"/>
            <w:noWrap/>
          </w:tcPr>
          <w:p>
            <w:pPr>
              <w:pStyle w:val="TableNAm"/>
            </w:pPr>
            <w:r>
              <w:lastRenderedPageBreak/>
              <w:t>5.</w:t>
            </w:r>
          </w:p>
        </w:tc>
        <w:tc>
          <w:tcPr>
            <w:tcW w:w="1843" w:type="dxa"/>
            <w:noWrap/>
          </w:tcPr>
          <w:p>
            <w:pPr>
              <w:pStyle w:val="TableNAm"/>
            </w:pPr>
            <w:r>
              <w:t>Section 57(3) for an application mentioned in section 51(2) in respect of all kinds of buildings located in a bush fire prone area</w:t>
            </w:r>
          </w:p>
        </w:tc>
        <w:tc>
          <w:tcPr>
            <w:tcW w:w="3402" w:type="dxa"/>
            <w:noWrap/>
          </w:tcPr>
          <w:p>
            <w:pPr>
              <w:pStyle w:val="TableNAm"/>
            </w:pPr>
            <w:r>
              <w:t xml:space="preserve">The requirements mentioned in regulation 31G(2) except that the bush fire performance requirements are not applicable building standards if — </w:t>
            </w:r>
          </w:p>
          <w:p>
            <w:pPr>
              <w:pStyle w:val="TableNAm"/>
              <w:ind w:left="459" w:hanging="459"/>
            </w:pPr>
            <w:r>
              <w:t>(a)</w:t>
            </w:r>
            <w:r>
              <w:tab/>
              <w:t>the building is located in an area that, at any time during the 4</w:t>
            </w:r>
            <w:r>
              <w:noBreakHyphen/>
              <w:t>month period ending on the day on which the application is made, was not a bush fire prone area; or</w:t>
            </w:r>
          </w:p>
          <w:p>
            <w:pPr>
              <w:pStyle w:val="TableNAm"/>
              <w:ind w:left="459" w:hanging="459"/>
            </w:pPr>
            <w:r>
              <w:t>(b)</w:t>
            </w:r>
            <w:r>
              <w:tab/>
              <w:t>the unauthorised work done in respect of the building is excluded building work only.</w:t>
            </w:r>
          </w:p>
        </w:tc>
      </w:tr>
      <w:tr>
        <w:tc>
          <w:tcPr>
            <w:tcW w:w="822" w:type="dxa"/>
            <w:noWrap/>
          </w:tcPr>
          <w:p>
            <w:pPr>
              <w:pStyle w:val="TableNAm"/>
            </w:pPr>
            <w:r>
              <w:t>6.</w:t>
            </w:r>
          </w:p>
        </w:tc>
        <w:tc>
          <w:tcPr>
            <w:tcW w:w="1843" w:type="dxa"/>
            <w:noWrap/>
          </w:tcPr>
          <w:p>
            <w:pPr>
              <w:pStyle w:val="TableNAm"/>
            </w:pPr>
            <w:r>
              <w:t>Section 57(3) for an application mentioned in section 51(3) in respect of all kinds of buildings and incidental structures located in a bush fire prone area</w:t>
            </w:r>
          </w:p>
        </w:tc>
        <w:tc>
          <w:tcPr>
            <w:tcW w:w="3402" w:type="dxa"/>
            <w:noWrap/>
          </w:tcPr>
          <w:p>
            <w:pPr>
              <w:pStyle w:val="TableNAm"/>
            </w:pPr>
            <w:r>
              <w:t xml:space="preserve">The requirements mentioned in regulation 31G(2)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application is made, was not a bush fire prone area; or</w:t>
            </w:r>
          </w:p>
          <w:p>
            <w:pPr>
              <w:pStyle w:val="TableNAm"/>
              <w:keepNext/>
              <w:keepLines/>
              <w:ind w:left="459" w:hanging="459"/>
            </w:pPr>
            <w:r>
              <w:lastRenderedPageBreak/>
              <w:t>(b)</w:t>
            </w:r>
            <w:r>
              <w:tab/>
              <w:t>the unauthorised work done in respect of the building or incidental structure is excluded building work only; or</w:t>
            </w:r>
          </w:p>
          <w:p>
            <w:pPr>
              <w:pStyle w:val="TableNAm"/>
              <w:keepNext/>
              <w:keepLines/>
              <w:ind w:left="459" w:hanging="459"/>
            </w:pPr>
            <w:r>
              <w:t>(c)</w:t>
            </w:r>
            <w:r>
              <w:tab/>
              <w:t xml:space="preserve">the building or incidental structure is — </w:t>
            </w:r>
          </w:p>
          <w:p>
            <w:pPr>
              <w:pStyle w:val="TableNAm"/>
              <w:keepLines/>
              <w:spacing w:before="60"/>
              <w:ind w:left="918" w:hanging="459"/>
            </w:pPr>
            <w:r>
              <w:t>(i)</w:t>
            </w:r>
            <w:r>
              <w:tab/>
              <w:t>a Class 10a building or deck; and</w:t>
            </w:r>
          </w:p>
          <w:p>
            <w:pPr>
              <w:pStyle w:val="TableNAm"/>
              <w:spacing w:before="60"/>
              <w:ind w:left="918" w:hanging="459"/>
            </w:pPr>
            <w:r>
              <w:t>(ii)</w:t>
            </w:r>
            <w:r>
              <w:tab/>
              <w:t>associated with a relevant building.</w:t>
            </w:r>
          </w:p>
        </w:tc>
      </w:tr>
    </w:tbl>
    <w:p>
      <w:pPr>
        <w:pStyle w:val="Subsection"/>
      </w:pPr>
      <w:r>
        <w:lastRenderedPageBreak/>
        <w:tab/>
        <w:t>(2)</w:t>
      </w:r>
      <w:r>
        <w:tab/>
        <w:t>Item 1, 2 or 3 (as the case may be) of the Table to subregulation (1) does not apply if the building work is the assembly, reassembly or securing of a relocated building or a relocated incidental structure.</w:t>
      </w:r>
    </w:p>
    <w:p>
      <w:pPr>
        <w:pStyle w:val="PermNoteHeading"/>
      </w:pPr>
      <w:r>
        <w:tab/>
        <w:t>Note for this subregulation:</w:t>
      </w:r>
    </w:p>
    <w:p>
      <w:pPr>
        <w:pStyle w:val="PermNoteText"/>
      </w:pPr>
      <w:r>
        <w:tab/>
      </w:r>
      <w:r>
        <w:tab/>
        <w:t>See also regulation 31D.</w:t>
      </w:r>
    </w:p>
    <w:p>
      <w:pPr>
        <w:pStyle w:val="Subsection"/>
      </w:pPr>
      <w:r>
        <w:tab/>
        <w:t>(3)</w:t>
      </w:r>
      <w:r>
        <w:tab/>
        <w:t>Column 2 paragraph (b) of item 1, 2, 3, 5 or 6 (as the case may be) of the Table to subregulation (1) does not apply if the excluded building work is part of a larger project of building work that has been divided up for the sole or dominant purpose of taking advantage of that paragraph.</w:t>
      </w:r>
    </w:p>
    <w:p>
      <w:pPr>
        <w:pStyle w:val="Subsection"/>
        <w:keepNext/>
      </w:pPr>
      <w:r>
        <w:tab/>
        <w:t>(4)</w:t>
      </w:r>
      <w:r>
        <w:tab/>
        <w:t xml:space="preserve">In determining whether building work is excluded building work for the purposes of Column 2 paragraph (b) of item 2 or 3 (as the case may be) of the Table to subregulation (1), the definition of that term in subregulation (1A) applies as if the definition of </w:t>
      </w:r>
      <w:r>
        <w:rPr>
          <w:b/>
          <w:i/>
        </w:rPr>
        <w:t>relevant building</w:t>
      </w:r>
      <w:r>
        <w:t xml:space="preserve"> had not been replaced by the </w:t>
      </w:r>
      <w:r>
        <w:rPr>
          <w:i/>
        </w:rPr>
        <w:lastRenderedPageBreak/>
        <w:t>Building Amendment Regulations 2021</w:t>
      </w:r>
      <w:r>
        <w:t xml:space="preserve"> regulation 6(1) and (2) if — </w:t>
      </w:r>
    </w:p>
    <w:p>
      <w:pPr>
        <w:pStyle w:val="Indenta"/>
      </w:pPr>
      <w:r>
        <w:tab/>
        <w:t>(a)</w:t>
      </w:r>
      <w:r>
        <w:tab/>
        <w:t>in the case of item 2 — the building permit for the building work was obtained before 1 May 2021; or</w:t>
      </w:r>
    </w:p>
    <w:p>
      <w:pPr>
        <w:pStyle w:val="Indenta"/>
      </w:pPr>
      <w:r>
        <w:tab/>
        <w:t>(b)</w:t>
      </w:r>
      <w:r>
        <w:tab/>
        <w:t>in the case of item 3 — the building work commenced before 1 May 2021.</w:t>
      </w:r>
    </w:p>
    <w:p>
      <w:pPr>
        <w:pStyle w:val="Ednotesubsection"/>
      </w:pPr>
      <w:r>
        <w:tab/>
        <w:t>[(5)-(8)</w:t>
      </w:r>
      <w:r>
        <w:tab/>
        <w:t>deleted]</w:t>
      </w:r>
    </w:p>
    <w:p>
      <w:pPr>
        <w:pStyle w:val="Footnotesection"/>
        <w:tabs>
          <w:tab w:val="left" w:pos="5387"/>
        </w:tabs>
        <w:spacing w:before="100"/>
      </w:pPr>
      <w:r>
        <w:tab/>
        <w:t>[Regulation 31BA inserted: Gazette 7 Dec 2015 p. 4898</w:t>
      </w:r>
      <w:r>
        <w:noBreakHyphen/>
        <w:t>900; amended: Gazette 5 Apr 2016 p. 1017</w:t>
      </w:r>
      <w:r>
        <w:noBreakHyphen/>
        <w:t>19; 9 Mar 2018 p. 800; 26 Mar 2019 p. 943; SL 2021/42 r. 6.]</w:t>
      </w:r>
    </w:p>
    <w:p>
      <w:pPr>
        <w:pStyle w:val="Ednotesection"/>
      </w:pPr>
      <w:r>
        <w:t>[</w:t>
      </w:r>
      <w:r>
        <w:rPr>
          <w:b/>
        </w:rPr>
        <w:t>31B.</w:t>
      </w:r>
      <w:r>
        <w:tab/>
        <w:t>Deleted: Gazette 5 Oct 2018 p. 4014.]</w:t>
      </w:r>
    </w:p>
    <w:p>
      <w:pPr>
        <w:pStyle w:val="Heading5"/>
        <w:spacing w:before="240"/>
      </w:pPr>
      <w:bookmarkStart w:id="61" w:name="_Toc75515412"/>
      <w:r>
        <w:rPr>
          <w:rStyle w:val="CharSectno"/>
        </w:rPr>
        <w:t>31C</w:t>
      </w:r>
      <w:r>
        <w:t>.</w:t>
      </w:r>
      <w:r>
        <w:tab/>
        <w:t>Applicable building standards for swimming pools (s. 3, 19(3) and 37(1) and (2))</w:t>
      </w:r>
      <w:bookmarkEnd w:id="61"/>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pPr>
            <w:r>
              <w:rPr>
                <w:b/>
              </w:rPr>
              <w:t>Type of swimming pool</w:t>
            </w:r>
          </w:p>
        </w:tc>
        <w:tc>
          <w:tcPr>
            <w:tcW w:w="3034" w:type="dxa"/>
          </w:tcPr>
          <w:p>
            <w:pPr>
              <w:pStyle w:val="TableNAm"/>
              <w:keepNext/>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pPr>
            <w:r>
              <w:lastRenderedPageBreak/>
              <w:t>Private swimming pools other than pre</w:t>
            </w:r>
            <w:r>
              <w:noBreakHyphen/>
              <w:t>May 2016 private swimming pools</w:t>
            </w:r>
          </w:p>
        </w:tc>
        <w:tc>
          <w:tcPr>
            <w:tcW w:w="3034" w:type="dxa"/>
          </w:tcPr>
          <w:p>
            <w:pPr>
              <w:pStyle w:val="TableNAm"/>
              <w:keepLines/>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keepNext/>
              <w:ind w:left="567" w:hanging="567"/>
            </w:pPr>
            <w:r>
              <w:t>(b)</w:t>
            </w:r>
            <w:r>
              <w:tab/>
              <w:t>a performance solution cannot be used to comply with a Building Code pool barrier requirement unless the performance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w:t>
      </w:r>
      <w:r>
        <w:lastRenderedPageBreak/>
        <w:t>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62" w:name="_Toc75515413"/>
      <w:r>
        <w:rPr>
          <w:rStyle w:val="CharSectno"/>
        </w:rPr>
        <w:t>31D</w:t>
      </w:r>
      <w:r>
        <w:t>.</w:t>
      </w:r>
      <w:r>
        <w:tab/>
        <w:t>Applicable building standards for relocated buildings and incidental structures (other than swimming pools) (s. 3, 19(3) and 37(1) and (2))</w:t>
      </w:r>
      <w:bookmarkEnd w:id="62"/>
    </w:p>
    <w:p>
      <w:pPr>
        <w:pStyle w:val="Subsection"/>
      </w:pPr>
      <w:r>
        <w:t>(1AA)</w:t>
      </w:r>
      <w:r>
        <w:tab/>
        <w:t xml:space="preserve">In this regulation — </w:t>
      </w:r>
    </w:p>
    <w:p>
      <w:pPr>
        <w:pStyle w:val="Defstart"/>
      </w:pPr>
      <w:r>
        <w:tab/>
      </w:r>
      <w:r>
        <w:rPr>
          <w:rStyle w:val="CharDefText"/>
        </w:rPr>
        <w:t>relevant building</w:t>
      </w:r>
      <w:r>
        <w:t xml:space="preserve"> has the meaning given in regulation 31BA(1A).</w:t>
      </w:r>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w:t>
      </w:r>
      <w:r>
        <w:lastRenderedPageBreak/>
        <w:t>the assembly, reassembly or securing of a relocated building or a relocated incidental structure.</w:t>
      </w:r>
    </w:p>
    <w:p>
      <w:pPr>
        <w:pStyle w:val="Subsection"/>
      </w:pPr>
      <w:r>
        <w:tab/>
        <w:t>(2)</w:t>
      </w:r>
      <w:r>
        <w:tab/>
        <w:t>For subregulation (1), the applicable building standards are the requirements in relation to the technical aspects of the construction of the relocated building or incidental structure that were imposed under the written law applicable at the time the relocated building or incidental structure was first assembled, except to the extent that subregulations (3), (4) and (5) of this regulation otherwise provide.</w:t>
      </w:r>
    </w:p>
    <w:p>
      <w:pPr>
        <w:pStyle w:val="Subsection"/>
      </w:pPr>
      <w:r>
        <w:tab/>
        <w:t>(3)</w:t>
      </w:r>
      <w:r>
        <w:tab/>
        <w:t xml:space="preserve">The applicable building standards include those that relate to a performance requirement that is — </w:t>
      </w:r>
    </w:p>
    <w:p>
      <w:pPr>
        <w:pStyle w:val="Indenta"/>
      </w:pPr>
      <w:r>
        <w:tab/>
        <w:t>(a)</w:t>
      </w:r>
      <w:r>
        <w:tab/>
        <w:t>listed in the Table; and</w:t>
      </w:r>
    </w:p>
    <w:p>
      <w:pPr>
        <w:pStyle w:val="Indenta"/>
      </w:pPr>
      <w:r>
        <w:tab/>
        <w:t>(b)</w:t>
      </w:r>
      <w:r>
        <w:tab/>
        <w:t>applicable to buildings or incidental structures of the classification of the relocated building or incidental structure; and</w:t>
      </w:r>
    </w:p>
    <w:p>
      <w:pPr>
        <w:pStyle w:val="Indenta"/>
      </w:pPr>
      <w:r>
        <w:tab/>
        <w:t>(c)</w:t>
      </w:r>
      <w:r>
        <w:tab/>
        <w:t>set out in the edition of the Building Code —</w:t>
      </w:r>
    </w:p>
    <w:p>
      <w:pPr>
        <w:pStyle w:val="Indenti"/>
      </w:pPr>
      <w:r>
        <w:tab/>
        <w:t>(i)</w:t>
      </w:r>
      <w:r>
        <w:tab/>
        <w:t>for sections 19(3) or 37(1) — mentioned in regulation 31A(2)(a), (b) or (c), subject to regulation 31A(2A) and (3); or</w:t>
      </w:r>
    </w:p>
    <w:p>
      <w:pPr>
        <w:pStyle w:val="Indenti"/>
      </w:pPr>
      <w:r>
        <w:tab/>
        <w:t>(ii)</w:t>
      </w:r>
      <w:r>
        <w:tab/>
        <w:t>for section 37(2) — in effect at the time the assembly, reassembly or securing of the relocated building or incidental structure commenced.</w:t>
      </w:r>
    </w:p>
    <w:p>
      <w:pPr>
        <w:pStyle w:val="THeadingNAm"/>
      </w:pPr>
      <w:r>
        <w:tab/>
      </w:r>
      <w:r>
        <w:tab/>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Structure</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lastRenderedPageBreak/>
              <w:t>Volume One, Section D — Access and egress</w:t>
            </w:r>
          </w:p>
        </w:tc>
        <w:tc>
          <w:tcPr>
            <w:tcW w:w="3021" w:type="dxa"/>
          </w:tcPr>
          <w:p>
            <w:pPr>
              <w:pStyle w:val="TableNAm"/>
            </w:pPr>
            <w:r>
              <w:t>DP2, DP3, DP4, DP5, DP6</w:t>
            </w:r>
          </w:p>
        </w:tc>
      </w:tr>
      <w:tr>
        <w:trPr>
          <w:cantSplit/>
        </w:trP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w:t>
            </w:r>
          </w:p>
        </w:tc>
      </w:tr>
      <w:tr>
        <w:tc>
          <w:tcPr>
            <w:tcW w:w="3192" w:type="dxa"/>
          </w:tcPr>
          <w:p>
            <w:pPr>
              <w:pStyle w:val="TableNAm"/>
            </w:pPr>
            <w:r>
              <w:t>Volume Two, Part 2.5 — Safe movement and access</w:t>
            </w:r>
          </w:p>
        </w:tc>
        <w:tc>
          <w:tcPr>
            <w:tcW w:w="3021" w:type="dxa"/>
          </w:tcPr>
          <w:p>
            <w:pPr>
              <w:pStyle w:val="TableNAm"/>
            </w:pPr>
            <w:r>
              <w:t>P2.5.1, P2.5.2</w:t>
            </w:r>
          </w:p>
        </w:tc>
      </w:tr>
      <w:tr>
        <w:tc>
          <w:tcPr>
            <w:tcW w:w="3192" w:type="dxa"/>
          </w:tcPr>
          <w:p>
            <w:pPr>
              <w:pStyle w:val="TableNAm"/>
              <w:keepNext/>
            </w:pPr>
            <w:r>
              <w:t>Volume Two, Part 2.7 — Ancillary provisions and additional construction requirements</w:t>
            </w:r>
          </w:p>
        </w:tc>
        <w:tc>
          <w:tcPr>
            <w:tcW w:w="3021" w:type="dxa"/>
          </w:tcPr>
          <w:p>
            <w:pPr>
              <w:pStyle w:val="TableNAm"/>
              <w:keepNext/>
            </w:pPr>
            <w:r>
              <w:t>P2.7.3, P2.7.5, P2.7.6</w:t>
            </w:r>
          </w:p>
        </w:tc>
      </w:tr>
    </w:tbl>
    <w:p>
      <w:pPr>
        <w:pStyle w:val="Ednotesubsection"/>
      </w:pPr>
      <w:r>
        <w:tab/>
        <w:t>[(3A)</w:t>
      </w:r>
      <w:r>
        <w:tab/>
        <w:t>deleted]</w:t>
      </w:r>
    </w:p>
    <w:p>
      <w:pPr>
        <w:pStyle w:val="Subsection"/>
      </w:pPr>
      <w:r>
        <w:tab/>
        <w:t>(4)</w:t>
      </w:r>
      <w:r>
        <w:tab/>
        <w:t xml:space="preserve">The applicable building standards include those that relate to a performance requirement that is — </w:t>
      </w:r>
    </w:p>
    <w:p>
      <w:pPr>
        <w:pStyle w:val="Indenta"/>
      </w:pPr>
      <w:r>
        <w:tab/>
        <w:t>(a)</w:t>
      </w:r>
      <w:r>
        <w:tab/>
        <w:t>listed in the Table; and</w:t>
      </w:r>
    </w:p>
    <w:p>
      <w:pPr>
        <w:pStyle w:val="Indenta"/>
      </w:pPr>
      <w:r>
        <w:tab/>
        <w:t>(b)</w:t>
      </w:r>
      <w:r>
        <w:tab/>
        <w:t xml:space="preserve">applicable to buildings or incidental structures — </w:t>
      </w:r>
    </w:p>
    <w:p>
      <w:pPr>
        <w:pStyle w:val="Indenti"/>
      </w:pPr>
      <w:r>
        <w:tab/>
        <w:t>(i)</w:t>
      </w:r>
      <w:r>
        <w:tab/>
        <w:t>of the classification of the relocated building or incidental structure; and</w:t>
      </w:r>
    </w:p>
    <w:p>
      <w:pPr>
        <w:pStyle w:val="Indenti"/>
      </w:pPr>
      <w:r>
        <w:lastRenderedPageBreak/>
        <w:tab/>
        <w:t>(ii)</w:t>
      </w:r>
      <w:r>
        <w:tab/>
        <w:t>in the geographical area where the relocated building or incidental structure was first assembled;</w:t>
      </w:r>
    </w:p>
    <w:p>
      <w:pPr>
        <w:pStyle w:val="Indenta"/>
      </w:pPr>
      <w:r>
        <w:tab/>
      </w:r>
      <w:r>
        <w:tab/>
        <w:t>and</w:t>
      </w:r>
    </w:p>
    <w:p>
      <w:pPr>
        <w:pStyle w:val="Indenta"/>
      </w:pPr>
      <w:r>
        <w:tab/>
        <w:t>(c)</w:t>
      </w:r>
      <w:r>
        <w:tab/>
        <w:t xml:space="preserve">set out in the edition of the Building Code in effect — </w:t>
      </w:r>
    </w:p>
    <w:p>
      <w:pPr>
        <w:pStyle w:val="Indenti"/>
      </w:pPr>
      <w:r>
        <w:tab/>
        <w:t>(i)</w:t>
      </w:r>
      <w:r>
        <w:tab/>
        <w:t>if subparagraph (ii) does not apply — at the time of, or 12 months before, the first application for a building permit to assemble the relocated building or incidental structure (whichever was applied by the building surveyor in respect of the building or incidental structure); or</w:t>
      </w:r>
    </w:p>
    <w:p>
      <w:pPr>
        <w:pStyle w:val="Indenti"/>
      </w:pPr>
      <w:r>
        <w:tab/>
        <w:t>(ii)</w:t>
      </w:r>
      <w:r>
        <w:tab/>
        <w:t>if no building permit to assemble the relocated building or incidental structure has ever been required — at the time of the first assembly of the relocated building or incidental structure.</w:t>
      </w:r>
    </w:p>
    <w:p>
      <w:pPr>
        <w:pStyle w:val="THeadingNAm"/>
        <w:spacing w:before="100"/>
      </w:pPr>
      <w:r>
        <w:t>Table</w:t>
      </w:r>
    </w:p>
    <w:tbl>
      <w:tblPr>
        <w:tblW w:w="6213" w:type="dxa"/>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PermNoteHeading"/>
      </w:pPr>
      <w:r>
        <w:tab/>
        <w:t>Note for this subregulation:</w:t>
      </w:r>
    </w:p>
    <w:p>
      <w:pPr>
        <w:pStyle w:val="PermNoteText"/>
      </w:pPr>
      <w:r>
        <w:tab/>
      </w:r>
      <w:r>
        <w:tab/>
        <w:t xml:space="preserve">This subregulation does not apply if the conditions in paragraph (c) cannot be met because — </w:t>
      </w:r>
    </w:p>
    <w:p>
      <w:pPr>
        <w:pStyle w:val="PermNotePara"/>
      </w:pPr>
      <w:r>
        <w:tab/>
        <w:t>(a)</w:t>
      </w:r>
      <w:r>
        <w:tab/>
        <w:t>a building permit to assemble the relocated building or incidental structure has been required but none has ever been applied for; or</w:t>
      </w:r>
    </w:p>
    <w:p>
      <w:pPr>
        <w:pStyle w:val="PermNotePara"/>
      </w:pPr>
      <w:r>
        <w:tab/>
        <w:t>(b)</w:t>
      </w:r>
      <w:r>
        <w:tab/>
        <w:t>no edition of the Building Code was in effect at the relevant time mentioned in paragraph (c).</w:t>
      </w:r>
    </w:p>
    <w:p>
      <w:pPr>
        <w:pStyle w:val="Subsection"/>
        <w:keepLines/>
      </w:pPr>
      <w:r>
        <w:lastRenderedPageBreak/>
        <w:tab/>
        <w:t>(5)</w:t>
      </w:r>
      <w:r>
        <w:tab/>
        <w:t>The bush fire performance requirements are not applicable building standards for the purposes of the section set out in Column 1 of the Table in the circumstances set out in Column 2 of the Table opposite the section.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41"/>
        <w:gridCol w:w="4426"/>
      </w:tblGrid>
      <w:tr>
        <w:trPr>
          <w:tblHeader/>
        </w:trPr>
        <w:tc>
          <w:tcPr>
            <w:tcW w:w="1641" w:type="dxa"/>
            <w:noWrap/>
          </w:tcPr>
          <w:p>
            <w:pPr>
              <w:pStyle w:val="TableNAm"/>
              <w:keepNext/>
              <w:jc w:val="center"/>
              <w:rPr>
                <w:b/>
                <w:bCs/>
              </w:rPr>
            </w:pPr>
            <w:r>
              <w:rPr>
                <w:b/>
                <w:bCs/>
              </w:rPr>
              <w:t>Column 1</w:t>
            </w:r>
          </w:p>
          <w:p>
            <w:pPr>
              <w:pStyle w:val="TableNAm"/>
              <w:keepNext/>
              <w:jc w:val="center"/>
              <w:rPr>
                <w:b/>
                <w:bCs/>
              </w:rPr>
            </w:pPr>
            <w:r>
              <w:rPr>
                <w:b/>
                <w:bCs/>
              </w:rPr>
              <w:t>Section</w:t>
            </w:r>
          </w:p>
        </w:tc>
        <w:tc>
          <w:tcPr>
            <w:tcW w:w="4426" w:type="dxa"/>
            <w:noWrap/>
          </w:tcPr>
          <w:p>
            <w:pPr>
              <w:pStyle w:val="TableNAm"/>
              <w:keepNext/>
              <w:jc w:val="center"/>
              <w:rPr>
                <w:b/>
                <w:bCs/>
              </w:rPr>
            </w:pPr>
            <w:r>
              <w:rPr>
                <w:b/>
                <w:bCs/>
              </w:rPr>
              <w:t>Column 2</w:t>
            </w:r>
          </w:p>
          <w:p>
            <w:pPr>
              <w:pStyle w:val="TableNAm"/>
              <w:keepNext/>
              <w:jc w:val="center"/>
              <w:rPr>
                <w:b/>
                <w:bCs/>
              </w:rPr>
            </w:pPr>
            <w:r>
              <w:rPr>
                <w:b/>
                <w:bCs/>
              </w:rPr>
              <w:t>Circumstances</w:t>
            </w:r>
          </w:p>
        </w:tc>
      </w:tr>
      <w:tr>
        <w:tc>
          <w:tcPr>
            <w:tcW w:w="1641" w:type="dxa"/>
            <w:noWrap/>
          </w:tcPr>
          <w:p>
            <w:pPr>
              <w:pStyle w:val="TableNAm"/>
              <w:keepNext/>
            </w:pPr>
            <w:r>
              <w:t>s. 19(3)</w:t>
            </w:r>
          </w:p>
        </w:tc>
        <w:tc>
          <w:tcPr>
            <w:tcW w:w="4426" w:type="dxa"/>
            <w:noWrap/>
          </w:tcPr>
          <w:p>
            <w:pPr>
              <w:pStyle w:val="TableNAm"/>
              <w:keepNext/>
            </w:pPr>
            <w:r>
              <w:t xml:space="preserve">If — </w:t>
            </w:r>
          </w:p>
          <w:p>
            <w:pPr>
              <w:pStyle w:val="TableNAm"/>
              <w:keepNext/>
              <w:ind w:left="459" w:hanging="459"/>
            </w:pPr>
            <w:r>
              <w:t>(a)</w:t>
            </w:r>
            <w:r>
              <w:tab/>
              <w:t>the relocated building or incidental structure will be relocated to an area that, at any time during the 4</w:t>
            </w:r>
            <w:r>
              <w:noBreakHyphen/>
              <w:t>month period ending on the day on which the application is made, was not a bush fire prone area; or</w:t>
            </w:r>
          </w:p>
          <w:p>
            <w:pPr>
              <w:pStyle w:val="TableNAm"/>
              <w:keepNext/>
              <w:ind w:left="459" w:hanging="459"/>
            </w:pPr>
            <w:r>
              <w:t>(b)</w:t>
            </w:r>
            <w:r>
              <w:tab/>
              <w:t xml:space="preserve">the relocated building or incidental structure — </w:t>
            </w:r>
          </w:p>
          <w:p>
            <w:pPr>
              <w:pStyle w:val="TableNAm"/>
              <w:keepNext/>
              <w:spacing w:before="60"/>
              <w:ind w:left="918" w:hanging="459"/>
            </w:pPr>
            <w:r>
              <w:t>(i)</w:t>
            </w:r>
            <w:r>
              <w:tab/>
              <w:t>is a Class 10a building or deck; and</w:t>
            </w:r>
          </w:p>
          <w:p>
            <w:pPr>
              <w:pStyle w:val="TableNAm"/>
              <w:keepNext/>
              <w:spacing w:before="60"/>
              <w:ind w:left="918" w:hanging="459"/>
            </w:pPr>
            <w:r>
              <w:t>(ii)</w:t>
            </w:r>
            <w:r>
              <w:tab/>
              <w:t>will be associated with a relevant building once relocated.</w:t>
            </w:r>
          </w:p>
        </w:tc>
      </w:tr>
      <w:tr>
        <w:tc>
          <w:tcPr>
            <w:tcW w:w="1641" w:type="dxa"/>
            <w:noWrap/>
          </w:tcPr>
          <w:p>
            <w:pPr>
              <w:pStyle w:val="TableNAm"/>
            </w:pPr>
            <w:r>
              <w:t>s. 37(1)</w:t>
            </w:r>
          </w:p>
        </w:tc>
        <w:tc>
          <w:tcPr>
            <w:tcW w:w="4426" w:type="dxa"/>
            <w:noWrap/>
          </w:tcPr>
          <w:p>
            <w:pPr>
              <w:pStyle w:val="TableNAm"/>
              <w:ind w:left="459" w:hanging="459"/>
            </w:pPr>
            <w:r>
              <w:t>If —</w:t>
            </w:r>
          </w:p>
          <w:p>
            <w:pPr>
              <w:pStyle w:val="TableNAm"/>
              <w:ind w:left="459" w:hanging="459"/>
            </w:pPr>
            <w:r>
              <w:t>(a)</w:t>
            </w:r>
            <w:r>
              <w:tab/>
              <w:t>the relocated building or incidental structure is relocated to an area that, at any time during the 4</w:t>
            </w:r>
            <w:r>
              <w:noBreakHyphen/>
              <w:t>month period ending on the day on which the application for the building permit was made, was not a bush fire prone area; or</w:t>
            </w:r>
          </w:p>
          <w:p>
            <w:pPr>
              <w:pStyle w:val="TableNAm"/>
              <w:keepNext/>
              <w:ind w:left="459" w:hanging="459"/>
            </w:pPr>
            <w:r>
              <w:lastRenderedPageBreak/>
              <w:t>(b)</w:t>
            </w:r>
            <w:r>
              <w:tab/>
              <w:t xml:space="preserve">the relocated building or incidental structure — </w:t>
            </w:r>
          </w:p>
          <w:p>
            <w:pPr>
              <w:pStyle w:val="TableNAm"/>
              <w:spacing w:before="60"/>
              <w:ind w:left="918" w:hanging="459"/>
            </w:pPr>
            <w:r>
              <w:t>(i)</w:t>
            </w:r>
            <w:r>
              <w:tab/>
              <w:t>is a Class 10a building or deck; and</w:t>
            </w:r>
          </w:p>
          <w:p>
            <w:pPr>
              <w:pStyle w:val="TableNAm"/>
              <w:keepNext/>
              <w:spacing w:before="60"/>
              <w:ind w:left="918" w:hanging="459"/>
            </w:pPr>
            <w:r>
              <w:t>(ii)</w:t>
            </w:r>
            <w:r>
              <w:tab/>
              <w:t>is associated with a relevant building once relocated.</w:t>
            </w:r>
          </w:p>
          <w:p>
            <w:pPr>
              <w:pStyle w:val="TableNAm"/>
              <w:keepNext/>
              <w:keepLines/>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31HB(2).</w:t>
            </w:r>
          </w:p>
        </w:tc>
      </w:tr>
      <w:tr>
        <w:trPr>
          <w:cantSplit/>
        </w:trPr>
        <w:tc>
          <w:tcPr>
            <w:tcW w:w="1641" w:type="dxa"/>
            <w:noWrap/>
          </w:tcPr>
          <w:p>
            <w:pPr>
              <w:pStyle w:val="TableNAm"/>
            </w:pPr>
            <w:r>
              <w:lastRenderedPageBreak/>
              <w:t>s. 37(2)</w:t>
            </w:r>
          </w:p>
        </w:tc>
        <w:tc>
          <w:tcPr>
            <w:tcW w:w="4426" w:type="dxa"/>
            <w:noWrap/>
          </w:tcPr>
          <w:p>
            <w:pPr>
              <w:pStyle w:val="TableNAm"/>
              <w:ind w:left="459" w:hanging="459"/>
            </w:pPr>
            <w:r>
              <w:t xml:space="preserve">If — </w:t>
            </w:r>
          </w:p>
          <w:p>
            <w:pPr>
              <w:pStyle w:val="TableNAm"/>
              <w:ind w:left="459" w:hanging="459"/>
            </w:pPr>
            <w:r>
              <w:t>(a)</w:t>
            </w:r>
            <w:r>
              <w:tab/>
              <w:t>the relocated building or incidental structure is relocated to an area that, at any time during the 4</w:t>
            </w:r>
            <w:r>
              <w:noBreakHyphen/>
              <w:t>month period ending on the day on which the assembly, reassembly or securing of the relocated building or incidental structure commenced, was not a bush fire prone area; or</w:t>
            </w:r>
          </w:p>
          <w:p>
            <w:pPr>
              <w:pStyle w:val="TableNAm"/>
              <w:ind w:left="459" w:hanging="459"/>
            </w:pPr>
            <w:r>
              <w:t>(b)</w:t>
            </w:r>
            <w:r>
              <w:tab/>
              <w:t xml:space="preserve">the relocated building or incidental structure — </w:t>
            </w:r>
          </w:p>
          <w:p>
            <w:pPr>
              <w:pStyle w:val="TableNAm"/>
              <w:spacing w:before="60"/>
              <w:ind w:left="918" w:hanging="459"/>
            </w:pPr>
            <w:r>
              <w:t>(i)</w:t>
            </w:r>
            <w:r>
              <w:tab/>
              <w:t>is a Class 10a building or deck; and</w:t>
            </w:r>
          </w:p>
          <w:p>
            <w:pPr>
              <w:pStyle w:val="TableNAm"/>
              <w:spacing w:before="60"/>
              <w:ind w:left="918" w:hanging="459"/>
            </w:pPr>
            <w:r>
              <w:t>(ii)</w:t>
            </w:r>
            <w:r>
              <w:tab/>
              <w:t>is associated with a relevant building once relocated.</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31HB(3).</w:t>
            </w:r>
          </w:p>
        </w:tc>
      </w:tr>
    </w:tbl>
    <w:p>
      <w:pPr>
        <w:pStyle w:val="Footnotesection"/>
      </w:pPr>
      <w:r>
        <w:tab/>
        <w:t>[Regulation 31D inserted: Gazette 18 Dec 2012 p. 6564-7; amended: Gazette 24 Apr 2014 p. 1136; 15 Apr 2016 p. 1169; 9 Mar 2018 p. 800; 26 Mar 2019 p. 945 and 946; SL 2020/46 r. 6; SL 2021/42 r. 7.]</w:t>
      </w:r>
    </w:p>
    <w:p>
      <w:pPr>
        <w:pStyle w:val="Heading5"/>
      </w:pPr>
      <w:bookmarkStart w:id="63" w:name="_Toc75515414"/>
      <w:r>
        <w:rPr>
          <w:rStyle w:val="CharSectno"/>
        </w:rPr>
        <w:lastRenderedPageBreak/>
        <w:t>31E</w:t>
      </w:r>
      <w:r>
        <w:t>.</w:t>
      </w:r>
      <w:r>
        <w:tab/>
        <w:t>Applicable building standards for building work done without permit (s. 3 and 37(2))</w:t>
      </w:r>
      <w:bookmarkEnd w:id="63"/>
    </w:p>
    <w:p>
      <w:pPr>
        <w:pStyle w:val="Subsection"/>
        <w:keepLines/>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the building work mentioned in section 37(2) commenced.</w:t>
      </w:r>
    </w:p>
    <w:p>
      <w:pPr>
        <w:pStyle w:val="Footnotesection"/>
      </w:pPr>
      <w:r>
        <w:tab/>
        <w:t>[Regulation 31E inserted: Gazette 18 Dec 2012 p. 6567; amended: Gazette 7 Dec 2015 p. 4900; 15 Apr 2016 p. 1169; 5 Oct 2018 p. 4014; SL 2021/42 r. 8.]</w:t>
      </w:r>
    </w:p>
    <w:p>
      <w:pPr>
        <w:pStyle w:val="Heading5"/>
        <w:keepNext w:val="0"/>
        <w:keepLines w:val="0"/>
        <w:spacing w:line="240" w:lineRule="auto"/>
      </w:pPr>
      <w:bookmarkStart w:id="64" w:name="_Toc75515415"/>
      <w:r>
        <w:rPr>
          <w:rStyle w:val="CharSectno"/>
        </w:rPr>
        <w:t>31F</w:t>
      </w:r>
      <w:r>
        <w:t>.</w:t>
      </w:r>
      <w:r>
        <w:tab/>
        <w:t>Applicable building standards for replacement occupancy permit for permanent change of building’s use (s. 3, 57(3) and 49(a))</w:t>
      </w:r>
      <w:bookmarkEnd w:id="6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in respect of all kinds of buildings.</w:t>
      </w:r>
    </w:p>
    <w:p>
      <w:pPr>
        <w:pStyle w:val="Subsection"/>
      </w:pPr>
      <w:r>
        <w:tab/>
        <w:t>(2)</w:t>
      </w:r>
      <w:r>
        <w:tab/>
        <w:t xml:space="preserve">For subregulation (1), the applicable building standards for a building are the requirements mentioned in regulation 31A(2) applied by the building surveyor who signed the certificate of design compliance for the building but if there is no applicable certificate of design compliance, either — </w:t>
      </w:r>
    </w:p>
    <w:p>
      <w:pPr>
        <w:pStyle w:val="Indenta"/>
      </w:pPr>
      <w:r>
        <w:lastRenderedPageBreak/>
        <w:tab/>
        <w:t>(a)</w:t>
      </w:r>
      <w:r>
        <w:tab/>
        <w:t>the building licence or other approval that was granted in respect of the construction of the building under the written law applicable at the time of its construction; or</w:t>
      </w:r>
    </w:p>
    <w:p>
      <w:pPr>
        <w:pStyle w:val="Indenta"/>
        <w:keepNext/>
      </w:pPr>
      <w:r>
        <w:tab/>
        <w:t>(b)</w:t>
      </w:r>
      <w:r>
        <w:tab/>
        <w:t>each requirement in relation to the technical aspects of the construction of the building applicable to the building at the time of its construction.</w:t>
      </w:r>
    </w:p>
    <w:p>
      <w:pPr>
        <w:pStyle w:val="Footnotesection"/>
        <w:keepLines w:val="0"/>
      </w:pPr>
      <w:r>
        <w:tab/>
        <w:t>[Regulation 31F inserted: Gazette 18 Dec 2012 p. 6568; amended: Gazette 21 Jun 2013 p. 2446; 24 Apr 2014 p. 1136; SL 2020/46 r. 7; 31 Dec 2019 p. 4639.]</w:t>
      </w:r>
    </w:p>
    <w:p>
      <w:pPr>
        <w:pStyle w:val="Heading5"/>
        <w:spacing w:before="240"/>
      </w:pPr>
      <w:bookmarkStart w:id="65" w:name="_Toc75515416"/>
      <w:r>
        <w:rPr>
          <w:rStyle w:val="CharSectno"/>
        </w:rPr>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65"/>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keepNext/>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w:t>
      </w:r>
      <w:r>
        <w:lastRenderedPageBreak/>
        <w:t>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66" w:name="_Toc75515417"/>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66"/>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keepNext/>
      </w:pPr>
      <w:r>
        <w:tab/>
        <w:t>(b)</w:t>
      </w:r>
      <w:r>
        <w:tab/>
        <w:t xml:space="preserve">each requirement in relation to the technical aspects of the construction of the building or structure applicable to </w:t>
      </w:r>
      <w:r>
        <w:lastRenderedPageBreak/>
        <w:t>the building or incidental structure at the time of its construction.</w:t>
      </w:r>
    </w:p>
    <w:p>
      <w:pPr>
        <w:pStyle w:val="Footnotesection"/>
      </w:pPr>
      <w:r>
        <w:tab/>
        <w:t>[Regulation 31H inserted: Gazette 18 Dec 2012 p. 6569-70; SL 2020/46 r. 8.]</w:t>
      </w:r>
    </w:p>
    <w:p>
      <w:pPr>
        <w:pStyle w:val="Heading5"/>
      </w:pPr>
      <w:bookmarkStart w:id="67" w:name="_Toc75515418"/>
      <w:r>
        <w:rPr>
          <w:rStyle w:val="CharSectno"/>
        </w:rPr>
        <w:t>31HA</w:t>
      </w:r>
      <w:r>
        <w:t>.</w:t>
      </w:r>
      <w:r>
        <w:tab/>
        <w:t>Applicable building standards for non</w:t>
      </w:r>
      <w:r>
        <w:noBreakHyphen/>
        <w:t>combustible external walls (s. 3, 19(3), 37(1) and (2) and 57(3))</w:t>
      </w:r>
      <w:bookmarkEnd w:id="67"/>
    </w:p>
    <w:p>
      <w:pPr>
        <w:pStyle w:val="Subsection"/>
        <w:keepNext/>
      </w:pPr>
      <w:r>
        <w:tab/>
        <w:t>(1)</w:t>
      </w:r>
      <w:r>
        <w:tab/>
        <w:t>In this regulation —</w:t>
      </w:r>
    </w:p>
    <w:p>
      <w:pPr>
        <w:pStyle w:val="Defstart"/>
      </w:pPr>
      <w:r>
        <w:tab/>
      </w:r>
      <w:r>
        <w:rPr>
          <w:rStyle w:val="CharDefText"/>
        </w:rPr>
        <w:t xml:space="preserve">commencement date </w:t>
      </w:r>
      <w:r>
        <w:t xml:space="preserve">means the date on which the </w:t>
      </w:r>
      <w:r>
        <w:rPr>
          <w:i/>
        </w:rPr>
        <w:t>Building Amendment Regulations (No. 2) 2018</w:t>
      </w:r>
      <w:r>
        <w:t xml:space="preserve"> regulation 9 comes into operation;</w:t>
      </w:r>
    </w:p>
    <w:p>
      <w:pPr>
        <w:pStyle w:val="Defstart"/>
      </w:pPr>
      <w:r>
        <w:tab/>
      </w:r>
      <w:r>
        <w:rPr>
          <w:rStyle w:val="CharDefText"/>
        </w:rPr>
        <w:t xml:space="preserve">debris criteria </w:t>
      </w:r>
      <w:r>
        <w:t>means the following classification criteria in AS 5113 (Classification of external walls of buildings based on reaction</w:t>
      </w:r>
      <w:r>
        <w:noBreakHyphen/>
        <w:t>to</w:t>
      </w:r>
      <w:r>
        <w:noBreakHyphen/>
        <w:t xml:space="preserve">fire performance) as referenced in CV3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existing building or incidental structure complies with the fire resistance performance requirement;</w:t>
      </w:r>
    </w:p>
    <w:p>
      <w:pPr>
        <w:pStyle w:val="Defstart"/>
      </w:pPr>
      <w:r>
        <w:tab/>
      </w:r>
      <w:r>
        <w:rPr>
          <w:rStyle w:val="CharDefText"/>
        </w:rPr>
        <w:t xml:space="preserve">existing building or incidental structure </w:t>
      </w:r>
      <w:r>
        <w:t xml:space="preserve">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lastRenderedPageBreak/>
        <w:tab/>
      </w:r>
      <w:r>
        <w:rPr>
          <w:rStyle w:val="CharDefText"/>
        </w:rPr>
        <w:t>external wall</w:t>
      </w:r>
      <w:r>
        <w:t xml:space="preserve"> has the meaning given in the Building Code Volume One Schedule 3 for the purposes of Volume One;</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One Schedule 3) by the Building Code Volume One Part C1.9;</w:t>
      </w:r>
    </w:p>
    <w:p>
      <w:pPr>
        <w:pStyle w:val="Defstart"/>
      </w:pPr>
      <w:r>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CV3.</w:t>
      </w:r>
    </w:p>
    <w:p>
      <w:pPr>
        <w:pStyle w:val="Subsection"/>
      </w:pPr>
      <w:r>
        <w:tab/>
        <w:t>(5)</w:t>
      </w:r>
      <w:r>
        <w:tab/>
        <w:t>Despite subregulation (4), a performance solution to the fire resistance performance requirement that is used for exempt remedial work is not required to be verified in accordance with CV3.</w:t>
      </w:r>
    </w:p>
    <w:p>
      <w:pPr>
        <w:pStyle w:val="Subsection"/>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keepNext/>
      </w:pPr>
      <w:r>
        <w:lastRenderedPageBreak/>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 amended: Gazette 26 Mar 2019 p. 945.]</w:t>
      </w:r>
    </w:p>
    <w:p>
      <w:pPr>
        <w:pStyle w:val="Heading5"/>
      </w:pPr>
      <w:bookmarkStart w:id="68" w:name="_Toc75515419"/>
      <w:r>
        <w:rPr>
          <w:rStyle w:val="CharSectno"/>
        </w:rPr>
        <w:t>31HB</w:t>
      </w:r>
      <w:r>
        <w:t>.</w:t>
      </w:r>
      <w:r>
        <w:tab/>
        <w:t xml:space="preserve">Transitional provisions for </w:t>
      </w:r>
      <w:r>
        <w:rPr>
          <w:i/>
        </w:rPr>
        <w:t>Building Amendment Regulations (No. 3) 2015</w:t>
      </w:r>
      <w:bookmarkEnd w:id="68"/>
    </w:p>
    <w:p>
      <w:pPr>
        <w:pStyle w:val="Subsection"/>
        <w:keepNext/>
      </w:pPr>
      <w:r>
        <w:tab/>
        <w:t>(1)</w:t>
      </w:r>
      <w:r>
        <w:tab/>
        <w:t xml:space="preserve">In this regulation — </w:t>
      </w:r>
    </w:p>
    <w:p>
      <w:pPr>
        <w:pStyle w:val="Defstart"/>
      </w:pPr>
      <w:r>
        <w:tab/>
      </w:r>
      <w:r>
        <w:rPr>
          <w:rStyle w:val="CharDefText"/>
        </w:rPr>
        <w:t>commencement day</w:t>
      </w:r>
      <w:r>
        <w:t xml:space="preserve"> means the day on which the </w:t>
      </w:r>
      <w:r>
        <w:rPr>
          <w:i/>
        </w:rPr>
        <w:t>Building Amendment Regulations (No. 3) 2015</w:t>
      </w:r>
      <w:r>
        <w:t xml:space="preserve"> 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Subsection"/>
      </w:pPr>
      <w:r>
        <w:tab/>
        <w:t>(2)</w:t>
      </w:r>
      <w:r>
        <w:tab/>
        <w:t>For the purposes of item 2 Column 2 paragraph (a) of the Table to regulation 31BA(1), and the item relating to section 37(1) in the Table to regulation 31D(5), the area is taken to have been a bush fire prone area for the whole of the 4</w:t>
      </w:r>
      <w:r>
        <w:noBreakHyphen/>
        <w:t xml:space="preserve">month period if — </w:t>
      </w:r>
    </w:p>
    <w:p>
      <w:pPr>
        <w:pStyle w:val="Indenta"/>
      </w:pPr>
      <w:r>
        <w:tab/>
        <w:t>(a)</w:t>
      </w:r>
      <w:r>
        <w:tab/>
        <w:t>immediately before commencement day, the area was identified in any way under a local planning scheme as an area that is subject, or likely to be subject, to bush fires; and</w:t>
      </w:r>
    </w:p>
    <w:p>
      <w:pPr>
        <w:pStyle w:val="Indenta"/>
      </w:pPr>
      <w:r>
        <w:tab/>
        <w:t>(b)</w:t>
      </w:r>
      <w:r>
        <w:tab/>
        <w:t>the application for the building permit was made in the 4</w:t>
      </w:r>
      <w:r>
        <w:noBreakHyphen/>
        <w:t>month period beginning on commencement day.</w:t>
      </w:r>
    </w:p>
    <w:p>
      <w:pPr>
        <w:pStyle w:val="Subsection"/>
      </w:pPr>
      <w:r>
        <w:tab/>
        <w:t>(3)</w:t>
      </w:r>
      <w:r>
        <w:tab/>
        <w:t>For the purposes of item 3 Column 2 paragraph (a) of the Table to regulation 31BA(1), and the item relating to section 37(2) in the Table to regulation 31D(5), the area is taken to have been a bush fire prone area for the whole of the 4</w:t>
      </w:r>
      <w:r>
        <w:noBreakHyphen/>
        <w:t xml:space="preserve">month period if — </w:t>
      </w:r>
    </w:p>
    <w:p>
      <w:pPr>
        <w:pStyle w:val="Indenta"/>
      </w:pPr>
      <w:r>
        <w:tab/>
        <w:t>(a)</w:t>
      </w:r>
      <w:r>
        <w:tab/>
        <w:t>immediately before commencement day, the area was identified in any way under a local planning scheme as an area that is subject, or likely to be subject, to bush fires; and</w:t>
      </w:r>
    </w:p>
    <w:p>
      <w:pPr>
        <w:pStyle w:val="Indenta"/>
      </w:pPr>
      <w:r>
        <w:lastRenderedPageBreak/>
        <w:tab/>
        <w:t>(b)</w:t>
      </w:r>
      <w:r>
        <w:tab/>
        <w:t>the building work commenced in the 4</w:t>
      </w:r>
      <w:r>
        <w:noBreakHyphen/>
        <w:t>month period beginning on commencement day.</w:t>
      </w:r>
    </w:p>
    <w:p>
      <w:pPr>
        <w:pStyle w:val="Footnotesection"/>
      </w:pPr>
      <w:r>
        <w:rPr>
          <w:szCs w:val="24"/>
        </w:rPr>
        <w:tab/>
        <w:t xml:space="preserve">[Regulation 31HB inserted: </w:t>
      </w:r>
      <w:r>
        <w:t>SL 2021/42 r. 9</w:t>
      </w:r>
      <w:r>
        <w:rPr>
          <w:szCs w:val="24"/>
        </w:rPr>
        <w:t>.]</w:t>
      </w:r>
    </w:p>
    <w:p>
      <w:pPr>
        <w:pStyle w:val="Heading4"/>
      </w:pPr>
      <w:bookmarkStart w:id="69" w:name="_Toc75350648"/>
      <w:bookmarkStart w:id="70" w:name="_Toc75350959"/>
      <w:bookmarkStart w:id="71" w:name="_Toc75515420"/>
      <w:r>
        <w:t>Subdivision 2 — Building standards in relation to demolition</w:t>
      </w:r>
      <w:bookmarkEnd w:id="69"/>
      <w:bookmarkEnd w:id="70"/>
      <w:bookmarkEnd w:id="71"/>
    </w:p>
    <w:p>
      <w:pPr>
        <w:pStyle w:val="Footnoteheading"/>
        <w:keepNext/>
      </w:pPr>
      <w:r>
        <w:tab/>
        <w:t>[Heading inserted: Gazette 18 Dec 2012 p. 6570.]</w:t>
      </w:r>
    </w:p>
    <w:p>
      <w:pPr>
        <w:pStyle w:val="Heading5"/>
        <w:spacing w:before="240"/>
      </w:pPr>
      <w:bookmarkStart w:id="72" w:name="_Toc75515421"/>
      <w:r>
        <w:rPr>
          <w:rStyle w:val="CharSectno"/>
        </w:rPr>
        <w:t>31I</w:t>
      </w:r>
      <w:r>
        <w:t>.</w:t>
      </w:r>
      <w:r>
        <w:tab/>
        <w:t>Applicable building standards in relation to demolition work (s. 3 and 38)</w:t>
      </w:r>
      <w:bookmarkEnd w:id="72"/>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Gazette 18 Dec 2012 p. 6570-1; amended: Gazette 24 Apr 2014 p. 1136</w:t>
      </w:r>
      <w:r>
        <w:noBreakHyphen/>
        <w:t>7; 8 Aug 2017 p. 4344.]</w:t>
      </w:r>
    </w:p>
    <w:p>
      <w:pPr>
        <w:pStyle w:val="Heading3"/>
        <w:keepLines/>
      </w:pPr>
      <w:bookmarkStart w:id="73" w:name="_Toc75350650"/>
      <w:bookmarkStart w:id="74" w:name="_Toc75350961"/>
      <w:bookmarkStart w:id="75" w:name="_Toc75515422"/>
      <w:r>
        <w:rPr>
          <w:rStyle w:val="CharDivNo"/>
        </w:rPr>
        <w:lastRenderedPageBreak/>
        <w:t>Division 2</w:t>
      </w:r>
      <w:r>
        <w:t> — </w:t>
      </w:r>
      <w:r>
        <w:rPr>
          <w:rStyle w:val="CharDivText"/>
        </w:rPr>
        <w:t>Demonstrating compliance with building standards</w:t>
      </w:r>
      <w:bookmarkEnd w:id="73"/>
      <w:bookmarkEnd w:id="74"/>
      <w:bookmarkEnd w:id="75"/>
    </w:p>
    <w:p>
      <w:pPr>
        <w:pStyle w:val="Footnoteheading"/>
        <w:keepNext/>
        <w:keepLines/>
      </w:pPr>
      <w:r>
        <w:tab/>
        <w:t>[Heading inserted: Gazette 18 Dec 2012 p. 6571.]</w:t>
      </w:r>
    </w:p>
    <w:p>
      <w:pPr>
        <w:pStyle w:val="Heading5"/>
      </w:pPr>
      <w:bookmarkStart w:id="76" w:name="_Toc75515423"/>
      <w:r>
        <w:rPr>
          <w:rStyle w:val="CharSectno"/>
        </w:rPr>
        <w:t>31J</w:t>
      </w:r>
      <w:r>
        <w:t>.</w:t>
      </w:r>
      <w:r>
        <w:tab/>
        <w:t>Compliance with building standards — CodeMark certificates</w:t>
      </w:r>
      <w:bookmarkEnd w:id="76"/>
    </w:p>
    <w:p>
      <w:pPr>
        <w:pStyle w:val="Subsection"/>
        <w:keepNext/>
        <w:keepLines/>
      </w:pPr>
      <w:r>
        <w:tab/>
        <w:t>(1)</w:t>
      </w:r>
      <w:r>
        <w:tab/>
        <w:t xml:space="preserve">In this regulation — </w:t>
      </w:r>
    </w:p>
    <w:p>
      <w:pPr>
        <w:pStyle w:val="Defstart"/>
        <w:keepNext/>
        <w:keepLines/>
      </w:pPr>
      <w:r>
        <w:tab/>
      </w:r>
      <w:r>
        <w:rPr>
          <w:rStyle w:val="CharDefText"/>
        </w:rPr>
        <w:t>building product</w:t>
      </w:r>
      <w:r>
        <w:t xml:space="preserve"> includes a building product, method, design, component and system;</w:t>
      </w:r>
    </w:p>
    <w:p>
      <w:pPr>
        <w:pStyle w:val="Defstart"/>
        <w:keepNext/>
        <w:keepLines/>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keepNext/>
      </w:pPr>
      <w:r>
        <w:tab/>
        <w:t>(3)</w:t>
      </w:r>
      <w:r>
        <w:tab/>
        <w:t>Despite subregulation (2), a CodeMark certificate must not be used for a performance solution to the fire resistance performance requirement unless the performance solution is verified in accordance with CV3.</w:t>
      </w:r>
    </w:p>
    <w:p>
      <w:pPr>
        <w:pStyle w:val="Footnotesection"/>
      </w:pPr>
      <w:r>
        <w:tab/>
        <w:t>[Regulation 31J inserted: Gazette 18 Dec 2012 p. 6571; amended: Gazette 5 Oct 2018 p. 4016.]</w:t>
      </w:r>
    </w:p>
    <w:p>
      <w:pPr>
        <w:pStyle w:val="Heading3"/>
        <w:spacing w:before="160"/>
      </w:pPr>
      <w:bookmarkStart w:id="77" w:name="_Toc75350652"/>
      <w:bookmarkStart w:id="78" w:name="_Toc75350963"/>
      <w:bookmarkStart w:id="79" w:name="_Toc75515424"/>
      <w:r>
        <w:rPr>
          <w:rStyle w:val="CharDivNo"/>
        </w:rPr>
        <w:lastRenderedPageBreak/>
        <w:t>Division 3</w:t>
      </w:r>
      <w:r>
        <w:t> — </w:t>
      </w:r>
      <w:r>
        <w:rPr>
          <w:rStyle w:val="CharDivText"/>
        </w:rPr>
        <w:t>Non</w:t>
      </w:r>
      <w:r>
        <w:rPr>
          <w:rStyle w:val="CharDivText"/>
        </w:rPr>
        <w:noBreakHyphen/>
        <w:t>application, modification, of building standards</w:t>
      </w:r>
      <w:bookmarkEnd w:id="77"/>
      <w:bookmarkEnd w:id="78"/>
      <w:bookmarkEnd w:id="79"/>
    </w:p>
    <w:p>
      <w:pPr>
        <w:pStyle w:val="Footnoteheading"/>
        <w:keepNext/>
      </w:pPr>
      <w:r>
        <w:tab/>
        <w:t>[Heading inserted: Gazette 18 Dec 2012 p. 6571.]</w:t>
      </w:r>
    </w:p>
    <w:p>
      <w:pPr>
        <w:pStyle w:val="Heading5"/>
      </w:pPr>
      <w:bookmarkStart w:id="80" w:name="_Toc75515425"/>
      <w:r>
        <w:rPr>
          <w:rStyle w:val="CharSectno"/>
        </w:rPr>
        <w:t>31</w:t>
      </w:r>
      <w:r>
        <w:t>.</w:t>
      </w:r>
      <w:r>
        <w:tab/>
        <w:t>Terms used</w:t>
      </w:r>
      <w:bookmarkEnd w:id="80"/>
    </w:p>
    <w:p>
      <w:pPr>
        <w:pStyle w:val="Subsection"/>
        <w:keepNext/>
      </w:pPr>
      <w:r>
        <w:tab/>
      </w:r>
      <w:r>
        <w:tab/>
        <w:t>In this Division —</w:t>
      </w:r>
    </w:p>
    <w:p>
      <w:pPr>
        <w:pStyle w:val="Defstart"/>
        <w:keepNex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September 2023;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 26 Mar 2019 p. 944; SL 2021/42 r. 10.]</w:t>
      </w:r>
    </w:p>
    <w:p>
      <w:pPr>
        <w:pStyle w:val="Heading5"/>
        <w:keepNext w:val="0"/>
      </w:pPr>
      <w:bookmarkStart w:id="81" w:name="_Toc75515426"/>
      <w:r>
        <w:rPr>
          <w:rStyle w:val="CharSectno"/>
        </w:rPr>
        <w:t>32</w:t>
      </w:r>
      <w:r>
        <w:t>.</w:t>
      </w:r>
      <w:r>
        <w:tab/>
        <w:t>Statements to accompany application (s. 39(8)(b))</w:t>
      </w:r>
      <w:bookmarkEnd w:id="81"/>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lastRenderedPageBreak/>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lastRenderedPageBreak/>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82" w:name="_Toc75515427"/>
      <w:r>
        <w:rPr>
          <w:rStyle w:val="CharSectno"/>
        </w:rPr>
        <w:t>32A</w:t>
      </w:r>
      <w:r>
        <w:t>.</w:t>
      </w:r>
      <w:r>
        <w:tab/>
        <w:t>Statement to accompany transitional bush fire application (s. 39(8)(b))</w:t>
      </w:r>
      <w:bookmarkEnd w:id="82"/>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lastRenderedPageBreak/>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83" w:name="_Toc75515428"/>
      <w:r>
        <w:rPr>
          <w:rStyle w:val="CharSectno"/>
        </w:rPr>
        <w:t>33</w:t>
      </w:r>
      <w:r>
        <w:t>.</w:t>
      </w:r>
      <w:r>
        <w:tab/>
        <w:t>Decisions on applications (s. 39(9)(a))</w:t>
      </w:r>
      <w:bookmarkEnd w:id="83"/>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keepNext w:val="0"/>
        <w:keepLines w:val="0"/>
      </w:pPr>
      <w:bookmarkStart w:id="84" w:name="_Toc75515429"/>
      <w:r>
        <w:rPr>
          <w:rStyle w:val="CharSectno"/>
        </w:rPr>
        <w:t>34</w:t>
      </w:r>
      <w:r>
        <w:t>.</w:t>
      </w:r>
      <w:r>
        <w:tab/>
        <w:t>Revoking or amending declarations (s. 39(9)(b))</w:t>
      </w:r>
      <w:bookmarkEnd w:id="84"/>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lastRenderedPageBreak/>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85" w:name="_Toc75350658"/>
      <w:bookmarkStart w:id="86" w:name="_Toc75350969"/>
      <w:bookmarkStart w:id="87" w:name="_Toc75515430"/>
      <w:r>
        <w:rPr>
          <w:rStyle w:val="CharPartNo"/>
        </w:rPr>
        <w:lastRenderedPageBreak/>
        <w:t>Part 5</w:t>
      </w:r>
      <w:r>
        <w:rPr>
          <w:rStyle w:val="CharDivNo"/>
        </w:rPr>
        <w:t> </w:t>
      </w:r>
      <w:r>
        <w:t>—</w:t>
      </w:r>
      <w:r>
        <w:rPr>
          <w:rStyle w:val="CharDivText"/>
        </w:rPr>
        <w:t> </w:t>
      </w:r>
      <w:r>
        <w:rPr>
          <w:rStyle w:val="CharPartText"/>
        </w:rPr>
        <w:t>Occupancy permits and building approval certificates</w:t>
      </w:r>
      <w:bookmarkEnd w:id="85"/>
      <w:bookmarkEnd w:id="86"/>
      <w:bookmarkEnd w:id="87"/>
    </w:p>
    <w:p>
      <w:pPr>
        <w:pStyle w:val="Heading5"/>
      </w:pPr>
      <w:bookmarkStart w:id="88" w:name="_Toc75515431"/>
      <w:r>
        <w:rPr>
          <w:rStyle w:val="CharSectno"/>
        </w:rPr>
        <w:t>35</w:t>
      </w:r>
      <w:r>
        <w:t>.</w:t>
      </w:r>
      <w:r>
        <w:tab/>
        <w:t>Display of occupancy permit details (s. 42(a))</w:t>
      </w:r>
      <w:bookmarkEnd w:id="88"/>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89" w:name="_Toc75515432"/>
      <w:r>
        <w:rPr>
          <w:rStyle w:val="CharSectno"/>
        </w:rPr>
        <w:t>36A</w:t>
      </w:r>
      <w:r>
        <w:t>.</w:t>
      </w:r>
      <w:r>
        <w:tab/>
        <w:t>Further information (s. 55(3) and (4))</w:t>
      </w:r>
      <w:bookmarkEnd w:id="89"/>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ageBreakBefore/>
        <w:spacing w:before="0"/>
      </w:pPr>
      <w:bookmarkStart w:id="90" w:name="_Toc75515433"/>
      <w:r>
        <w:rPr>
          <w:rStyle w:val="CharSectno"/>
        </w:rPr>
        <w:lastRenderedPageBreak/>
        <w:t>36</w:t>
      </w:r>
      <w:r>
        <w:t>.</w:t>
      </w:r>
      <w:r>
        <w:tab/>
        <w:t>Certificate of building compliance (s. 57)</w:t>
      </w:r>
      <w:bookmarkEnd w:id="90"/>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if the building is located in a bush fire prone area and, in accordance with item 4 of the Table to regulation 31BA(1), a bush fire performance requirement applies to the building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lastRenderedPageBreak/>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if the building or deck is located in a bush fire prone area and, in accordance with item 5 or 6 (as the case may be) of the Table to regulation 31BA(1), a bush fire performance requirement applies to the building or deck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 SL 2021/42 r. 11.]</w:t>
      </w:r>
    </w:p>
    <w:p>
      <w:pPr>
        <w:pStyle w:val="Heading5"/>
      </w:pPr>
      <w:bookmarkStart w:id="91" w:name="_Toc75515434"/>
      <w:r>
        <w:rPr>
          <w:rStyle w:val="CharSectno"/>
        </w:rPr>
        <w:lastRenderedPageBreak/>
        <w:t>37</w:t>
      </w:r>
      <w:r>
        <w:t>.</w:t>
      </w:r>
      <w:r>
        <w:tab/>
        <w:t>Grant of occupancy permit or building approval certificate (s. 58)</w:t>
      </w:r>
      <w:bookmarkEnd w:id="91"/>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Footnotesection"/>
      </w:pPr>
      <w:r>
        <w:tab/>
        <w:t>[Regulation 37 amended: Gazette 10 Jan 2017 p. 182.]</w:t>
      </w:r>
    </w:p>
    <w:p>
      <w:pPr>
        <w:pStyle w:val="Heading5"/>
      </w:pPr>
      <w:bookmarkStart w:id="92" w:name="_Toc75515435"/>
      <w:r>
        <w:rPr>
          <w:rStyle w:val="CharSectno"/>
        </w:rPr>
        <w:t>38</w:t>
      </w:r>
      <w:r>
        <w:t>.</w:t>
      </w:r>
      <w:r>
        <w:tab/>
        <w:t>Time for granting occupancy permit or building approval certificate (s. 59)</w:t>
      </w:r>
      <w:bookmarkEnd w:id="92"/>
    </w:p>
    <w:p>
      <w:pPr>
        <w:pStyle w:val="Subsection"/>
      </w:pPr>
      <w:r>
        <w:tab/>
      </w:r>
      <w:r>
        <w:tab/>
        <w:t>For the purposes of section 59(1)(a)(i) the period for deciding whether or not to grant or modify an occupancy permit or grant a building approval certificate is 10 business days.</w:t>
      </w:r>
    </w:p>
    <w:p>
      <w:pPr>
        <w:pStyle w:val="Ednotesection"/>
        <w:spacing w:before="240"/>
      </w:pPr>
      <w:r>
        <w:t>[</w:t>
      </w:r>
      <w:r>
        <w:rPr>
          <w:b/>
        </w:rPr>
        <w:t>39.</w:t>
      </w:r>
      <w:r>
        <w:tab/>
        <w:t>Deleted: Gazette 31 Dec 2019 p. 4639.]</w:t>
      </w:r>
    </w:p>
    <w:p>
      <w:pPr>
        <w:pStyle w:val="Heading5"/>
      </w:pPr>
      <w:bookmarkStart w:id="93" w:name="_Toc75515436"/>
      <w:r>
        <w:rPr>
          <w:rStyle w:val="CharSectno"/>
        </w:rPr>
        <w:t>40</w:t>
      </w:r>
      <w:r>
        <w:t>.</w:t>
      </w:r>
      <w:r>
        <w:tab/>
        <w:t>Extension of period of duration of time limited occupancy permit or building approval certificate (s. 65)</w:t>
      </w:r>
      <w:bookmarkEnd w:id="93"/>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lastRenderedPageBreak/>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lastRenderedPageBreak/>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94" w:name="_Toc75350665"/>
      <w:bookmarkStart w:id="95" w:name="_Toc75350976"/>
      <w:bookmarkStart w:id="96" w:name="_Toc75515437"/>
      <w:r>
        <w:rPr>
          <w:rStyle w:val="CharPartNo"/>
        </w:rPr>
        <w:lastRenderedPageBreak/>
        <w:t>Part 6</w:t>
      </w:r>
      <w:r>
        <w:rPr>
          <w:rStyle w:val="CharDivNo"/>
        </w:rPr>
        <w:t> </w:t>
      </w:r>
      <w:r>
        <w:t>—</w:t>
      </w:r>
      <w:r>
        <w:rPr>
          <w:rStyle w:val="CharDivText"/>
        </w:rPr>
        <w:t> </w:t>
      </w:r>
      <w:r>
        <w:rPr>
          <w:rStyle w:val="CharPartText"/>
        </w:rPr>
        <w:t>Circumstances in which building, demolition or occupancy permits not required</w:t>
      </w:r>
      <w:bookmarkEnd w:id="94"/>
      <w:bookmarkEnd w:id="95"/>
      <w:bookmarkEnd w:id="96"/>
    </w:p>
    <w:p>
      <w:pPr>
        <w:pStyle w:val="Heading5"/>
      </w:pPr>
      <w:bookmarkStart w:id="97" w:name="_Toc75515438"/>
      <w:r>
        <w:rPr>
          <w:rStyle w:val="CharSectno"/>
        </w:rPr>
        <w:t>41</w:t>
      </w:r>
      <w:r>
        <w:t>.</w:t>
      </w:r>
      <w:r>
        <w:tab/>
        <w:t>Building work for which building permit not required (s. 9(b))</w:t>
      </w:r>
      <w:bookmarkEnd w:id="97"/>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ageBreakBefore/>
        <w:spacing w:before="0"/>
      </w:pPr>
      <w:bookmarkStart w:id="98" w:name="_Toc75515439"/>
      <w:r>
        <w:rPr>
          <w:rStyle w:val="CharSectno"/>
        </w:rPr>
        <w:lastRenderedPageBreak/>
        <w:t>42</w:t>
      </w:r>
      <w:r>
        <w:t>.</w:t>
      </w:r>
      <w:r>
        <w:tab/>
        <w:t>Demolition work for which demolition permit not required (s. 10(c))</w:t>
      </w:r>
      <w:bookmarkEnd w:id="98"/>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99" w:name="_Toc75515440"/>
      <w:r>
        <w:rPr>
          <w:rStyle w:val="CharSectno"/>
        </w:rPr>
        <w:t>43</w:t>
      </w:r>
      <w:r>
        <w:t>.</w:t>
      </w:r>
      <w:r>
        <w:tab/>
        <w:t>Buildings for which occupancy permit not required (s. 41(2))</w:t>
      </w:r>
      <w:bookmarkEnd w:id="99"/>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w:t>
      </w:r>
      <w:r>
        <w:lastRenderedPageBreak/>
        <w:t xml:space="preserve">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pPr>
      <w:bookmarkStart w:id="100" w:name="_Toc75350669"/>
      <w:bookmarkStart w:id="101" w:name="_Toc75350980"/>
      <w:bookmarkStart w:id="102" w:name="_Toc75515441"/>
      <w:r>
        <w:rPr>
          <w:rStyle w:val="CharPartNo"/>
        </w:rPr>
        <w:lastRenderedPageBreak/>
        <w:t>Part 7</w:t>
      </w:r>
      <w:r>
        <w:rPr>
          <w:rStyle w:val="CharDivNo"/>
        </w:rPr>
        <w:t> </w:t>
      </w:r>
      <w:r>
        <w:t>—</w:t>
      </w:r>
      <w:r>
        <w:rPr>
          <w:rStyle w:val="CharDivText"/>
        </w:rPr>
        <w:t> </w:t>
      </w:r>
      <w:r>
        <w:rPr>
          <w:rStyle w:val="CharPartText"/>
        </w:rPr>
        <w:t>Work affecting other land</w:t>
      </w:r>
      <w:bookmarkEnd w:id="100"/>
      <w:bookmarkEnd w:id="101"/>
      <w:bookmarkEnd w:id="102"/>
    </w:p>
    <w:p>
      <w:pPr>
        <w:pStyle w:val="Heading5"/>
      </w:pPr>
      <w:bookmarkStart w:id="103" w:name="_Toc75515442"/>
      <w:r>
        <w:rPr>
          <w:rStyle w:val="CharSectno"/>
        </w:rPr>
        <w:t>44A</w:t>
      </w:r>
      <w:r>
        <w:t>.</w:t>
      </w:r>
      <w:r>
        <w:tab/>
        <w:t>Terms used</w:t>
      </w:r>
      <w:bookmarkEnd w:id="103"/>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104" w:name="_Toc75515443"/>
      <w:r>
        <w:rPr>
          <w:rStyle w:val="CharSectno"/>
        </w:rPr>
        <w:t>44</w:t>
      </w:r>
      <w:r>
        <w:t>.</w:t>
      </w:r>
      <w:r>
        <w:tab/>
        <w:t>Owner of land for purposes of Part 6 of Act</w:t>
      </w:r>
      <w:bookmarkEnd w:id="104"/>
    </w:p>
    <w:p>
      <w:pPr>
        <w:pStyle w:val="Subsection"/>
      </w:pPr>
      <w:r>
        <w:tab/>
      </w:r>
      <w:r>
        <w:tab/>
        <w:t xml:space="preserve">For the purposes of Part 6 of the Act, owner, in relation to land held in </w:t>
      </w:r>
      <w:r>
        <w:rPr>
          <w:rFonts w:hint="eastAsia"/>
        </w:rPr>
        <w:t>freehold</w:t>
      </w:r>
      <w:r>
        <w:t xml:space="preserve"> </w:t>
      </w:r>
      <w:r>
        <w:rPr>
          <w:rFonts w:hint="eastAsia"/>
        </w:rPr>
        <w:t>or held in leasehold under a strata lease</w:t>
      </w:r>
      <w:r>
        <w:t xml:space="preserve">, means a person referred to in paragraph (a) or (b) of the definition of </w:t>
      </w:r>
      <w:r>
        <w:rPr>
          <w:b/>
          <w:i/>
        </w:rPr>
        <w:t>owner</w:t>
      </w:r>
      <w:r>
        <w:t xml:space="preserve">, in relation to land held in freehold </w:t>
      </w:r>
      <w:r>
        <w:rPr>
          <w:rFonts w:hint="eastAsia"/>
        </w:rPr>
        <w:t>or held in leasehold under a strata lease</w:t>
      </w:r>
      <w:r>
        <w:t xml:space="preserve"> in section 5(1).</w:t>
      </w:r>
    </w:p>
    <w:p>
      <w:pPr>
        <w:pStyle w:val="Footnotesection"/>
      </w:pPr>
      <w:r>
        <w:tab/>
        <w:t>[Regulation 44 amended: Gazette 31 Dec 2019 p. 4640.]</w:t>
      </w:r>
    </w:p>
    <w:p>
      <w:pPr>
        <w:pStyle w:val="Heading5"/>
      </w:pPr>
      <w:bookmarkStart w:id="105" w:name="_Toc75515444"/>
      <w:r>
        <w:rPr>
          <w:rStyle w:val="CharSectno"/>
        </w:rPr>
        <w:t>45A</w:t>
      </w:r>
      <w:r>
        <w:t>.</w:t>
      </w:r>
      <w:r>
        <w:tab/>
        <w:t>Minor encroachments (s. 76(1)(c))</w:t>
      </w:r>
      <w:bookmarkEnd w:id="105"/>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lastRenderedPageBreak/>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106" w:name="_Toc75515445"/>
      <w:r>
        <w:rPr>
          <w:rStyle w:val="CharSectno"/>
        </w:rPr>
        <w:t>45B</w:t>
      </w:r>
      <w:r>
        <w:t>.</w:t>
      </w:r>
      <w:r>
        <w:tab/>
        <w:t>Circumstances prescribed for purposes of section 76(1)(e)</w:t>
      </w:r>
      <w:bookmarkEnd w:id="106"/>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ageBreakBefore/>
        <w:spacing w:before="0"/>
      </w:pPr>
      <w:bookmarkStart w:id="107" w:name="_Toc75515446"/>
      <w:r>
        <w:rPr>
          <w:rStyle w:val="CharSectno"/>
        </w:rPr>
        <w:lastRenderedPageBreak/>
        <w:t>45</w:t>
      </w:r>
      <w:r>
        <w:t>.</w:t>
      </w:r>
      <w:r>
        <w:tab/>
        <w:t>Content of notice about effect on other land (s. 85)</w:t>
      </w:r>
      <w:bookmarkEnd w:id="107"/>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108" w:name="_Toc75350675"/>
      <w:bookmarkStart w:id="109" w:name="_Toc75350986"/>
      <w:bookmarkStart w:id="110" w:name="_Toc75515447"/>
      <w:r>
        <w:rPr>
          <w:rStyle w:val="CharPartNo"/>
        </w:rPr>
        <w:lastRenderedPageBreak/>
        <w:t>Part 8</w:t>
      </w:r>
      <w:r>
        <w:t> — </w:t>
      </w:r>
      <w:r>
        <w:rPr>
          <w:rStyle w:val="CharPartText"/>
        </w:rPr>
        <w:t>Existing buildings</w:t>
      </w:r>
      <w:bookmarkEnd w:id="108"/>
      <w:bookmarkEnd w:id="109"/>
      <w:bookmarkEnd w:id="110"/>
    </w:p>
    <w:p>
      <w:pPr>
        <w:pStyle w:val="Heading3"/>
      </w:pPr>
      <w:bookmarkStart w:id="111" w:name="_Toc75350676"/>
      <w:bookmarkStart w:id="112" w:name="_Toc75350987"/>
      <w:bookmarkStart w:id="113" w:name="_Toc75515448"/>
      <w:r>
        <w:rPr>
          <w:rStyle w:val="CharDivNo"/>
        </w:rPr>
        <w:t>Division 1</w:t>
      </w:r>
      <w:r>
        <w:t> — </w:t>
      </w:r>
      <w:r>
        <w:rPr>
          <w:rStyle w:val="CharDivText"/>
        </w:rPr>
        <w:t>General</w:t>
      </w:r>
      <w:bookmarkEnd w:id="111"/>
      <w:bookmarkEnd w:id="112"/>
      <w:bookmarkEnd w:id="113"/>
    </w:p>
    <w:p>
      <w:pPr>
        <w:pStyle w:val="Ednotesection"/>
        <w:spacing w:before="240"/>
      </w:pPr>
      <w:r>
        <w:t>[</w:t>
      </w:r>
      <w:r>
        <w:rPr>
          <w:b/>
        </w:rPr>
        <w:t>46.</w:t>
      </w:r>
      <w:r>
        <w:tab/>
        <w:t>Deleted: Gazette 18 Dec 2012 p. 6574.]</w:t>
      </w:r>
    </w:p>
    <w:p>
      <w:pPr>
        <w:pStyle w:val="Heading5"/>
        <w:spacing w:before="240"/>
      </w:pPr>
      <w:bookmarkStart w:id="114" w:name="_Toc75515449"/>
      <w:r>
        <w:rPr>
          <w:rStyle w:val="CharSectno"/>
        </w:rPr>
        <w:t>47</w:t>
      </w:r>
      <w:r>
        <w:t>.</w:t>
      </w:r>
      <w:r>
        <w:tab/>
        <w:t>Notification of change of classification of certain buildings and incidental structures</w:t>
      </w:r>
      <w:bookmarkEnd w:id="114"/>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at any time during the 4</w:t>
      </w:r>
      <w:r>
        <w:noBreakHyphen/>
        <w:t>month period ending on the day on which the notice is given, the area was not a bush fire prone area.</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lastRenderedPageBreak/>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keepNext/>
              <w:spacing w:before="60"/>
              <w:rPr>
                <w:b/>
                <w:bCs/>
              </w:rPr>
            </w:pPr>
            <w:r>
              <w:rPr>
                <w:b/>
                <w:bCs/>
              </w:rPr>
              <w:t>Column 1</w:t>
            </w:r>
          </w:p>
          <w:p>
            <w:pPr>
              <w:pStyle w:val="TableNAm"/>
              <w:keepNext/>
              <w:spacing w:before="60"/>
              <w:rPr>
                <w:b/>
                <w:bCs/>
              </w:rPr>
            </w:pPr>
            <w:r>
              <w:rPr>
                <w:b/>
                <w:bCs/>
              </w:rPr>
              <w:t>Item</w:t>
            </w:r>
          </w:p>
        </w:tc>
        <w:tc>
          <w:tcPr>
            <w:tcW w:w="1944" w:type="dxa"/>
          </w:tcPr>
          <w:p>
            <w:pPr>
              <w:pStyle w:val="TableNAm"/>
              <w:keepNext/>
              <w:spacing w:before="60"/>
              <w:rPr>
                <w:b/>
                <w:bCs/>
              </w:rPr>
            </w:pPr>
            <w:r>
              <w:rPr>
                <w:b/>
                <w:bCs/>
              </w:rPr>
              <w:t>Column 2</w:t>
            </w:r>
          </w:p>
          <w:p>
            <w:pPr>
              <w:pStyle w:val="TableNAm"/>
              <w:keepNext/>
              <w:spacing w:before="60"/>
              <w:rPr>
                <w:b/>
                <w:bCs/>
              </w:rPr>
            </w:pPr>
            <w:r>
              <w:rPr>
                <w:b/>
                <w:bCs/>
              </w:rPr>
              <w:t>Existing classification</w:t>
            </w:r>
          </w:p>
        </w:tc>
        <w:tc>
          <w:tcPr>
            <w:tcW w:w="2409" w:type="dxa"/>
          </w:tcPr>
          <w:p>
            <w:pPr>
              <w:pStyle w:val="TableNAm"/>
              <w:keepNext/>
              <w:spacing w:before="60"/>
              <w:rPr>
                <w:b/>
                <w:bCs/>
              </w:rPr>
            </w:pPr>
            <w:r>
              <w:rPr>
                <w:b/>
                <w:bCs/>
              </w:rPr>
              <w:t>Column 3</w:t>
            </w:r>
          </w:p>
          <w:p>
            <w:pPr>
              <w:pStyle w:val="TableNAm"/>
              <w:keepNext/>
              <w:spacing w:before="60"/>
              <w:rPr>
                <w:b/>
                <w:bCs/>
              </w:rPr>
            </w:pPr>
            <w:r>
              <w:rPr>
                <w:b/>
                <w:bCs/>
              </w:rPr>
              <w:t>Proposed classification</w:t>
            </w:r>
          </w:p>
        </w:tc>
      </w:tr>
      <w:tr>
        <w:tc>
          <w:tcPr>
            <w:tcW w:w="1572" w:type="dxa"/>
          </w:tcPr>
          <w:p>
            <w:pPr>
              <w:pStyle w:val="TableNAm"/>
              <w:keepNext/>
              <w:spacing w:before="60"/>
            </w:pPr>
            <w:r>
              <w:t>1.</w:t>
            </w:r>
          </w:p>
        </w:tc>
        <w:tc>
          <w:tcPr>
            <w:tcW w:w="1944" w:type="dxa"/>
          </w:tcPr>
          <w:p>
            <w:pPr>
              <w:pStyle w:val="TableNAm"/>
              <w:keepNext/>
              <w:spacing w:before="60"/>
            </w:pPr>
            <w:r>
              <w:t>Classes 2 to 10</w:t>
            </w:r>
          </w:p>
        </w:tc>
        <w:tc>
          <w:tcPr>
            <w:tcW w:w="2409" w:type="dxa"/>
          </w:tcPr>
          <w:p>
            <w:pPr>
              <w:pStyle w:val="TableNAm"/>
              <w:keepNext/>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if the building or incidental structure was located in a bush fire prone area during the whole of the 4</w:t>
      </w:r>
      <w:r>
        <w:noBreakHyphen/>
        <w:t xml:space="preserve">month period ending on the day on which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 SL 2021/42 r. 12.]</w:t>
      </w:r>
    </w:p>
    <w:p>
      <w:pPr>
        <w:pStyle w:val="Heading3"/>
        <w:keepLines/>
        <w:pageBreakBefore/>
        <w:spacing w:before="0"/>
      </w:pPr>
      <w:bookmarkStart w:id="115" w:name="_Toc75350678"/>
      <w:bookmarkStart w:id="116" w:name="_Toc75350989"/>
      <w:bookmarkStart w:id="117" w:name="_Toc75515450"/>
      <w:r>
        <w:rPr>
          <w:rStyle w:val="CharDivNo"/>
        </w:rPr>
        <w:lastRenderedPageBreak/>
        <w:t>Division 2A</w:t>
      </w:r>
      <w:r>
        <w:t> — </w:t>
      </w:r>
      <w:r>
        <w:rPr>
          <w:rStyle w:val="CharDivText"/>
        </w:rPr>
        <w:t>Maintenance</w:t>
      </w:r>
      <w:bookmarkEnd w:id="115"/>
      <w:bookmarkEnd w:id="116"/>
      <w:bookmarkEnd w:id="117"/>
    </w:p>
    <w:p>
      <w:pPr>
        <w:pStyle w:val="Footnoteheading"/>
        <w:keepNext/>
      </w:pPr>
      <w:r>
        <w:tab/>
        <w:t>[Heading inserted: Gazette 24 Apr 2014 p. 1138.]</w:t>
      </w:r>
    </w:p>
    <w:p>
      <w:pPr>
        <w:pStyle w:val="Heading5"/>
      </w:pPr>
      <w:bookmarkStart w:id="118" w:name="_Toc75515451"/>
      <w:r>
        <w:rPr>
          <w:rStyle w:val="CharSectno"/>
        </w:rPr>
        <w:t>48A</w:t>
      </w:r>
      <w:r>
        <w:t>.</w:t>
      </w:r>
      <w:r>
        <w:tab/>
        <w:t>Maintenance of buildings</w:t>
      </w:r>
      <w:bookmarkEnd w:id="118"/>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lastRenderedPageBreak/>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119" w:name="_Toc75350680"/>
      <w:bookmarkStart w:id="120" w:name="_Toc75350991"/>
      <w:bookmarkStart w:id="121" w:name="_Toc75515452"/>
      <w:r>
        <w:rPr>
          <w:rStyle w:val="CharDivNo"/>
        </w:rPr>
        <w:lastRenderedPageBreak/>
        <w:t>Division 2</w:t>
      </w:r>
      <w:r>
        <w:t> — </w:t>
      </w:r>
      <w:r>
        <w:rPr>
          <w:rStyle w:val="CharDivText"/>
        </w:rPr>
        <w:t>Private swimming pools</w:t>
      </w:r>
      <w:bookmarkEnd w:id="119"/>
      <w:bookmarkEnd w:id="120"/>
      <w:bookmarkEnd w:id="121"/>
    </w:p>
    <w:p>
      <w:pPr>
        <w:pStyle w:val="Heading5"/>
        <w:spacing w:before="180"/>
      </w:pPr>
      <w:bookmarkStart w:id="122" w:name="_Toc75515453"/>
      <w:r>
        <w:rPr>
          <w:rStyle w:val="CharSectno"/>
        </w:rPr>
        <w:t>48</w:t>
      </w:r>
      <w:r>
        <w:t>.</w:t>
      </w:r>
      <w:r>
        <w:tab/>
        <w:t>Terms used</w:t>
      </w:r>
      <w:bookmarkEnd w:id="122"/>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123" w:name="_Toc75515454"/>
      <w:r>
        <w:rPr>
          <w:rStyle w:val="CharSectno"/>
        </w:rPr>
        <w:t>49</w:t>
      </w:r>
      <w:r>
        <w:t>.</w:t>
      </w:r>
      <w:r>
        <w:tab/>
        <w:t>Application of this Division</w:t>
      </w:r>
      <w:bookmarkEnd w:id="123"/>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124" w:name="_Toc75515455"/>
      <w:r>
        <w:rPr>
          <w:rStyle w:val="CharSectno"/>
        </w:rPr>
        <w:t>50</w:t>
      </w:r>
      <w:r>
        <w:t>.</w:t>
      </w:r>
      <w:r>
        <w:tab/>
        <w:t>Barrier to private swimming pool</w:t>
      </w:r>
      <w:bookmarkEnd w:id="124"/>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lastRenderedPageBreak/>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lastRenderedPageBreak/>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125" w:name="_Toc75515456"/>
      <w:r>
        <w:rPr>
          <w:rStyle w:val="CharSectno"/>
        </w:rPr>
        <w:t>51</w:t>
      </w:r>
      <w:r>
        <w:t>.</w:t>
      </w:r>
      <w:r>
        <w:tab/>
        <w:t>Approvals by permit authority</w:t>
      </w:r>
      <w:bookmarkEnd w:id="125"/>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lastRenderedPageBreak/>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126" w:name="_Toc75515457"/>
      <w:r>
        <w:rPr>
          <w:rStyle w:val="CharSectno"/>
        </w:rPr>
        <w:t>52</w:t>
      </w:r>
      <w:r>
        <w:t>.</w:t>
      </w:r>
      <w:r>
        <w:tab/>
        <w:t>Concessions for pre</w:t>
      </w:r>
      <w:r>
        <w:noBreakHyphen/>
        <w:t>November 2001 private swimming pools</w:t>
      </w:r>
      <w:bookmarkEnd w:id="126"/>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lastRenderedPageBreak/>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127" w:name="_Toc75515458"/>
      <w:r>
        <w:rPr>
          <w:rStyle w:val="CharSectno"/>
        </w:rPr>
        <w:t>53</w:t>
      </w:r>
      <w:r>
        <w:t>.</w:t>
      </w:r>
      <w:r>
        <w:tab/>
        <w:t>Inspection of barrier to private swimming pool</w:t>
      </w:r>
      <w:bookmarkEnd w:id="127"/>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128" w:name="_Toc75515459"/>
      <w:r>
        <w:rPr>
          <w:rStyle w:val="CharSectno"/>
        </w:rPr>
        <w:t>54A</w:t>
      </w:r>
      <w:r>
        <w:t>.</w:t>
      </w:r>
      <w:r>
        <w:tab/>
        <w:t>Temporary pool barriers</w:t>
      </w:r>
      <w:bookmarkEnd w:id="128"/>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lastRenderedPageBreak/>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129" w:name="_Toc75515460"/>
      <w:r>
        <w:rPr>
          <w:rStyle w:val="CharSectno"/>
        </w:rPr>
        <w:t>54</w:t>
      </w:r>
      <w:r>
        <w:t>.</w:t>
      </w:r>
      <w:r>
        <w:tab/>
        <w:t>Transitional provisions — persons authorised to carry out inspections of private swimming pools</w:t>
      </w:r>
      <w:bookmarkEnd w:id="129"/>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1</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Gazette 18 Dec 2012 p. 6574; 15 Apr 2016 p. 1172.]</w:t>
      </w:r>
    </w:p>
    <w:p>
      <w:pPr>
        <w:pStyle w:val="Heading3"/>
      </w:pPr>
      <w:bookmarkStart w:id="130" w:name="_Toc75350689"/>
      <w:bookmarkStart w:id="131" w:name="_Toc75351000"/>
      <w:bookmarkStart w:id="132" w:name="_Toc75515461"/>
      <w:r>
        <w:rPr>
          <w:rStyle w:val="CharDivNo"/>
        </w:rPr>
        <w:t>Division 3</w:t>
      </w:r>
      <w:r>
        <w:t> — </w:t>
      </w:r>
      <w:r>
        <w:rPr>
          <w:rStyle w:val="CharDivText"/>
        </w:rPr>
        <w:t>Smoke alarms</w:t>
      </w:r>
      <w:bookmarkEnd w:id="130"/>
      <w:bookmarkEnd w:id="131"/>
      <w:bookmarkEnd w:id="132"/>
    </w:p>
    <w:p>
      <w:pPr>
        <w:pStyle w:val="Heading5"/>
      </w:pPr>
      <w:bookmarkStart w:id="133" w:name="_Toc75515462"/>
      <w:r>
        <w:rPr>
          <w:rStyle w:val="CharSectno"/>
        </w:rPr>
        <w:t>55</w:t>
      </w:r>
      <w:r>
        <w:t>.</w:t>
      </w:r>
      <w:r>
        <w:tab/>
        <w:t>Terms used</w:t>
      </w:r>
      <w:bookmarkEnd w:id="133"/>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lastRenderedPageBreak/>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lastRenderedPageBreak/>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134" w:name="_Toc75515463"/>
      <w:r>
        <w:rPr>
          <w:rStyle w:val="CharSectno"/>
        </w:rPr>
        <w:t>56</w:t>
      </w:r>
      <w:r>
        <w:t>.</w:t>
      </w:r>
      <w:r>
        <w:tab/>
        <w:t>Requirement to have smoke alarms or similar prior to transfer of dwelling</w:t>
      </w:r>
      <w:bookmarkEnd w:id="134"/>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keepLines w:val="0"/>
      </w:pPr>
      <w:bookmarkStart w:id="135" w:name="_Toc75515464"/>
      <w:r>
        <w:rPr>
          <w:rStyle w:val="CharSectno"/>
        </w:rPr>
        <w:lastRenderedPageBreak/>
        <w:t>57</w:t>
      </w:r>
      <w:r>
        <w:t>.</w:t>
      </w:r>
      <w:r>
        <w:tab/>
        <w:t>New owner must install smoke alarms or similar, and right to recover costs</w:t>
      </w:r>
      <w:bookmarkEnd w:id="135"/>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pageBreakBefore/>
        <w:spacing w:before="0"/>
      </w:pPr>
      <w:bookmarkStart w:id="136" w:name="_Toc75515465"/>
      <w:r>
        <w:rPr>
          <w:rStyle w:val="CharSectno"/>
        </w:rPr>
        <w:lastRenderedPageBreak/>
        <w:t>58</w:t>
      </w:r>
      <w:r>
        <w:t>.</w:t>
      </w:r>
      <w:r>
        <w:tab/>
        <w:t>Requirement to have smoke alarms or similar prior to tenancy</w:t>
      </w:r>
      <w:bookmarkEnd w:id="136"/>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137" w:name="_Toc75515466"/>
      <w:r>
        <w:rPr>
          <w:rStyle w:val="CharSectno"/>
        </w:rPr>
        <w:t>59</w:t>
      </w:r>
      <w:r>
        <w:t>.</w:t>
      </w:r>
      <w:r>
        <w:tab/>
        <w:t>Requirement to have smoke alarms or similar prior to hire of dwelling</w:t>
      </w:r>
      <w:bookmarkEnd w:id="137"/>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138" w:name="_Toc75515467"/>
      <w:r>
        <w:rPr>
          <w:rStyle w:val="CharSectno"/>
        </w:rPr>
        <w:t>60</w:t>
      </w:r>
      <w:r>
        <w:t>.</w:t>
      </w:r>
      <w:r>
        <w:tab/>
        <w:t>Requirements for smoke alarms</w:t>
      </w:r>
      <w:bookmarkEnd w:id="138"/>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lastRenderedPageBreak/>
        <w:tab/>
        <w:t>(c)</w:t>
      </w:r>
      <w:r>
        <w:tab/>
        <w:t>in relation to a dwelling that is made available for hire, means the day on which the building is hired.</w:t>
      </w:r>
    </w:p>
    <w:p>
      <w:pPr>
        <w:pStyle w:val="Subsection"/>
      </w:pPr>
      <w:r>
        <w:tab/>
        <w:t>(2)</w:t>
      </w:r>
      <w:r>
        <w:tab/>
        <w:t>The requirements for the purposes of regulations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 xml:space="preserve">For the purposes of subregulation (2)(a), if the dwelling has 2 or more smoke alarms installed and they were not all installed at the same time, the provisions of the Building Code applicable to the dwelling and the alarms are the provisions applicable at the </w:t>
      </w:r>
      <w:r>
        <w:lastRenderedPageBreak/>
        <w:t>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139" w:name="_Toc75515468"/>
      <w:r>
        <w:rPr>
          <w:rStyle w:val="CharSectno"/>
        </w:rPr>
        <w:t>61</w:t>
      </w:r>
      <w:r>
        <w:t>.</w:t>
      </w:r>
      <w:r>
        <w:tab/>
        <w:t>Local government approval of battery powered smoke alarms</w:t>
      </w:r>
      <w:bookmarkEnd w:id="139"/>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lastRenderedPageBreak/>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140" w:name="_Toc75515469"/>
      <w:r>
        <w:rPr>
          <w:rStyle w:val="CharSectno"/>
        </w:rPr>
        <w:t>62</w:t>
      </w:r>
      <w:r>
        <w:t>.</w:t>
      </w:r>
      <w:r>
        <w:tab/>
        <w:t>Requirement to maintain certain smoke alarms</w:t>
      </w:r>
      <w:bookmarkEnd w:id="140"/>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lastRenderedPageBreak/>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2</w:t>
      </w:r>
      <w:r>
        <w:t xml:space="preserve"> (r. 63-68) omitted under the Reprints Act 1984 s. 7(4)(e).]</w:t>
      </w:r>
    </w:p>
    <w:p>
      <w:pPr>
        <w:pStyle w:val="Heading2"/>
      </w:pPr>
      <w:bookmarkStart w:id="141" w:name="_Toc75350698"/>
      <w:bookmarkStart w:id="142" w:name="_Toc75351009"/>
      <w:bookmarkStart w:id="143" w:name="_Toc75515470"/>
      <w:r>
        <w:rPr>
          <w:rStyle w:val="CharPartNo"/>
        </w:rPr>
        <w:lastRenderedPageBreak/>
        <w:t>Part 10</w:t>
      </w:r>
      <w:r>
        <w:rPr>
          <w:rStyle w:val="CharDivNo"/>
        </w:rPr>
        <w:t> </w:t>
      </w:r>
      <w:r>
        <w:t>—</w:t>
      </w:r>
      <w:r>
        <w:rPr>
          <w:rStyle w:val="CharDivText"/>
        </w:rPr>
        <w:t> </w:t>
      </w:r>
      <w:r>
        <w:rPr>
          <w:rStyle w:val="CharPartText"/>
        </w:rPr>
        <w:t>Infringement notices</w:t>
      </w:r>
      <w:bookmarkEnd w:id="141"/>
      <w:bookmarkEnd w:id="142"/>
      <w:bookmarkEnd w:id="143"/>
    </w:p>
    <w:p>
      <w:pPr>
        <w:pStyle w:val="Footnoteheading"/>
      </w:pPr>
      <w:r>
        <w:tab/>
        <w:t>[Heading inserted: Gazette 18 Dec 2012 p. 6575.]</w:t>
      </w:r>
    </w:p>
    <w:p>
      <w:pPr>
        <w:pStyle w:val="Heading5"/>
      </w:pPr>
      <w:bookmarkStart w:id="144" w:name="_Toc75515471"/>
      <w:r>
        <w:rPr>
          <w:rStyle w:val="CharSectno"/>
        </w:rPr>
        <w:t>69</w:t>
      </w:r>
      <w:r>
        <w:t>.</w:t>
      </w:r>
      <w:r>
        <w:tab/>
        <w:t>Prescribed offences and modified penalties</w:t>
      </w:r>
      <w:bookmarkEnd w:id="144"/>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145" w:name="_Toc75515472"/>
      <w:r>
        <w:rPr>
          <w:rStyle w:val="CharSectno"/>
        </w:rPr>
        <w:t>70</w:t>
      </w:r>
      <w:r>
        <w:t>.</w:t>
      </w:r>
      <w:r>
        <w:tab/>
        <w:t>Approved officers and authorised officers</w:t>
      </w:r>
      <w:bookmarkEnd w:id="145"/>
    </w:p>
    <w:p>
      <w:pPr>
        <w:pStyle w:val="Subsection"/>
      </w:pPr>
      <w:r>
        <w:tab/>
        <w:t>(1A)</w:t>
      </w:r>
      <w:r>
        <w:tab/>
        <w:t xml:space="preserve">In subregulation (1) — </w:t>
      </w:r>
    </w:p>
    <w:p>
      <w:pPr>
        <w:pStyle w:val="Defstart"/>
      </w:pPr>
      <w:r>
        <w:tab/>
      </w:r>
      <w:r>
        <w:rPr>
          <w:rStyle w:val="CharDefText"/>
        </w:rPr>
        <w:t>specified employee</w:t>
      </w:r>
      <w:r>
        <w:t xml:space="preserve"> means an employee, as defined in the </w:t>
      </w:r>
      <w:r>
        <w:rPr>
          <w:i/>
        </w:rPr>
        <w:t>Local Government Act 1995</w:t>
      </w:r>
      <w:r>
        <w:t xml:space="preserve"> section 1.4, to whom power to perform a function under section 9.19 or 9.20 of that Act is delegated under section 5.44(1) of that Act.</w:t>
      </w:r>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specified employee of the local government.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keepNext/>
      </w:pPr>
      <w:r>
        <w:tab/>
        <w:t>(3)</w:t>
      </w:r>
      <w:r>
        <w:tab/>
        <w:t xml:space="preserve">A permit authority that is a local government must issue each of its authorised officers a certificate of the person’s appointment, and the person must produce the certificate whenever required </w:t>
      </w:r>
      <w:r>
        <w:lastRenderedPageBreak/>
        <w:t>to do so by a person who has been or is about to be affected by any exercise of authority by the authorised person.</w:t>
      </w:r>
    </w:p>
    <w:p>
      <w:pPr>
        <w:pStyle w:val="Footnotesection"/>
      </w:pPr>
      <w:r>
        <w:tab/>
        <w:t>[Regulation 70 inserted: Gazette 18 Dec 2012 p. 6575-6; amended : Gazette 26 Apr 2019 p. 1209-10.]</w:t>
      </w:r>
    </w:p>
    <w:p>
      <w:pPr>
        <w:pStyle w:val="Heading5"/>
      </w:pPr>
      <w:bookmarkStart w:id="146" w:name="_Toc75515473"/>
      <w:r>
        <w:rPr>
          <w:rStyle w:val="CharSectno"/>
        </w:rPr>
        <w:t>71</w:t>
      </w:r>
      <w:r>
        <w:t>.</w:t>
      </w:r>
      <w:r>
        <w:tab/>
        <w:t>Forms</w:t>
      </w:r>
      <w:bookmarkEnd w:id="146"/>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47" w:name="_Toc75350702"/>
      <w:bookmarkStart w:id="148" w:name="_Toc75351013"/>
      <w:bookmarkStart w:id="149" w:name="_Toc75515474"/>
      <w:r>
        <w:rPr>
          <w:rStyle w:val="CharSchNo"/>
        </w:rPr>
        <w:lastRenderedPageBreak/>
        <w:t>Schedule 1</w:t>
      </w:r>
      <w:r>
        <w:rPr>
          <w:rStyle w:val="CharSDivNo"/>
        </w:rPr>
        <w:t> </w:t>
      </w:r>
      <w:r>
        <w:t>—</w:t>
      </w:r>
      <w:r>
        <w:rPr>
          <w:rStyle w:val="CharSDivText"/>
        </w:rPr>
        <w:t> </w:t>
      </w:r>
      <w:r>
        <w:rPr>
          <w:rStyle w:val="CharSchText"/>
        </w:rPr>
        <w:t>Estimated value of building work</w:t>
      </w:r>
      <w:bookmarkEnd w:id="147"/>
      <w:bookmarkEnd w:id="148"/>
      <w:bookmarkEnd w:id="149"/>
    </w:p>
    <w:p>
      <w:pPr>
        <w:pStyle w:val="yShoulderClause"/>
      </w:pPr>
      <w:r>
        <w:t>[r. 3]</w:t>
      </w:r>
    </w:p>
    <w:p>
      <w:pPr>
        <w:pStyle w:val="yHeading5"/>
        <w:spacing w:before="180"/>
      </w:pPr>
      <w:bookmarkStart w:id="150" w:name="_Toc75515475"/>
      <w:r>
        <w:rPr>
          <w:rStyle w:val="CharSClsNo"/>
        </w:rPr>
        <w:t>1</w:t>
      </w:r>
      <w:r>
        <w:t>.</w:t>
      </w:r>
      <w:r>
        <w:tab/>
        <w:t>Terms used</w:t>
      </w:r>
      <w:bookmarkEnd w:id="150"/>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51" w:name="_Toc75515476"/>
      <w:r>
        <w:rPr>
          <w:rStyle w:val="CharSClsNo"/>
        </w:rPr>
        <w:t>2</w:t>
      </w:r>
      <w:r>
        <w:t>.</w:t>
      </w:r>
      <w:r>
        <w:tab/>
        <w:t>Estimated value of building work</w:t>
      </w:r>
      <w:bookmarkEnd w:id="151"/>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152" w:name="_Toc75515477"/>
      <w:r>
        <w:rPr>
          <w:rStyle w:val="CharSClsNo"/>
        </w:rPr>
        <w:lastRenderedPageBreak/>
        <w:t>3</w:t>
      </w:r>
      <w:r>
        <w:t>.</w:t>
      </w:r>
      <w:r>
        <w:tab/>
        <w:t>Estimated value of unauthorised building work</w:t>
      </w:r>
      <w:bookmarkEnd w:id="152"/>
    </w:p>
    <w:p>
      <w:pPr>
        <w:pStyle w:val="ySubsection"/>
      </w:pPr>
      <w:r>
        <w:tab/>
      </w:r>
      <w:r>
        <w:tab/>
        <w:t>The estimated value of unauthorised building work is the sum of the estimated current value (including GST) of the relevant components.</w:t>
      </w:r>
    </w:p>
    <w:p>
      <w:pPr>
        <w:sectPr>
          <w:headerReference w:type="even" r:id="rId24"/>
          <w:headerReference w:type="default" r:id="rId25"/>
          <w:pgSz w:w="11907" w:h="16840" w:code="9"/>
          <w:pgMar w:top="2381" w:right="2410" w:bottom="3544" w:left="2410" w:header="720" w:footer="3380" w:gutter="0"/>
          <w:cols w:space="720"/>
          <w:docGrid w:linePitch="326"/>
        </w:sectPr>
      </w:pPr>
    </w:p>
    <w:p>
      <w:pPr>
        <w:pStyle w:val="yScheduleHeading"/>
      </w:pPr>
      <w:bookmarkStart w:id="154" w:name="_Toc75350706"/>
      <w:bookmarkStart w:id="155" w:name="_Toc75351017"/>
      <w:bookmarkStart w:id="156" w:name="_Toc75515478"/>
      <w:r>
        <w:rPr>
          <w:rStyle w:val="CharSchNo"/>
        </w:rPr>
        <w:lastRenderedPageBreak/>
        <w:t>Schedule 2</w:t>
      </w:r>
      <w:r>
        <w:t> — </w:t>
      </w:r>
      <w:r>
        <w:rPr>
          <w:rStyle w:val="CharSchText"/>
        </w:rPr>
        <w:t>Fees</w:t>
      </w:r>
      <w:bookmarkEnd w:id="154"/>
      <w:bookmarkEnd w:id="155"/>
      <w:bookmarkEnd w:id="156"/>
    </w:p>
    <w:p>
      <w:pPr>
        <w:pStyle w:val="yShoulderClause"/>
      </w:pPr>
      <w:r>
        <w:t>[r. 11]</w:t>
      </w:r>
    </w:p>
    <w:p>
      <w:pPr>
        <w:pStyle w:val="yFootnoteheading"/>
      </w:pPr>
      <w:r>
        <w:tab/>
        <w:t>[Heading inserted: Gazette 23 Jun 2017 p. 3222.]</w:t>
      </w:r>
    </w:p>
    <w:p>
      <w:pPr>
        <w:pStyle w:val="yHeading3"/>
      </w:pPr>
      <w:bookmarkStart w:id="157" w:name="_Toc75351018"/>
      <w:bookmarkStart w:id="158" w:name="_Toc75515479"/>
      <w:bookmarkStart w:id="159" w:name="_Toc75350707"/>
      <w:r>
        <w:rPr>
          <w:rStyle w:val="CharSDivNo"/>
        </w:rPr>
        <w:t>Division 1</w:t>
      </w:r>
      <w:r>
        <w:t> — </w:t>
      </w:r>
      <w:r>
        <w:rPr>
          <w:rStyle w:val="CharSDivText"/>
        </w:rPr>
        <w:t>Applications for building permits, demolition permits</w:t>
      </w:r>
      <w:bookmarkEnd w:id="157"/>
      <w:bookmarkEnd w:id="158"/>
    </w:p>
    <w:p>
      <w:pPr>
        <w:pStyle w:val="yFootnoteheading"/>
        <w:spacing w:after="120"/>
      </w:pPr>
      <w:r>
        <w:tab/>
        <w:t>[Heading inserted: SL 2021/86 r. 13.]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$110.00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$110.00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$110.00</w:t>
            </w:r>
          </w:p>
        </w:tc>
      </w:tr>
      <w:tr>
        <w:trPr>
          <w:cantSplit/>
        </w:trPr>
        <w:tc>
          <w:tcPr>
            <w:tcW w:w="855" w:type="dxa"/>
          </w:tcPr>
          <w:p>
            <w:pPr>
              <w:pStyle w:val="yTableNAm"/>
              <w:keepNext/>
              <w:keepLines/>
            </w:pPr>
            <w:r>
              <w:t>3.</w:t>
            </w:r>
          </w:p>
        </w:tc>
        <w:tc>
          <w:tcPr>
            <w:tcW w:w="3823" w:type="dxa"/>
          </w:tcPr>
          <w:p>
            <w:pPr>
              <w:pStyle w:val="yTableNAm"/>
              <w:keepNext/>
              <w:keepLines/>
              <w:rPr>
                <w:rStyle w:val="DraftersNotes"/>
                <w:b w:val="0"/>
                <w:i w:val="0"/>
                <w:sz w:val="22"/>
                <w:szCs w:val="22"/>
              </w:rPr>
            </w:pPr>
            <w:r>
              <w:t xml:space="preserve">Application for a demolition permit (s. 16(l)) — </w:t>
            </w:r>
          </w:p>
        </w:tc>
        <w:tc>
          <w:tcPr>
            <w:tcW w:w="2447" w:type="dxa"/>
          </w:tcPr>
          <w:p>
            <w:pPr>
              <w:pStyle w:val="yTableNAm"/>
              <w:keepNext/>
              <w:keepLines/>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$110.00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$110.00 </w:t>
            </w:r>
            <w:r>
              <w:t xml:space="preserve">for each storey of the building </w:t>
            </w:r>
          </w:p>
        </w:tc>
      </w:tr>
      <w:tr>
        <w:trPr>
          <w:cantSplit/>
        </w:trPr>
        <w:tc>
          <w:tcPr>
            <w:tcW w:w="855" w:type="dxa"/>
            <w:tcBorders>
              <w:bottom w:val="single" w:sz="4" w:space="0" w:color="auto"/>
            </w:tcBorders>
          </w:tcPr>
          <w:p>
            <w:pPr>
              <w:pStyle w:val="yTableNAm"/>
            </w:pPr>
            <w:r>
              <w:lastRenderedPageBreak/>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$110.00</w:t>
            </w:r>
          </w:p>
        </w:tc>
      </w:tr>
    </w:tbl>
    <w:p>
      <w:pPr>
        <w:pStyle w:val="yFootnotesection"/>
      </w:pPr>
      <w:r>
        <w:tab/>
        <w:t>[Division 1 inserted: SL 2021/86 r. 13.]</w:t>
      </w:r>
    </w:p>
    <w:p>
      <w:pPr>
        <w:pStyle w:val="yHeading3"/>
      </w:pPr>
      <w:bookmarkStart w:id="160" w:name="_Toc75351019"/>
      <w:bookmarkStart w:id="161" w:name="_Toc75515480"/>
      <w:r>
        <w:rPr>
          <w:rStyle w:val="CharSDivNo"/>
        </w:rPr>
        <w:t>Division 2</w:t>
      </w:r>
      <w:r>
        <w:t> — </w:t>
      </w:r>
      <w:r>
        <w:rPr>
          <w:rStyle w:val="CharSDivText"/>
        </w:rPr>
        <w:t>Application for occupancy permits, building approval certificates</w:t>
      </w:r>
      <w:bookmarkEnd w:id="160"/>
      <w:bookmarkEnd w:id="161"/>
    </w:p>
    <w:p>
      <w:pPr>
        <w:pStyle w:val="yFootnoteheading"/>
        <w:spacing w:after="120"/>
      </w:pPr>
      <w:r>
        <w:tab/>
        <w:t>[Heading inserted: SL 2021/86 r. 13.]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3821" w:type="dxa"/>
            <w:tcBorders>
              <w:top w:val="single" w:sz="4" w:space="0" w:color="auto"/>
            </w:tcBorders>
          </w:tcPr>
          <w:p>
            <w:pPr>
              <w:pStyle w:val="yTableNAm"/>
            </w:pPr>
            <w:r>
              <w:t>Application for an occupancy permit for a completed building (s. 46)</w:t>
            </w:r>
          </w:p>
        </w:tc>
        <w:tc>
          <w:tcPr>
            <w:tcW w:w="2449" w:type="dxa"/>
            <w:tcBorders>
              <w:top w:val="single" w:sz="4" w:space="0" w:color="auto"/>
            </w:tcBorders>
          </w:tcPr>
          <w:p>
            <w:pPr>
              <w:pStyle w:val="yTableNAm"/>
            </w:pPr>
            <w:r>
              <w:rPr>
                <w:szCs w:val="22"/>
              </w:rPr>
              <w:t>$110.00</w:t>
            </w:r>
          </w:p>
        </w:tc>
      </w:tr>
      <w:tr>
        <w:trPr>
          <w:cantSplit/>
        </w:trPr>
        <w:tc>
          <w:tcPr>
            <w:tcW w:w="855" w:type="dxa"/>
          </w:tcPr>
          <w:p>
            <w:pPr>
              <w:pStyle w:val="yTableNAm"/>
            </w:pPr>
            <w:r>
              <w:t>2.</w:t>
            </w:r>
          </w:p>
        </w:tc>
        <w:tc>
          <w:tcPr>
            <w:tcW w:w="3821" w:type="dxa"/>
          </w:tcPr>
          <w:p>
            <w:pPr>
              <w:pStyle w:val="yTableNAm"/>
              <w:rPr>
                <w:rStyle w:val="DraftersNotes"/>
                <w:b w:val="0"/>
                <w:i w:val="0"/>
                <w:sz w:val="22"/>
              </w:rPr>
            </w:pPr>
            <w:r>
              <w:t>Application for an occupancy permit for an incomplete building (s. 47)</w:t>
            </w:r>
          </w:p>
        </w:tc>
        <w:tc>
          <w:tcPr>
            <w:tcW w:w="2449" w:type="dxa"/>
          </w:tcPr>
          <w:p>
            <w:pPr>
              <w:pStyle w:val="yTableNAm"/>
            </w:pPr>
            <w:r>
              <w:rPr>
                <w:szCs w:val="22"/>
              </w:rPr>
              <w:t>$110.00</w:t>
            </w:r>
          </w:p>
        </w:tc>
      </w:tr>
      <w:tr>
        <w:trPr>
          <w:cantSplit/>
        </w:trPr>
        <w:tc>
          <w:tcPr>
            <w:tcW w:w="855" w:type="dxa"/>
          </w:tcPr>
          <w:p>
            <w:pPr>
              <w:pStyle w:val="yTableNAm"/>
              <w:keepNext/>
            </w:pPr>
            <w:r>
              <w:t>3.</w:t>
            </w:r>
          </w:p>
        </w:tc>
        <w:tc>
          <w:tcPr>
            <w:tcW w:w="3821" w:type="dxa"/>
          </w:tcPr>
          <w:p>
            <w:pPr>
              <w:pStyle w:val="yTableNAm"/>
              <w:keepNext/>
            </w:pPr>
            <w:r>
              <w:t>Application for modification of an occupancy permit for additional use of a building on a temporary basis (s. 48)</w:t>
            </w:r>
          </w:p>
        </w:tc>
        <w:tc>
          <w:tcPr>
            <w:tcW w:w="2449" w:type="dxa"/>
          </w:tcPr>
          <w:p>
            <w:pPr>
              <w:pStyle w:val="yTableNAm"/>
              <w:keepNext/>
            </w:pPr>
            <w:r>
              <w:rPr>
                <w:szCs w:val="22"/>
              </w:rPr>
              <w:t>$110.00</w:t>
            </w:r>
          </w:p>
        </w:tc>
      </w:tr>
      <w:tr>
        <w:trPr>
          <w:cantSplit/>
        </w:trPr>
        <w:tc>
          <w:tcPr>
            <w:tcW w:w="855" w:type="dxa"/>
          </w:tcPr>
          <w:p>
            <w:pPr>
              <w:pStyle w:val="yTableNAm"/>
            </w:pPr>
            <w:r>
              <w:t>4.</w:t>
            </w:r>
          </w:p>
        </w:tc>
        <w:tc>
          <w:tcPr>
            <w:tcW w:w="3821" w:type="dxa"/>
          </w:tcPr>
          <w:p>
            <w:pPr>
              <w:pStyle w:val="yTableNAm"/>
            </w:pPr>
            <w:r>
              <w:t>Application for a replacement occupancy permit for permanent change of the building’s use or classification (s. 49)</w:t>
            </w:r>
          </w:p>
        </w:tc>
        <w:tc>
          <w:tcPr>
            <w:tcW w:w="2449" w:type="dxa"/>
          </w:tcPr>
          <w:p>
            <w:pPr>
              <w:pStyle w:val="yTableNAm"/>
            </w:pPr>
            <w:r>
              <w:rPr>
                <w:szCs w:val="22"/>
              </w:rPr>
              <w:t>$110.00</w:t>
            </w:r>
          </w:p>
        </w:tc>
      </w:tr>
      <w:tr>
        <w:trPr>
          <w:cantSplit/>
        </w:trPr>
        <w:tc>
          <w:tcPr>
            <w:tcW w:w="855" w:type="dxa"/>
          </w:tcPr>
          <w:p>
            <w:pPr>
              <w:pStyle w:val="yTableNAm"/>
            </w:pPr>
            <w:r>
              <w:t>5.</w:t>
            </w:r>
          </w:p>
        </w:tc>
        <w:tc>
          <w:tcPr>
            <w:tcW w:w="3821" w:type="dxa"/>
          </w:tcPr>
          <w:p>
            <w:pPr>
              <w:pStyle w:val="yTableNAm"/>
            </w:pPr>
            <w:r>
              <w:t>Application for an occupancy permit for a building in respect of which unauthorised work has been done (s. 51(2))</w:t>
            </w:r>
          </w:p>
        </w:tc>
        <w:tc>
          <w:tcPr>
            <w:tcW w:w="2449" w:type="dxa"/>
          </w:tcPr>
          <w:p>
            <w:pPr>
              <w:pStyle w:val="yTableNAm"/>
            </w:pPr>
            <w:r>
              <w:t xml:space="preserve">0.18% of the estimated value of the unauthorised work as determined by the relevant permit authority, but not less than </w:t>
            </w:r>
            <w:r>
              <w:rPr>
                <w:szCs w:val="22"/>
              </w:rPr>
              <w:t>$110.00</w:t>
            </w:r>
          </w:p>
        </w:tc>
      </w:tr>
      <w:tr>
        <w:trPr>
          <w:cantSplit/>
        </w:trPr>
        <w:tc>
          <w:tcPr>
            <w:tcW w:w="855" w:type="dxa"/>
          </w:tcPr>
          <w:p>
            <w:pPr>
              <w:pStyle w:val="yTableNAm"/>
            </w:pPr>
            <w:r>
              <w:t>6.</w:t>
            </w:r>
          </w:p>
        </w:tc>
        <w:tc>
          <w:tcPr>
            <w:tcW w:w="3821" w:type="dxa"/>
          </w:tcPr>
          <w:p>
            <w:pPr>
              <w:pStyle w:val="yTableNAm"/>
            </w:pPr>
            <w:r>
              <w:t>Application for a building approval certificate for a building or an incidental structure in respect of which unauthorised work has been done (s. 51(3))</w:t>
            </w:r>
          </w:p>
        </w:tc>
        <w:tc>
          <w:tcPr>
            <w:tcW w:w="2449" w:type="dxa"/>
          </w:tcPr>
          <w:p>
            <w:pPr>
              <w:pStyle w:val="yTableNAm"/>
            </w:pPr>
            <w:r>
              <w:t xml:space="preserve">0.38% of the estimated value of the unauthorised work as determined by the relevant permit authority, but not less than </w:t>
            </w:r>
            <w:r>
              <w:rPr>
                <w:szCs w:val="22"/>
              </w:rPr>
              <w:t>$110.00</w:t>
            </w:r>
          </w:p>
        </w:tc>
      </w:tr>
      <w:tr>
        <w:trPr>
          <w:cantSplit/>
        </w:trPr>
        <w:tc>
          <w:tcPr>
            <w:tcW w:w="855" w:type="dxa"/>
          </w:tcPr>
          <w:p>
            <w:pPr>
              <w:pStyle w:val="yTableNAm"/>
            </w:pPr>
            <w:r>
              <w:lastRenderedPageBreak/>
              <w:t>7.</w:t>
            </w:r>
          </w:p>
        </w:tc>
        <w:tc>
          <w:tcPr>
            <w:tcW w:w="3821" w:type="dxa"/>
          </w:tcPr>
          <w:p>
            <w:pPr>
              <w:pStyle w:val="yTableNAm"/>
            </w:pPr>
            <w:r>
              <w:t>Application to replace an occupancy permit for an existing building (s. 52(1))</w:t>
            </w:r>
          </w:p>
        </w:tc>
        <w:tc>
          <w:tcPr>
            <w:tcW w:w="2449" w:type="dxa"/>
          </w:tcPr>
          <w:p>
            <w:pPr>
              <w:pStyle w:val="yTableNAm"/>
            </w:pPr>
            <w:r>
              <w:rPr>
                <w:szCs w:val="22"/>
              </w:rPr>
              <w:t>$110.00</w:t>
            </w:r>
          </w:p>
        </w:tc>
      </w:tr>
      <w:tr>
        <w:trPr>
          <w:cantSplit/>
        </w:trPr>
        <w:tc>
          <w:tcPr>
            <w:tcW w:w="855" w:type="dxa"/>
          </w:tcPr>
          <w:p>
            <w:pPr>
              <w:pStyle w:val="yTableNAm"/>
            </w:pPr>
            <w:r>
              <w:t>8.</w:t>
            </w:r>
          </w:p>
        </w:tc>
        <w:tc>
          <w:tcPr>
            <w:tcW w:w="3821" w:type="dxa"/>
          </w:tcPr>
          <w:p>
            <w:pPr>
              <w:pStyle w:val="yTableNAm"/>
            </w:pPr>
            <w:r>
              <w:t>Application for a building approval certificate for an existing building or an incidental structure where unauthorised work has not been done (s. 52(2))</w:t>
            </w:r>
          </w:p>
        </w:tc>
        <w:tc>
          <w:tcPr>
            <w:tcW w:w="2449" w:type="dxa"/>
          </w:tcPr>
          <w:p>
            <w:pPr>
              <w:pStyle w:val="yTableNAm"/>
            </w:pPr>
            <w:r>
              <w:rPr>
                <w:szCs w:val="22"/>
              </w:rPr>
              <w:t>$110.00</w:t>
            </w:r>
          </w:p>
        </w:tc>
      </w:tr>
      <w:tr>
        <w:trPr>
          <w:cantSplit/>
        </w:trPr>
        <w:tc>
          <w:tcPr>
            <w:tcW w:w="855" w:type="dxa"/>
            <w:tcBorders>
              <w:bottom w:val="single" w:sz="4" w:space="0" w:color="auto"/>
            </w:tcBorders>
          </w:tcPr>
          <w:p>
            <w:pPr>
              <w:pStyle w:val="yTableNAm"/>
            </w:pPr>
            <w:r>
              <w:t>9.</w:t>
            </w:r>
          </w:p>
        </w:tc>
        <w:tc>
          <w:tcPr>
            <w:tcW w:w="3821" w:type="dxa"/>
            <w:tcBorders>
              <w:bottom w:val="single" w:sz="4" w:space="0" w:color="auto"/>
            </w:tcBorders>
          </w:tcPr>
          <w:p>
            <w:pPr>
              <w:pStyle w:val="yTableNAm"/>
            </w:pPr>
            <w:r>
              <w:t>Application to extend the time during which an occupancy permit or building approval certificate has effect (s. 65(3)(a))</w:t>
            </w:r>
          </w:p>
        </w:tc>
        <w:tc>
          <w:tcPr>
            <w:tcW w:w="2449" w:type="dxa"/>
            <w:tcBorders>
              <w:bottom w:val="single" w:sz="4" w:space="0" w:color="auto"/>
            </w:tcBorders>
          </w:tcPr>
          <w:p>
            <w:pPr>
              <w:pStyle w:val="yTableNAm"/>
            </w:pPr>
            <w:r>
              <w:rPr>
                <w:szCs w:val="22"/>
              </w:rPr>
              <w:t>$110.00</w:t>
            </w:r>
          </w:p>
        </w:tc>
      </w:tr>
    </w:tbl>
    <w:p>
      <w:pPr>
        <w:pStyle w:val="yFootnotesection"/>
      </w:pPr>
      <w:r>
        <w:tab/>
        <w:t>[Division 2 inserted: SL 2021/86 r. 13.]</w:t>
      </w:r>
    </w:p>
    <w:p>
      <w:pPr>
        <w:pStyle w:val="yHeading3"/>
      </w:pPr>
      <w:bookmarkStart w:id="162" w:name="_Toc75350709"/>
      <w:bookmarkStart w:id="163" w:name="_Toc75351020"/>
      <w:bookmarkStart w:id="164" w:name="_Toc75515481"/>
      <w:bookmarkEnd w:id="159"/>
      <w:r>
        <w:rPr>
          <w:rStyle w:val="CharSDivNo"/>
        </w:rPr>
        <w:t>Division 3</w:t>
      </w:r>
      <w:r>
        <w:t> — </w:t>
      </w:r>
      <w:r>
        <w:rPr>
          <w:rStyle w:val="CharSDivText"/>
        </w:rPr>
        <w:t>Other applications</w:t>
      </w:r>
      <w:bookmarkEnd w:id="162"/>
      <w:bookmarkEnd w:id="163"/>
      <w:bookmarkEnd w:id="164"/>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3821"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2449" w:type="dxa"/>
            <w:tcBorders>
              <w:top w:val="single" w:sz="4" w:space="0" w:color="auto"/>
              <w:bottom w:val="single" w:sz="4" w:space="0" w:color="auto"/>
            </w:tcBorders>
          </w:tcPr>
          <w:p>
            <w:pPr>
              <w:pStyle w:val="yTableNAm"/>
              <w:keepNext/>
              <w:keepLines/>
            </w:pPr>
            <w:r>
              <w:rPr>
                <w:szCs w:val="22"/>
              </w:rPr>
              <w:t>$2 160.15</w:t>
            </w:r>
          </w:p>
        </w:tc>
      </w:tr>
    </w:tbl>
    <w:p>
      <w:pPr>
        <w:pStyle w:val="Footnotesection"/>
      </w:pPr>
      <w:r>
        <w:tab/>
        <w:t>[Division 3 inserted: Gazette 23 Jun 2017 p. 3225.]</w:t>
      </w:r>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yScheduleHeading"/>
      </w:pPr>
      <w:bookmarkStart w:id="165" w:name="_Toc75350710"/>
      <w:bookmarkStart w:id="166" w:name="_Toc75351021"/>
      <w:bookmarkStart w:id="167" w:name="_Toc75515482"/>
      <w:r>
        <w:rPr>
          <w:rStyle w:val="CharSchNo"/>
        </w:rPr>
        <w:lastRenderedPageBreak/>
        <w:t>Schedule 3</w:t>
      </w:r>
      <w:r>
        <w:t> — </w:t>
      </w:r>
      <w:r>
        <w:rPr>
          <w:rStyle w:val="CharSchText"/>
        </w:rPr>
        <w:t>Inspections or tests of systems</w:t>
      </w:r>
      <w:bookmarkEnd w:id="165"/>
      <w:bookmarkEnd w:id="166"/>
      <w:bookmarkEnd w:id="167"/>
    </w:p>
    <w:p>
      <w:pPr>
        <w:pStyle w:val="yShoulderClause"/>
      </w:pPr>
      <w:r>
        <w:t>[r. 27]</w:t>
      </w:r>
    </w:p>
    <w:p>
      <w:pPr>
        <w:pStyle w:val="yHeading5"/>
      </w:pPr>
      <w:bookmarkStart w:id="168" w:name="_Toc75515483"/>
      <w:r>
        <w:rPr>
          <w:rStyle w:val="CharSClsNo"/>
        </w:rPr>
        <w:t>1</w:t>
      </w:r>
      <w:r>
        <w:t>.</w:t>
      </w:r>
      <w:r>
        <w:tab/>
        <w:t>Term used: EP</w:t>
      </w:r>
      <w:bookmarkEnd w:id="168"/>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Emergency warning and intercom systems required under EP4</w:t>
            </w:r>
            <w:r>
              <w:rPr>
                <w:szCs w:val="22"/>
              </w:rPr>
              <w:t>.3</w:t>
            </w:r>
          </w:p>
        </w:tc>
        <w:tc>
          <w:tcPr>
            <w:tcW w:w="3581" w:type="dxa"/>
          </w:tcPr>
          <w:p>
            <w:pPr>
              <w:pStyle w:val="yTableNAm"/>
            </w:pPr>
            <w:r>
              <w:t>On completion of the installation of the system</w:t>
            </w:r>
          </w:p>
        </w:tc>
      </w:tr>
    </w:tbl>
    <w:p>
      <w:pPr>
        <w:pStyle w:val="yFootnotesection"/>
      </w:pPr>
      <w:r>
        <w:tab/>
        <w:t>[Schedule 3 amended: Gazette 24 Apr 2014 p. 1141; 26 Mar 2019 p. 946.]</w:t>
      </w:r>
    </w:p>
    <w:p>
      <w:pPr>
        <w:pStyle w:val="yScheduleHeading"/>
      </w:pPr>
      <w:bookmarkStart w:id="169" w:name="_Toc75350712"/>
      <w:bookmarkStart w:id="170" w:name="_Toc75351023"/>
      <w:bookmarkStart w:id="171" w:name="_Toc75515484"/>
      <w:r>
        <w:rPr>
          <w:rStyle w:val="CharSchNo"/>
        </w:rPr>
        <w:lastRenderedPageBreak/>
        <w:t>Schedule 4</w:t>
      </w:r>
      <w:r>
        <w:t> — </w:t>
      </w:r>
      <w:r>
        <w:rPr>
          <w:rStyle w:val="CharSchText"/>
        </w:rPr>
        <w:t>Building work that does not require building permit</w:t>
      </w:r>
      <w:bookmarkEnd w:id="169"/>
      <w:bookmarkEnd w:id="170"/>
      <w:bookmarkEnd w:id="171"/>
    </w:p>
    <w:p>
      <w:pPr>
        <w:pStyle w:val="yShoulderClause"/>
      </w:pPr>
      <w:r>
        <w:t>[r. 41]</w:t>
      </w:r>
    </w:p>
    <w:p>
      <w:pPr>
        <w:pStyle w:val="yHeading5"/>
        <w:rPr>
          <w:rStyle w:val="CharSDivText"/>
        </w:rPr>
      </w:pPr>
      <w:bookmarkStart w:id="172" w:name="_Toc75515485"/>
      <w:r>
        <w:rPr>
          <w:rStyle w:val="CharSClsNo"/>
        </w:rPr>
        <w:t>1</w:t>
      </w:r>
      <w:r>
        <w:t>.</w:t>
      </w:r>
      <w:r>
        <w:tab/>
      </w:r>
      <w:r>
        <w:rPr>
          <w:rStyle w:val="CharSDivText"/>
        </w:rPr>
        <w:t>Areas where building permit not required for certain work</w:t>
      </w:r>
      <w:bookmarkEnd w:id="172"/>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szCs w:val="22"/>
              </w:rPr>
            </w:pPr>
            <w:r>
              <w:rPr>
                <w:b/>
                <w:bCs/>
                <w:szCs w:val="22"/>
              </w:rPr>
              <w:t>Column 1</w:t>
            </w:r>
          </w:p>
          <w:p>
            <w:pPr>
              <w:pStyle w:val="yTableNAm"/>
              <w:spacing w:before="110"/>
              <w:rPr>
                <w:b/>
                <w:bCs/>
                <w:szCs w:val="22"/>
              </w:rPr>
            </w:pPr>
            <w:r>
              <w:rPr>
                <w:b/>
                <w:bCs/>
                <w:szCs w:val="22"/>
              </w:rPr>
              <w:t>Local government district</w:t>
            </w:r>
          </w:p>
        </w:tc>
        <w:tc>
          <w:tcPr>
            <w:tcW w:w="2627" w:type="dxa"/>
            <w:tcBorders>
              <w:bottom w:val="single" w:sz="4" w:space="0" w:color="auto"/>
            </w:tcBorders>
          </w:tcPr>
          <w:p>
            <w:pPr>
              <w:pStyle w:val="yTableNAm"/>
              <w:spacing w:before="110"/>
              <w:rPr>
                <w:b/>
                <w:bCs/>
                <w:szCs w:val="22"/>
              </w:rPr>
            </w:pPr>
            <w:r>
              <w:rPr>
                <w:b/>
                <w:bCs/>
                <w:szCs w:val="22"/>
              </w:rPr>
              <w:t>Column 2</w:t>
            </w:r>
          </w:p>
          <w:p>
            <w:pPr>
              <w:pStyle w:val="yTableNAm"/>
              <w:spacing w:before="110"/>
              <w:rPr>
                <w:b/>
                <w:bCs/>
                <w:szCs w:val="22"/>
              </w:rPr>
            </w:pPr>
            <w:r>
              <w:rPr>
                <w:b/>
                <w:bCs/>
                <w:szCs w:val="22"/>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szCs w:val="22"/>
              </w:rPr>
            </w:pPr>
            <w:r>
              <w:rPr>
                <w:b/>
                <w:bCs/>
                <w:szCs w:val="22"/>
              </w:rPr>
              <w:t>Column 3</w:t>
            </w:r>
          </w:p>
          <w:p>
            <w:pPr>
              <w:pStyle w:val="yTableNAm"/>
              <w:spacing w:before="110"/>
              <w:rPr>
                <w:b/>
                <w:bCs/>
                <w:szCs w:val="22"/>
              </w:rPr>
            </w:pPr>
            <w:r>
              <w:rPr>
                <w:b/>
                <w:bCs/>
                <w:szCs w:val="22"/>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rPr>
                <w:szCs w:val="22"/>
              </w:rPr>
            </w:pPr>
            <w:r>
              <w:rPr>
                <w:szCs w:val="22"/>
              </w:rPr>
              <w:t>Broomehill</w:t>
            </w:r>
            <w:r>
              <w:rPr>
                <w:szCs w:val="22"/>
              </w:rPr>
              <w:noBreakHyphen/>
            </w:r>
            <w:r>
              <w:rPr>
                <w:szCs w:val="22"/>
              </w:rPr>
              <w:br/>
              <w:t>Tambellup</w:t>
            </w:r>
          </w:p>
        </w:tc>
        <w:tc>
          <w:tcPr>
            <w:tcW w:w="2627" w:type="dxa"/>
            <w:tcBorders>
              <w:top w:val="nil"/>
              <w:bottom w:val="single" w:sz="4" w:space="0" w:color="auto"/>
            </w:tcBorders>
          </w:tcPr>
          <w:p>
            <w:pPr>
              <w:pStyle w:val="yTableNAm"/>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Broomehill Suburban Lots 362, 363, 372 to 423, 427 to 432, 438, 445, 446, 603 to 605, 609 and 610;</w:t>
            </w:r>
          </w:p>
          <w:p>
            <w:pPr>
              <w:pStyle w:val="yTableNAm"/>
              <w:tabs>
                <w:tab w:val="clear" w:pos="567"/>
                <w:tab w:val="left" w:pos="459"/>
              </w:tabs>
              <w:spacing w:before="80"/>
              <w:ind w:left="459" w:hanging="459"/>
              <w:rPr>
                <w:szCs w:val="22"/>
              </w:rPr>
            </w:pPr>
            <w:r>
              <w:rPr>
                <w:szCs w:val="22"/>
              </w:rPr>
              <w:t>(c)</w:t>
            </w:r>
            <w:r>
              <w:rPr>
                <w:szCs w:val="22"/>
              </w:rPr>
              <w:tab/>
              <w:t>Lots 17 to 24 being portion of Kojonup Location 256;</w:t>
            </w:r>
          </w:p>
          <w:p>
            <w:pPr>
              <w:pStyle w:val="yTableNAm"/>
              <w:tabs>
                <w:tab w:val="clear" w:pos="567"/>
                <w:tab w:val="left" w:pos="459"/>
              </w:tabs>
              <w:spacing w:before="80"/>
              <w:ind w:left="459" w:hanging="459"/>
              <w:rPr>
                <w:szCs w:val="22"/>
              </w:rPr>
            </w:pPr>
            <w:r>
              <w:rPr>
                <w:szCs w:val="22"/>
              </w:rPr>
              <w:t>(d)</w:t>
            </w:r>
            <w:r>
              <w:rPr>
                <w:szCs w:val="22"/>
              </w:rPr>
              <w:tab/>
              <w:t>Kojonup Location 1671;</w:t>
            </w:r>
          </w:p>
          <w:p>
            <w:pPr>
              <w:pStyle w:val="yTableNAm"/>
              <w:tabs>
                <w:tab w:val="clear" w:pos="567"/>
                <w:tab w:val="left" w:pos="459"/>
              </w:tabs>
              <w:spacing w:before="80"/>
              <w:ind w:left="459" w:hanging="459"/>
              <w:rPr>
                <w:szCs w:val="22"/>
              </w:rPr>
            </w:pPr>
            <w:r>
              <w:rPr>
                <w:szCs w:val="22"/>
              </w:rPr>
              <w:t>(e)</w:t>
            </w:r>
            <w:r>
              <w:rPr>
                <w:szCs w:val="22"/>
              </w:rPr>
              <w:tab/>
              <w:t>Reserves 8163, 10285, 10431 and 17230;</w:t>
            </w:r>
          </w:p>
          <w:p>
            <w:pPr>
              <w:pStyle w:val="yTableNAm"/>
              <w:tabs>
                <w:tab w:val="clear" w:pos="567"/>
                <w:tab w:val="left" w:pos="459"/>
              </w:tabs>
              <w:spacing w:before="80"/>
              <w:ind w:left="459" w:hanging="459"/>
              <w:rPr>
                <w:szCs w:val="22"/>
              </w:rPr>
            </w:pPr>
            <w:r>
              <w:rPr>
                <w:szCs w:val="22"/>
              </w:rPr>
              <w:t>(f)</w:t>
            </w:r>
            <w:r>
              <w:rPr>
                <w:szCs w:val="22"/>
              </w:rPr>
              <w:tab/>
              <w:t>area that was district of Tambellup immediately before 1 July 2008</w:t>
            </w:r>
          </w:p>
        </w:tc>
        <w:tc>
          <w:tcPr>
            <w:tcW w:w="2731" w:type="dxa"/>
            <w:tcBorders>
              <w:top w:val="nil"/>
              <w:bottom w:val="single" w:sz="4" w:space="0" w:color="auto"/>
            </w:tcBorders>
          </w:tcPr>
          <w:p>
            <w:pPr>
              <w:pStyle w:val="yTableNAm"/>
              <w:spacing w:before="0"/>
              <w:rPr>
                <w:szCs w:val="22"/>
              </w:rPr>
            </w:pPr>
          </w:p>
        </w:tc>
      </w:tr>
      <w:tr>
        <w:trPr>
          <w:cantSplit/>
        </w:trPr>
        <w:tc>
          <w:tcPr>
            <w:tcW w:w="1767" w:type="dxa"/>
            <w:tcBorders>
              <w:top w:val="single" w:sz="4" w:space="0" w:color="auto"/>
            </w:tcBorders>
          </w:tcPr>
          <w:p>
            <w:pPr>
              <w:pStyle w:val="yTableNAm"/>
              <w:spacing w:before="110"/>
              <w:rPr>
                <w:szCs w:val="22"/>
              </w:rPr>
            </w:pPr>
            <w:r>
              <w:rPr>
                <w:szCs w:val="22"/>
              </w:rPr>
              <w:lastRenderedPageBreak/>
              <w:t>Bruce Rock</w:t>
            </w:r>
          </w:p>
        </w:tc>
        <w:tc>
          <w:tcPr>
            <w:tcW w:w="2627" w:type="dxa"/>
            <w:tcBorders>
              <w:top w:val="single" w:sz="4" w:space="0" w:color="auto"/>
            </w:tcBorders>
          </w:tcPr>
          <w:p>
            <w:pPr>
              <w:pStyle w:val="yTableNAm"/>
              <w:spacing w:before="110"/>
              <w:rPr>
                <w:szCs w:val="22"/>
              </w:rPr>
            </w:pPr>
            <w:r>
              <w:rPr>
                <w:szCs w:val="22"/>
              </w:rPr>
              <w:t>Whole district other than townsites</w:t>
            </w:r>
          </w:p>
        </w:tc>
        <w:tc>
          <w:tcPr>
            <w:tcW w:w="2731" w:type="dxa"/>
            <w:tcBorders>
              <w:top w:val="single" w:sz="4" w:space="0" w:color="auto"/>
            </w:tcBorders>
          </w:tcPr>
          <w:p>
            <w:pPr>
              <w:pStyle w:val="yTableNAm"/>
              <w:spacing w:before="110"/>
              <w:rPr>
                <w:szCs w:val="22"/>
              </w:rPr>
            </w:pPr>
          </w:p>
        </w:tc>
      </w:tr>
      <w:tr>
        <w:trPr>
          <w:cantSplit/>
        </w:trPr>
        <w:tc>
          <w:tcPr>
            <w:tcW w:w="1767" w:type="dxa"/>
          </w:tcPr>
          <w:p>
            <w:pPr>
              <w:pStyle w:val="yTableNAm"/>
              <w:spacing w:before="110"/>
              <w:rPr>
                <w:szCs w:val="22"/>
              </w:rPr>
            </w:pPr>
            <w:r>
              <w:rPr>
                <w:szCs w:val="22"/>
              </w:rPr>
              <w:t>Carnarvon</w:t>
            </w:r>
          </w:p>
        </w:tc>
        <w:tc>
          <w:tcPr>
            <w:tcW w:w="2627" w:type="dxa"/>
          </w:tcPr>
          <w:p>
            <w:pPr>
              <w:pStyle w:val="yTableNAm"/>
              <w:spacing w:before="110"/>
              <w:rPr>
                <w:szCs w:val="22"/>
              </w:rPr>
            </w:pPr>
            <w:r>
              <w:rPr>
                <w:szCs w:val="22"/>
              </w:rPr>
              <w:t>Gascoyne</w:t>
            </w:r>
            <w:r>
              <w:rPr>
                <w:szCs w:val="22"/>
              </w:rPr>
              <w:noBreakHyphen/>
              <w:t>Minilya Ward</w:t>
            </w:r>
          </w:p>
        </w:tc>
        <w:tc>
          <w:tcPr>
            <w:tcW w:w="2731" w:type="dxa"/>
          </w:tcPr>
          <w:p>
            <w:pPr>
              <w:pStyle w:val="yTableNAm"/>
              <w:spacing w:before="110"/>
              <w:rPr>
                <w:szCs w:val="22"/>
              </w:rPr>
            </w:pPr>
          </w:p>
        </w:tc>
      </w:tr>
      <w:tr>
        <w:trPr>
          <w:cantSplit/>
        </w:trPr>
        <w:tc>
          <w:tcPr>
            <w:tcW w:w="1767" w:type="dxa"/>
          </w:tcPr>
          <w:p>
            <w:pPr>
              <w:pStyle w:val="yTableNAm"/>
              <w:rPr>
                <w:szCs w:val="22"/>
              </w:rPr>
            </w:pPr>
            <w:r>
              <w:rPr>
                <w:szCs w:val="22"/>
              </w:rPr>
              <w:t>Corrigin</w:t>
            </w:r>
          </w:p>
        </w:tc>
        <w:tc>
          <w:tcPr>
            <w:tcW w:w="2627" w:type="dxa"/>
          </w:tcPr>
          <w:p>
            <w:pPr>
              <w:pStyle w:val="yTableNAm"/>
              <w:rPr>
                <w:szCs w:val="22"/>
              </w:rPr>
            </w:pPr>
            <w:r>
              <w:rPr>
                <w:szCs w:val="22"/>
              </w:rPr>
              <w:t>Whole district other than townsite of Corrigin</w:t>
            </w:r>
          </w:p>
        </w:tc>
        <w:tc>
          <w:tcPr>
            <w:tcW w:w="2731" w:type="dxa"/>
          </w:tcPr>
          <w:p>
            <w:pPr>
              <w:pStyle w:val="yTableNAm"/>
              <w:rPr>
                <w:szCs w:val="22"/>
              </w:rPr>
            </w:pPr>
          </w:p>
        </w:tc>
      </w:tr>
      <w:tr>
        <w:trPr>
          <w:cantSplit/>
        </w:trPr>
        <w:tc>
          <w:tcPr>
            <w:tcW w:w="1767" w:type="dxa"/>
          </w:tcPr>
          <w:p>
            <w:pPr>
              <w:pStyle w:val="yTableNAm"/>
              <w:rPr>
                <w:szCs w:val="22"/>
              </w:rPr>
            </w:pPr>
            <w:r>
              <w:rPr>
                <w:szCs w:val="22"/>
              </w:rPr>
              <w:t>Cranbrook</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Cue</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Cunderdin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Dalwallinu</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Dandaragan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Derby</w:t>
            </w:r>
            <w:r>
              <w:rPr>
                <w:szCs w:val="22"/>
              </w:rPr>
              <w:noBreakHyphen/>
              <w:t>West Kimberley</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Dowerin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Dumbleyung</w:t>
            </w:r>
          </w:p>
        </w:tc>
        <w:tc>
          <w:tcPr>
            <w:tcW w:w="2627" w:type="dxa"/>
          </w:tcPr>
          <w:p>
            <w:pPr>
              <w:pStyle w:val="yTableNAm"/>
              <w:rPr>
                <w:szCs w:val="22"/>
              </w:rPr>
            </w:pPr>
            <w:r>
              <w:rPr>
                <w:szCs w:val="22"/>
              </w:rPr>
              <w:t>Whole district other than townsites of Dumbleyung, Kukerin</w:t>
            </w:r>
          </w:p>
        </w:tc>
        <w:tc>
          <w:tcPr>
            <w:tcW w:w="2731" w:type="dxa"/>
          </w:tcPr>
          <w:p>
            <w:pPr>
              <w:pStyle w:val="yTableNAm"/>
              <w:rPr>
                <w:szCs w:val="22"/>
              </w:rPr>
            </w:pPr>
          </w:p>
        </w:tc>
      </w:tr>
      <w:tr>
        <w:trPr>
          <w:cantSplit/>
        </w:trPr>
        <w:tc>
          <w:tcPr>
            <w:tcW w:w="1767" w:type="dxa"/>
          </w:tcPr>
          <w:p>
            <w:pPr>
              <w:pStyle w:val="yTableNAm"/>
              <w:spacing w:before="110"/>
              <w:rPr>
                <w:szCs w:val="22"/>
              </w:rPr>
            </w:pPr>
            <w:r>
              <w:rPr>
                <w:szCs w:val="22"/>
              </w:rPr>
              <w:lastRenderedPageBreak/>
              <w:t>Esperance</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lots measuring 10 ha or less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Gnowangerup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Greater Geraldton</w:t>
            </w:r>
          </w:p>
        </w:tc>
        <w:tc>
          <w:tcPr>
            <w:tcW w:w="2627" w:type="dxa"/>
          </w:tcPr>
          <w:p>
            <w:pPr>
              <w:pStyle w:val="yTableNAm"/>
              <w:spacing w:before="110"/>
              <w:rPr>
                <w:szCs w:val="22"/>
              </w:rPr>
            </w:pPr>
            <w:r>
              <w:rPr>
                <w:szCs w:val="22"/>
              </w:rPr>
              <w:t>Mullewa Ward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Jerramungup</w:t>
            </w:r>
          </w:p>
        </w:tc>
        <w:tc>
          <w:tcPr>
            <w:tcW w:w="2627" w:type="dxa"/>
          </w:tcPr>
          <w:p>
            <w:pPr>
              <w:pStyle w:val="yTableNAm"/>
              <w:spacing w:before="110"/>
              <w:rPr>
                <w:szCs w:val="22"/>
              </w:rPr>
            </w:pPr>
            <w:r>
              <w:rPr>
                <w:szCs w:val="22"/>
              </w:rPr>
              <w:t>Areas zoned rural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Kellerberrin</w:t>
            </w:r>
          </w:p>
        </w:tc>
        <w:tc>
          <w:tcPr>
            <w:tcW w:w="2627" w:type="dxa"/>
          </w:tcPr>
          <w:p>
            <w:pPr>
              <w:pStyle w:val="yTableNAm"/>
              <w:spacing w:before="110"/>
              <w:rPr>
                <w:szCs w:val="22"/>
              </w:rPr>
            </w:pPr>
            <w:r>
              <w:rPr>
                <w:szCs w:val="22"/>
              </w:rPr>
              <w:t>Whole district other than townsites of Kellerberrin, Doodlakine and Baandee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Kent</w:t>
            </w:r>
          </w:p>
        </w:tc>
        <w:tc>
          <w:tcPr>
            <w:tcW w:w="2627" w:type="dxa"/>
          </w:tcPr>
          <w:p>
            <w:pPr>
              <w:pStyle w:val="yTableNAm"/>
              <w:spacing w:before="110"/>
              <w:rPr>
                <w:szCs w:val="22"/>
              </w:rPr>
            </w:pPr>
            <w:r>
              <w:rPr>
                <w:szCs w:val="22"/>
              </w:rPr>
              <w:t>Whole district other than townsites of Nyabing, Pingrup</w:t>
            </w:r>
          </w:p>
        </w:tc>
        <w:tc>
          <w:tcPr>
            <w:tcW w:w="2731" w:type="dxa"/>
          </w:tcPr>
          <w:p>
            <w:pPr>
              <w:pStyle w:val="yTableNAm"/>
              <w:spacing w:before="110"/>
              <w:rPr>
                <w:szCs w:val="22"/>
              </w:rPr>
            </w:pPr>
            <w:r>
              <w:rPr>
                <w:szCs w:val="22"/>
              </w:rPr>
              <w:t>Whole district other than townsites of Nyabing, Pingrup</w:t>
            </w:r>
          </w:p>
        </w:tc>
      </w:tr>
      <w:tr>
        <w:trPr>
          <w:cantSplit/>
        </w:trPr>
        <w:tc>
          <w:tcPr>
            <w:tcW w:w="1767" w:type="dxa"/>
          </w:tcPr>
          <w:p>
            <w:pPr>
              <w:pStyle w:val="yTableNAm"/>
              <w:spacing w:before="110"/>
              <w:rPr>
                <w:szCs w:val="22"/>
              </w:rPr>
            </w:pPr>
            <w:r>
              <w:rPr>
                <w:szCs w:val="22"/>
              </w:rPr>
              <w:t>Kojonup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Koorda</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Avon location 16386</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Lake Grace</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Laverton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Leonora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Meekatharra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Menzies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Merredin</w:t>
            </w:r>
          </w:p>
        </w:tc>
        <w:tc>
          <w:tcPr>
            <w:tcW w:w="2627" w:type="dxa"/>
          </w:tcPr>
          <w:p>
            <w:pPr>
              <w:pStyle w:val="yTableNAm"/>
              <w:spacing w:before="110"/>
              <w:rPr>
                <w:szCs w:val="22"/>
              </w:rPr>
            </w:pPr>
            <w:r>
              <w:rPr>
                <w:szCs w:val="22"/>
              </w:rPr>
              <w:t>Whole district other than townsites of Burracoppin, Hines Hill, Korbel, Merredin, Muntadgin, Nangeenan, Nokaning, Nukarni</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Mingenew</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Morawa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Mt Marshall</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Magnet</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Mukinbudin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Murchison</w:t>
            </w:r>
          </w:p>
        </w:tc>
        <w:tc>
          <w:tcPr>
            <w:tcW w:w="2627" w:type="dxa"/>
          </w:tcPr>
          <w:p>
            <w:pPr>
              <w:pStyle w:val="yTableNAm"/>
              <w:spacing w:before="110"/>
              <w:rPr>
                <w:szCs w:val="22"/>
              </w:rPr>
            </w:pPr>
            <w:r>
              <w:rPr>
                <w:szCs w:val="22"/>
              </w:rPr>
              <w:t>Whole district</w:t>
            </w:r>
          </w:p>
        </w:tc>
        <w:tc>
          <w:tcPr>
            <w:tcW w:w="2731" w:type="dxa"/>
          </w:tcPr>
          <w:p>
            <w:pPr>
              <w:pStyle w:val="yTableNAm"/>
              <w:spacing w:before="110"/>
              <w:rPr>
                <w:szCs w:val="22"/>
              </w:rPr>
            </w:pPr>
            <w:r>
              <w:rPr>
                <w:szCs w:val="22"/>
              </w:rPr>
              <w:t>Whole district</w:t>
            </w:r>
          </w:p>
        </w:tc>
      </w:tr>
      <w:tr>
        <w:trPr>
          <w:cantSplit/>
        </w:trPr>
        <w:tc>
          <w:tcPr>
            <w:tcW w:w="1767" w:type="dxa"/>
          </w:tcPr>
          <w:p>
            <w:pPr>
              <w:pStyle w:val="yTableNAm"/>
              <w:spacing w:before="110"/>
              <w:rPr>
                <w:szCs w:val="22"/>
              </w:rPr>
            </w:pPr>
            <w:r>
              <w:rPr>
                <w:szCs w:val="22"/>
              </w:rPr>
              <w:t>Murray</w:t>
            </w:r>
          </w:p>
        </w:tc>
        <w:tc>
          <w:tcPr>
            <w:tcW w:w="2627" w:type="dxa"/>
          </w:tcPr>
          <w:p>
            <w:pPr>
              <w:pStyle w:val="yTableNAm"/>
              <w:spacing w:before="110"/>
              <w:rPr>
                <w:szCs w:val="22"/>
              </w:rPr>
            </w:pPr>
            <w:r>
              <w:rPr>
                <w:szCs w:val="22"/>
              </w:rPr>
              <w:t>Areas zoned rural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Narembeen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Narrogin</w:t>
            </w:r>
          </w:p>
        </w:tc>
        <w:tc>
          <w:tcPr>
            <w:tcW w:w="2627" w:type="dxa"/>
          </w:tcPr>
          <w:p>
            <w:pPr>
              <w:pStyle w:val="yTableNAm"/>
              <w:spacing w:before="110"/>
              <w:rPr>
                <w:szCs w:val="22"/>
              </w:rPr>
            </w:pPr>
            <w:r>
              <w:rPr>
                <w:szCs w:val="22"/>
              </w:rPr>
              <w:t>Areas zoned for farming purposes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Nungarin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Perenjori</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areas subject to local planning schemes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Port Hedland</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Ravensthorpe</w:t>
            </w:r>
          </w:p>
        </w:tc>
        <w:tc>
          <w:tcPr>
            <w:tcW w:w="2627" w:type="dxa"/>
          </w:tcPr>
          <w:p>
            <w:pPr>
              <w:pStyle w:val="yTableNAm"/>
              <w:spacing w:before="110"/>
              <w:rPr>
                <w:szCs w:val="22"/>
              </w:rPr>
            </w:pPr>
            <w:r>
              <w:rPr>
                <w:szCs w:val="22"/>
              </w:rPr>
              <w:t>Areas zoned general agricultural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Sandstone</w:t>
            </w:r>
          </w:p>
        </w:tc>
        <w:tc>
          <w:tcPr>
            <w:tcW w:w="2627" w:type="dxa"/>
          </w:tcPr>
          <w:p>
            <w:pPr>
              <w:pStyle w:val="yTableNAm"/>
              <w:spacing w:before="110"/>
              <w:rPr>
                <w:szCs w:val="22"/>
              </w:rPr>
            </w:pPr>
            <w:r>
              <w:rPr>
                <w:szCs w:val="22"/>
              </w:rPr>
              <w:t>Whole district other than townsites in Sandstone Ward</w:t>
            </w:r>
          </w:p>
        </w:tc>
        <w:tc>
          <w:tcPr>
            <w:tcW w:w="2731" w:type="dxa"/>
          </w:tcPr>
          <w:p>
            <w:pPr>
              <w:pStyle w:val="yTableNAm"/>
              <w:spacing w:before="110"/>
              <w:rPr>
                <w:szCs w:val="22"/>
              </w:rPr>
            </w:pPr>
            <w:r>
              <w:rPr>
                <w:szCs w:val="22"/>
              </w:rPr>
              <w:t>Whole district other than Sandstone Ward</w:t>
            </w:r>
          </w:p>
        </w:tc>
      </w:tr>
      <w:tr>
        <w:trPr>
          <w:cantSplit/>
        </w:trPr>
        <w:tc>
          <w:tcPr>
            <w:tcW w:w="1767" w:type="dxa"/>
          </w:tcPr>
          <w:p>
            <w:pPr>
              <w:pStyle w:val="yTableNAm"/>
              <w:spacing w:before="110"/>
              <w:rPr>
                <w:szCs w:val="22"/>
              </w:rPr>
            </w:pPr>
            <w:r>
              <w:rPr>
                <w:szCs w:val="22"/>
              </w:rPr>
              <w:t>Tammin</w:t>
            </w:r>
          </w:p>
        </w:tc>
        <w:tc>
          <w:tcPr>
            <w:tcW w:w="2627" w:type="dxa"/>
          </w:tcPr>
          <w:p>
            <w:pPr>
              <w:pStyle w:val="yTableNAm"/>
              <w:spacing w:before="110"/>
              <w:rPr>
                <w:szCs w:val="22"/>
              </w:rPr>
            </w:pPr>
            <w:r>
              <w:rPr>
                <w:szCs w:val="22"/>
              </w:rPr>
              <w:t>Whole district other than townsite of Tammin</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Three Springs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Trayning</w:t>
            </w:r>
          </w:p>
        </w:tc>
        <w:tc>
          <w:tcPr>
            <w:tcW w:w="2627" w:type="dxa"/>
          </w:tcPr>
          <w:p>
            <w:pPr>
              <w:pStyle w:val="yTableNAm"/>
              <w:spacing w:before="110"/>
              <w:rPr>
                <w:szCs w:val="22"/>
              </w:rPr>
            </w:pPr>
            <w:r>
              <w:rPr>
                <w:szCs w:val="22"/>
              </w:rPr>
              <w:t>Whole district other than townsites of Trayning, Kununoppin, Yelbeni</w:t>
            </w:r>
          </w:p>
        </w:tc>
        <w:tc>
          <w:tcPr>
            <w:tcW w:w="2731" w:type="dxa"/>
          </w:tcPr>
          <w:p>
            <w:pPr>
              <w:pStyle w:val="yTableNAm"/>
              <w:spacing w:before="110"/>
              <w:rPr>
                <w:szCs w:val="22"/>
              </w:rPr>
            </w:pPr>
            <w:r>
              <w:rPr>
                <w:szCs w:val="22"/>
              </w:rPr>
              <w:t>Whole district other than townsites of Trayning, Kununoppin, Yelbeni</w:t>
            </w:r>
          </w:p>
        </w:tc>
      </w:tr>
      <w:tr>
        <w:trPr>
          <w:cantSplit/>
        </w:trPr>
        <w:tc>
          <w:tcPr>
            <w:tcW w:w="1767" w:type="dxa"/>
          </w:tcPr>
          <w:p>
            <w:pPr>
              <w:pStyle w:val="yTableNAm"/>
              <w:spacing w:before="110"/>
              <w:rPr>
                <w:szCs w:val="22"/>
              </w:rPr>
            </w:pPr>
            <w:r>
              <w:rPr>
                <w:szCs w:val="22"/>
              </w:rPr>
              <w:t>Wagin</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 in Town Ward;</w:t>
            </w:r>
          </w:p>
          <w:p>
            <w:pPr>
              <w:pStyle w:val="yTableNAm"/>
              <w:tabs>
                <w:tab w:val="clear" w:pos="567"/>
                <w:tab w:val="left" w:pos="459"/>
              </w:tabs>
              <w:spacing w:before="80"/>
              <w:ind w:left="459" w:hanging="459"/>
              <w:rPr>
                <w:szCs w:val="22"/>
              </w:rPr>
            </w:pPr>
            <w:r>
              <w:rPr>
                <w:szCs w:val="22"/>
              </w:rPr>
              <w:t>(b)</w:t>
            </w:r>
            <w:r>
              <w:rPr>
                <w:szCs w:val="22"/>
              </w:rPr>
              <w:tab/>
              <w:t>Williams loc. 440, 507, 545, 618, 945, 1165 or 5330</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Wandering</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 of Wandering;</w:t>
            </w:r>
          </w:p>
          <w:p>
            <w:pPr>
              <w:pStyle w:val="yTableNAm"/>
              <w:tabs>
                <w:tab w:val="clear" w:pos="567"/>
                <w:tab w:val="left" w:pos="459"/>
              </w:tabs>
              <w:spacing w:before="0"/>
              <w:ind w:left="459" w:hanging="459"/>
              <w:rPr>
                <w:szCs w:val="22"/>
              </w:rPr>
            </w:pPr>
            <w:r>
              <w:rPr>
                <w:szCs w:val="22"/>
              </w:rPr>
              <w:t>(b)</w:t>
            </w:r>
            <w:r>
              <w:rPr>
                <w:szCs w:val="22"/>
              </w:rPr>
              <w:tab/>
              <w:t>areas zoned rural residential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West Arthur</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Wickepin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Williams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Wiluna</w:t>
            </w:r>
          </w:p>
        </w:tc>
        <w:tc>
          <w:tcPr>
            <w:tcW w:w="2627" w:type="dxa"/>
          </w:tcPr>
          <w:p>
            <w:pPr>
              <w:pStyle w:val="yTableNAm"/>
              <w:spacing w:before="110"/>
              <w:rPr>
                <w:szCs w:val="22"/>
              </w:rPr>
            </w:pPr>
            <w:r>
              <w:rPr>
                <w:szCs w:val="22"/>
              </w:rPr>
              <w:t>Whole district other than townsite of Wiluna</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Wongan</w:t>
            </w:r>
            <w:r>
              <w:rPr>
                <w:szCs w:val="22"/>
              </w:rPr>
              <w:noBreakHyphen/>
              <w:t>Ballidu</w:t>
            </w:r>
          </w:p>
        </w:tc>
        <w:tc>
          <w:tcPr>
            <w:tcW w:w="2627" w:type="dxa"/>
          </w:tcPr>
          <w:p>
            <w:pPr>
              <w:pStyle w:val="yTableNAm"/>
              <w:spacing w:before="110"/>
              <w:rPr>
                <w:szCs w:val="22"/>
              </w:rPr>
            </w:pPr>
            <w:r>
              <w:rPr>
                <w:szCs w:val="22"/>
              </w:rPr>
              <w:t>Whole district other than townsites of Wongan Hills, Ballidu, Cadoux, Kondut, Burakin</w:t>
            </w:r>
          </w:p>
        </w:tc>
        <w:tc>
          <w:tcPr>
            <w:tcW w:w="2731" w:type="dxa"/>
          </w:tcPr>
          <w:p>
            <w:pPr>
              <w:pStyle w:val="yTableNAm"/>
              <w:spacing w:before="110"/>
              <w:rPr>
                <w:szCs w:val="22"/>
              </w:rPr>
            </w:pPr>
            <w:r>
              <w:rPr>
                <w:szCs w:val="22"/>
              </w:rPr>
              <w:t>Whole district other than townsites of Wongan Hills, Ballidu, Cadoux, Kondut, Burakin</w:t>
            </w:r>
          </w:p>
        </w:tc>
      </w:tr>
      <w:tr>
        <w:trPr>
          <w:cantSplit/>
        </w:trPr>
        <w:tc>
          <w:tcPr>
            <w:tcW w:w="1767" w:type="dxa"/>
          </w:tcPr>
          <w:p>
            <w:pPr>
              <w:pStyle w:val="yTableNAm"/>
              <w:spacing w:before="110"/>
              <w:rPr>
                <w:szCs w:val="22"/>
              </w:rPr>
            </w:pPr>
            <w:r>
              <w:rPr>
                <w:szCs w:val="22"/>
              </w:rPr>
              <w:t>Woodanilling</w:t>
            </w:r>
          </w:p>
        </w:tc>
        <w:tc>
          <w:tcPr>
            <w:tcW w:w="2627" w:type="dxa"/>
          </w:tcPr>
          <w:p>
            <w:pPr>
              <w:pStyle w:val="yTableNAm"/>
              <w:spacing w:before="110"/>
              <w:rPr>
                <w:szCs w:val="22"/>
              </w:rPr>
            </w:pPr>
            <w:r>
              <w:rPr>
                <w:szCs w:val="22"/>
              </w:rPr>
              <w:t>Whole district other than townsite of Woodanilling</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Yalgoo</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Yilgarn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173" w:name="_Toc75515486"/>
      <w:r>
        <w:rPr>
          <w:rStyle w:val="CharSClsNo"/>
        </w:rPr>
        <w:t>2</w:t>
      </w:r>
      <w:r>
        <w:t>.</w:t>
      </w:r>
      <w:r>
        <w:tab/>
      </w:r>
      <w:r>
        <w:rPr>
          <w:rStyle w:val="CharSDivText"/>
        </w:rPr>
        <w:t>Kinds of building work for which a building permit is not required</w:t>
      </w:r>
      <w:bookmarkEnd w:id="173"/>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nil"/>
            </w:tcBorders>
          </w:tcPr>
          <w:p>
            <w:pPr>
              <w:pStyle w:val="yTableNAm"/>
              <w:rPr>
                <w:szCs w:val="22"/>
              </w:rPr>
            </w:pPr>
            <w:r>
              <w:rPr>
                <w:szCs w:val="22"/>
              </w:rPr>
              <w:t>2.</w:t>
            </w:r>
          </w:p>
        </w:tc>
        <w:tc>
          <w:tcPr>
            <w:tcW w:w="6274" w:type="dxa"/>
            <w:tcBorders>
              <w:bottom w:val="nil"/>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lastRenderedPageBreak/>
              <w:tab/>
              <w:t>(ii)</w:t>
            </w:r>
            <w:r>
              <w:rPr>
                <w:szCs w:val="22"/>
              </w:rPr>
              <w:tab/>
              <w:t>underpinning or replacement of footings; or</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lastRenderedPageBreak/>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lastRenderedPageBreak/>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pPr>
            <w:r>
              <w:t>9A.</w:t>
            </w:r>
          </w:p>
        </w:tc>
        <w:tc>
          <w:tcPr>
            <w:tcW w:w="6274" w:type="dxa"/>
          </w:tcPr>
          <w:p>
            <w:pPr>
              <w:pStyle w:val="yTableNAm"/>
            </w:pPr>
            <w:r>
              <w:t xml:space="preserve">Building work for a manufactured home or attachment as those terms are defined in the </w:t>
            </w:r>
            <w:r>
              <w:rPr>
                <w:i/>
              </w:rPr>
              <w:t>Caravan Parks and Camping Grounds Regulations 1997</w:t>
            </w:r>
            <w:r>
              <w:t xml:space="preserve"> regulation 40A.</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lastRenderedPageBreak/>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 SL 2020/11 r. 4.]</w:t>
      </w:r>
    </w:p>
    <w:p>
      <w:pPr>
        <w:sectPr>
          <w:headerReference w:type="even" r:id="rId28"/>
          <w:headerReference w:type="default" r:id="rId29"/>
          <w:pgSz w:w="11907" w:h="16840" w:code="9"/>
          <w:pgMar w:top="2381" w:right="2410" w:bottom="3544" w:left="2410" w:header="720" w:footer="3380" w:gutter="0"/>
          <w:cols w:space="720"/>
          <w:docGrid w:linePitch="326"/>
        </w:sectPr>
      </w:pPr>
    </w:p>
    <w:p>
      <w:pPr>
        <w:pStyle w:val="yScheduleHeading"/>
      </w:pPr>
      <w:bookmarkStart w:id="174" w:name="_Toc75350715"/>
      <w:bookmarkStart w:id="175" w:name="_Toc75351026"/>
      <w:bookmarkStart w:id="176" w:name="_Toc75515487"/>
      <w:r>
        <w:rPr>
          <w:rStyle w:val="CharSchNo"/>
        </w:rPr>
        <w:lastRenderedPageBreak/>
        <w:t>Schedule 5</w:t>
      </w:r>
      <w:r>
        <w:rPr>
          <w:rStyle w:val="CharSDivNo"/>
        </w:rPr>
        <w:t> </w:t>
      </w:r>
      <w:r>
        <w:t>—</w:t>
      </w:r>
      <w:r>
        <w:rPr>
          <w:rStyle w:val="CharSDivText"/>
        </w:rPr>
        <w:t> </w:t>
      </w:r>
      <w:r>
        <w:rPr>
          <w:rStyle w:val="CharSchText"/>
        </w:rPr>
        <w:t>Areas of State where Part 8 Division 2 applies</w:t>
      </w:r>
      <w:bookmarkEnd w:id="174"/>
      <w:bookmarkEnd w:id="175"/>
      <w:bookmarkEnd w:id="176"/>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r>
              <w:t>Albany</w:t>
            </w:r>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Belmont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Cambridge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Claremont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West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East 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r>
              <w:t>Harvey</w:t>
            </w:r>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r>
              <w:t>Kent</w:t>
            </w:r>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Mosman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r>
              <w:t>Murray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Northampton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South 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Stirling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York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30"/>
          <w:headerReference w:type="default" r:id="rId31"/>
          <w:pgSz w:w="11907" w:h="16840" w:code="9"/>
          <w:pgMar w:top="2381" w:right="2410" w:bottom="3544" w:left="2410" w:header="720" w:footer="3380" w:gutter="0"/>
          <w:cols w:space="720"/>
          <w:docGrid w:linePitch="326"/>
        </w:sectPr>
      </w:pPr>
    </w:p>
    <w:p>
      <w:pPr>
        <w:pStyle w:val="yScheduleHeading"/>
      </w:pPr>
      <w:bookmarkStart w:id="177" w:name="_Toc75350716"/>
      <w:bookmarkStart w:id="178" w:name="_Toc75351027"/>
      <w:bookmarkStart w:id="179" w:name="_Toc75515488"/>
      <w:r>
        <w:rPr>
          <w:rStyle w:val="CharSchNo"/>
        </w:rPr>
        <w:lastRenderedPageBreak/>
        <w:t>Schedule 6</w:t>
      </w:r>
      <w:r>
        <w:t> — </w:t>
      </w:r>
      <w:r>
        <w:rPr>
          <w:rStyle w:val="CharSchText"/>
        </w:rPr>
        <w:t>Prescribed offences and modified penalties</w:t>
      </w:r>
      <w:bookmarkEnd w:id="177"/>
      <w:bookmarkEnd w:id="178"/>
      <w:bookmarkEnd w:id="179"/>
    </w:p>
    <w:p>
      <w:pPr>
        <w:pStyle w:val="yShoulderClause"/>
      </w:pPr>
      <w:r>
        <w:t>[r. 69]</w:t>
      </w:r>
    </w:p>
    <w:p>
      <w:pPr>
        <w:pStyle w:val="yFootnoteheading"/>
      </w:pPr>
      <w:r>
        <w:tab/>
        <w:t>[Heading inserted: Gazette 26 Apr 2019 p. 1210.]</w:t>
      </w:r>
    </w:p>
    <w:p>
      <w:pPr>
        <w:pStyle w:val="yHeading3"/>
      </w:pPr>
      <w:bookmarkStart w:id="180" w:name="_Toc75350717"/>
      <w:bookmarkStart w:id="181" w:name="_Toc75351028"/>
      <w:bookmarkStart w:id="182" w:name="_Toc75515489"/>
      <w:r>
        <w:rPr>
          <w:rStyle w:val="CharSDivNo"/>
        </w:rPr>
        <w:t>Division 1</w:t>
      </w:r>
      <w:r>
        <w:t> — </w:t>
      </w:r>
      <w:r>
        <w:rPr>
          <w:rStyle w:val="CharSDivText"/>
        </w:rPr>
        <w:t>Offences under the Act</w:t>
      </w:r>
      <w:bookmarkEnd w:id="180"/>
      <w:bookmarkEnd w:id="181"/>
      <w:bookmarkEnd w:id="182"/>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rPr>
        <w:tc>
          <w:tcPr>
            <w:tcW w:w="5386"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33(1) </w:t>
            </w:r>
          </w:p>
        </w:tc>
        <w:tc>
          <w:tcPr>
            <w:tcW w:w="4394" w:type="dxa"/>
          </w:tcPr>
          <w:p>
            <w:pPr>
              <w:pStyle w:val="yTableNAm"/>
            </w:pPr>
            <w:r>
              <w:t xml:space="preserve">Failure to give notice of completion </w:t>
            </w:r>
          </w:p>
        </w:tc>
        <w:tc>
          <w:tcPr>
            <w:tcW w:w="1276" w:type="dxa"/>
            <w:vAlign w:val="bottom"/>
          </w:tcPr>
          <w:p>
            <w:pPr>
              <w:pStyle w:val="yTableNAm"/>
              <w:jc w:val="center"/>
            </w:pPr>
            <w:r>
              <w:t>$500</w:t>
            </w:r>
          </w:p>
        </w:tc>
      </w:tr>
      <w:tr>
        <w:trPr>
          <w:cantSplit/>
        </w:trPr>
        <w:tc>
          <w:tcPr>
            <w:tcW w:w="992" w:type="dxa"/>
          </w:tcPr>
          <w:p>
            <w:pPr>
              <w:pStyle w:val="yTableNAm"/>
            </w:pPr>
            <w:r>
              <w:t>s. 34(3)</w:t>
            </w:r>
          </w:p>
        </w:tc>
        <w:tc>
          <w:tcPr>
            <w:tcW w:w="4394" w:type="dxa"/>
          </w:tcPr>
          <w:p>
            <w:pPr>
              <w:pStyle w:val="yTableNAm"/>
            </w:pPr>
            <w:r>
              <w:t xml:space="preserve">Failure to give notice of cessation </w:t>
            </w:r>
          </w:p>
        </w:tc>
        <w:tc>
          <w:tcPr>
            <w:tcW w:w="1276" w:type="dxa"/>
            <w:vAlign w:val="bottom"/>
          </w:tcPr>
          <w:p>
            <w:pPr>
              <w:pStyle w:val="yTableNAm"/>
              <w:jc w:val="center"/>
            </w:pPr>
            <w:r>
              <w:t>$250</w:t>
            </w:r>
          </w:p>
        </w:tc>
      </w:tr>
      <w:tr>
        <w:trPr>
          <w:cantSplit/>
        </w:trPr>
        <w:tc>
          <w:tcPr>
            <w:tcW w:w="992" w:type="dxa"/>
          </w:tcPr>
          <w:p>
            <w:pPr>
              <w:pStyle w:val="yTableNAm"/>
            </w:pPr>
            <w:r>
              <w:t>s. 42</w:t>
            </w:r>
          </w:p>
        </w:tc>
        <w:tc>
          <w:tcPr>
            <w:tcW w:w="4394" w:type="dxa"/>
          </w:tcPr>
          <w:p>
            <w:pPr>
              <w:pStyle w:val="yTableNAm"/>
            </w:pPr>
            <w:r>
              <w:t xml:space="preserve">Failure to display or bring attention to occupancy permit details </w:t>
            </w:r>
          </w:p>
        </w:tc>
        <w:tc>
          <w:tcPr>
            <w:tcW w:w="1276" w:type="dxa"/>
            <w:vAlign w:val="bottom"/>
          </w:tcPr>
          <w:p>
            <w:pPr>
              <w:pStyle w:val="yTableNAm"/>
              <w:jc w:val="center"/>
            </w:pPr>
            <w:r>
              <w:t>$250</w:t>
            </w:r>
          </w:p>
        </w:tc>
      </w:tr>
      <w:tr>
        <w:trPr>
          <w:cantSplit/>
        </w:trPr>
        <w:tc>
          <w:tcPr>
            <w:tcW w:w="992" w:type="dxa"/>
          </w:tcPr>
          <w:p>
            <w:pPr>
              <w:pStyle w:val="yTableNAm"/>
            </w:pPr>
            <w:r>
              <w:t>s. 76(1)</w:t>
            </w:r>
          </w:p>
        </w:tc>
        <w:tc>
          <w:tcPr>
            <w:tcW w:w="4394" w:type="dxa"/>
          </w:tcPr>
          <w:p>
            <w:pPr>
              <w:pStyle w:val="yTableNAm"/>
            </w:pPr>
            <w:r>
              <w:t>Encroachment beyond boundaries without consent, court order or other authority</w:t>
            </w:r>
          </w:p>
        </w:tc>
        <w:tc>
          <w:tcPr>
            <w:tcW w:w="1276" w:type="dxa"/>
            <w:vAlign w:val="bottom"/>
          </w:tcPr>
          <w:p>
            <w:pPr>
              <w:pStyle w:val="yTableNAm"/>
              <w:jc w:val="center"/>
            </w:pPr>
            <w:r>
              <w:t>$2 500</w:t>
            </w:r>
          </w:p>
        </w:tc>
      </w:tr>
      <w:tr>
        <w:trPr>
          <w:cantSplit/>
        </w:trPr>
        <w:tc>
          <w:tcPr>
            <w:tcW w:w="992" w:type="dxa"/>
          </w:tcPr>
          <w:p>
            <w:pPr>
              <w:pStyle w:val="yTableNAm"/>
            </w:pPr>
            <w:r>
              <w:t>s. 80(1)</w:t>
            </w:r>
          </w:p>
        </w:tc>
        <w:tc>
          <w:tcPr>
            <w:tcW w:w="4394" w:type="dxa"/>
          </w:tcPr>
          <w:p>
            <w:pPr>
              <w:pStyle w:val="yTableNAm"/>
            </w:pPr>
            <w:r>
              <w:t>Removal of fence, gate or other barrier to land without consent, court order or other authority</w:t>
            </w:r>
          </w:p>
        </w:tc>
        <w:tc>
          <w:tcPr>
            <w:tcW w:w="1276" w:type="dxa"/>
            <w:vAlign w:val="bottom"/>
          </w:tcPr>
          <w:p>
            <w:pPr>
              <w:pStyle w:val="yTableNAm"/>
              <w:jc w:val="center"/>
            </w:pPr>
            <w:r>
              <w:t>$1 000</w:t>
            </w:r>
          </w:p>
        </w:tc>
      </w:tr>
      <w:tr>
        <w:trPr>
          <w:cantSplit/>
        </w:trPr>
        <w:tc>
          <w:tcPr>
            <w:tcW w:w="992" w:type="dxa"/>
          </w:tcPr>
          <w:p>
            <w:pPr>
              <w:pStyle w:val="yTableNAm"/>
            </w:pPr>
            <w:r>
              <w:t>s. 80(3)</w:t>
            </w:r>
          </w:p>
        </w:tc>
        <w:tc>
          <w:tcPr>
            <w:tcW w:w="4394" w:type="dxa"/>
          </w:tcPr>
          <w:p>
            <w:pPr>
              <w:pStyle w:val="yTableNAm"/>
            </w:pPr>
            <w:r>
              <w:t>Failure to erect adequate temporary barrier</w:t>
            </w:r>
          </w:p>
        </w:tc>
        <w:tc>
          <w:tcPr>
            <w:tcW w:w="1276" w:type="dxa"/>
            <w:vAlign w:val="bottom"/>
          </w:tcPr>
          <w:p>
            <w:pPr>
              <w:pStyle w:val="yTableNAm"/>
              <w:jc w:val="center"/>
            </w:pPr>
            <w:r>
              <w:t>$1 000</w:t>
            </w:r>
          </w:p>
        </w:tc>
      </w:tr>
    </w:tbl>
    <w:p>
      <w:pPr>
        <w:pStyle w:val="yFootnotesection"/>
      </w:pPr>
      <w:r>
        <w:tab/>
        <w:t>[Division 1 inserted: Gazette 26 Apr 2019 p. 1210.]</w:t>
      </w:r>
    </w:p>
    <w:p>
      <w:pPr>
        <w:pStyle w:val="yHeading3"/>
      </w:pPr>
      <w:bookmarkStart w:id="183" w:name="_Toc75350718"/>
      <w:bookmarkStart w:id="184" w:name="_Toc75351029"/>
      <w:bookmarkStart w:id="185" w:name="_Toc75515490"/>
      <w:r>
        <w:rPr>
          <w:rStyle w:val="CharSDivNo"/>
        </w:rPr>
        <w:t>Division 2</w:t>
      </w:r>
      <w:r>
        <w:t> — </w:t>
      </w:r>
      <w:r>
        <w:rPr>
          <w:rStyle w:val="CharSDivText"/>
        </w:rPr>
        <w:t>Offences under these regulations</w:t>
      </w:r>
      <w:bookmarkEnd w:id="183"/>
      <w:bookmarkEnd w:id="184"/>
      <w:bookmarkEnd w:id="185"/>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tcPr>
          <w:p>
            <w:pPr>
              <w:pStyle w:val="yTableNAm"/>
              <w:jc w:val="center"/>
            </w:pPr>
            <w:r>
              <w:rPr>
                <w:b/>
              </w:rPr>
              <w:t>Offence under these regulations</w:t>
            </w:r>
          </w:p>
        </w:tc>
        <w:tc>
          <w:tcPr>
            <w:tcW w:w="1276" w:type="dxa"/>
          </w:tcPr>
          <w:p>
            <w:pPr>
              <w:pStyle w:val="yTableNAm"/>
              <w:jc w:val="center"/>
            </w:pPr>
            <w:r>
              <w:rPr>
                <w:b/>
              </w:rPr>
              <w:t>Modified penalty</w:t>
            </w:r>
          </w:p>
        </w:tc>
      </w:tr>
      <w:tr>
        <w:trPr>
          <w:cantSplit/>
        </w:trPr>
        <w:tc>
          <w:tcPr>
            <w:tcW w:w="992" w:type="dxa"/>
          </w:tcPr>
          <w:p>
            <w:pPr>
              <w:pStyle w:val="yTableNAm"/>
            </w:pPr>
            <w:r>
              <w:t>r. 50(1)</w:t>
            </w:r>
          </w:p>
        </w:tc>
        <w:tc>
          <w:tcPr>
            <w:tcW w:w="4394" w:type="dxa"/>
          </w:tcPr>
          <w:p>
            <w:pPr>
              <w:pStyle w:val="yTableNAm"/>
            </w:pPr>
            <w:r>
              <w:t>Failure to install barrier around private swimming pool</w:t>
            </w:r>
          </w:p>
        </w:tc>
        <w:tc>
          <w:tcPr>
            <w:tcW w:w="1276" w:type="dxa"/>
            <w:vAlign w:val="bottom"/>
          </w:tcPr>
          <w:p>
            <w:pPr>
              <w:pStyle w:val="yTableNAm"/>
              <w:jc w:val="center"/>
            </w:pPr>
            <w:r>
              <w:t>$1 000</w:t>
            </w:r>
          </w:p>
        </w:tc>
      </w:tr>
      <w:tr>
        <w:trPr>
          <w:cantSplit/>
        </w:trPr>
        <w:tc>
          <w:tcPr>
            <w:tcW w:w="992" w:type="dxa"/>
          </w:tcPr>
          <w:p>
            <w:pPr>
              <w:pStyle w:val="yTableNAm"/>
            </w:pPr>
            <w:r>
              <w:t>r. 56(1)</w:t>
            </w:r>
          </w:p>
        </w:tc>
        <w:tc>
          <w:tcPr>
            <w:tcW w:w="4394" w:type="dxa"/>
          </w:tcPr>
          <w:p>
            <w:pPr>
              <w:pStyle w:val="yTableNAm"/>
            </w:pPr>
            <w:r>
              <w:t>Failure to ensure smoke alarms compliant prior to transfer of dwelling</w:t>
            </w:r>
          </w:p>
        </w:tc>
        <w:tc>
          <w:tcPr>
            <w:tcW w:w="1276" w:type="dxa"/>
            <w:vAlign w:val="bottom"/>
          </w:tcPr>
          <w:p>
            <w:pPr>
              <w:pStyle w:val="yTableNAm"/>
              <w:jc w:val="center"/>
            </w:pPr>
            <w:r>
              <w:t>$1 000</w:t>
            </w:r>
          </w:p>
        </w:tc>
      </w:tr>
      <w:tr>
        <w:trPr>
          <w:cantSplit/>
        </w:trPr>
        <w:tc>
          <w:tcPr>
            <w:tcW w:w="992" w:type="dxa"/>
          </w:tcPr>
          <w:p>
            <w:pPr>
              <w:pStyle w:val="yTableNAm"/>
            </w:pPr>
            <w:r>
              <w:lastRenderedPageBreak/>
              <w:t>r. 58</w:t>
            </w:r>
          </w:p>
        </w:tc>
        <w:tc>
          <w:tcPr>
            <w:tcW w:w="4394" w:type="dxa"/>
          </w:tcPr>
          <w:p>
            <w:pPr>
              <w:pStyle w:val="yTableNAm"/>
            </w:pPr>
            <w:r>
              <w:t>Failure to ensure smoke alarms compliant prior to tenancy</w:t>
            </w:r>
          </w:p>
        </w:tc>
        <w:tc>
          <w:tcPr>
            <w:tcW w:w="1276" w:type="dxa"/>
            <w:vAlign w:val="bottom"/>
          </w:tcPr>
          <w:p>
            <w:pPr>
              <w:pStyle w:val="yTableNAm"/>
              <w:jc w:val="center"/>
            </w:pPr>
            <w:r>
              <w:t>$1 000</w:t>
            </w:r>
          </w:p>
        </w:tc>
      </w:tr>
      <w:tr>
        <w:trPr>
          <w:cantSplit/>
        </w:trPr>
        <w:tc>
          <w:tcPr>
            <w:tcW w:w="992" w:type="dxa"/>
          </w:tcPr>
          <w:p>
            <w:pPr>
              <w:pStyle w:val="yTableNAm"/>
            </w:pPr>
            <w:r>
              <w:t>r. 59</w:t>
            </w:r>
          </w:p>
        </w:tc>
        <w:tc>
          <w:tcPr>
            <w:tcW w:w="4394" w:type="dxa"/>
          </w:tcPr>
          <w:p>
            <w:pPr>
              <w:pStyle w:val="yTableNAm"/>
            </w:pPr>
            <w:r>
              <w:t>Failure to ensure smoke alarms compliant prior to hire of dwelling</w:t>
            </w:r>
          </w:p>
        </w:tc>
        <w:tc>
          <w:tcPr>
            <w:tcW w:w="1276" w:type="dxa"/>
            <w:vAlign w:val="bottom"/>
          </w:tcPr>
          <w:p>
            <w:pPr>
              <w:pStyle w:val="yTableNAm"/>
              <w:jc w:val="center"/>
            </w:pPr>
            <w:r>
              <w:t>$1 000</w:t>
            </w:r>
          </w:p>
        </w:tc>
      </w:tr>
    </w:tbl>
    <w:p>
      <w:pPr>
        <w:pStyle w:val="yFootnotesection"/>
      </w:pPr>
      <w:r>
        <w:tab/>
        <w:t>[Division 2 inserted: Gazette 26 Apr 2019 p. 1210.]</w:t>
      </w:r>
    </w:p>
    <w:p>
      <w:pPr>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yScheduleHeading"/>
      </w:pPr>
      <w:bookmarkStart w:id="186" w:name="_Toc75350719"/>
      <w:bookmarkStart w:id="187" w:name="_Toc75351030"/>
      <w:bookmarkStart w:id="188" w:name="_Toc75515491"/>
      <w:r>
        <w:rPr>
          <w:rStyle w:val="CharSchNo"/>
        </w:rPr>
        <w:lastRenderedPageBreak/>
        <w:t>Schedule 7</w:t>
      </w:r>
      <w:r>
        <w:rPr>
          <w:rStyle w:val="CharSDivNo"/>
        </w:rPr>
        <w:t> </w:t>
      </w:r>
      <w:r>
        <w:t>—</w:t>
      </w:r>
      <w:r>
        <w:rPr>
          <w:rStyle w:val="CharSDivText"/>
        </w:rPr>
        <w:t> </w:t>
      </w:r>
      <w:r>
        <w:rPr>
          <w:rStyle w:val="CharSchText"/>
        </w:rPr>
        <w:t>Forms</w:t>
      </w:r>
      <w:bookmarkEnd w:id="186"/>
      <w:bookmarkEnd w:id="187"/>
      <w:bookmarkEnd w:id="188"/>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lastRenderedPageBreak/>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w:t>
            </w:r>
            <w:r>
              <w:lastRenderedPageBreak/>
              <w:t xml:space="preserve">‘Approved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 26 Apr 2019 p. 1211; SL 2020/163 r. 6.]</w:t>
      </w:r>
    </w:p>
    <w:p>
      <w:pPr>
        <w:pStyle w:val="yMiscellaneousHeading"/>
        <w:pageBreakBefore/>
        <w:spacing w:after="80"/>
        <w:jc w:val="left"/>
        <w:rPr>
          <w:b/>
        </w:rPr>
      </w:pPr>
      <w:r>
        <w:rPr>
          <w:rStyle w:val="CharSClsNo"/>
          <w:b/>
        </w:rPr>
        <w:lastRenderedPageBreak/>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lastRenderedPageBreak/>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 amended: Gazette 26 Apr 2019 p. 1211.]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5"/>
          <w:headerReference w:type="default" r:id="rId36"/>
          <w:endnotePr>
            <w:numFmt w:val="decimal"/>
          </w:endnotePr>
          <w:pgSz w:w="11907" w:h="16840" w:code="9"/>
          <w:pgMar w:top="2381" w:right="2410" w:bottom="3544" w:left="2410" w:header="720" w:footer="3380" w:gutter="0"/>
          <w:cols w:space="720"/>
          <w:docGrid w:linePitch="326"/>
        </w:sectPr>
      </w:pPr>
    </w:p>
    <w:p>
      <w:pPr>
        <w:pStyle w:val="nHeading2"/>
      </w:pPr>
      <w:bookmarkStart w:id="189" w:name="_Toc75350720"/>
      <w:bookmarkStart w:id="190" w:name="_Toc75351031"/>
      <w:bookmarkStart w:id="191" w:name="_Toc75515492"/>
      <w:r>
        <w:lastRenderedPageBreak/>
        <w:t>Notes</w:t>
      </w:r>
      <w:bookmarkEnd w:id="189"/>
      <w:bookmarkEnd w:id="190"/>
      <w:bookmarkEnd w:id="191"/>
    </w:p>
    <w:p>
      <w:pPr>
        <w:pStyle w:val="nStatement"/>
      </w:pPr>
      <w:r>
        <w:t xml:space="preserve">This is a compilation of the </w:t>
      </w:r>
      <w:r>
        <w:rPr>
          <w:i/>
          <w:noProof/>
        </w:rPr>
        <w:t>Building Regulations 2012</w:t>
      </w:r>
      <w:r>
        <w:t xml:space="preserve"> and includes amendments made by other written laws. For provisions that have come into operation, and for information about any reprints, see the compilation table. </w:t>
      </w:r>
    </w:p>
    <w:p>
      <w:pPr>
        <w:pStyle w:val="nHeading3"/>
      </w:pPr>
      <w:bookmarkStart w:id="192" w:name="_Toc75515493"/>
      <w:r>
        <w:t>Compilation table</w:t>
      </w:r>
      <w:bookmarkEnd w:id="19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blPrEx>
          <w:tblBorders>
            <w:top w:val="single" w:sz="4" w:space="0" w:color="auto"/>
            <w:insideH w:val="single" w:sz="4" w:space="0" w:color="auto"/>
          </w:tblBorders>
        </w:tblPrEx>
        <w:trPr>
          <w:cantSplit/>
        </w:trPr>
        <w:tc>
          <w:tcPr>
            <w:tcW w:w="3118" w:type="dxa"/>
            <w:tcBorders>
              <w:top w:val="nil"/>
              <w:bottom w:val="nil"/>
            </w:tcBorders>
            <w:shd w:val="clear" w:color="auto" w:fill="auto"/>
          </w:tcPr>
          <w:p>
            <w:pPr>
              <w:pStyle w:val="nTable"/>
              <w:spacing w:after="40"/>
              <w:rPr>
                <w:i/>
                <w:noProof/>
                <w:snapToGrid w:val="0"/>
              </w:rPr>
            </w:pPr>
            <w:r>
              <w:rPr>
                <w:i/>
              </w:rPr>
              <w:lastRenderedPageBreak/>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snapToGrid w:val="0"/>
              </w:rPr>
            </w:pPr>
            <w:r>
              <w:rPr>
                <w:bCs/>
                <w:snapToGrid w:val="0"/>
              </w:rPr>
              <w:t>r. 1 and 2: 5</w:t>
            </w:r>
            <w:r>
              <w:rPr>
                <w:spacing w:val="-4"/>
              </w:rPr>
              <w:t> Apr 2016</w:t>
            </w:r>
            <w:r>
              <w:rPr>
                <w:bCs/>
                <w:snapToGrid w:val="0"/>
              </w:rPr>
              <w:t xml:space="preserve"> (see r. 2(a));</w:t>
            </w:r>
            <w:r>
              <w:rPr>
                <w:bCs/>
                <w:snapToGrid w:val="0"/>
              </w:rPr>
              <w:br/>
              <w:t>Regulations other than r. 1 and 2: 8</w:t>
            </w:r>
            <w:r>
              <w:rPr>
                <w:spacing w:val="-4"/>
              </w:rPr>
              <w:t> Apr 2016</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rPr>
          <w:cantSplit/>
        </w:trPr>
        <w:tc>
          <w:tcPr>
            <w:tcW w:w="3118" w:type="dxa"/>
            <w:tcBorders>
              <w:top w:val="nil"/>
              <w:bottom w:val="nil"/>
            </w:tcBorders>
          </w:tcPr>
          <w:p>
            <w:pPr>
              <w:pStyle w:val="nTable"/>
              <w:spacing w:after="40"/>
            </w:pPr>
            <w:r>
              <w:rPr>
                <w:i/>
              </w:rPr>
              <w:lastRenderedPageBreak/>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t>Regulations other than r. 1 and 2: 10</w:t>
            </w:r>
            <w:r>
              <w:t> Mar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2018</w:t>
            </w:r>
          </w:p>
        </w:tc>
        <w:tc>
          <w:tcPr>
            <w:tcW w:w="1276" w:type="dxa"/>
            <w:tcBorders>
              <w:top w:val="nil"/>
              <w:bottom w:val="nil"/>
            </w:tcBorders>
          </w:tcPr>
          <w:p>
            <w:pPr>
              <w:pStyle w:val="nTable"/>
              <w:spacing w:after="40"/>
            </w:pPr>
            <w:r>
              <w:t>5 Oct 2018 p. 4013</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2019</w:t>
            </w:r>
          </w:p>
        </w:tc>
        <w:tc>
          <w:tcPr>
            <w:tcW w:w="1276" w:type="dxa"/>
            <w:tcBorders>
              <w:top w:val="nil"/>
              <w:bottom w:val="nil"/>
            </w:tcBorders>
          </w:tcPr>
          <w:p>
            <w:pPr>
              <w:pStyle w:val="nTable"/>
              <w:spacing w:after="40"/>
            </w:pPr>
            <w:r>
              <w:t>26 Mar 2019 p. 943</w:t>
            </w:r>
            <w:r>
              <w:noBreakHyphen/>
              <w:t>6</w:t>
            </w:r>
          </w:p>
        </w:tc>
        <w:tc>
          <w:tcPr>
            <w:tcW w:w="2693" w:type="dxa"/>
            <w:tcBorders>
              <w:top w:val="nil"/>
              <w:bottom w:val="nil"/>
            </w:tcBorders>
          </w:tcPr>
          <w:p>
            <w:pPr>
              <w:pStyle w:val="nTable"/>
              <w:spacing w:after="40"/>
              <w:rPr>
                <w:bCs/>
                <w:snapToGrid w:val="0"/>
                <w:spacing w:val="-2"/>
              </w:rPr>
            </w:pPr>
            <w:r>
              <w:rPr>
                <w:bCs/>
                <w:snapToGrid w:val="0"/>
                <w:spacing w:val="-2"/>
              </w:rPr>
              <w:t>r. 1 and 2: 26 Mar 2019 (see r. 2(a));</w:t>
            </w:r>
            <w:r>
              <w:rPr>
                <w:bCs/>
                <w:snapToGrid w:val="0"/>
                <w:spacing w:val="-2"/>
              </w:rPr>
              <w:br/>
              <w:t xml:space="preserve">Regulations other than r. 1 and 2: </w:t>
            </w:r>
            <w:r>
              <w:t>1 May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2</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2019</w:t>
            </w:r>
          </w:p>
        </w:tc>
        <w:tc>
          <w:tcPr>
            <w:tcW w:w="1276" w:type="dxa"/>
            <w:tcBorders>
              <w:top w:val="nil"/>
              <w:bottom w:val="nil"/>
            </w:tcBorders>
          </w:tcPr>
          <w:p>
            <w:pPr>
              <w:pStyle w:val="nTable"/>
              <w:keepNext/>
              <w:spacing w:after="40"/>
            </w:pPr>
            <w:r>
              <w:t>2 Aug 2019 p. 2990-1</w:t>
            </w:r>
          </w:p>
        </w:tc>
        <w:tc>
          <w:tcPr>
            <w:tcW w:w="2693" w:type="dxa"/>
            <w:tcBorders>
              <w:top w:val="nil"/>
              <w:bottom w:val="nil"/>
            </w:tcBorders>
          </w:tcPr>
          <w:p>
            <w:pPr>
              <w:pStyle w:val="nTable"/>
              <w:keepNext/>
              <w:spacing w:after="40"/>
            </w:pPr>
            <w:r>
              <w:rPr>
                <w:bCs/>
                <w:snapToGrid w:val="0"/>
                <w:spacing w:val="-2"/>
              </w:rPr>
              <w:t>r. 1 and 2: 2 Aug 2019 (see r. 2(a));</w:t>
            </w:r>
            <w:r>
              <w:rPr>
                <w:bCs/>
                <w:snapToGrid w:val="0"/>
                <w:spacing w:val="-2"/>
              </w:rPr>
              <w:br/>
              <w:t>Regulations other than r. 1 and 2: 3</w:t>
            </w:r>
            <w:r>
              <w:t> Aug 2019 (see r. 2(b))</w:t>
            </w:r>
          </w:p>
        </w:tc>
      </w:tr>
      <w:tr>
        <w:tblPrEx>
          <w:tblBorders>
            <w:top w:val="single" w:sz="4" w:space="0" w:color="auto"/>
            <w:insideH w:val="single" w:sz="4" w:space="0" w:color="auto"/>
          </w:tblBorders>
        </w:tblPrEx>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lastRenderedPageBreak/>
              <w:t xml:space="preserve">Reprint 4: The </w:t>
            </w:r>
            <w:r>
              <w:rPr>
                <w:b/>
                <w:bCs/>
                <w:i/>
                <w:noProof/>
                <w:snapToGrid w:val="0"/>
                <w:spacing w:val="-2"/>
              </w:rPr>
              <w:t>Building Regulations 2012</w:t>
            </w:r>
            <w:r>
              <w:rPr>
                <w:b/>
                <w:bCs/>
                <w:snapToGrid w:val="0"/>
                <w:spacing w:val="-2"/>
              </w:rPr>
              <w:t xml:space="preserve"> as at 1 Nov 2019</w:t>
            </w:r>
            <w:r>
              <w:rPr>
                <w:bCs/>
                <w:snapToGrid w:val="0"/>
                <w:spacing w:val="-2"/>
              </w:rPr>
              <w:t xml:space="preserve"> (includes amendments listed above)</w:t>
            </w:r>
          </w:p>
        </w:tc>
      </w:tr>
      <w:tr>
        <w:trPr>
          <w:cantSplit/>
        </w:trPr>
        <w:tc>
          <w:tcPr>
            <w:tcW w:w="3118" w:type="dxa"/>
            <w:tcBorders>
              <w:top w:val="nil"/>
              <w:bottom w:val="nil"/>
              <w:right w:val="nil"/>
            </w:tcBorders>
          </w:tcPr>
          <w:p>
            <w:pPr>
              <w:pStyle w:val="nTable"/>
              <w:spacing w:after="40"/>
              <w:rPr>
                <w:i/>
              </w:rPr>
            </w:pPr>
            <w:r>
              <w:rPr>
                <w:i/>
              </w:rPr>
              <w:t>Commerce Regulations Amendment (Strata Titles) Regulations 2019</w:t>
            </w:r>
            <w:r>
              <w:t xml:space="preserve"> Pt. 2</w:t>
            </w:r>
          </w:p>
        </w:tc>
        <w:tc>
          <w:tcPr>
            <w:tcW w:w="1276" w:type="dxa"/>
            <w:tcBorders>
              <w:top w:val="nil"/>
              <w:left w:val="nil"/>
              <w:bottom w:val="nil"/>
              <w:right w:val="nil"/>
            </w:tcBorders>
          </w:tcPr>
          <w:p>
            <w:pPr>
              <w:pStyle w:val="nTable"/>
              <w:keepLines/>
              <w:spacing w:after="40"/>
            </w:pPr>
            <w:r>
              <w:t>31 Dec 2019 p. 4637-46</w:t>
            </w:r>
          </w:p>
        </w:tc>
        <w:tc>
          <w:tcPr>
            <w:tcW w:w="2693" w:type="dxa"/>
            <w:tcBorders>
              <w:top w:val="nil"/>
              <w:left w:val="nil"/>
              <w:bottom w:val="nil"/>
            </w:tcBorders>
          </w:tcPr>
          <w:p>
            <w:pPr>
              <w:pStyle w:val="nTable"/>
              <w:keepLines/>
              <w:spacing w:after="40"/>
              <w:rPr>
                <w:bCs/>
                <w:snapToGrid w:val="0"/>
                <w:spacing w:val="-2"/>
              </w:rPr>
            </w:pPr>
            <w:r>
              <w:t>1 May 2020 (see r. 2(b) and SL 2020/39 cl. 2)</w:t>
            </w:r>
          </w:p>
        </w:tc>
      </w:tr>
      <w:tr>
        <w:trPr>
          <w:cantSplit/>
        </w:trPr>
        <w:tc>
          <w:tcPr>
            <w:tcW w:w="3118" w:type="dxa"/>
            <w:tcBorders>
              <w:top w:val="nil"/>
              <w:bottom w:val="nil"/>
              <w:right w:val="nil"/>
            </w:tcBorders>
          </w:tcPr>
          <w:p>
            <w:pPr>
              <w:pStyle w:val="nTable"/>
              <w:spacing w:after="40"/>
              <w:rPr>
                <w:i/>
              </w:rPr>
            </w:pPr>
            <w:r>
              <w:rPr>
                <w:i/>
              </w:rPr>
              <w:t>Building Amendment Regulations 2020</w:t>
            </w:r>
          </w:p>
        </w:tc>
        <w:tc>
          <w:tcPr>
            <w:tcW w:w="1276" w:type="dxa"/>
            <w:tcBorders>
              <w:top w:val="nil"/>
              <w:left w:val="nil"/>
              <w:bottom w:val="nil"/>
              <w:right w:val="nil"/>
            </w:tcBorders>
          </w:tcPr>
          <w:p>
            <w:pPr>
              <w:pStyle w:val="nTable"/>
              <w:keepLines/>
              <w:spacing w:after="40"/>
            </w:pPr>
            <w:r>
              <w:t>SL 2020/11</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 and SL 2020/12 r. 7)</w:t>
            </w:r>
          </w:p>
        </w:tc>
      </w:tr>
      <w:tr>
        <w:trPr>
          <w:cantSplit/>
        </w:trPr>
        <w:tc>
          <w:tcPr>
            <w:tcW w:w="3118" w:type="dxa"/>
            <w:tcBorders>
              <w:top w:val="nil"/>
              <w:bottom w:val="nil"/>
              <w:right w:val="nil"/>
            </w:tcBorders>
          </w:tcPr>
          <w:p>
            <w:pPr>
              <w:pStyle w:val="nTable"/>
              <w:spacing w:after="40"/>
              <w:rPr>
                <w:i/>
              </w:rPr>
            </w:pPr>
            <w:r>
              <w:rPr>
                <w:i/>
              </w:rPr>
              <w:t>Building Amendment Regulations (No. 2) 2020</w:t>
            </w:r>
          </w:p>
        </w:tc>
        <w:tc>
          <w:tcPr>
            <w:tcW w:w="1276" w:type="dxa"/>
            <w:tcBorders>
              <w:top w:val="nil"/>
              <w:left w:val="nil"/>
              <w:bottom w:val="nil"/>
              <w:right w:val="nil"/>
            </w:tcBorders>
          </w:tcPr>
          <w:p>
            <w:pPr>
              <w:pStyle w:val="nTable"/>
              <w:keepLines/>
              <w:spacing w:after="40"/>
            </w:pPr>
            <w:r>
              <w:t>SL 2020/28</w:t>
            </w:r>
            <w:r>
              <w:br/>
              <w:t>31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31 Mar 2020 (see r. 2(a));</w:t>
            </w:r>
            <w:r>
              <w:rPr>
                <w:bCs/>
                <w:snapToGrid w:val="0"/>
                <w:spacing w:val="-2"/>
              </w:rPr>
              <w:br/>
              <w:t>Regulations other than r. 1 and 2: 1 Apr 2020 (see r. 2(b))</w:t>
            </w:r>
          </w:p>
        </w:tc>
      </w:tr>
      <w:tr>
        <w:trPr>
          <w:cantSplit/>
        </w:trPr>
        <w:tc>
          <w:tcPr>
            <w:tcW w:w="3118" w:type="dxa"/>
            <w:tcBorders>
              <w:top w:val="nil"/>
              <w:bottom w:val="nil"/>
              <w:right w:val="nil"/>
            </w:tcBorders>
          </w:tcPr>
          <w:p>
            <w:pPr>
              <w:pStyle w:val="nTable"/>
              <w:spacing w:after="40"/>
              <w:rPr>
                <w:i/>
              </w:rPr>
            </w:pPr>
            <w:r>
              <w:rPr>
                <w:i/>
              </w:rPr>
              <w:t>Building Amendment Regulations (No. 3) 2020</w:t>
            </w:r>
          </w:p>
        </w:tc>
        <w:tc>
          <w:tcPr>
            <w:tcW w:w="1276" w:type="dxa"/>
            <w:tcBorders>
              <w:top w:val="nil"/>
              <w:left w:val="nil"/>
              <w:bottom w:val="nil"/>
              <w:right w:val="nil"/>
            </w:tcBorders>
          </w:tcPr>
          <w:p>
            <w:pPr>
              <w:pStyle w:val="nTable"/>
              <w:keepLines/>
              <w:spacing w:after="40"/>
            </w:pPr>
            <w:r>
              <w:t>SL 2020/46</w:t>
            </w:r>
            <w:r>
              <w:br/>
              <w:t>24 Apr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24 Apr 2020</w:t>
            </w:r>
            <w:r>
              <w:rPr>
                <w:bCs/>
                <w:snapToGrid w:val="0"/>
                <w:spacing w:val="-2"/>
              </w:rPr>
              <w:t xml:space="preserve"> (see r. 2(a));</w:t>
            </w:r>
            <w:r>
              <w:rPr>
                <w:bCs/>
                <w:snapToGrid w:val="0"/>
                <w:spacing w:val="-2"/>
              </w:rPr>
              <w:br/>
              <w:t xml:space="preserve">Regulations other than r. 1 and 2: </w:t>
            </w:r>
            <w:r>
              <w:t>25 Apr 2020</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Commerce Regulations Amendment (Infringement Notices) Regulations 2020</w:t>
            </w:r>
            <w:r>
              <w:t xml:space="preserve"> Pt. 3</w:t>
            </w:r>
          </w:p>
        </w:tc>
        <w:tc>
          <w:tcPr>
            <w:tcW w:w="1276" w:type="dxa"/>
            <w:tcBorders>
              <w:top w:val="nil"/>
              <w:left w:val="nil"/>
              <w:bottom w:val="nil"/>
              <w:right w:val="nil"/>
            </w:tcBorders>
          </w:tcPr>
          <w:p>
            <w:pPr>
              <w:pStyle w:val="nTable"/>
              <w:keepLines/>
              <w:spacing w:after="40"/>
            </w:pPr>
            <w:r>
              <w:t>SL 2020/163 25 Sep 2020</w:t>
            </w:r>
          </w:p>
        </w:tc>
        <w:tc>
          <w:tcPr>
            <w:tcW w:w="2693" w:type="dxa"/>
            <w:tcBorders>
              <w:top w:val="nil"/>
              <w:left w:val="nil"/>
              <w:bottom w:val="nil"/>
            </w:tcBorders>
          </w:tcPr>
          <w:p>
            <w:pPr>
              <w:pStyle w:val="nTable"/>
              <w:keepLines/>
              <w:spacing w:after="40"/>
              <w:rPr>
                <w:bCs/>
                <w:snapToGrid w:val="0"/>
                <w:spacing w:val="-2"/>
              </w:rPr>
            </w:pPr>
            <w:r>
              <w:t>29 Sep 2020 (see r. 2(b) and SL 2020/159 cl. 2(a))</w:t>
            </w:r>
          </w:p>
        </w:tc>
      </w:tr>
      <w:tr>
        <w:trPr>
          <w:cantSplit/>
        </w:trPr>
        <w:tc>
          <w:tcPr>
            <w:tcW w:w="3118" w:type="dxa"/>
            <w:tcBorders>
              <w:top w:val="nil"/>
              <w:bottom w:val="nil"/>
              <w:right w:val="nil"/>
            </w:tcBorders>
          </w:tcPr>
          <w:p>
            <w:pPr>
              <w:pStyle w:val="nTable"/>
              <w:spacing w:after="40"/>
              <w:rPr>
                <w:i/>
              </w:rPr>
            </w:pPr>
            <w:r>
              <w:rPr>
                <w:i/>
              </w:rPr>
              <w:t>Building Amendment Regulations (No. 5) 2020</w:t>
            </w:r>
          </w:p>
        </w:tc>
        <w:tc>
          <w:tcPr>
            <w:tcW w:w="1276" w:type="dxa"/>
            <w:tcBorders>
              <w:top w:val="nil"/>
              <w:left w:val="nil"/>
              <w:bottom w:val="nil"/>
              <w:right w:val="nil"/>
            </w:tcBorders>
          </w:tcPr>
          <w:p>
            <w:pPr>
              <w:pStyle w:val="nTable"/>
              <w:keepLines/>
              <w:spacing w:after="40"/>
            </w:pPr>
            <w:r>
              <w:t>SL 2020/192 9 Oct 2020</w:t>
            </w:r>
          </w:p>
        </w:tc>
        <w:tc>
          <w:tcPr>
            <w:tcW w:w="2693" w:type="dxa"/>
            <w:tcBorders>
              <w:top w:val="nil"/>
              <w:left w:val="nil"/>
              <w:bottom w:val="nil"/>
            </w:tcBorders>
          </w:tcPr>
          <w:p>
            <w:pPr>
              <w:pStyle w:val="nTable"/>
              <w:keepLines/>
              <w:spacing w:after="40"/>
            </w:pPr>
            <w:r>
              <w:t>r. 1 and 2: 9 Oct 2020 (see r. 2(a));</w:t>
            </w:r>
            <w:r>
              <w:br/>
              <w:t>Regulations other than r. 1 and 2: 10 Oct 2020 (see r. 2(b))</w:t>
            </w:r>
          </w:p>
        </w:tc>
      </w:tr>
      <w:tr>
        <w:trPr>
          <w:cantSplit/>
        </w:trPr>
        <w:tc>
          <w:tcPr>
            <w:tcW w:w="3118" w:type="dxa"/>
            <w:tcBorders>
              <w:top w:val="nil"/>
              <w:bottom w:val="nil"/>
              <w:right w:val="nil"/>
            </w:tcBorders>
          </w:tcPr>
          <w:p>
            <w:pPr>
              <w:pStyle w:val="nTable"/>
              <w:spacing w:after="40"/>
              <w:rPr>
                <w:i/>
              </w:rPr>
            </w:pPr>
            <w:r>
              <w:rPr>
                <w:i/>
              </w:rPr>
              <w:t>Building Amendment Regulations 2021</w:t>
            </w:r>
          </w:p>
        </w:tc>
        <w:tc>
          <w:tcPr>
            <w:tcW w:w="1276" w:type="dxa"/>
            <w:tcBorders>
              <w:top w:val="nil"/>
              <w:left w:val="nil"/>
              <w:bottom w:val="nil"/>
              <w:right w:val="nil"/>
            </w:tcBorders>
          </w:tcPr>
          <w:p>
            <w:pPr>
              <w:pStyle w:val="nTable"/>
              <w:keepLines/>
              <w:spacing w:after="40"/>
            </w:pPr>
            <w:r>
              <w:t>SL 2021/42 13 Apr 2021</w:t>
            </w:r>
          </w:p>
        </w:tc>
        <w:tc>
          <w:tcPr>
            <w:tcW w:w="2693" w:type="dxa"/>
            <w:tcBorders>
              <w:top w:val="nil"/>
              <w:left w:val="nil"/>
              <w:bottom w:val="nil"/>
            </w:tcBorders>
          </w:tcPr>
          <w:p>
            <w:pPr>
              <w:pStyle w:val="nTable"/>
              <w:keepLines/>
              <w:spacing w:after="40"/>
            </w:pPr>
            <w:r>
              <w:t>r. 1 and 2: 13 Apr 2021 (see r. 2(a));</w:t>
            </w:r>
            <w:r>
              <w:br/>
              <w:t>Regulations other than r. 1 and 2: 1 May 2021 (see r. 2(b))</w:t>
            </w:r>
          </w:p>
        </w:tc>
      </w:tr>
      <w:tr>
        <w:trPr>
          <w:cantSplit/>
        </w:trPr>
        <w:tc>
          <w:tcPr>
            <w:tcW w:w="3118" w:type="dxa"/>
            <w:tcBorders>
              <w:top w:val="nil"/>
              <w:bottom w:val="single" w:sz="8" w:space="0" w:color="auto"/>
              <w:right w:val="nil"/>
            </w:tcBorders>
          </w:tcPr>
          <w:p>
            <w:pPr>
              <w:pStyle w:val="nTable"/>
              <w:spacing w:after="40"/>
              <w:rPr>
                <w:i/>
              </w:rPr>
            </w:pPr>
            <w:r>
              <w:rPr>
                <w:i/>
              </w:rPr>
              <w:t>Commerce Regulations Amendment (Fees and Charges) Regulations 2021</w:t>
            </w:r>
            <w:r>
              <w:t xml:space="preserve"> Pt. 5</w:t>
            </w:r>
          </w:p>
        </w:tc>
        <w:tc>
          <w:tcPr>
            <w:tcW w:w="1276" w:type="dxa"/>
            <w:tcBorders>
              <w:top w:val="nil"/>
              <w:left w:val="nil"/>
              <w:bottom w:val="single" w:sz="8" w:space="0" w:color="auto"/>
              <w:right w:val="nil"/>
            </w:tcBorders>
          </w:tcPr>
          <w:p>
            <w:pPr>
              <w:pStyle w:val="nTable"/>
              <w:keepLines/>
              <w:spacing w:after="40"/>
            </w:pPr>
            <w:r>
              <w:t>SL 2021/86 21 Jun 2021</w:t>
            </w:r>
          </w:p>
        </w:tc>
        <w:tc>
          <w:tcPr>
            <w:tcW w:w="2693" w:type="dxa"/>
            <w:tcBorders>
              <w:top w:val="nil"/>
              <w:left w:val="nil"/>
              <w:bottom w:val="single" w:sz="8" w:space="0" w:color="auto"/>
            </w:tcBorders>
          </w:tcPr>
          <w:p>
            <w:pPr>
              <w:pStyle w:val="nTable"/>
              <w:keepLines/>
              <w:spacing w:after="40"/>
            </w:pPr>
            <w:r>
              <w:t>1 Jul 2021 (see r. 2(b))</w:t>
            </w:r>
          </w:p>
        </w:tc>
      </w:tr>
    </w:tbl>
    <w:p>
      <w:pPr>
        <w:pStyle w:val="nHeading3"/>
      </w:pPr>
      <w:bookmarkStart w:id="193" w:name="_Toc75515494"/>
      <w:r>
        <w:t>Other notes</w:t>
      </w:r>
      <w:bookmarkEnd w:id="193"/>
    </w:p>
    <w:p>
      <w:pPr>
        <w:pStyle w:val="nNote"/>
        <w:keepNext/>
        <w:keepLines/>
        <w:rPr>
          <w:snapToGrid w:val="0"/>
        </w:rPr>
      </w:pPr>
      <w:r>
        <w:rPr>
          <w:snapToGrid w:val="0"/>
          <w:vertAlign w:val="superscript"/>
        </w:rPr>
        <w:t>1</w:t>
      </w:r>
      <w:r>
        <w:rPr>
          <w:snapToGrid w:val="0"/>
        </w:rPr>
        <w:tab/>
        <w:t xml:space="preserve">The </w:t>
      </w:r>
      <w:r>
        <w:rPr>
          <w:i/>
          <w:snapToGrid w:val="0"/>
        </w:rPr>
        <w:t>Building Act 2011</w:t>
      </w:r>
      <w:r>
        <w:rPr>
          <w:snapToGrid w:val="0"/>
        </w:rPr>
        <w:t xml:space="preserve"> s. 153 came into operation on 2 April 2012.</w:t>
      </w:r>
    </w:p>
    <w:p>
      <w:pPr>
        <w:pStyle w:val="nNote"/>
      </w:pPr>
      <w:r>
        <w:rPr>
          <w:snapToGrid w:val="0"/>
          <w:vertAlign w:val="superscript"/>
        </w:rPr>
        <w:t>2</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195" w:name="_Toc75350724"/>
      <w:bookmarkStart w:id="196" w:name="_Toc75351034"/>
      <w:bookmarkStart w:id="197" w:name="_Toc75515495"/>
      <w:r>
        <w:rPr>
          <w:sz w:val="28"/>
        </w:rPr>
        <w:lastRenderedPageBreak/>
        <w:t>Defined terms</w:t>
      </w:r>
      <w:bookmarkEnd w:id="195"/>
      <w:bookmarkEnd w:id="196"/>
      <w:bookmarkEnd w:id="1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10 year life battery</w:t>
      </w:r>
      <w:r>
        <w:tab/>
        <w:t>55(1)</w:t>
      </w:r>
    </w:p>
    <w:p>
      <w:pPr>
        <w:pStyle w:val="DefinedTerms"/>
      </w:pPr>
      <w:r>
        <w:t>access through a building</w:t>
      </w:r>
      <w:r>
        <w:tab/>
        <w:t>48</w:t>
      </w:r>
    </w:p>
    <w:p>
      <w:pPr>
        <w:pStyle w:val="DefinedTerms"/>
      </w:pPr>
      <w:r>
        <w:t>accredited person</w:t>
      </w:r>
      <w:r>
        <w:tab/>
        <w:t>31</w:t>
      </w:r>
    </w:p>
    <w:p>
      <w:pPr>
        <w:pStyle w:val="DefinedTerms"/>
      </w:pPr>
      <w:r>
        <w:t>applicable technical aspects</w:t>
      </w:r>
      <w:r>
        <w:tab/>
        <w:t>47(1A)</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barrier solution</w:t>
      </w:r>
      <w:r>
        <w:tab/>
        <w:t>3</w:t>
      </w:r>
    </w:p>
    <w:p>
      <w:pPr>
        <w:pStyle w:val="DefinedTerms"/>
      </w:pPr>
      <w:r>
        <w:t>approved door</w:t>
      </w:r>
      <w:r>
        <w:tab/>
        <w:t>48</w:t>
      </w:r>
    </w:p>
    <w:p>
      <w:pPr>
        <w:pStyle w:val="DefinedTerms"/>
      </w:pPr>
      <w:r>
        <w:t>architectural feature</w:t>
      </w:r>
      <w:r>
        <w:tab/>
        <w:t>44A</w:t>
      </w:r>
    </w:p>
    <w:p>
      <w:pPr>
        <w:pStyle w:val="DefinedTerms"/>
      </w:pPr>
      <w:r>
        <w:t>AS</w:t>
      </w:r>
      <w:r>
        <w:tab/>
        <w:t>3</w:t>
      </w:r>
    </w:p>
    <w:p>
      <w:pPr>
        <w:pStyle w:val="DefinedTerms"/>
      </w:pPr>
      <w:r>
        <w:t>AS 1926.1</w:t>
      </w:r>
      <w:r>
        <w:tab/>
        <w:t>48</w:t>
      </w:r>
    </w:p>
    <w:p>
      <w:pPr>
        <w:pStyle w:val="DefinedTerms"/>
      </w:pPr>
      <w:r>
        <w:t>AS 3959</w:t>
      </w:r>
      <w:r>
        <w:tab/>
        <w:t>3</w:t>
      </w:r>
    </w:p>
    <w:p>
      <w:pPr>
        <w:pStyle w:val="DefinedTerms"/>
      </w:pPr>
      <w:r>
        <w:t>assessment method</w:t>
      </w:r>
      <w:r>
        <w:tab/>
        <w:t>3</w:t>
      </w:r>
    </w:p>
    <w:p>
      <w:pPr>
        <w:pStyle w:val="DefinedTerms"/>
      </w:pPr>
      <w:r>
        <w:t>builder work</w:t>
      </w:r>
      <w:r>
        <w:tab/>
        <w:t>3</w:t>
      </w:r>
    </w:p>
    <w:p>
      <w:pPr>
        <w:pStyle w:val="DefinedTerms"/>
      </w:pPr>
      <w:r>
        <w:t>Building Code</w:t>
      </w:r>
      <w:r>
        <w:tab/>
        <w:t>3</w:t>
      </w:r>
    </w:p>
    <w:p>
      <w:pPr>
        <w:pStyle w:val="DefinedTerms"/>
      </w:pPr>
      <w:r>
        <w:t>Building Code pool barrier requirements</w:t>
      </w:r>
      <w:r>
        <w:tab/>
        <w:t>3</w:t>
      </w:r>
    </w:p>
    <w:p>
      <w:pPr>
        <w:pStyle w:val="DefinedTerms"/>
      </w:pPr>
      <w:r>
        <w:t>building product</w:t>
      </w:r>
      <w:r>
        <w:tab/>
        <w:t>31J(1)</w:t>
      </w:r>
    </w:p>
    <w:p>
      <w:pPr>
        <w:pStyle w:val="DefinedTerms"/>
      </w:pPr>
      <w:r>
        <w:t>building site</w:t>
      </w:r>
      <w:r>
        <w:tab/>
        <w:t>3</w:t>
      </w:r>
    </w:p>
    <w:p>
      <w:pPr>
        <w:pStyle w:val="DefinedTerms"/>
      </w:pPr>
      <w:r>
        <w:t>bushfire attack level (BAL)</w:t>
      </w:r>
      <w:r>
        <w:tab/>
        <w:t>3</w:t>
      </w:r>
    </w:p>
    <w:p>
      <w:pPr>
        <w:pStyle w:val="DefinedTerms"/>
      </w:pPr>
      <w:r>
        <w:t>bush fire performance requirement</w:t>
      </w:r>
      <w:r>
        <w:tab/>
        <w:t>3</w:t>
      </w:r>
    </w:p>
    <w:p>
      <w:pPr>
        <w:pStyle w:val="DefinedTerms"/>
      </w:pPr>
      <w:r>
        <w:t>bush fire prone area</w:t>
      </w:r>
      <w:r>
        <w:tab/>
        <w:t>3</w:t>
      </w:r>
    </w:p>
    <w:p>
      <w:pPr>
        <w:pStyle w:val="DefinedTerms"/>
      </w:pPr>
      <w:r>
        <w:t>bush fire standard</w:t>
      </w:r>
      <w:r>
        <w:tab/>
        <w:t>31BA(1A)</w:t>
      </w:r>
    </w:p>
    <w:p>
      <w:pPr>
        <w:pStyle w:val="DefinedTerms"/>
      </w:pPr>
      <w:r>
        <w:t>business day</w:t>
      </w:r>
      <w:r>
        <w:tab/>
        <w:t>3</w:t>
      </w:r>
    </w:p>
    <w:p>
      <w:pPr>
        <w:pStyle w:val="DefinedTerms"/>
      </w:pPr>
      <w:r>
        <w:t>Class</w:t>
      </w:r>
      <w:r>
        <w:tab/>
        <w:t>3</w:t>
      </w:r>
    </w:p>
    <w:p>
      <w:pPr>
        <w:pStyle w:val="DefinedTerms"/>
      </w:pPr>
      <w:r>
        <w:t>CodeMark certificate</w:t>
      </w:r>
      <w:r>
        <w:tab/>
        <w:t>31J(1)</w:t>
      </w:r>
    </w:p>
    <w:p>
      <w:pPr>
        <w:pStyle w:val="DefinedTerms"/>
      </w:pPr>
      <w:r>
        <w:t xml:space="preserve">commencement date </w:t>
      </w:r>
      <w:r>
        <w:tab/>
        <w:t>31HA(1)</w:t>
      </w:r>
    </w:p>
    <w:p>
      <w:pPr>
        <w:pStyle w:val="DefinedTerms"/>
      </w:pPr>
      <w:r>
        <w:t>commencement day</w:t>
      </w:r>
      <w:r>
        <w:tab/>
        <w:t>3, 31HB(1)</w:t>
      </w:r>
    </w:p>
    <w:p>
      <w:pPr>
        <w:pStyle w:val="DefinedTerms"/>
      </w:pPr>
      <w:r>
        <w:t>Commissioner</w:t>
      </w:r>
      <w:r>
        <w:tab/>
        <w:t>14A(1)</w:t>
      </w:r>
    </w:p>
    <w:p>
      <w:pPr>
        <w:pStyle w:val="DefinedTerms"/>
      </w:pPr>
      <w:r>
        <w:t>CV3</w:t>
      </w:r>
      <w:r>
        <w:tab/>
        <w:t>3</w:t>
      </w:r>
    </w:p>
    <w:p>
      <w:pPr>
        <w:pStyle w:val="DefinedTerms"/>
      </w:pPr>
      <w:r>
        <w:t xml:space="preserve">debris criteria </w:t>
      </w:r>
      <w:r>
        <w:tab/>
        <w:t>31HA(1)</w:t>
      </w:r>
    </w:p>
    <w:p>
      <w:pPr>
        <w:pStyle w:val="DefinedTerms"/>
      </w:pPr>
      <w:r>
        <w:t>decision</w:t>
      </w:r>
      <w:r>
        <w:tab/>
        <w:t>33(1)</w:t>
      </w:r>
    </w:p>
    <w:p>
      <w:pPr>
        <w:pStyle w:val="DefinedTerms"/>
      </w:pPr>
      <w:r>
        <w:t>declaration of intended demolition</w:t>
      </w:r>
      <w:r>
        <w:tab/>
        <w:t>55(1)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excluded building work</w:t>
      </w:r>
      <w:r>
        <w:tab/>
        <w:t>31BA(1A)</w:t>
      </w:r>
    </w:p>
    <w:p>
      <w:pPr>
        <w:pStyle w:val="DefinedTerms"/>
      </w:pPr>
      <w:r>
        <w:t>exempt remedial work</w:t>
      </w:r>
      <w:r>
        <w:tab/>
        <w:t>31HA(1)</w:t>
      </w:r>
    </w:p>
    <w:p>
      <w:pPr>
        <w:pStyle w:val="DefinedTerms"/>
      </w:pPr>
      <w:r>
        <w:t xml:space="preserve">existing building or incidental structure </w:t>
      </w:r>
      <w:r>
        <w:tab/>
        <w:t>31HA(1)</w:t>
      </w:r>
    </w:p>
    <w:p>
      <w:pPr>
        <w:pStyle w:val="DefinedTerms"/>
      </w:pPr>
      <w:r>
        <w:lastRenderedPageBreak/>
        <w:t>expiry day</w:t>
      </w:r>
      <w:r>
        <w:tab/>
        <w:t>23(1), 40(1)</w:t>
      </w:r>
    </w:p>
    <w:p>
      <w:pPr>
        <w:pStyle w:val="DefinedTerms"/>
      </w:pPr>
      <w:r>
        <w:t>external wall</w:t>
      </w:r>
      <w:r>
        <w:tab/>
        <w:t>31HA(1)</w:t>
      </w:r>
    </w:p>
    <w:p>
      <w:pPr>
        <w:pStyle w:val="DefinedTerms"/>
      </w:pPr>
      <w:r>
        <w:t>FES Commissioner</w:t>
      </w:r>
      <w:r>
        <w:tab/>
        <w:t>3</w:t>
      </w:r>
    </w:p>
    <w:p>
      <w:pPr>
        <w:pStyle w:val="DefinedTerms"/>
      </w:pPr>
      <w:r>
        <w:t>fire resistance performance requirement</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local planning scheme</w:t>
      </w:r>
      <w:r>
        <w:tab/>
        <w:t>3, 31HB(1)</w:t>
      </w:r>
    </w:p>
    <w:p>
      <w:pPr>
        <w:pStyle w:val="DefinedTerms"/>
      </w:pPr>
      <w:r>
        <w:t>managed reserve</w:t>
      </w:r>
      <w:r>
        <w:tab/>
        <w:t>10(1A)</w:t>
      </w:r>
    </w:p>
    <w:p>
      <w:pPr>
        <w:pStyle w:val="DefinedTerms"/>
      </w:pPr>
      <w:r>
        <w:t>management body</w:t>
      </w:r>
      <w:r>
        <w:tab/>
        <w:t>10(1A)</w:t>
      </w:r>
    </w:p>
    <w:p>
      <w:pPr>
        <w:pStyle w:val="DefinedTerms"/>
      </w:pPr>
      <w:r>
        <w:t>new owner</w:t>
      </w:r>
      <w:r>
        <w:tab/>
        <w:t>57(1)</w:t>
      </w:r>
    </w:p>
    <w:p>
      <w:pPr>
        <w:pStyle w:val="DefinedTerms"/>
      </w:pPr>
      <w:r>
        <w:t>non-combustible external wall</w:t>
      </w:r>
      <w:r>
        <w:tab/>
        <w:t>31HA(1)</w:t>
      </w:r>
    </w:p>
    <w:p>
      <w:pPr>
        <w:pStyle w:val="DefinedTerms"/>
      </w:pPr>
      <w:r>
        <w:t>owner</w:t>
      </w:r>
      <w:r>
        <w:tab/>
        <w:t>10(2A), 55(1)</w:t>
      </w:r>
    </w:p>
    <w:p>
      <w:pPr>
        <w:pStyle w:val="DefinedTerms"/>
      </w:pPr>
      <w:r>
        <w:t>performance requirement</w:t>
      </w:r>
      <w:r>
        <w:tab/>
        <w:t>3</w:t>
      </w:r>
    </w:p>
    <w:p>
      <w:pPr>
        <w:pStyle w:val="DefinedTerms"/>
      </w:pPr>
      <w:r>
        <w:t>performance solution</w:t>
      </w:r>
      <w:r>
        <w:tab/>
        <w:t>3</w:t>
      </w:r>
    </w:p>
    <w:p>
      <w:pPr>
        <w:pStyle w:val="DefinedTerms"/>
      </w:pPr>
      <w:r>
        <w:t>pergola</w:t>
      </w:r>
      <w:r>
        <w:tab/>
        <w:t>Sch. 4 cl. 2</w:t>
      </w:r>
    </w:p>
    <w:p>
      <w:pPr>
        <w:pStyle w:val="DefinedTerms"/>
      </w:pPr>
      <w:r>
        <w:t>permit authority</w:t>
      </w:r>
      <w:r>
        <w:tab/>
        <w:t>14A(1)</w:t>
      </w:r>
    </w:p>
    <w:p>
      <w:pPr>
        <w:pStyle w:val="DefinedTerms"/>
      </w:pPr>
      <w:r>
        <w:t>person responsible</w:t>
      </w:r>
      <w:r>
        <w:tab/>
        <w:t>54A(1)</w:t>
      </w:r>
    </w:p>
    <w:p>
      <w:pPr>
        <w:pStyle w:val="DefinedTerms"/>
      </w:pPr>
      <w:r>
        <w:t>person with a disability</w:t>
      </w:r>
      <w:r>
        <w:tab/>
        <w:t>51(1)</w:t>
      </w:r>
    </w:p>
    <w:p>
      <w:pPr>
        <w:pStyle w:val="DefinedTerms"/>
      </w:pPr>
      <w:r>
        <w:t>post-transfer period</w:t>
      </w:r>
      <w:r>
        <w:tab/>
        <w:t>57(1A)</w:t>
      </w:r>
    </w:p>
    <w:p>
      <w:pPr>
        <w:pStyle w:val="DefinedTerms"/>
      </w:pPr>
      <w:r>
        <w:t xml:space="preserve">pre-May 2016 private swimming pool </w:t>
      </w:r>
      <w:r>
        <w:tab/>
        <w:t>3</w:t>
      </w:r>
    </w:p>
    <w:p>
      <w:pPr>
        <w:pStyle w:val="DefinedTerms"/>
      </w:pPr>
      <w:r>
        <w:t>prior owner</w:t>
      </w:r>
      <w:r>
        <w:tab/>
        <w:t>57(1)</w:t>
      </w:r>
    </w:p>
    <w:p>
      <w:pPr>
        <w:pStyle w:val="DefinedTerms"/>
      </w:pPr>
      <w:r>
        <w:t>private swimming pool</w:t>
      </w:r>
      <w:r>
        <w:tab/>
        <w:t>3</w:t>
      </w:r>
    </w:p>
    <w:p>
      <w:pPr>
        <w:pStyle w:val="DefinedTerms"/>
      </w:pPr>
      <w:r>
        <w:t>public place</w:t>
      </w:r>
      <w:r>
        <w:tab/>
        <w:t>44A</w:t>
      </w:r>
    </w:p>
    <w:p>
      <w:pPr>
        <w:pStyle w:val="DefinedTerms"/>
      </w:pPr>
      <w:r>
        <w:t>relevant building</w:t>
      </w:r>
      <w:r>
        <w:tab/>
        <w:t>31BA(1A), 31D</w:t>
      </w:r>
    </w:p>
    <w:p>
      <w:pPr>
        <w:pStyle w:val="DefinedTerms"/>
      </w:pPr>
      <w:r>
        <w:t>relevant building standards</w:t>
      </w:r>
      <w:r>
        <w:tab/>
        <w:t>48A(1)</w:t>
      </w:r>
    </w:p>
    <w:p>
      <w:pPr>
        <w:pStyle w:val="DefinedTerms"/>
      </w:pPr>
      <w:r>
        <w:t>relevant components</w:t>
      </w:r>
      <w:r>
        <w:tab/>
        <w:t>Sch. 1 cl. 1</w:t>
      </w:r>
    </w:p>
    <w:p>
      <w:pPr>
        <w:pStyle w:val="DefinedTerms"/>
      </w:pPr>
      <w:r>
        <w:t>relevant day</w:t>
      </w:r>
      <w:r>
        <w:tab/>
        <w:t>60(1)</w:t>
      </w:r>
    </w:p>
    <w:p>
      <w:pPr>
        <w:pStyle w:val="DefinedTerms"/>
      </w:pPr>
      <w:r>
        <w:t>relevant edition of the Building Code</w:t>
      </w:r>
      <w:r>
        <w:tab/>
        <w:t>3</w:t>
      </w:r>
    </w:p>
    <w:p>
      <w:pPr>
        <w:pStyle w:val="DefinedTerms"/>
      </w:pPr>
      <w:r>
        <w:t>remedial work</w:t>
      </w:r>
      <w:r>
        <w:tab/>
        <w:t>31HA(1)</w:t>
      </w:r>
    </w:p>
    <w:p>
      <w:pPr>
        <w:pStyle w:val="DefinedTerms"/>
      </w:pPr>
      <w:r>
        <w:t>renovation, alteration, extension, improvement or repair</w:t>
      </w:r>
      <w:r>
        <w:tab/>
        <w:t>31BA(1A)</w:t>
      </w:r>
    </w:p>
    <w:p>
      <w:pPr>
        <w:pStyle w:val="DefinedTerms"/>
      </w:pPr>
      <w:r>
        <w:t>repeal day</w:t>
      </w:r>
      <w:r>
        <w:tab/>
        <w:t>54(1)</w:t>
      </w:r>
    </w:p>
    <w:p>
      <w:pPr>
        <w:pStyle w:val="DefinedTerms"/>
      </w:pPr>
      <w:r>
        <w:t>repealed provisions</w:t>
      </w:r>
      <w:r>
        <w:tab/>
        <w:t>54(1)</w:t>
      </w:r>
    </w:p>
    <w:p>
      <w:pPr>
        <w:pStyle w:val="DefinedTerms"/>
      </w:pPr>
      <w:r>
        <w:t>residential tenancy agreement</w:t>
      </w:r>
      <w:r>
        <w:tab/>
        <w:t>55(1)</w:t>
      </w:r>
    </w:p>
    <w:p>
      <w:pPr>
        <w:pStyle w:val="DefinedTerms"/>
      </w:pPr>
      <w:r>
        <w:t>road</w:t>
      </w:r>
      <w:r>
        <w:tab/>
        <w:t>10(1A), 44A</w:t>
      </w:r>
    </w:p>
    <w:p>
      <w:pPr>
        <w:pStyle w:val="DefinedTerms"/>
      </w:pPr>
      <w:r>
        <w:t>safety measures</w:t>
      </w:r>
      <w:r>
        <w:tab/>
        <w:t>48A(1)</w:t>
      </w:r>
    </w:p>
    <w:p>
      <w:pPr>
        <w:pStyle w:val="DefinedTerms"/>
      </w:pPr>
      <w:r>
        <w:t>section</w:t>
      </w:r>
      <w:r>
        <w:tab/>
        <w:t>3</w:t>
      </w:r>
    </w:p>
    <w:p>
      <w:pPr>
        <w:pStyle w:val="DefinedTerms"/>
      </w:pPr>
      <w:r>
        <w:t>sole-occupancy unit</w:t>
      </w:r>
      <w:r>
        <w:tab/>
        <w:t>3</w:t>
      </w:r>
    </w:p>
    <w:p>
      <w:pPr>
        <w:pStyle w:val="DefinedTerms"/>
      </w:pPr>
      <w:r>
        <w:t>specified employee</w:t>
      </w:r>
      <w:r>
        <w:tab/>
        <w:t>70(1A)</w:t>
      </w:r>
    </w:p>
    <w:p>
      <w:pPr>
        <w:pStyle w:val="DefinedTerms"/>
      </w:pPr>
      <w:r>
        <w:t>Statistician</w:t>
      </w:r>
      <w:r>
        <w:tab/>
        <w:t>14A(1)</w:t>
      </w:r>
    </w:p>
    <w:p>
      <w:pPr>
        <w:pStyle w:val="DefinedTerms"/>
      </w:pPr>
      <w:r>
        <w:t>strata leasehold estate</w:t>
      </w:r>
      <w:r>
        <w:tab/>
        <w:t>10(1A)</w:t>
      </w:r>
    </w:p>
    <w:p>
      <w:pPr>
        <w:pStyle w:val="DefinedTerms"/>
      </w:pPr>
      <w:r>
        <w:t>swimming pool</w:t>
      </w:r>
      <w:r>
        <w:tab/>
        <w:t>3</w:t>
      </w:r>
    </w:p>
    <w:p>
      <w:pPr>
        <w:pStyle w:val="DefinedTerms"/>
      </w:pPr>
      <w:r>
        <w:t>Table</w:t>
      </w:r>
      <w:r>
        <w:tab/>
        <w:t>41(2)</w:t>
      </w:r>
    </w:p>
    <w:p>
      <w:pPr>
        <w:pStyle w:val="DefinedTerms"/>
      </w:pPr>
      <w:r>
        <w:t>townsite</w:t>
      </w:r>
      <w:r>
        <w:tab/>
        <w:t>3</w:t>
      </w:r>
    </w:p>
    <w:p>
      <w:pPr>
        <w:pStyle w:val="DefinedTerms"/>
      </w:pPr>
      <w:r>
        <w:t>transfer day</w:t>
      </w:r>
      <w:r>
        <w:tab/>
        <w:t>55(1)</w:t>
      </w:r>
    </w:p>
    <w:p>
      <w:pPr>
        <w:pStyle w:val="DefinedTerms"/>
      </w:pPr>
      <w:r>
        <w:lastRenderedPageBreak/>
        <w:t>transitional bush fire application</w:t>
      </w:r>
      <w:r>
        <w:tab/>
        <w:t>31</w:t>
      </w:r>
    </w:p>
    <w:p>
      <w:pPr>
        <w:pStyle w:val="DefinedTerms"/>
      </w:pPr>
      <w:r>
        <w:t>unit</w:t>
      </w:r>
      <w:r>
        <w:tab/>
        <w:t>55(1)</w:t>
      </w:r>
    </w:p>
    <w:p>
      <w:pPr>
        <w:pStyle w:val="DefinedTerms"/>
      </w:pPr>
      <w:r>
        <w:t>work</w:t>
      </w:r>
      <w:r>
        <w:tab/>
        <w:t>54A(1)</w:t>
      </w:r>
    </w:p>
    <w:p>
      <w:pPr>
        <w:pStyle w:val="DefinedTerms"/>
      </w:pPr>
      <w:r>
        <w:t>young child</w:t>
      </w:r>
      <w:r>
        <w:tab/>
        <w:t>48</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53" w:name="Schedule"/>
    <w:bookmarkEnd w:id="15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fldChar w:fldCharType="begin"/>
          </w:r>
          <w:r>
            <w:instrText xml:space="preserve"> STYLEREF "Name of Act/Reg" </w:instrText>
          </w:r>
          <w:r>
            <w:fldChar w:fldCharType="separate"/>
          </w:r>
          <w:r>
            <w:t>Building Regulations 2012</w:t>
          </w:r>
          <w: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rPr>
              <w:b/>
            </w:rPr>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Kinds of building work for which a building permit is not required</w:t>
          </w:r>
          <w:r>
            <w:cr/>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4" w:name="Compilation"/>
    <w:bookmarkEnd w:id="194"/>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8" w:name="DefinedTerms"/>
    <w:bookmarkEnd w:id="198"/>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9" w:name="Coversheet"/>
    <w:bookmarkEnd w:id="19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16998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142138"/>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 w:name="WAFER_20190426102202" w:val="RemoveTocBookmarks,RemoveUnusedBookmarks,RemoveLanguageTags,ResetPageSize,RunningHeaders,UpdateStyles,UsedStyles"/>
    <w:docVar w:name="WAFER_20190426102202_GUID" w:val="d0f8c4db-4456-4f53-ba0e-4f60f9bb96a6"/>
    <w:docVar w:name="WAFER_20190520153114" w:val="RemoveTocBookmarks,RemoveUnusedBookmarks,RemoveLanguageTags,ResetPageSize,RunningHeaders,UpdateStyles,UsedStyles"/>
    <w:docVar w:name="WAFER_20190520153114_GUID" w:val="563cf61e-d1a8-4c5a-8e00-e16558dec047"/>
    <w:docVar w:name="WAFER_20191218113209" w:val="RemoveTocBookmarks,RemoveUnusedBookmarks,RemoveLanguageTags,ResetPageSize,RunningHeaders,UpdateStyles,UsedStyles"/>
    <w:docVar w:name="WAFER_20191218113209_GUID" w:val="4253a040-077f-4f20-986e-03c74c9634f1"/>
    <w:docVar w:name="WAFER_202002101324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2417_GUID" w:val="6fb5c457-7196-4e87-bf20-7609ce1733b7"/>
    <w:docVar w:name="WAFER_202003301141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30114110_GUID" w:val="9d4a40dc-8174-45bc-9729-4e58ee06e782"/>
    <w:docVar w:name="WAFER_20200417134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34620_GUID" w:val="8ec3d3d8-7c2a-4e90-bc29-0d7775429b41"/>
    <w:docVar w:name="WAFER_20200423123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23211_GUID" w:val="49fd7aec-a4be-49ac-93ca-0a3edb181698"/>
    <w:docVar w:name="WAFER_2020043015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30150223_GUID" w:val="834a795d-f3c9-41a8-b6e0-e9519c5bdf74"/>
    <w:docVar w:name="WAFER_202009241418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4141811_GUID" w:val="770146f5-cc02-49a6-89da-5c6a7f48e1f0"/>
    <w:docVar w:name="WAFER_202010071116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11623_GUID" w:val="ab35112e-3919-46e8-8919-0a6593dd9ee7"/>
    <w:docVar w:name="WAFER_202104071337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33749_GUID" w:val="a4726158-1b3b-4f23-abee-c19c5eca9e65"/>
    <w:docVar w:name="WAFER_20210428120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20854_GUID" w:val="5ab1875e-7ccb-4c33-ad11-8cba4ed32ec1"/>
    <w:docVar w:name="WAFER_202106151558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5847_GUID" w:val="20b48b21-49d0-45f5-973b-30982d0c245c"/>
    <w:docVar w:name="WAFER_202106231421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42138_GUID" w:val="4c989d56-d454-4803-856c-8b1ed53f2b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15:docId w15:val="{71545625-D491-47B7-9AE8-879AA6D4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image" Target="media/image2.png"/><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A09AE-644F-4741-9482-3A4D3BB04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27093</Words>
  <Characters>134387</Characters>
  <Application>Microsoft Office Word</Application>
  <DocSecurity>0</DocSecurity>
  <Lines>4634</Lines>
  <Paragraphs>2604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2012 - 04-l0-01</dc:title>
  <dc:subject/>
  <dc:creator/>
  <cp:keywords/>
  <dc:description/>
  <cp:lastModifiedBy>Master Repository Process</cp:lastModifiedBy>
  <cp:revision>4</cp:revision>
  <cp:lastPrinted>2019-11-01T04:18:00Z</cp:lastPrinted>
  <dcterms:created xsi:type="dcterms:W3CDTF">2022-06-27T06:31:00Z</dcterms:created>
  <dcterms:modified xsi:type="dcterms:W3CDTF">2022-06-27T06:31:00Z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2019-10-31T16:00:00Z</vt:filetime>
  </property>
  <property fmtid="{D5CDD505-2E9C-101B-9397-08002B2CF9AE}" pid="5" name="ReprintNo">
    <vt:lpwstr>4</vt:lpwstr>
  </property>
  <property fmtid="{D5CDD505-2E9C-101B-9397-08002B2CF9AE}" pid="6" name="AsAtDate">
    <vt:lpwstr>01 Jul 2021</vt:lpwstr>
  </property>
  <property fmtid="{D5CDD505-2E9C-101B-9397-08002B2CF9AE}" pid="7" name="Suffix">
    <vt:lpwstr>04-l0-01</vt:lpwstr>
  </property>
  <property fmtid="{D5CDD505-2E9C-101B-9397-08002B2CF9AE}" pid="8" name="CommencementDate">
    <vt:lpwstr>20210701</vt:lpwstr>
  </property>
</Properties>
</file>