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27.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515FF" w:rsidRDefault="00B14AD4">
      <w:pPr>
        <w:pStyle w:val="WA"/>
      </w:pPr>
      <w:bookmarkStart w:id="0" w:name="_GoBack"/>
      <w:bookmarkEnd w:id="0"/>
      <w:r>
        <w:rPr>
          <w:noProof/>
        </w:rPr>
        <w:drawing>
          <wp:anchor distT="0" distB="0" distL="114300" distR="114300" simplePos="0" relativeHeight="251659264" behindDoc="0" locked="0" layoutInCell="1" allowOverlap="1">
            <wp:simplePos x="0" y="0"/>
            <wp:positionH relativeFrom="column">
              <wp:posOffset>1981200</wp:posOffset>
            </wp:positionH>
            <wp:positionV relativeFrom="paragraph">
              <wp:posOffset>-517525</wp:posOffset>
            </wp:positionV>
            <wp:extent cx="631190" cy="505460"/>
            <wp:effectExtent l="0" t="0" r="0" b="8890"/>
            <wp:wrapNone/>
            <wp:docPr id="16" name="Picture 16" descr="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res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1190" cy="505460"/>
                    </a:xfrm>
                    <a:prstGeom prst="rect">
                      <a:avLst/>
                    </a:prstGeom>
                    <a:noFill/>
                    <a:ln>
                      <a:noFill/>
                    </a:ln>
                  </pic:spPr>
                </pic:pic>
              </a:graphicData>
            </a:graphic>
            <wp14:sizeRelH relativeFrom="page">
              <wp14:pctWidth>0</wp14:pctWidth>
            </wp14:sizeRelH>
            <wp14:sizeRelV relativeFrom="page">
              <wp14:pctHeight>0</wp14:pctHeight>
            </wp14:sizeRelV>
          </wp:anchor>
        </w:drawing>
      </w:r>
      <w:r>
        <w:t>Western Australia</w:t>
      </w:r>
    </w:p>
    <w:p w:rsidR="009515FF" w:rsidRDefault="00B14AD4">
      <w:pPr>
        <w:pStyle w:val="PrincipalActRegPage1"/>
      </w:pPr>
      <w:r>
        <w:fldChar w:fldCharType="begin"/>
      </w:r>
      <w:r>
        <w:instrText xml:space="preserve"> STYLEREF "PrincipalAct_Reg"</w:instrText>
      </w:r>
      <w:r>
        <w:fldChar w:fldCharType="separate"/>
      </w:r>
      <w:r w:rsidR="00914885">
        <w:rPr>
          <w:noProof/>
        </w:rPr>
        <w:t>Shipping and Pilotage Act 1967</w:t>
      </w:r>
      <w:r>
        <w:fldChar w:fldCharType="end"/>
      </w:r>
    </w:p>
    <w:p w:rsidR="009515FF" w:rsidRDefault="00B14AD4">
      <w:pPr>
        <w:pStyle w:val="NameofActRegPage1"/>
        <w:spacing w:before="1800" w:after="4200"/>
        <w:outlineLvl w:val="0"/>
      </w:pPr>
      <w:r>
        <w:fldChar w:fldCharType="begin"/>
      </w:r>
      <w:r>
        <w:instrText xml:space="preserve"> STYLEREF "Name Of Act/Reg"</w:instrText>
      </w:r>
      <w:r>
        <w:fldChar w:fldCharType="separate"/>
      </w:r>
      <w:r w:rsidR="00914885">
        <w:rPr>
          <w:noProof/>
        </w:rPr>
        <w:t>Shipping and Pilotage (Ports and Harbours) Regulations 1966</w:t>
      </w:r>
      <w:r>
        <w:fldChar w:fldCharType="end"/>
      </w:r>
    </w:p>
    <w:p w:rsidR="009515FF" w:rsidRDefault="009515FF">
      <w:pPr>
        <w:jc w:val="center"/>
        <w:sectPr w:rsidR="009515FF">
          <w:headerReference w:type="even" r:id="rId9"/>
          <w:headerReference w:type="default" r:id="rId10"/>
          <w:footerReference w:type="even" r:id="rId11"/>
          <w:footerReference w:type="default" r:id="rId12"/>
          <w:headerReference w:type="first" r:id="rId13"/>
          <w:footerReference w:type="first" r:id="rId14"/>
          <w:pgSz w:w="11907" w:h="16840" w:code="9"/>
          <w:pgMar w:top="2376" w:right="2405" w:bottom="3542" w:left="2405" w:header="706" w:footer="3542" w:gutter="0"/>
          <w:pgNumType w:fmt="lowerRoman" w:start="1"/>
          <w:cols w:space="720"/>
          <w:noEndnote/>
          <w:titlePg/>
          <w:docGrid w:linePitch="326"/>
        </w:sectPr>
      </w:pPr>
    </w:p>
    <w:p w:rsidR="00B14AD4" w:rsidRDefault="00B14AD4">
      <w:pPr>
        <w:pStyle w:val="WA"/>
      </w:pPr>
      <w:r>
        <w:lastRenderedPageBreak/>
        <w:t>Western Australia</w:t>
      </w:r>
    </w:p>
    <w:p w:rsidR="009515FF" w:rsidRDefault="00B14AD4">
      <w:pPr>
        <w:pStyle w:val="NameofActRegPage1"/>
      </w:pPr>
      <w:r>
        <w:fldChar w:fldCharType="begin"/>
      </w:r>
      <w:r>
        <w:instrText xml:space="preserve"> STYLEREF "Name Of Act/Reg"</w:instrText>
      </w:r>
      <w:r>
        <w:fldChar w:fldCharType="separate"/>
      </w:r>
      <w:r w:rsidR="00914885">
        <w:rPr>
          <w:noProof/>
        </w:rPr>
        <w:t>Shipping and Pilotage (Ports and Harbours) Regulations 1966</w:t>
      </w:r>
      <w:r>
        <w:fldChar w:fldCharType="end"/>
      </w:r>
    </w:p>
    <w:p w:rsidR="009515FF" w:rsidRDefault="00B14AD4">
      <w:pPr>
        <w:pStyle w:val="Arrangement"/>
      </w:pPr>
      <w:r>
        <w:t>Contents</w:t>
      </w:r>
    </w:p>
    <w:p w:rsidR="002348AF" w:rsidRDefault="00B14AD4">
      <w:pPr>
        <w:pStyle w:val="TOC2"/>
        <w:tabs>
          <w:tab w:val="right" w:leader="dot" w:pos="7077"/>
        </w:tabs>
        <w:rPr>
          <w:rFonts w:asciiTheme="minorHAnsi" w:eastAsiaTheme="minorEastAsia" w:hAnsiTheme="minorHAnsi" w:cstheme="minorBidi"/>
          <w:b w:val="0"/>
          <w:sz w:val="22"/>
          <w:szCs w:val="22"/>
        </w:rPr>
      </w:pPr>
      <w:r>
        <w:fldChar w:fldCharType="begin"/>
      </w:r>
      <w:r>
        <w:instrText xml:space="preserve"> TOC \t "Heading 2,2,yScheduleHeading,2,yHeading 2,2,zHeading 2,3,zyScheduleHeading,3,zyHeading 2,3,Heading 3,4,yHeading 3,4,zHeading 3,5,zyHeading 3,5,Heading 4,6,yHeading 4,6,zHeading 4,7,zyHeading 4,7,Heading 5,8,yHeading 5,8,zHeading 5,9,zyHeading 5,9" \t "nHeading 2,2,nHeading 3,8" \n "2-7" \w \* MERGEFORMAT </w:instrText>
      </w:r>
      <w:r>
        <w:fldChar w:fldCharType="separate"/>
      </w:r>
      <w:r w:rsidR="002348AF">
        <w:t>Part 1</w:t>
      </w:r>
      <w:r w:rsidR="002348AF" w:rsidRPr="009839B4">
        <w:rPr>
          <w:b w:val="0"/>
        </w:rPr>
        <w:t> </w:t>
      </w:r>
      <w:r w:rsidR="002348AF">
        <w:t>—</w:t>
      </w:r>
      <w:r w:rsidR="002348AF" w:rsidRPr="009839B4">
        <w:rPr>
          <w:b w:val="0"/>
        </w:rPr>
        <w:t> </w:t>
      </w:r>
      <w:r w:rsidR="002348AF">
        <w:t>Preliminary</w:t>
      </w:r>
    </w:p>
    <w:p w:rsidR="002348AF" w:rsidRDefault="002348AF">
      <w:pPr>
        <w:pStyle w:val="TOC8"/>
        <w:rPr>
          <w:rFonts w:asciiTheme="minorHAnsi" w:eastAsiaTheme="minorEastAsia" w:hAnsiTheme="minorHAnsi" w:cstheme="minorBidi"/>
          <w:szCs w:val="22"/>
        </w:rPr>
      </w:pPr>
      <w:r>
        <w:t>1</w:t>
      </w:r>
      <w:r w:rsidRPr="009839B4">
        <w:rPr>
          <w:snapToGrid w:val="0"/>
        </w:rPr>
        <w:t>.</w:t>
      </w:r>
      <w:r w:rsidRPr="009839B4">
        <w:rPr>
          <w:snapToGrid w:val="0"/>
        </w:rPr>
        <w:tab/>
        <w:t>Citation</w:t>
      </w:r>
      <w:r>
        <w:tab/>
      </w:r>
      <w:r>
        <w:fldChar w:fldCharType="begin"/>
      </w:r>
      <w:r>
        <w:instrText xml:space="preserve"> PAGEREF _Toc75528164 \h </w:instrText>
      </w:r>
      <w:r>
        <w:fldChar w:fldCharType="separate"/>
      </w:r>
      <w:r w:rsidR="00914885">
        <w:t>1</w:t>
      </w:r>
      <w:r>
        <w:fldChar w:fldCharType="end"/>
      </w:r>
    </w:p>
    <w:p w:rsidR="002348AF" w:rsidRDefault="002348AF">
      <w:pPr>
        <w:pStyle w:val="TOC8"/>
        <w:rPr>
          <w:rFonts w:asciiTheme="minorHAnsi" w:eastAsiaTheme="minorEastAsia" w:hAnsiTheme="minorHAnsi" w:cstheme="minorBidi"/>
          <w:szCs w:val="22"/>
        </w:rPr>
      </w:pPr>
      <w:r>
        <w:t>3</w:t>
      </w:r>
      <w:r w:rsidRPr="009839B4">
        <w:rPr>
          <w:snapToGrid w:val="0"/>
        </w:rPr>
        <w:t>.</w:t>
      </w:r>
      <w:r w:rsidRPr="009839B4">
        <w:rPr>
          <w:snapToGrid w:val="0"/>
        </w:rPr>
        <w:tab/>
        <w:t>Port Walcott, charges for pilotage at</w:t>
      </w:r>
      <w:r>
        <w:tab/>
      </w:r>
      <w:r>
        <w:fldChar w:fldCharType="begin"/>
      </w:r>
      <w:r>
        <w:instrText xml:space="preserve"> PAGEREF _Toc75528165 \h </w:instrText>
      </w:r>
      <w:r>
        <w:fldChar w:fldCharType="separate"/>
      </w:r>
      <w:r w:rsidR="00914885">
        <w:t>1</w:t>
      </w:r>
      <w:r>
        <w:fldChar w:fldCharType="end"/>
      </w:r>
    </w:p>
    <w:p w:rsidR="002348AF" w:rsidRDefault="002348AF">
      <w:pPr>
        <w:pStyle w:val="TOC8"/>
        <w:rPr>
          <w:rFonts w:asciiTheme="minorHAnsi" w:eastAsiaTheme="minorEastAsia" w:hAnsiTheme="minorHAnsi" w:cstheme="minorBidi"/>
          <w:szCs w:val="22"/>
        </w:rPr>
      </w:pPr>
      <w:r>
        <w:t>4</w:t>
      </w:r>
      <w:r w:rsidRPr="009839B4">
        <w:rPr>
          <w:snapToGrid w:val="0"/>
        </w:rPr>
        <w:t>.</w:t>
      </w:r>
      <w:r w:rsidRPr="009839B4">
        <w:rPr>
          <w:snapToGrid w:val="0"/>
        </w:rPr>
        <w:tab/>
        <w:t>Terms used</w:t>
      </w:r>
      <w:r>
        <w:tab/>
      </w:r>
      <w:r>
        <w:fldChar w:fldCharType="begin"/>
      </w:r>
      <w:r>
        <w:instrText xml:space="preserve"> PAGEREF _Toc75528166 \h </w:instrText>
      </w:r>
      <w:r>
        <w:fldChar w:fldCharType="separate"/>
      </w:r>
      <w:r w:rsidR="00914885">
        <w:t>1</w:t>
      </w:r>
      <w:r>
        <w:fldChar w:fldCharType="end"/>
      </w:r>
    </w:p>
    <w:p w:rsidR="002348AF" w:rsidRDefault="002348AF">
      <w:pPr>
        <w:pStyle w:val="TOC8"/>
        <w:rPr>
          <w:rFonts w:asciiTheme="minorHAnsi" w:eastAsiaTheme="minorEastAsia" w:hAnsiTheme="minorHAnsi" w:cstheme="minorBidi"/>
          <w:szCs w:val="22"/>
        </w:rPr>
      </w:pPr>
      <w:r>
        <w:t>5A.</w:t>
      </w:r>
      <w:r>
        <w:tab/>
        <w:t>Ports declared (Act s. 10)</w:t>
      </w:r>
      <w:r>
        <w:tab/>
      </w:r>
      <w:r>
        <w:fldChar w:fldCharType="begin"/>
      </w:r>
      <w:r>
        <w:instrText xml:space="preserve"> PAGEREF _Toc75528167 \h </w:instrText>
      </w:r>
      <w:r>
        <w:fldChar w:fldCharType="separate"/>
      </w:r>
      <w:r w:rsidR="00914885">
        <w:t>4</w:t>
      </w:r>
      <w:r>
        <w:fldChar w:fldCharType="end"/>
      </w:r>
    </w:p>
    <w:p w:rsidR="002348AF" w:rsidRDefault="002348AF">
      <w:pPr>
        <w:pStyle w:val="TOC2"/>
        <w:tabs>
          <w:tab w:val="right" w:leader="dot" w:pos="7077"/>
        </w:tabs>
        <w:rPr>
          <w:rFonts w:asciiTheme="minorHAnsi" w:eastAsiaTheme="minorEastAsia" w:hAnsiTheme="minorHAnsi" w:cstheme="minorBidi"/>
          <w:b w:val="0"/>
          <w:sz w:val="22"/>
          <w:szCs w:val="22"/>
        </w:rPr>
      </w:pPr>
      <w:r>
        <w:t>Part 2</w:t>
      </w:r>
      <w:r w:rsidRPr="009839B4">
        <w:rPr>
          <w:b w:val="0"/>
        </w:rPr>
        <w:t> </w:t>
      </w:r>
      <w:r>
        <w:t>—</w:t>
      </w:r>
      <w:r w:rsidRPr="009839B4">
        <w:rPr>
          <w:b w:val="0"/>
        </w:rPr>
        <w:t> </w:t>
      </w:r>
      <w:r>
        <w:t>Appointment of harbour masters and deputy harbour masters</w:t>
      </w:r>
    </w:p>
    <w:p w:rsidR="002348AF" w:rsidRDefault="002348AF">
      <w:pPr>
        <w:pStyle w:val="TOC8"/>
        <w:rPr>
          <w:rFonts w:asciiTheme="minorHAnsi" w:eastAsiaTheme="minorEastAsia" w:hAnsiTheme="minorHAnsi" w:cstheme="minorBidi"/>
          <w:szCs w:val="22"/>
        </w:rPr>
      </w:pPr>
      <w:r>
        <w:t>5B.</w:t>
      </w:r>
      <w:r>
        <w:tab/>
        <w:t>Harbour masters and deputy harbour masters, appointment of</w:t>
      </w:r>
      <w:r>
        <w:tab/>
      </w:r>
      <w:r>
        <w:fldChar w:fldCharType="begin"/>
      </w:r>
      <w:r>
        <w:instrText xml:space="preserve"> PAGEREF _Toc75528169 \h </w:instrText>
      </w:r>
      <w:r>
        <w:fldChar w:fldCharType="separate"/>
      </w:r>
      <w:r w:rsidR="00914885">
        <w:t>5</w:t>
      </w:r>
      <w:r>
        <w:fldChar w:fldCharType="end"/>
      </w:r>
    </w:p>
    <w:p w:rsidR="002348AF" w:rsidRDefault="002348AF">
      <w:pPr>
        <w:pStyle w:val="TOC8"/>
        <w:rPr>
          <w:rFonts w:asciiTheme="minorHAnsi" w:eastAsiaTheme="minorEastAsia" w:hAnsiTheme="minorHAnsi" w:cstheme="minorBidi"/>
          <w:szCs w:val="22"/>
        </w:rPr>
      </w:pPr>
      <w:r>
        <w:t>5C.</w:t>
      </w:r>
      <w:r>
        <w:tab/>
        <w:t>Conditions of appointment</w:t>
      </w:r>
      <w:r>
        <w:tab/>
      </w:r>
      <w:r>
        <w:fldChar w:fldCharType="begin"/>
      </w:r>
      <w:r>
        <w:instrText xml:space="preserve"> PAGEREF _Toc75528170 \h </w:instrText>
      </w:r>
      <w:r>
        <w:fldChar w:fldCharType="separate"/>
      </w:r>
      <w:r w:rsidR="00914885">
        <w:t>5</w:t>
      </w:r>
      <w:r>
        <w:fldChar w:fldCharType="end"/>
      </w:r>
    </w:p>
    <w:p w:rsidR="002348AF" w:rsidRDefault="002348AF">
      <w:pPr>
        <w:pStyle w:val="TOC8"/>
        <w:rPr>
          <w:rFonts w:asciiTheme="minorHAnsi" w:eastAsiaTheme="minorEastAsia" w:hAnsiTheme="minorHAnsi" w:cstheme="minorBidi"/>
          <w:szCs w:val="22"/>
        </w:rPr>
      </w:pPr>
      <w:r>
        <w:t>5D.</w:t>
      </w:r>
      <w:r>
        <w:tab/>
        <w:t>Duration of appointment</w:t>
      </w:r>
      <w:r>
        <w:tab/>
      </w:r>
      <w:r>
        <w:fldChar w:fldCharType="begin"/>
      </w:r>
      <w:r>
        <w:instrText xml:space="preserve"> PAGEREF _Toc75528171 \h </w:instrText>
      </w:r>
      <w:r>
        <w:fldChar w:fldCharType="separate"/>
      </w:r>
      <w:r w:rsidR="00914885">
        <w:t>6</w:t>
      </w:r>
      <w:r>
        <w:fldChar w:fldCharType="end"/>
      </w:r>
    </w:p>
    <w:p w:rsidR="002348AF" w:rsidRDefault="002348AF">
      <w:pPr>
        <w:pStyle w:val="TOC2"/>
        <w:tabs>
          <w:tab w:val="right" w:leader="dot" w:pos="7077"/>
        </w:tabs>
        <w:rPr>
          <w:rFonts w:asciiTheme="minorHAnsi" w:eastAsiaTheme="minorEastAsia" w:hAnsiTheme="minorHAnsi" w:cstheme="minorBidi"/>
          <w:b w:val="0"/>
          <w:sz w:val="22"/>
          <w:szCs w:val="22"/>
        </w:rPr>
      </w:pPr>
      <w:r>
        <w:t>Part 4</w:t>
      </w:r>
      <w:r w:rsidRPr="009839B4">
        <w:rPr>
          <w:b w:val="0"/>
        </w:rPr>
        <w:t> </w:t>
      </w:r>
      <w:r>
        <w:t>—</w:t>
      </w:r>
      <w:r w:rsidRPr="009839B4">
        <w:rPr>
          <w:b w:val="0"/>
        </w:rPr>
        <w:t> </w:t>
      </w:r>
      <w:r>
        <w:t>Signals</w:t>
      </w:r>
    </w:p>
    <w:p w:rsidR="002348AF" w:rsidRDefault="002348AF">
      <w:pPr>
        <w:pStyle w:val="TOC8"/>
        <w:rPr>
          <w:rFonts w:asciiTheme="minorHAnsi" w:eastAsiaTheme="minorEastAsia" w:hAnsiTheme="minorHAnsi" w:cstheme="minorBidi"/>
          <w:szCs w:val="22"/>
        </w:rPr>
      </w:pPr>
      <w:r>
        <w:t>6</w:t>
      </w:r>
      <w:r w:rsidRPr="009839B4">
        <w:rPr>
          <w:snapToGrid w:val="0"/>
        </w:rPr>
        <w:t>.</w:t>
      </w:r>
      <w:r w:rsidRPr="009839B4">
        <w:rPr>
          <w:snapToGrid w:val="0"/>
        </w:rPr>
        <w:tab/>
        <w:t>Vessels, signals to be displayed on (Sch. 2)</w:t>
      </w:r>
      <w:r>
        <w:tab/>
      </w:r>
      <w:r>
        <w:fldChar w:fldCharType="begin"/>
      </w:r>
      <w:r>
        <w:instrText xml:space="preserve"> PAGEREF _Toc75528173 \h </w:instrText>
      </w:r>
      <w:r>
        <w:fldChar w:fldCharType="separate"/>
      </w:r>
      <w:r w:rsidR="00914885">
        <w:t>7</w:t>
      </w:r>
      <w:r>
        <w:fldChar w:fldCharType="end"/>
      </w:r>
    </w:p>
    <w:p w:rsidR="002348AF" w:rsidRDefault="002348AF">
      <w:pPr>
        <w:pStyle w:val="TOC8"/>
        <w:rPr>
          <w:rFonts w:asciiTheme="minorHAnsi" w:eastAsiaTheme="minorEastAsia" w:hAnsiTheme="minorHAnsi" w:cstheme="minorBidi"/>
          <w:szCs w:val="22"/>
        </w:rPr>
      </w:pPr>
      <w:r>
        <w:t>7</w:t>
      </w:r>
      <w:r w:rsidRPr="009839B4">
        <w:rPr>
          <w:snapToGrid w:val="0"/>
        </w:rPr>
        <w:t>.</w:t>
      </w:r>
      <w:r w:rsidRPr="009839B4">
        <w:rPr>
          <w:snapToGrid w:val="0"/>
        </w:rPr>
        <w:tab/>
        <w:t>Dredgers, signals to be displayed on (Sch. 2)</w:t>
      </w:r>
      <w:r>
        <w:tab/>
      </w:r>
      <w:r>
        <w:fldChar w:fldCharType="begin"/>
      </w:r>
      <w:r>
        <w:instrText xml:space="preserve"> PAGEREF _Toc75528174 \h </w:instrText>
      </w:r>
      <w:r>
        <w:fldChar w:fldCharType="separate"/>
      </w:r>
      <w:r w:rsidR="00914885">
        <w:t>7</w:t>
      </w:r>
      <w:r>
        <w:fldChar w:fldCharType="end"/>
      </w:r>
    </w:p>
    <w:p w:rsidR="002348AF" w:rsidRDefault="002348AF">
      <w:pPr>
        <w:pStyle w:val="TOC8"/>
        <w:rPr>
          <w:rFonts w:asciiTheme="minorHAnsi" w:eastAsiaTheme="minorEastAsia" w:hAnsiTheme="minorHAnsi" w:cstheme="minorBidi"/>
          <w:szCs w:val="22"/>
        </w:rPr>
      </w:pPr>
      <w:r>
        <w:t>8</w:t>
      </w:r>
      <w:r w:rsidRPr="009839B4">
        <w:rPr>
          <w:snapToGrid w:val="0"/>
        </w:rPr>
        <w:t>.</w:t>
      </w:r>
      <w:r w:rsidRPr="009839B4">
        <w:rPr>
          <w:snapToGrid w:val="0"/>
        </w:rPr>
        <w:tab/>
        <w:t>Improper use of signals</w:t>
      </w:r>
      <w:r>
        <w:tab/>
      </w:r>
      <w:r>
        <w:fldChar w:fldCharType="begin"/>
      </w:r>
      <w:r>
        <w:instrText xml:space="preserve"> PAGEREF _Toc75528175 \h </w:instrText>
      </w:r>
      <w:r>
        <w:fldChar w:fldCharType="separate"/>
      </w:r>
      <w:r w:rsidR="00914885">
        <w:t>8</w:t>
      </w:r>
      <w:r>
        <w:fldChar w:fldCharType="end"/>
      </w:r>
    </w:p>
    <w:p w:rsidR="002348AF" w:rsidRDefault="002348AF">
      <w:pPr>
        <w:pStyle w:val="TOC2"/>
        <w:tabs>
          <w:tab w:val="right" w:leader="dot" w:pos="7077"/>
        </w:tabs>
        <w:rPr>
          <w:rFonts w:asciiTheme="minorHAnsi" w:eastAsiaTheme="minorEastAsia" w:hAnsiTheme="minorHAnsi" w:cstheme="minorBidi"/>
          <w:b w:val="0"/>
          <w:sz w:val="22"/>
          <w:szCs w:val="22"/>
        </w:rPr>
      </w:pPr>
      <w:r>
        <w:t>Part 5</w:t>
      </w:r>
      <w:r w:rsidRPr="009839B4">
        <w:rPr>
          <w:b w:val="0"/>
        </w:rPr>
        <w:t> </w:t>
      </w:r>
      <w:r>
        <w:t>—</w:t>
      </w:r>
      <w:r w:rsidRPr="009839B4">
        <w:rPr>
          <w:b w:val="0"/>
        </w:rPr>
        <w:t> </w:t>
      </w:r>
      <w:r>
        <w:t>Pilotage</w:t>
      </w:r>
    </w:p>
    <w:p w:rsidR="002348AF" w:rsidRDefault="002348AF">
      <w:pPr>
        <w:pStyle w:val="TOC4"/>
        <w:tabs>
          <w:tab w:val="right" w:leader="dot" w:pos="7077"/>
        </w:tabs>
        <w:rPr>
          <w:rFonts w:asciiTheme="minorHAnsi" w:eastAsiaTheme="minorEastAsia" w:hAnsiTheme="minorHAnsi" w:cstheme="minorBidi"/>
          <w:b w:val="0"/>
          <w:szCs w:val="22"/>
        </w:rPr>
      </w:pPr>
      <w:r>
        <w:t>Division 1 — Licensing of pilots</w:t>
      </w:r>
    </w:p>
    <w:p w:rsidR="002348AF" w:rsidRDefault="002348AF">
      <w:pPr>
        <w:pStyle w:val="TOC8"/>
        <w:rPr>
          <w:rFonts w:asciiTheme="minorHAnsi" w:eastAsiaTheme="minorEastAsia" w:hAnsiTheme="minorHAnsi" w:cstheme="minorBidi"/>
          <w:szCs w:val="22"/>
        </w:rPr>
      </w:pPr>
      <w:r>
        <w:t>9A.</w:t>
      </w:r>
      <w:r>
        <w:tab/>
        <w:t>Licence required to act as pilot</w:t>
      </w:r>
      <w:r>
        <w:tab/>
      </w:r>
      <w:r>
        <w:fldChar w:fldCharType="begin"/>
      </w:r>
      <w:r>
        <w:instrText xml:space="preserve"> PAGEREF _Toc75528178 \h </w:instrText>
      </w:r>
      <w:r>
        <w:fldChar w:fldCharType="separate"/>
      </w:r>
      <w:r w:rsidR="00914885">
        <w:t>9</w:t>
      </w:r>
      <w:r>
        <w:fldChar w:fldCharType="end"/>
      </w:r>
    </w:p>
    <w:p w:rsidR="002348AF" w:rsidRDefault="002348AF">
      <w:pPr>
        <w:pStyle w:val="TOC8"/>
        <w:rPr>
          <w:rFonts w:asciiTheme="minorHAnsi" w:eastAsiaTheme="minorEastAsia" w:hAnsiTheme="minorHAnsi" w:cstheme="minorBidi"/>
          <w:szCs w:val="22"/>
        </w:rPr>
      </w:pPr>
      <w:r>
        <w:t>9B.</w:t>
      </w:r>
      <w:r>
        <w:tab/>
        <w:t>Application for licence</w:t>
      </w:r>
      <w:r>
        <w:tab/>
      </w:r>
      <w:r>
        <w:fldChar w:fldCharType="begin"/>
      </w:r>
      <w:r>
        <w:instrText xml:space="preserve"> PAGEREF _Toc75528179 \h </w:instrText>
      </w:r>
      <w:r>
        <w:fldChar w:fldCharType="separate"/>
      </w:r>
      <w:r w:rsidR="00914885">
        <w:t>9</w:t>
      </w:r>
      <w:r>
        <w:fldChar w:fldCharType="end"/>
      </w:r>
    </w:p>
    <w:p w:rsidR="002348AF" w:rsidRDefault="002348AF">
      <w:pPr>
        <w:pStyle w:val="TOC8"/>
        <w:rPr>
          <w:rFonts w:asciiTheme="minorHAnsi" w:eastAsiaTheme="minorEastAsia" w:hAnsiTheme="minorHAnsi" w:cstheme="minorBidi"/>
          <w:szCs w:val="22"/>
        </w:rPr>
      </w:pPr>
      <w:r>
        <w:t>9C.</w:t>
      </w:r>
      <w:r>
        <w:tab/>
        <w:t>Issue of licence</w:t>
      </w:r>
      <w:r>
        <w:tab/>
      </w:r>
      <w:r>
        <w:fldChar w:fldCharType="begin"/>
      </w:r>
      <w:r>
        <w:instrText xml:space="preserve"> PAGEREF _Toc75528180 \h </w:instrText>
      </w:r>
      <w:r>
        <w:fldChar w:fldCharType="separate"/>
      </w:r>
      <w:r w:rsidR="00914885">
        <w:t>10</w:t>
      </w:r>
      <w:r>
        <w:fldChar w:fldCharType="end"/>
      </w:r>
    </w:p>
    <w:p w:rsidR="002348AF" w:rsidRDefault="002348AF">
      <w:pPr>
        <w:pStyle w:val="TOC8"/>
        <w:rPr>
          <w:rFonts w:asciiTheme="minorHAnsi" w:eastAsiaTheme="minorEastAsia" w:hAnsiTheme="minorHAnsi" w:cstheme="minorBidi"/>
          <w:szCs w:val="22"/>
        </w:rPr>
      </w:pPr>
      <w:r>
        <w:t>9D.</w:t>
      </w:r>
      <w:r>
        <w:tab/>
        <w:t>Conditions of licence</w:t>
      </w:r>
      <w:r>
        <w:tab/>
      </w:r>
      <w:r>
        <w:fldChar w:fldCharType="begin"/>
      </w:r>
      <w:r>
        <w:instrText xml:space="preserve"> PAGEREF _Toc75528181 \h </w:instrText>
      </w:r>
      <w:r>
        <w:fldChar w:fldCharType="separate"/>
      </w:r>
      <w:r w:rsidR="00914885">
        <w:t>11</w:t>
      </w:r>
      <w:r>
        <w:fldChar w:fldCharType="end"/>
      </w:r>
    </w:p>
    <w:p w:rsidR="002348AF" w:rsidRDefault="002348AF">
      <w:pPr>
        <w:pStyle w:val="TOC8"/>
        <w:rPr>
          <w:rFonts w:asciiTheme="minorHAnsi" w:eastAsiaTheme="minorEastAsia" w:hAnsiTheme="minorHAnsi" w:cstheme="minorBidi"/>
          <w:szCs w:val="22"/>
        </w:rPr>
      </w:pPr>
      <w:r>
        <w:t>9E.</w:t>
      </w:r>
      <w:r>
        <w:tab/>
        <w:t>Duration of licence</w:t>
      </w:r>
      <w:r>
        <w:tab/>
      </w:r>
      <w:r>
        <w:fldChar w:fldCharType="begin"/>
      </w:r>
      <w:r>
        <w:instrText xml:space="preserve"> PAGEREF _Toc75528182 \h </w:instrText>
      </w:r>
      <w:r>
        <w:fldChar w:fldCharType="separate"/>
      </w:r>
      <w:r w:rsidR="00914885">
        <w:t>12</w:t>
      </w:r>
      <w:r>
        <w:fldChar w:fldCharType="end"/>
      </w:r>
    </w:p>
    <w:p w:rsidR="002348AF" w:rsidRDefault="002348AF">
      <w:pPr>
        <w:pStyle w:val="TOC8"/>
        <w:rPr>
          <w:rFonts w:asciiTheme="minorHAnsi" w:eastAsiaTheme="minorEastAsia" w:hAnsiTheme="minorHAnsi" w:cstheme="minorBidi"/>
          <w:szCs w:val="22"/>
        </w:rPr>
      </w:pPr>
      <w:r>
        <w:lastRenderedPageBreak/>
        <w:t>9F.</w:t>
      </w:r>
      <w:r>
        <w:tab/>
        <w:t>Renewal of licence, application for</w:t>
      </w:r>
      <w:r>
        <w:tab/>
      </w:r>
      <w:r>
        <w:fldChar w:fldCharType="begin"/>
      </w:r>
      <w:r>
        <w:instrText xml:space="preserve"> PAGEREF _Toc75528183 \h </w:instrText>
      </w:r>
      <w:r>
        <w:fldChar w:fldCharType="separate"/>
      </w:r>
      <w:r w:rsidR="00914885">
        <w:t>12</w:t>
      </w:r>
      <w:r>
        <w:fldChar w:fldCharType="end"/>
      </w:r>
    </w:p>
    <w:p w:rsidR="002348AF" w:rsidRDefault="002348AF">
      <w:pPr>
        <w:pStyle w:val="TOC8"/>
        <w:rPr>
          <w:rFonts w:asciiTheme="minorHAnsi" w:eastAsiaTheme="minorEastAsia" w:hAnsiTheme="minorHAnsi" w:cstheme="minorBidi"/>
          <w:szCs w:val="22"/>
        </w:rPr>
      </w:pPr>
      <w:r>
        <w:t>9G.</w:t>
      </w:r>
      <w:r>
        <w:tab/>
        <w:t>Renewal of licence</w:t>
      </w:r>
      <w:r>
        <w:tab/>
      </w:r>
      <w:r>
        <w:fldChar w:fldCharType="begin"/>
      </w:r>
      <w:r>
        <w:instrText xml:space="preserve"> PAGEREF _Toc75528184 \h </w:instrText>
      </w:r>
      <w:r>
        <w:fldChar w:fldCharType="separate"/>
      </w:r>
      <w:r w:rsidR="00914885">
        <w:t>13</w:t>
      </w:r>
      <w:r>
        <w:fldChar w:fldCharType="end"/>
      </w:r>
    </w:p>
    <w:p w:rsidR="002348AF" w:rsidRDefault="002348AF">
      <w:pPr>
        <w:pStyle w:val="TOC8"/>
        <w:rPr>
          <w:rFonts w:asciiTheme="minorHAnsi" w:eastAsiaTheme="minorEastAsia" w:hAnsiTheme="minorHAnsi" w:cstheme="minorBidi"/>
          <w:szCs w:val="22"/>
        </w:rPr>
      </w:pPr>
      <w:r>
        <w:t>9H.</w:t>
      </w:r>
      <w:r>
        <w:tab/>
        <w:t>Suspension and revocation of licence</w:t>
      </w:r>
      <w:r>
        <w:tab/>
      </w:r>
      <w:r>
        <w:fldChar w:fldCharType="begin"/>
      </w:r>
      <w:r>
        <w:instrText xml:space="preserve"> PAGEREF _Toc75528185 \h </w:instrText>
      </w:r>
      <w:r>
        <w:fldChar w:fldCharType="separate"/>
      </w:r>
      <w:r w:rsidR="00914885">
        <w:t>13</w:t>
      </w:r>
      <w:r>
        <w:fldChar w:fldCharType="end"/>
      </w:r>
    </w:p>
    <w:p w:rsidR="002348AF" w:rsidRDefault="002348AF">
      <w:pPr>
        <w:pStyle w:val="TOC8"/>
        <w:rPr>
          <w:rFonts w:asciiTheme="minorHAnsi" w:eastAsiaTheme="minorEastAsia" w:hAnsiTheme="minorHAnsi" w:cstheme="minorBidi"/>
          <w:szCs w:val="22"/>
        </w:rPr>
      </w:pPr>
      <w:r>
        <w:t>9I.</w:t>
      </w:r>
      <w:r>
        <w:tab/>
        <w:t>Review of decisions by SAT</w:t>
      </w:r>
      <w:r>
        <w:tab/>
      </w:r>
      <w:r>
        <w:fldChar w:fldCharType="begin"/>
      </w:r>
      <w:r>
        <w:instrText xml:space="preserve"> PAGEREF _Toc75528186 \h </w:instrText>
      </w:r>
      <w:r>
        <w:fldChar w:fldCharType="separate"/>
      </w:r>
      <w:r w:rsidR="00914885">
        <w:t>15</w:t>
      </w:r>
      <w:r>
        <w:fldChar w:fldCharType="end"/>
      </w:r>
    </w:p>
    <w:p w:rsidR="002348AF" w:rsidRDefault="002348AF">
      <w:pPr>
        <w:pStyle w:val="TOC8"/>
        <w:rPr>
          <w:rFonts w:asciiTheme="minorHAnsi" w:eastAsiaTheme="minorEastAsia" w:hAnsiTheme="minorHAnsi" w:cstheme="minorBidi"/>
          <w:szCs w:val="22"/>
        </w:rPr>
      </w:pPr>
      <w:r>
        <w:t>9J.</w:t>
      </w:r>
      <w:r>
        <w:tab/>
        <w:t>Lost etc. licence documents, replacement of</w:t>
      </w:r>
      <w:r>
        <w:tab/>
      </w:r>
      <w:r>
        <w:fldChar w:fldCharType="begin"/>
      </w:r>
      <w:r>
        <w:instrText xml:space="preserve"> PAGEREF _Toc75528187 \h </w:instrText>
      </w:r>
      <w:r>
        <w:fldChar w:fldCharType="separate"/>
      </w:r>
      <w:r w:rsidR="00914885">
        <w:t>15</w:t>
      </w:r>
      <w:r>
        <w:fldChar w:fldCharType="end"/>
      </w:r>
    </w:p>
    <w:p w:rsidR="002348AF" w:rsidRDefault="002348AF">
      <w:pPr>
        <w:pStyle w:val="TOC4"/>
        <w:tabs>
          <w:tab w:val="right" w:leader="dot" w:pos="7077"/>
        </w:tabs>
        <w:rPr>
          <w:rFonts w:asciiTheme="minorHAnsi" w:eastAsiaTheme="minorEastAsia" w:hAnsiTheme="minorHAnsi" w:cstheme="minorBidi"/>
          <w:b w:val="0"/>
          <w:szCs w:val="22"/>
        </w:rPr>
      </w:pPr>
      <w:r>
        <w:t>Division 2 — Requirements relating to pilotage</w:t>
      </w:r>
    </w:p>
    <w:p w:rsidR="002348AF" w:rsidRDefault="002348AF">
      <w:pPr>
        <w:pStyle w:val="TOC8"/>
        <w:rPr>
          <w:rFonts w:asciiTheme="minorHAnsi" w:eastAsiaTheme="minorEastAsia" w:hAnsiTheme="minorHAnsi" w:cstheme="minorBidi"/>
          <w:szCs w:val="22"/>
        </w:rPr>
      </w:pPr>
      <w:r>
        <w:t>9</w:t>
      </w:r>
      <w:r w:rsidRPr="009839B4">
        <w:rPr>
          <w:snapToGrid w:val="0"/>
        </w:rPr>
        <w:t>.</w:t>
      </w:r>
      <w:r w:rsidRPr="009839B4">
        <w:rPr>
          <w:snapToGrid w:val="0"/>
        </w:rPr>
        <w:tab/>
        <w:t>Which vessels require licensed pilot in pilotage area</w:t>
      </w:r>
      <w:r>
        <w:tab/>
      </w:r>
      <w:r>
        <w:fldChar w:fldCharType="begin"/>
      </w:r>
      <w:r>
        <w:instrText xml:space="preserve"> PAGEREF _Toc75528189 \h </w:instrText>
      </w:r>
      <w:r>
        <w:fldChar w:fldCharType="separate"/>
      </w:r>
      <w:r w:rsidR="00914885">
        <w:t>15</w:t>
      </w:r>
      <w:r>
        <w:fldChar w:fldCharType="end"/>
      </w:r>
    </w:p>
    <w:p w:rsidR="002348AF" w:rsidRDefault="002348AF">
      <w:pPr>
        <w:pStyle w:val="TOC8"/>
        <w:rPr>
          <w:rFonts w:asciiTheme="minorHAnsi" w:eastAsiaTheme="minorEastAsia" w:hAnsiTheme="minorHAnsi" w:cstheme="minorBidi"/>
          <w:szCs w:val="22"/>
        </w:rPr>
      </w:pPr>
      <w:r>
        <w:t>10</w:t>
      </w:r>
      <w:r w:rsidRPr="009839B4">
        <w:rPr>
          <w:snapToGrid w:val="0"/>
        </w:rPr>
        <w:t>.</w:t>
      </w:r>
      <w:r w:rsidRPr="009839B4">
        <w:rPr>
          <w:snapToGrid w:val="0"/>
        </w:rPr>
        <w:tab/>
        <w:t>Boarding and discharging pilot, master’s duties as to</w:t>
      </w:r>
      <w:r>
        <w:tab/>
      </w:r>
      <w:r>
        <w:fldChar w:fldCharType="begin"/>
      </w:r>
      <w:r>
        <w:instrText xml:space="preserve"> PAGEREF _Toc75528190 \h </w:instrText>
      </w:r>
      <w:r>
        <w:fldChar w:fldCharType="separate"/>
      </w:r>
      <w:r w:rsidR="00914885">
        <w:t>16</w:t>
      </w:r>
      <w:r>
        <w:fldChar w:fldCharType="end"/>
      </w:r>
    </w:p>
    <w:p w:rsidR="002348AF" w:rsidRDefault="002348AF">
      <w:pPr>
        <w:pStyle w:val="TOC8"/>
        <w:rPr>
          <w:rFonts w:asciiTheme="minorHAnsi" w:eastAsiaTheme="minorEastAsia" w:hAnsiTheme="minorHAnsi" w:cstheme="minorBidi"/>
          <w:szCs w:val="22"/>
        </w:rPr>
      </w:pPr>
      <w:r>
        <w:t>11</w:t>
      </w:r>
      <w:r w:rsidRPr="009839B4">
        <w:rPr>
          <w:snapToGrid w:val="0"/>
        </w:rPr>
        <w:t>.</w:t>
      </w:r>
      <w:r w:rsidRPr="009839B4">
        <w:rPr>
          <w:snapToGrid w:val="0"/>
        </w:rPr>
        <w:tab/>
        <w:t>Master to declare draught to pilot</w:t>
      </w:r>
      <w:r>
        <w:tab/>
      </w:r>
      <w:r>
        <w:fldChar w:fldCharType="begin"/>
      </w:r>
      <w:r>
        <w:instrText xml:space="preserve"> PAGEREF _Toc75528191 \h </w:instrText>
      </w:r>
      <w:r>
        <w:fldChar w:fldCharType="separate"/>
      </w:r>
      <w:r w:rsidR="00914885">
        <w:t>17</w:t>
      </w:r>
      <w:r>
        <w:fldChar w:fldCharType="end"/>
      </w:r>
    </w:p>
    <w:p w:rsidR="002348AF" w:rsidRDefault="002348AF">
      <w:pPr>
        <w:pStyle w:val="TOC8"/>
        <w:rPr>
          <w:rFonts w:asciiTheme="minorHAnsi" w:eastAsiaTheme="minorEastAsia" w:hAnsiTheme="minorHAnsi" w:cstheme="minorBidi"/>
          <w:szCs w:val="22"/>
        </w:rPr>
      </w:pPr>
      <w:r>
        <w:t>12</w:t>
      </w:r>
      <w:r w:rsidRPr="009839B4">
        <w:rPr>
          <w:snapToGrid w:val="0"/>
        </w:rPr>
        <w:t>.</w:t>
      </w:r>
      <w:r w:rsidRPr="009839B4">
        <w:rPr>
          <w:snapToGrid w:val="0"/>
        </w:rPr>
        <w:tab/>
        <w:t>Flag required on pilot boat</w:t>
      </w:r>
      <w:r>
        <w:tab/>
      </w:r>
      <w:r>
        <w:fldChar w:fldCharType="begin"/>
      </w:r>
      <w:r>
        <w:instrText xml:space="preserve"> PAGEREF _Toc75528192 \h </w:instrText>
      </w:r>
      <w:r>
        <w:fldChar w:fldCharType="separate"/>
      </w:r>
      <w:r w:rsidR="00914885">
        <w:t>17</w:t>
      </w:r>
      <w:r>
        <w:fldChar w:fldCharType="end"/>
      </w:r>
    </w:p>
    <w:p w:rsidR="002348AF" w:rsidRDefault="002348AF">
      <w:pPr>
        <w:pStyle w:val="TOC8"/>
        <w:rPr>
          <w:rFonts w:asciiTheme="minorHAnsi" w:eastAsiaTheme="minorEastAsia" w:hAnsiTheme="minorHAnsi" w:cstheme="minorBidi"/>
          <w:szCs w:val="22"/>
        </w:rPr>
      </w:pPr>
      <w:r>
        <w:t>13</w:t>
      </w:r>
      <w:r w:rsidRPr="009839B4">
        <w:rPr>
          <w:snapToGrid w:val="0"/>
        </w:rPr>
        <w:t>.</w:t>
      </w:r>
      <w:r w:rsidRPr="009839B4">
        <w:rPr>
          <w:snapToGrid w:val="0"/>
        </w:rPr>
        <w:tab/>
        <w:t>Masters of tugs etc. assisting piloted vessel to obey pilot</w:t>
      </w:r>
      <w:r>
        <w:tab/>
      </w:r>
      <w:r>
        <w:fldChar w:fldCharType="begin"/>
      </w:r>
      <w:r>
        <w:instrText xml:space="preserve"> PAGEREF _Toc75528193 \h </w:instrText>
      </w:r>
      <w:r>
        <w:fldChar w:fldCharType="separate"/>
      </w:r>
      <w:r w:rsidR="00914885">
        <w:t>17</w:t>
      </w:r>
      <w:r>
        <w:fldChar w:fldCharType="end"/>
      </w:r>
    </w:p>
    <w:p w:rsidR="002348AF" w:rsidRDefault="002348AF">
      <w:pPr>
        <w:pStyle w:val="TOC8"/>
        <w:rPr>
          <w:rFonts w:asciiTheme="minorHAnsi" w:eastAsiaTheme="minorEastAsia" w:hAnsiTheme="minorHAnsi" w:cstheme="minorBidi"/>
          <w:szCs w:val="22"/>
        </w:rPr>
      </w:pPr>
      <w:r>
        <w:t>14</w:t>
      </w:r>
      <w:r w:rsidRPr="009839B4">
        <w:rPr>
          <w:snapToGrid w:val="0"/>
        </w:rPr>
        <w:t>.</w:t>
      </w:r>
      <w:r w:rsidRPr="009839B4">
        <w:rPr>
          <w:snapToGrid w:val="0"/>
        </w:rPr>
        <w:tab/>
        <w:t>Vessel movement in pilotage area, restrictions on; when 2 pilots required</w:t>
      </w:r>
      <w:r>
        <w:tab/>
      </w:r>
      <w:r>
        <w:fldChar w:fldCharType="begin"/>
      </w:r>
      <w:r>
        <w:instrText xml:space="preserve"> PAGEREF _Toc75528194 \h </w:instrText>
      </w:r>
      <w:r>
        <w:fldChar w:fldCharType="separate"/>
      </w:r>
      <w:r w:rsidR="00914885">
        <w:t>17</w:t>
      </w:r>
      <w:r>
        <w:fldChar w:fldCharType="end"/>
      </w:r>
    </w:p>
    <w:p w:rsidR="002348AF" w:rsidRDefault="002348AF">
      <w:pPr>
        <w:pStyle w:val="TOC4"/>
        <w:tabs>
          <w:tab w:val="right" w:leader="dot" w:pos="7077"/>
        </w:tabs>
        <w:rPr>
          <w:rFonts w:asciiTheme="minorHAnsi" w:eastAsiaTheme="minorEastAsia" w:hAnsiTheme="minorHAnsi" w:cstheme="minorBidi"/>
          <w:b w:val="0"/>
          <w:szCs w:val="22"/>
        </w:rPr>
      </w:pPr>
      <w:r>
        <w:t>Division 4 — Pilotage exemption certificates</w:t>
      </w:r>
    </w:p>
    <w:p w:rsidR="002348AF" w:rsidRDefault="002348AF">
      <w:pPr>
        <w:pStyle w:val="TOC8"/>
        <w:rPr>
          <w:rFonts w:asciiTheme="minorHAnsi" w:eastAsiaTheme="minorEastAsia" w:hAnsiTheme="minorHAnsi" w:cstheme="minorBidi"/>
          <w:szCs w:val="22"/>
        </w:rPr>
      </w:pPr>
      <w:r>
        <w:t>16</w:t>
      </w:r>
      <w:r w:rsidRPr="009839B4">
        <w:rPr>
          <w:snapToGrid w:val="0"/>
        </w:rPr>
        <w:t>.</w:t>
      </w:r>
      <w:r w:rsidRPr="009839B4">
        <w:rPr>
          <w:snapToGrid w:val="0"/>
        </w:rPr>
        <w:tab/>
        <w:t>Who is entitled to certificate</w:t>
      </w:r>
      <w:r>
        <w:tab/>
      </w:r>
      <w:r>
        <w:fldChar w:fldCharType="begin"/>
      </w:r>
      <w:r>
        <w:instrText xml:space="preserve"> PAGEREF _Toc75528196 \h </w:instrText>
      </w:r>
      <w:r>
        <w:fldChar w:fldCharType="separate"/>
      </w:r>
      <w:r w:rsidR="00914885">
        <w:t>19</w:t>
      </w:r>
      <w:r>
        <w:fldChar w:fldCharType="end"/>
      </w:r>
    </w:p>
    <w:p w:rsidR="002348AF" w:rsidRDefault="002348AF">
      <w:pPr>
        <w:pStyle w:val="TOC8"/>
        <w:rPr>
          <w:rFonts w:asciiTheme="minorHAnsi" w:eastAsiaTheme="minorEastAsia" w:hAnsiTheme="minorHAnsi" w:cstheme="minorBidi"/>
          <w:szCs w:val="22"/>
        </w:rPr>
      </w:pPr>
      <w:r>
        <w:t>16A</w:t>
      </w:r>
      <w:r w:rsidRPr="009839B4">
        <w:rPr>
          <w:snapToGrid w:val="0"/>
        </w:rPr>
        <w:t>.</w:t>
      </w:r>
      <w:r w:rsidRPr="009839B4">
        <w:rPr>
          <w:snapToGrid w:val="0"/>
        </w:rPr>
        <w:tab/>
        <w:t>Who is eligible to attempt r. 16B examination</w:t>
      </w:r>
      <w:r>
        <w:tab/>
      </w:r>
      <w:r>
        <w:fldChar w:fldCharType="begin"/>
      </w:r>
      <w:r>
        <w:instrText xml:space="preserve"> PAGEREF _Toc75528197 \h </w:instrText>
      </w:r>
      <w:r>
        <w:fldChar w:fldCharType="separate"/>
      </w:r>
      <w:r w:rsidR="00914885">
        <w:t>20</w:t>
      </w:r>
      <w:r>
        <w:fldChar w:fldCharType="end"/>
      </w:r>
    </w:p>
    <w:p w:rsidR="002348AF" w:rsidRDefault="002348AF">
      <w:pPr>
        <w:pStyle w:val="TOC8"/>
        <w:rPr>
          <w:rFonts w:asciiTheme="minorHAnsi" w:eastAsiaTheme="minorEastAsia" w:hAnsiTheme="minorHAnsi" w:cstheme="minorBidi"/>
          <w:szCs w:val="22"/>
        </w:rPr>
      </w:pPr>
      <w:r>
        <w:t>16B</w:t>
      </w:r>
      <w:r w:rsidRPr="009839B4">
        <w:rPr>
          <w:snapToGrid w:val="0"/>
        </w:rPr>
        <w:t>.</w:t>
      </w:r>
      <w:r w:rsidRPr="009839B4">
        <w:rPr>
          <w:snapToGrid w:val="0"/>
        </w:rPr>
        <w:tab/>
        <w:t>Examinations as to knowledge of port etc.</w:t>
      </w:r>
      <w:r>
        <w:tab/>
      </w:r>
      <w:r>
        <w:fldChar w:fldCharType="begin"/>
      </w:r>
      <w:r>
        <w:instrText xml:space="preserve"> PAGEREF _Toc75528198 \h </w:instrText>
      </w:r>
      <w:r>
        <w:fldChar w:fldCharType="separate"/>
      </w:r>
      <w:r w:rsidR="00914885">
        <w:t>20</w:t>
      </w:r>
      <w:r>
        <w:fldChar w:fldCharType="end"/>
      </w:r>
    </w:p>
    <w:p w:rsidR="002348AF" w:rsidRDefault="002348AF">
      <w:pPr>
        <w:pStyle w:val="TOC8"/>
        <w:rPr>
          <w:rFonts w:asciiTheme="minorHAnsi" w:eastAsiaTheme="minorEastAsia" w:hAnsiTheme="minorHAnsi" w:cstheme="minorBidi"/>
          <w:szCs w:val="22"/>
        </w:rPr>
      </w:pPr>
      <w:r>
        <w:t>16C</w:t>
      </w:r>
      <w:r w:rsidRPr="009839B4">
        <w:rPr>
          <w:snapToGrid w:val="0"/>
        </w:rPr>
        <w:t>.</w:t>
      </w:r>
      <w:r w:rsidRPr="009839B4">
        <w:rPr>
          <w:snapToGrid w:val="0"/>
        </w:rPr>
        <w:tab/>
        <w:t>Certificate of health</w:t>
      </w:r>
      <w:r>
        <w:tab/>
      </w:r>
      <w:r>
        <w:fldChar w:fldCharType="begin"/>
      </w:r>
      <w:r>
        <w:instrText xml:space="preserve"> PAGEREF _Toc75528199 \h </w:instrText>
      </w:r>
      <w:r>
        <w:fldChar w:fldCharType="separate"/>
      </w:r>
      <w:r w:rsidR="00914885">
        <w:t>21</w:t>
      </w:r>
      <w:r>
        <w:fldChar w:fldCharType="end"/>
      </w:r>
    </w:p>
    <w:p w:rsidR="002348AF" w:rsidRDefault="002348AF">
      <w:pPr>
        <w:pStyle w:val="TOC8"/>
        <w:rPr>
          <w:rFonts w:asciiTheme="minorHAnsi" w:eastAsiaTheme="minorEastAsia" w:hAnsiTheme="minorHAnsi" w:cstheme="minorBidi"/>
          <w:szCs w:val="22"/>
        </w:rPr>
      </w:pPr>
      <w:r>
        <w:t>16D</w:t>
      </w:r>
      <w:r w:rsidRPr="009839B4">
        <w:rPr>
          <w:snapToGrid w:val="0"/>
        </w:rPr>
        <w:t>.</w:t>
      </w:r>
      <w:r w:rsidRPr="009839B4">
        <w:rPr>
          <w:snapToGrid w:val="0"/>
        </w:rPr>
        <w:tab/>
        <w:t>Determining maximum length overall of vessel for certificates</w:t>
      </w:r>
      <w:r>
        <w:tab/>
      </w:r>
      <w:r>
        <w:fldChar w:fldCharType="begin"/>
      </w:r>
      <w:r>
        <w:instrText xml:space="preserve"> PAGEREF _Toc75528200 \h </w:instrText>
      </w:r>
      <w:r>
        <w:fldChar w:fldCharType="separate"/>
      </w:r>
      <w:r w:rsidR="00914885">
        <w:t>22</w:t>
      </w:r>
      <w:r>
        <w:fldChar w:fldCharType="end"/>
      </w:r>
    </w:p>
    <w:p w:rsidR="002348AF" w:rsidRDefault="002348AF">
      <w:pPr>
        <w:pStyle w:val="TOC8"/>
        <w:rPr>
          <w:rFonts w:asciiTheme="minorHAnsi" w:eastAsiaTheme="minorEastAsia" w:hAnsiTheme="minorHAnsi" w:cstheme="minorBidi"/>
          <w:szCs w:val="22"/>
        </w:rPr>
      </w:pPr>
      <w:r>
        <w:t>16E</w:t>
      </w:r>
      <w:r w:rsidRPr="009839B4">
        <w:rPr>
          <w:snapToGrid w:val="0"/>
        </w:rPr>
        <w:t>.</w:t>
      </w:r>
      <w:r w:rsidRPr="009839B4">
        <w:rPr>
          <w:snapToGrid w:val="0"/>
        </w:rPr>
        <w:tab/>
        <w:t>Restrictions and conditions in certificates</w:t>
      </w:r>
      <w:r>
        <w:tab/>
      </w:r>
      <w:r>
        <w:fldChar w:fldCharType="begin"/>
      </w:r>
      <w:r>
        <w:instrText xml:space="preserve"> PAGEREF _Toc75528201 \h </w:instrText>
      </w:r>
      <w:r>
        <w:fldChar w:fldCharType="separate"/>
      </w:r>
      <w:r w:rsidR="00914885">
        <w:t>23</w:t>
      </w:r>
      <w:r>
        <w:fldChar w:fldCharType="end"/>
      </w:r>
    </w:p>
    <w:p w:rsidR="002348AF" w:rsidRDefault="002348AF">
      <w:pPr>
        <w:pStyle w:val="TOC8"/>
        <w:rPr>
          <w:rFonts w:asciiTheme="minorHAnsi" w:eastAsiaTheme="minorEastAsia" w:hAnsiTheme="minorHAnsi" w:cstheme="minorBidi"/>
          <w:szCs w:val="22"/>
        </w:rPr>
      </w:pPr>
      <w:r>
        <w:t>16F</w:t>
      </w:r>
      <w:r w:rsidRPr="009839B4">
        <w:rPr>
          <w:snapToGrid w:val="0"/>
        </w:rPr>
        <w:t>.</w:t>
      </w:r>
      <w:r w:rsidRPr="009839B4">
        <w:rPr>
          <w:snapToGrid w:val="0"/>
        </w:rPr>
        <w:tab/>
        <w:t>Certificates valid for only Australian crewed vessels</w:t>
      </w:r>
      <w:r>
        <w:tab/>
      </w:r>
      <w:r>
        <w:fldChar w:fldCharType="begin"/>
      </w:r>
      <w:r>
        <w:instrText xml:space="preserve"> PAGEREF _Toc75528202 \h </w:instrText>
      </w:r>
      <w:r>
        <w:fldChar w:fldCharType="separate"/>
      </w:r>
      <w:r w:rsidR="00914885">
        <w:t>23</w:t>
      </w:r>
      <w:r>
        <w:fldChar w:fldCharType="end"/>
      </w:r>
    </w:p>
    <w:p w:rsidR="002348AF" w:rsidRDefault="002348AF">
      <w:pPr>
        <w:pStyle w:val="TOC8"/>
        <w:rPr>
          <w:rFonts w:asciiTheme="minorHAnsi" w:eastAsiaTheme="minorEastAsia" w:hAnsiTheme="minorHAnsi" w:cstheme="minorBidi"/>
          <w:szCs w:val="22"/>
        </w:rPr>
      </w:pPr>
      <w:r>
        <w:t>16G</w:t>
      </w:r>
      <w:r w:rsidRPr="009839B4">
        <w:rPr>
          <w:snapToGrid w:val="0"/>
        </w:rPr>
        <w:t>.</w:t>
      </w:r>
      <w:r w:rsidRPr="009839B4">
        <w:rPr>
          <w:snapToGrid w:val="0"/>
        </w:rPr>
        <w:tab/>
        <w:t>Use of certificate may be prohibited</w:t>
      </w:r>
      <w:r>
        <w:tab/>
      </w:r>
      <w:r>
        <w:fldChar w:fldCharType="begin"/>
      </w:r>
      <w:r>
        <w:instrText xml:space="preserve"> PAGEREF _Toc75528203 \h </w:instrText>
      </w:r>
      <w:r>
        <w:fldChar w:fldCharType="separate"/>
      </w:r>
      <w:r w:rsidR="00914885">
        <w:t>23</w:t>
      </w:r>
      <w:r>
        <w:fldChar w:fldCharType="end"/>
      </w:r>
    </w:p>
    <w:p w:rsidR="002348AF" w:rsidRDefault="002348AF">
      <w:pPr>
        <w:pStyle w:val="TOC8"/>
        <w:rPr>
          <w:rFonts w:asciiTheme="minorHAnsi" w:eastAsiaTheme="minorEastAsia" w:hAnsiTheme="minorHAnsi" w:cstheme="minorBidi"/>
          <w:szCs w:val="22"/>
        </w:rPr>
      </w:pPr>
      <w:r>
        <w:t>16H</w:t>
      </w:r>
      <w:r w:rsidRPr="009839B4">
        <w:rPr>
          <w:snapToGrid w:val="0"/>
        </w:rPr>
        <w:t>.</w:t>
      </w:r>
      <w:r w:rsidRPr="009839B4">
        <w:rPr>
          <w:snapToGrid w:val="0"/>
        </w:rPr>
        <w:tab/>
        <w:t>Contents of certificate (Sch. 6)</w:t>
      </w:r>
      <w:r>
        <w:tab/>
      </w:r>
      <w:r>
        <w:fldChar w:fldCharType="begin"/>
      </w:r>
      <w:r>
        <w:instrText xml:space="preserve"> PAGEREF _Toc75528204 \h </w:instrText>
      </w:r>
      <w:r>
        <w:fldChar w:fldCharType="separate"/>
      </w:r>
      <w:r w:rsidR="00914885">
        <w:t>24</w:t>
      </w:r>
      <w:r>
        <w:fldChar w:fldCharType="end"/>
      </w:r>
    </w:p>
    <w:p w:rsidR="002348AF" w:rsidRDefault="002348AF">
      <w:pPr>
        <w:pStyle w:val="TOC8"/>
        <w:rPr>
          <w:rFonts w:asciiTheme="minorHAnsi" w:eastAsiaTheme="minorEastAsia" w:hAnsiTheme="minorHAnsi" w:cstheme="minorBidi"/>
          <w:szCs w:val="22"/>
        </w:rPr>
      </w:pPr>
      <w:r>
        <w:t>16I</w:t>
      </w:r>
      <w:r w:rsidRPr="009839B4">
        <w:rPr>
          <w:snapToGrid w:val="0"/>
        </w:rPr>
        <w:t>.</w:t>
      </w:r>
      <w:r w:rsidRPr="009839B4">
        <w:rPr>
          <w:snapToGrid w:val="0"/>
        </w:rPr>
        <w:tab/>
        <w:t>Register of certificates</w:t>
      </w:r>
      <w:r>
        <w:tab/>
      </w:r>
      <w:r>
        <w:fldChar w:fldCharType="begin"/>
      </w:r>
      <w:r>
        <w:instrText xml:space="preserve"> PAGEREF _Toc75528205 \h </w:instrText>
      </w:r>
      <w:r>
        <w:fldChar w:fldCharType="separate"/>
      </w:r>
      <w:r w:rsidR="00914885">
        <w:t>24</w:t>
      </w:r>
      <w:r>
        <w:fldChar w:fldCharType="end"/>
      </w:r>
    </w:p>
    <w:p w:rsidR="002348AF" w:rsidRDefault="002348AF">
      <w:pPr>
        <w:pStyle w:val="TOC8"/>
        <w:rPr>
          <w:rFonts w:asciiTheme="minorHAnsi" w:eastAsiaTheme="minorEastAsia" w:hAnsiTheme="minorHAnsi" w:cstheme="minorBidi"/>
          <w:szCs w:val="22"/>
        </w:rPr>
      </w:pPr>
      <w:r>
        <w:t>16J</w:t>
      </w:r>
      <w:r w:rsidRPr="009839B4">
        <w:rPr>
          <w:snapToGrid w:val="0"/>
        </w:rPr>
        <w:t>.</w:t>
      </w:r>
      <w:r w:rsidRPr="009839B4">
        <w:rPr>
          <w:snapToGrid w:val="0"/>
        </w:rPr>
        <w:tab/>
        <w:t>Pilotage exemption record book for exempt masters (Sch. 6)</w:t>
      </w:r>
      <w:r>
        <w:tab/>
      </w:r>
      <w:r>
        <w:fldChar w:fldCharType="begin"/>
      </w:r>
      <w:r>
        <w:instrText xml:space="preserve"> PAGEREF _Toc75528206 \h </w:instrText>
      </w:r>
      <w:r>
        <w:fldChar w:fldCharType="separate"/>
      </w:r>
      <w:r w:rsidR="00914885">
        <w:t>25</w:t>
      </w:r>
      <w:r>
        <w:fldChar w:fldCharType="end"/>
      </w:r>
    </w:p>
    <w:p w:rsidR="002348AF" w:rsidRDefault="002348AF">
      <w:pPr>
        <w:pStyle w:val="TOC8"/>
        <w:rPr>
          <w:rFonts w:asciiTheme="minorHAnsi" w:eastAsiaTheme="minorEastAsia" w:hAnsiTheme="minorHAnsi" w:cstheme="minorBidi"/>
          <w:szCs w:val="22"/>
        </w:rPr>
      </w:pPr>
      <w:r>
        <w:t>16K</w:t>
      </w:r>
      <w:r w:rsidRPr="009839B4">
        <w:rPr>
          <w:snapToGrid w:val="0"/>
        </w:rPr>
        <w:t>.</w:t>
      </w:r>
      <w:r w:rsidRPr="009839B4">
        <w:rPr>
          <w:snapToGrid w:val="0"/>
        </w:rPr>
        <w:tab/>
        <w:t>Certificate invalid if not used for one year or more</w:t>
      </w:r>
      <w:r>
        <w:tab/>
      </w:r>
      <w:r>
        <w:fldChar w:fldCharType="begin"/>
      </w:r>
      <w:r>
        <w:instrText xml:space="preserve"> PAGEREF _Toc75528207 \h </w:instrText>
      </w:r>
      <w:r>
        <w:fldChar w:fldCharType="separate"/>
      </w:r>
      <w:r w:rsidR="00914885">
        <w:t>25</w:t>
      </w:r>
      <w:r>
        <w:fldChar w:fldCharType="end"/>
      </w:r>
    </w:p>
    <w:p w:rsidR="002348AF" w:rsidRDefault="002348AF">
      <w:pPr>
        <w:pStyle w:val="TOC8"/>
        <w:rPr>
          <w:rFonts w:asciiTheme="minorHAnsi" w:eastAsiaTheme="minorEastAsia" w:hAnsiTheme="minorHAnsi" w:cstheme="minorBidi"/>
          <w:szCs w:val="22"/>
        </w:rPr>
      </w:pPr>
      <w:r>
        <w:t>16L</w:t>
      </w:r>
      <w:r w:rsidRPr="009839B4">
        <w:rPr>
          <w:snapToGrid w:val="0"/>
        </w:rPr>
        <w:t>.</w:t>
      </w:r>
      <w:r w:rsidRPr="009839B4">
        <w:rPr>
          <w:snapToGrid w:val="0"/>
        </w:rPr>
        <w:tab/>
        <w:t>Revalidation of certificate invalid under r. 16K</w:t>
      </w:r>
      <w:r>
        <w:tab/>
      </w:r>
      <w:r>
        <w:fldChar w:fldCharType="begin"/>
      </w:r>
      <w:r>
        <w:instrText xml:space="preserve"> PAGEREF _Toc75528208 \h </w:instrText>
      </w:r>
      <w:r>
        <w:fldChar w:fldCharType="separate"/>
      </w:r>
      <w:r w:rsidR="00914885">
        <w:t>25</w:t>
      </w:r>
      <w:r>
        <w:fldChar w:fldCharType="end"/>
      </w:r>
    </w:p>
    <w:p w:rsidR="002348AF" w:rsidRDefault="002348AF">
      <w:pPr>
        <w:pStyle w:val="TOC8"/>
        <w:rPr>
          <w:rFonts w:asciiTheme="minorHAnsi" w:eastAsiaTheme="minorEastAsia" w:hAnsiTheme="minorHAnsi" w:cstheme="minorBidi"/>
          <w:szCs w:val="22"/>
        </w:rPr>
      </w:pPr>
      <w:r>
        <w:t>16M</w:t>
      </w:r>
      <w:r w:rsidRPr="009839B4">
        <w:rPr>
          <w:snapToGrid w:val="0"/>
        </w:rPr>
        <w:t>.</w:t>
      </w:r>
      <w:r w:rsidRPr="009839B4">
        <w:rPr>
          <w:snapToGrid w:val="0"/>
        </w:rPr>
        <w:tab/>
        <w:t>Cancellation or suspension of certificate</w:t>
      </w:r>
      <w:r>
        <w:tab/>
      </w:r>
      <w:r>
        <w:fldChar w:fldCharType="begin"/>
      </w:r>
      <w:r>
        <w:instrText xml:space="preserve"> PAGEREF _Toc75528209 \h </w:instrText>
      </w:r>
      <w:r>
        <w:fldChar w:fldCharType="separate"/>
      </w:r>
      <w:r w:rsidR="00914885">
        <w:t>26</w:t>
      </w:r>
      <w:r>
        <w:fldChar w:fldCharType="end"/>
      </w:r>
    </w:p>
    <w:p w:rsidR="002348AF" w:rsidRDefault="002348AF">
      <w:pPr>
        <w:pStyle w:val="TOC8"/>
        <w:rPr>
          <w:rFonts w:asciiTheme="minorHAnsi" w:eastAsiaTheme="minorEastAsia" w:hAnsiTheme="minorHAnsi" w:cstheme="minorBidi"/>
          <w:szCs w:val="22"/>
        </w:rPr>
      </w:pPr>
      <w:r>
        <w:t>16N</w:t>
      </w:r>
      <w:r w:rsidRPr="009839B4">
        <w:rPr>
          <w:snapToGrid w:val="0"/>
        </w:rPr>
        <w:t>.</w:t>
      </w:r>
      <w:r w:rsidRPr="009839B4">
        <w:rPr>
          <w:snapToGrid w:val="0"/>
        </w:rPr>
        <w:tab/>
        <w:t>Appeals against cancellation or suspension</w:t>
      </w:r>
      <w:r>
        <w:tab/>
      </w:r>
      <w:r>
        <w:fldChar w:fldCharType="begin"/>
      </w:r>
      <w:r>
        <w:instrText xml:space="preserve"> PAGEREF _Toc75528210 \h </w:instrText>
      </w:r>
      <w:r>
        <w:fldChar w:fldCharType="separate"/>
      </w:r>
      <w:r w:rsidR="00914885">
        <w:t>27</w:t>
      </w:r>
      <w:r>
        <w:fldChar w:fldCharType="end"/>
      </w:r>
    </w:p>
    <w:p w:rsidR="002348AF" w:rsidRDefault="002348AF">
      <w:pPr>
        <w:pStyle w:val="TOC8"/>
        <w:rPr>
          <w:rFonts w:asciiTheme="minorHAnsi" w:eastAsiaTheme="minorEastAsia" w:hAnsiTheme="minorHAnsi" w:cstheme="minorBidi"/>
          <w:szCs w:val="22"/>
        </w:rPr>
      </w:pPr>
      <w:r>
        <w:t>17</w:t>
      </w:r>
      <w:r w:rsidRPr="009839B4">
        <w:rPr>
          <w:snapToGrid w:val="0"/>
        </w:rPr>
        <w:t>.</w:t>
      </w:r>
      <w:r w:rsidRPr="009839B4">
        <w:rPr>
          <w:snapToGrid w:val="0"/>
        </w:rPr>
        <w:tab/>
        <w:t>Flag required if no</w:t>
      </w:r>
      <w:r>
        <w:t xml:space="preserve"> licensed</w:t>
      </w:r>
      <w:r w:rsidRPr="009839B4">
        <w:rPr>
          <w:snapToGrid w:val="0"/>
        </w:rPr>
        <w:t xml:space="preserve"> pilot on board</w:t>
      </w:r>
      <w:r>
        <w:tab/>
      </w:r>
      <w:r>
        <w:fldChar w:fldCharType="begin"/>
      </w:r>
      <w:r>
        <w:instrText xml:space="preserve"> PAGEREF _Toc75528211 \h </w:instrText>
      </w:r>
      <w:r>
        <w:fldChar w:fldCharType="separate"/>
      </w:r>
      <w:r w:rsidR="00914885">
        <w:t>27</w:t>
      </w:r>
      <w:r>
        <w:fldChar w:fldCharType="end"/>
      </w:r>
    </w:p>
    <w:p w:rsidR="002348AF" w:rsidRDefault="002348AF">
      <w:pPr>
        <w:pStyle w:val="TOC2"/>
        <w:tabs>
          <w:tab w:val="right" w:leader="dot" w:pos="7077"/>
        </w:tabs>
        <w:rPr>
          <w:rFonts w:asciiTheme="minorHAnsi" w:eastAsiaTheme="minorEastAsia" w:hAnsiTheme="minorHAnsi" w:cstheme="minorBidi"/>
          <w:b w:val="0"/>
          <w:sz w:val="22"/>
          <w:szCs w:val="22"/>
        </w:rPr>
      </w:pPr>
      <w:r>
        <w:t>Part 6 — Conservancy dues</w:t>
      </w:r>
    </w:p>
    <w:p w:rsidR="002348AF" w:rsidRDefault="002348AF">
      <w:pPr>
        <w:pStyle w:val="TOC8"/>
        <w:rPr>
          <w:rFonts w:asciiTheme="minorHAnsi" w:eastAsiaTheme="minorEastAsia" w:hAnsiTheme="minorHAnsi" w:cstheme="minorBidi"/>
          <w:szCs w:val="22"/>
        </w:rPr>
      </w:pPr>
      <w:r>
        <w:t>18</w:t>
      </w:r>
      <w:r w:rsidRPr="009839B4">
        <w:rPr>
          <w:snapToGrid w:val="0"/>
        </w:rPr>
        <w:t>.</w:t>
      </w:r>
      <w:r w:rsidRPr="009839B4">
        <w:rPr>
          <w:snapToGrid w:val="0"/>
        </w:rPr>
        <w:tab/>
        <w:t>Conservancy dues (Sch. 3 Div. 20)</w:t>
      </w:r>
      <w:r>
        <w:tab/>
      </w:r>
      <w:r>
        <w:fldChar w:fldCharType="begin"/>
      </w:r>
      <w:r>
        <w:instrText xml:space="preserve"> PAGEREF _Toc75528213 \h </w:instrText>
      </w:r>
      <w:r>
        <w:fldChar w:fldCharType="separate"/>
      </w:r>
      <w:r w:rsidR="00914885">
        <w:t>28</w:t>
      </w:r>
      <w:r>
        <w:fldChar w:fldCharType="end"/>
      </w:r>
    </w:p>
    <w:p w:rsidR="002348AF" w:rsidRDefault="002348AF">
      <w:pPr>
        <w:pStyle w:val="TOC8"/>
        <w:rPr>
          <w:rFonts w:asciiTheme="minorHAnsi" w:eastAsiaTheme="minorEastAsia" w:hAnsiTheme="minorHAnsi" w:cstheme="minorBidi"/>
          <w:szCs w:val="22"/>
        </w:rPr>
      </w:pPr>
      <w:r>
        <w:lastRenderedPageBreak/>
        <w:t>18A</w:t>
      </w:r>
      <w:r w:rsidRPr="009839B4">
        <w:rPr>
          <w:snapToGrid w:val="0"/>
        </w:rPr>
        <w:t>.</w:t>
      </w:r>
      <w:r w:rsidRPr="009839B4">
        <w:rPr>
          <w:snapToGrid w:val="0"/>
        </w:rPr>
        <w:tab/>
        <w:t>Gross registered tonnage, determining</w:t>
      </w:r>
      <w:r>
        <w:tab/>
      </w:r>
      <w:r>
        <w:fldChar w:fldCharType="begin"/>
      </w:r>
      <w:r>
        <w:instrText xml:space="preserve"> PAGEREF _Toc75528214 \h </w:instrText>
      </w:r>
      <w:r>
        <w:fldChar w:fldCharType="separate"/>
      </w:r>
      <w:r w:rsidR="00914885">
        <w:t>31</w:t>
      </w:r>
      <w:r>
        <w:fldChar w:fldCharType="end"/>
      </w:r>
    </w:p>
    <w:p w:rsidR="002348AF" w:rsidRDefault="002348AF">
      <w:pPr>
        <w:pStyle w:val="TOC2"/>
        <w:tabs>
          <w:tab w:val="right" w:leader="dot" w:pos="7077"/>
        </w:tabs>
        <w:rPr>
          <w:rFonts w:asciiTheme="minorHAnsi" w:eastAsiaTheme="minorEastAsia" w:hAnsiTheme="minorHAnsi" w:cstheme="minorBidi"/>
          <w:b w:val="0"/>
          <w:sz w:val="22"/>
          <w:szCs w:val="22"/>
        </w:rPr>
      </w:pPr>
      <w:r>
        <w:t>Part 7</w:t>
      </w:r>
      <w:r w:rsidRPr="009839B4">
        <w:rPr>
          <w:b w:val="0"/>
        </w:rPr>
        <w:t> </w:t>
      </w:r>
      <w:r>
        <w:t>—</w:t>
      </w:r>
      <w:r w:rsidRPr="009839B4">
        <w:rPr>
          <w:b w:val="0"/>
        </w:rPr>
        <w:t> </w:t>
      </w:r>
      <w:r>
        <w:t>Regulation of other matters</w:t>
      </w:r>
    </w:p>
    <w:p w:rsidR="002348AF" w:rsidRDefault="002348AF">
      <w:pPr>
        <w:pStyle w:val="TOC4"/>
        <w:tabs>
          <w:tab w:val="right" w:leader="dot" w:pos="7077"/>
        </w:tabs>
        <w:rPr>
          <w:rFonts w:asciiTheme="minorHAnsi" w:eastAsiaTheme="minorEastAsia" w:hAnsiTheme="minorHAnsi" w:cstheme="minorBidi"/>
          <w:b w:val="0"/>
          <w:szCs w:val="22"/>
        </w:rPr>
      </w:pPr>
      <w:r>
        <w:t>Division 1 — General</w:t>
      </w:r>
    </w:p>
    <w:p w:rsidR="002348AF" w:rsidRDefault="002348AF">
      <w:pPr>
        <w:pStyle w:val="TOC8"/>
        <w:rPr>
          <w:rFonts w:asciiTheme="minorHAnsi" w:eastAsiaTheme="minorEastAsia" w:hAnsiTheme="minorHAnsi" w:cstheme="minorBidi"/>
          <w:szCs w:val="22"/>
        </w:rPr>
      </w:pPr>
      <w:r>
        <w:t>19</w:t>
      </w:r>
      <w:r w:rsidRPr="009839B4">
        <w:rPr>
          <w:snapToGrid w:val="0"/>
        </w:rPr>
        <w:t>.</w:t>
      </w:r>
      <w:r w:rsidRPr="009839B4">
        <w:rPr>
          <w:snapToGrid w:val="0"/>
        </w:rPr>
        <w:tab/>
        <w:t>H</w:t>
      </w:r>
      <w:r>
        <w:t>arbour masters’ powers</w:t>
      </w:r>
      <w:r>
        <w:tab/>
      </w:r>
      <w:r>
        <w:fldChar w:fldCharType="begin"/>
      </w:r>
      <w:r>
        <w:instrText xml:space="preserve"> PAGEREF _Toc75528217 \h </w:instrText>
      </w:r>
      <w:r>
        <w:fldChar w:fldCharType="separate"/>
      </w:r>
      <w:r w:rsidR="00914885">
        <w:t>33</w:t>
      </w:r>
      <w:r>
        <w:fldChar w:fldCharType="end"/>
      </w:r>
    </w:p>
    <w:p w:rsidR="002348AF" w:rsidRDefault="002348AF">
      <w:pPr>
        <w:pStyle w:val="TOC8"/>
        <w:rPr>
          <w:rFonts w:asciiTheme="minorHAnsi" w:eastAsiaTheme="minorEastAsia" w:hAnsiTheme="minorHAnsi" w:cstheme="minorBidi"/>
          <w:szCs w:val="22"/>
        </w:rPr>
      </w:pPr>
      <w:r>
        <w:t>20</w:t>
      </w:r>
      <w:r w:rsidRPr="009839B4">
        <w:rPr>
          <w:snapToGrid w:val="0"/>
        </w:rPr>
        <w:t>.</w:t>
      </w:r>
      <w:r w:rsidRPr="009839B4">
        <w:rPr>
          <w:snapToGrid w:val="0"/>
        </w:rPr>
        <w:tab/>
        <w:t>Masters’ duties in port</w:t>
      </w:r>
      <w:r>
        <w:tab/>
      </w:r>
      <w:r>
        <w:fldChar w:fldCharType="begin"/>
      </w:r>
      <w:r>
        <w:instrText xml:space="preserve"> PAGEREF _Toc75528218 \h </w:instrText>
      </w:r>
      <w:r>
        <w:fldChar w:fldCharType="separate"/>
      </w:r>
      <w:r w:rsidR="00914885">
        <w:t>34</w:t>
      </w:r>
      <w:r>
        <w:fldChar w:fldCharType="end"/>
      </w:r>
    </w:p>
    <w:p w:rsidR="002348AF" w:rsidRDefault="002348AF">
      <w:pPr>
        <w:pStyle w:val="TOC8"/>
        <w:rPr>
          <w:rFonts w:asciiTheme="minorHAnsi" w:eastAsiaTheme="minorEastAsia" w:hAnsiTheme="minorHAnsi" w:cstheme="minorBidi"/>
          <w:szCs w:val="22"/>
        </w:rPr>
      </w:pPr>
      <w:r>
        <w:t>21</w:t>
      </w:r>
      <w:r w:rsidRPr="009839B4">
        <w:rPr>
          <w:snapToGrid w:val="0"/>
        </w:rPr>
        <w:t>.</w:t>
      </w:r>
      <w:r w:rsidRPr="009839B4">
        <w:rPr>
          <w:snapToGrid w:val="0"/>
        </w:rPr>
        <w:tab/>
        <w:t>Anchoring etc. in port, masters’ duties as to</w:t>
      </w:r>
      <w:r>
        <w:tab/>
      </w:r>
      <w:r>
        <w:fldChar w:fldCharType="begin"/>
      </w:r>
      <w:r>
        <w:instrText xml:space="preserve"> PAGEREF _Toc75528219 \h </w:instrText>
      </w:r>
      <w:r>
        <w:fldChar w:fldCharType="separate"/>
      </w:r>
      <w:r w:rsidR="00914885">
        <w:t>34</w:t>
      </w:r>
      <w:r>
        <w:fldChar w:fldCharType="end"/>
      </w:r>
    </w:p>
    <w:p w:rsidR="002348AF" w:rsidRDefault="002348AF">
      <w:pPr>
        <w:pStyle w:val="TOC8"/>
        <w:rPr>
          <w:rFonts w:asciiTheme="minorHAnsi" w:eastAsiaTheme="minorEastAsia" w:hAnsiTheme="minorHAnsi" w:cstheme="minorBidi"/>
          <w:szCs w:val="22"/>
        </w:rPr>
      </w:pPr>
      <w:r>
        <w:t>22</w:t>
      </w:r>
      <w:r w:rsidRPr="009839B4">
        <w:rPr>
          <w:snapToGrid w:val="0"/>
        </w:rPr>
        <w:t>.</w:t>
      </w:r>
      <w:r w:rsidRPr="009839B4">
        <w:rPr>
          <w:snapToGrid w:val="0"/>
        </w:rPr>
        <w:tab/>
        <w:t>H</w:t>
      </w:r>
      <w:r>
        <w:t>arbour master</w:t>
      </w:r>
      <w:r w:rsidRPr="009839B4">
        <w:rPr>
          <w:snapToGrid w:val="0"/>
        </w:rPr>
        <w:t xml:space="preserve"> may order scuttling</w:t>
      </w:r>
      <w:r>
        <w:tab/>
      </w:r>
      <w:r>
        <w:fldChar w:fldCharType="begin"/>
      </w:r>
      <w:r>
        <w:instrText xml:space="preserve"> PAGEREF _Toc75528220 \h </w:instrText>
      </w:r>
      <w:r>
        <w:fldChar w:fldCharType="separate"/>
      </w:r>
      <w:r w:rsidR="00914885">
        <w:t>35</w:t>
      </w:r>
      <w:r>
        <w:fldChar w:fldCharType="end"/>
      </w:r>
    </w:p>
    <w:p w:rsidR="002348AF" w:rsidRDefault="002348AF">
      <w:pPr>
        <w:pStyle w:val="TOC8"/>
        <w:rPr>
          <w:rFonts w:asciiTheme="minorHAnsi" w:eastAsiaTheme="minorEastAsia" w:hAnsiTheme="minorHAnsi" w:cstheme="minorBidi"/>
          <w:szCs w:val="22"/>
        </w:rPr>
      </w:pPr>
      <w:r>
        <w:t>23</w:t>
      </w:r>
      <w:r w:rsidRPr="009839B4">
        <w:rPr>
          <w:snapToGrid w:val="0"/>
        </w:rPr>
        <w:t>.</w:t>
      </w:r>
      <w:r w:rsidRPr="009839B4">
        <w:rPr>
          <w:snapToGrid w:val="0"/>
        </w:rPr>
        <w:tab/>
        <w:t>Gangways, provision and use of</w:t>
      </w:r>
      <w:r>
        <w:tab/>
      </w:r>
      <w:r>
        <w:fldChar w:fldCharType="begin"/>
      </w:r>
      <w:r>
        <w:instrText xml:space="preserve"> PAGEREF _Toc75528221 \h </w:instrText>
      </w:r>
      <w:r>
        <w:fldChar w:fldCharType="separate"/>
      </w:r>
      <w:r w:rsidR="00914885">
        <w:t>35</w:t>
      </w:r>
      <w:r>
        <w:fldChar w:fldCharType="end"/>
      </w:r>
    </w:p>
    <w:p w:rsidR="002348AF" w:rsidRDefault="002348AF">
      <w:pPr>
        <w:pStyle w:val="TOC8"/>
        <w:rPr>
          <w:rFonts w:asciiTheme="minorHAnsi" w:eastAsiaTheme="minorEastAsia" w:hAnsiTheme="minorHAnsi" w:cstheme="minorBidi"/>
          <w:szCs w:val="22"/>
        </w:rPr>
      </w:pPr>
      <w:r>
        <w:t>24</w:t>
      </w:r>
      <w:r w:rsidRPr="009839B4">
        <w:rPr>
          <w:snapToGrid w:val="0"/>
        </w:rPr>
        <w:t>.</w:t>
      </w:r>
      <w:r w:rsidRPr="009839B4">
        <w:rPr>
          <w:snapToGrid w:val="0"/>
        </w:rPr>
        <w:tab/>
        <w:t>Watch keeping etc. requirements in port</w:t>
      </w:r>
      <w:r>
        <w:tab/>
      </w:r>
      <w:r>
        <w:fldChar w:fldCharType="begin"/>
      </w:r>
      <w:r>
        <w:instrText xml:space="preserve"> PAGEREF _Toc75528222 \h </w:instrText>
      </w:r>
      <w:r>
        <w:fldChar w:fldCharType="separate"/>
      </w:r>
      <w:r w:rsidR="00914885">
        <w:t>36</w:t>
      </w:r>
      <w:r>
        <w:fldChar w:fldCharType="end"/>
      </w:r>
    </w:p>
    <w:p w:rsidR="002348AF" w:rsidRDefault="002348AF">
      <w:pPr>
        <w:pStyle w:val="TOC8"/>
        <w:rPr>
          <w:rFonts w:asciiTheme="minorHAnsi" w:eastAsiaTheme="minorEastAsia" w:hAnsiTheme="minorHAnsi" w:cstheme="minorBidi"/>
          <w:szCs w:val="22"/>
        </w:rPr>
      </w:pPr>
      <w:r>
        <w:t>25</w:t>
      </w:r>
      <w:r w:rsidRPr="009839B4">
        <w:rPr>
          <w:snapToGrid w:val="0"/>
        </w:rPr>
        <w:t>.</w:t>
      </w:r>
      <w:r w:rsidRPr="009839B4">
        <w:rPr>
          <w:snapToGrid w:val="0"/>
        </w:rPr>
        <w:tab/>
        <w:t>Naked lights etc. on vessels at wharves etc.</w:t>
      </w:r>
      <w:r>
        <w:tab/>
      </w:r>
      <w:r>
        <w:fldChar w:fldCharType="begin"/>
      </w:r>
      <w:r>
        <w:instrText xml:space="preserve"> PAGEREF _Toc75528223 \h </w:instrText>
      </w:r>
      <w:r>
        <w:fldChar w:fldCharType="separate"/>
      </w:r>
      <w:r w:rsidR="00914885">
        <w:t>37</w:t>
      </w:r>
      <w:r>
        <w:fldChar w:fldCharType="end"/>
      </w:r>
    </w:p>
    <w:p w:rsidR="002348AF" w:rsidRDefault="002348AF">
      <w:pPr>
        <w:pStyle w:val="TOC8"/>
        <w:rPr>
          <w:rFonts w:asciiTheme="minorHAnsi" w:eastAsiaTheme="minorEastAsia" w:hAnsiTheme="minorHAnsi" w:cstheme="minorBidi"/>
          <w:szCs w:val="22"/>
        </w:rPr>
      </w:pPr>
      <w:r>
        <w:t>26</w:t>
      </w:r>
      <w:r w:rsidRPr="009839B4">
        <w:rPr>
          <w:snapToGrid w:val="0"/>
        </w:rPr>
        <w:t>.</w:t>
      </w:r>
      <w:r w:rsidRPr="009839B4">
        <w:rPr>
          <w:snapToGrid w:val="0"/>
        </w:rPr>
        <w:tab/>
        <w:t>Fires on vessels, notification and extinguishment of</w:t>
      </w:r>
      <w:r>
        <w:tab/>
      </w:r>
      <w:r>
        <w:fldChar w:fldCharType="begin"/>
      </w:r>
      <w:r>
        <w:instrText xml:space="preserve"> PAGEREF _Toc75528224 \h </w:instrText>
      </w:r>
      <w:r>
        <w:fldChar w:fldCharType="separate"/>
      </w:r>
      <w:r w:rsidR="00914885">
        <w:t>37</w:t>
      </w:r>
      <w:r>
        <w:fldChar w:fldCharType="end"/>
      </w:r>
    </w:p>
    <w:p w:rsidR="002348AF" w:rsidRDefault="002348AF">
      <w:pPr>
        <w:pStyle w:val="TOC8"/>
        <w:rPr>
          <w:rFonts w:asciiTheme="minorHAnsi" w:eastAsiaTheme="minorEastAsia" w:hAnsiTheme="minorHAnsi" w:cstheme="minorBidi"/>
          <w:szCs w:val="22"/>
        </w:rPr>
      </w:pPr>
      <w:r>
        <w:t>27</w:t>
      </w:r>
      <w:r w:rsidRPr="009839B4">
        <w:rPr>
          <w:snapToGrid w:val="0"/>
        </w:rPr>
        <w:t>.</w:t>
      </w:r>
      <w:r w:rsidRPr="009839B4">
        <w:rPr>
          <w:snapToGrid w:val="0"/>
        </w:rPr>
        <w:tab/>
        <w:t>Waste disposal, masters’ duties as to</w:t>
      </w:r>
      <w:r>
        <w:tab/>
      </w:r>
      <w:r>
        <w:fldChar w:fldCharType="begin"/>
      </w:r>
      <w:r>
        <w:instrText xml:space="preserve"> PAGEREF _Toc75528225 \h </w:instrText>
      </w:r>
      <w:r>
        <w:fldChar w:fldCharType="separate"/>
      </w:r>
      <w:r w:rsidR="00914885">
        <w:t>37</w:t>
      </w:r>
      <w:r>
        <w:fldChar w:fldCharType="end"/>
      </w:r>
    </w:p>
    <w:p w:rsidR="002348AF" w:rsidRDefault="002348AF">
      <w:pPr>
        <w:pStyle w:val="TOC8"/>
        <w:rPr>
          <w:rFonts w:asciiTheme="minorHAnsi" w:eastAsiaTheme="minorEastAsia" w:hAnsiTheme="minorHAnsi" w:cstheme="minorBidi"/>
          <w:szCs w:val="22"/>
        </w:rPr>
      </w:pPr>
      <w:r>
        <w:t>28</w:t>
      </w:r>
      <w:r w:rsidRPr="009839B4">
        <w:rPr>
          <w:snapToGrid w:val="0"/>
        </w:rPr>
        <w:t>.</w:t>
      </w:r>
      <w:r w:rsidRPr="009839B4">
        <w:rPr>
          <w:snapToGrid w:val="0"/>
        </w:rPr>
        <w:tab/>
        <w:t>Carcasses, debris etc., not to be thrown overboard</w:t>
      </w:r>
      <w:r>
        <w:tab/>
      </w:r>
      <w:r>
        <w:fldChar w:fldCharType="begin"/>
      </w:r>
      <w:r>
        <w:instrText xml:space="preserve"> PAGEREF _Toc75528226 \h </w:instrText>
      </w:r>
      <w:r>
        <w:fldChar w:fldCharType="separate"/>
      </w:r>
      <w:r w:rsidR="00914885">
        <w:t>38</w:t>
      </w:r>
      <w:r>
        <w:fldChar w:fldCharType="end"/>
      </w:r>
    </w:p>
    <w:p w:rsidR="002348AF" w:rsidRDefault="002348AF">
      <w:pPr>
        <w:pStyle w:val="TOC8"/>
        <w:rPr>
          <w:rFonts w:asciiTheme="minorHAnsi" w:eastAsiaTheme="minorEastAsia" w:hAnsiTheme="minorHAnsi" w:cstheme="minorBidi"/>
          <w:szCs w:val="22"/>
        </w:rPr>
      </w:pPr>
      <w:r>
        <w:t>29</w:t>
      </w:r>
      <w:r w:rsidRPr="009839B4">
        <w:rPr>
          <w:snapToGrid w:val="0"/>
        </w:rPr>
        <w:t>.</w:t>
      </w:r>
      <w:r w:rsidRPr="009839B4">
        <w:rPr>
          <w:snapToGrid w:val="0"/>
        </w:rPr>
        <w:tab/>
        <w:t>Smoking in holds, prohibition of</w:t>
      </w:r>
      <w:r>
        <w:tab/>
      </w:r>
      <w:r>
        <w:fldChar w:fldCharType="begin"/>
      </w:r>
      <w:r>
        <w:instrText xml:space="preserve"> PAGEREF _Toc75528227 \h </w:instrText>
      </w:r>
      <w:r>
        <w:fldChar w:fldCharType="separate"/>
      </w:r>
      <w:r w:rsidR="00914885">
        <w:t>38</w:t>
      </w:r>
      <w:r>
        <w:fldChar w:fldCharType="end"/>
      </w:r>
    </w:p>
    <w:p w:rsidR="002348AF" w:rsidRDefault="002348AF">
      <w:pPr>
        <w:pStyle w:val="TOC4"/>
        <w:tabs>
          <w:tab w:val="right" w:leader="dot" w:pos="7077"/>
        </w:tabs>
        <w:rPr>
          <w:rFonts w:asciiTheme="minorHAnsi" w:eastAsiaTheme="minorEastAsia" w:hAnsiTheme="minorHAnsi" w:cstheme="minorBidi"/>
          <w:b w:val="0"/>
          <w:szCs w:val="22"/>
        </w:rPr>
      </w:pPr>
      <w:r>
        <w:t>Division 2 — Oil vessels</w:t>
      </w:r>
    </w:p>
    <w:p w:rsidR="002348AF" w:rsidRDefault="002348AF">
      <w:pPr>
        <w:pStyle w:val="TOC8"/>
        <w:rPr>
          <w:rFonts w:asciiTheme="minorHAnsi" w:eastAsiaTheme="minorEastAsia" w:hAnsiTheme="minorHAnsi" w:cstheme="minorBidi"/>
          <w:szCs w:val="22"/>
        </w:rPr>
      </w:pPr>
      <w:r>
        <w:t>30</w:t>
      </w:r>
      <w:r w:rsidRPr="009839B4">
        <w:rPr>
          <w:snapToGrid w:val="0"/>
        </w:rPr>
        <w:t>.</w:t>
      </w:r>
      <w:r w:rsidRPr="009839B4">
        <w:rPr>
          <w:snapToGrid w:val="0"/>
        </w:rPr>
        <w:tab/>
        <w:t>Terms used</w:t>
      </w:r>
      <w:r>
        <w:tab/>
      </w:r>
      <w:r>
        <w:fldChar w:fldCharType="begin"/>
      </w:r>
      <w:r>
        <w:instrText xml:space="preserve"> PAGEREF _Toc75528229 \h </w:instrText>
      </w:r>
      <w:r>
        <w:fldChar w:fldCharType="separate"/>
      </w:r>
      <w:r w:rsidR="00914885">
        <w:t>38</w:t>
      </w:r>
      <w:r>
        <w:fldChar w:fldCharType="end"/>
      </w:r>
    </w:p>
    <w:p w:rsidR="002348AF" w:rsidRDefault="002348AF">
      <w:pPr>
        <w:pStyle w:val="TOC8"/>
        <w:rPr>
          <w:rFonts w:asciiTheme="minorHAnsi" w:eastAsiaTheme="minorEastAsia" w:hAnsiTheme="minorHAnsi" w:cstheme="minorBidi"/>
          <w:szCs w:val="22"/>
        </w:rPr>
      </w:pPr>
      <w:r>
        <w:t>31</w:t>
      </w:r>
      <w:r w:rsidRPr="009839B4">
        <w:rPr>
          <w:snapToGrid w:val="0"/>
        </w:rPr>
        <w:t>.</w:t>
      </w:r>
      <w:r w:rsidRPr="009839B4">
        <w:rPr>
          <w:snapToGrid w:val="0"/>
        </w:rPr>
        <w:tab/>
        <w:t>Flag required on oil vessel</w:t>
      </w:r>
      <w:r>
        <w:tab/>
      </w:r>
      <w:r>
        <w:fldChar w:fldCharType="begin"/>
      </w:r>
      <w:r>
        <w:instrText xml:space="preserve"> PAGEREF _Toc75528230 \h </w:instrText>
      </w:r>
      <w:r>
        <w:fldChar w:fldCharType="separate"/>
      </w:r>
      <w:r w:rsidR="00914885">
        <w:t>39</w:t>
      </w:r>
      <w:r>
        <w:fldChar w:fldCharType="end"/>
      </w:r>
    </w:p>
    <w:p w:rsidR="002348AF" w:rsidRDefault="002348AF">
      <w:pPr>
        <w:pStyle w:val="TOC8"/>
        <w:rPr>
          <w:rFonts w:asciiTheme="minorHAnsi" w:eastAsiaTheme="minorEastAsia" w:hAnsiTheme="minorHAnsi" w:cstheme="minorBidi"/>
          <w:szCs w:val="22"/>
        </w:rPr>
      </w:pPr>
      <w:r>
        <w:t>32</w:t>
      </w:r>
      <w:r w:rsidRPr="009839B4">
        <w:rPr>
          <w:snapToGrid w:val="0"/>
        </w:rPr>
        <w:t>.</w:t>
      </w:r>
      <w:r w:rsidRPr="009839B4">
        <w:rPr>
          <w:snapToGrid w:val="0"/>
        </w:rPr>
        <w:tab/>
        <w:t>Notice of intention to load or discharge inflammable liquid</w:t>
      </w:r>
      <w:r>
        <w:tab/>
      </w:r>
      <w:r>
        <w:fldChar w:fldCharType="begin"/>
      </w:r>
      <w:r>
        <w:instrText xml:space="preserve"> PAGEREF _Toc75528231 \h </w:instrText>
      </w:r>
      <w:r>
        <w:fldChar w:fldCharType="separate"/>
      </w:r>
      <w:r w:rsidR="00914885">
        <w:t>39</w:t>
      </w:r>
      <w:r>
        <w:fldChar w:fldCharType="end"/>
      </w:r>
    </w:p>
    <w:p w:rsidR="002348AF" w:rsidRDefault="002348AF">
      <w:pPr>
        <w:pStyle w:val="TOC8"/>
        <w:rPr>
          <w:rFonts w:asciiTheme="minorHAnsi" w:eastAsiaTheme="minorEastAsia" w:hAnsiTheme="minorHAnsi" w:cstheme="minorBidi"/>
          <w:szCs w:val="22"/>
        </w:rPr>
      </w:pPr>
      <w:r>
        <w:t>33</w:t>
      </w:r>
      <w:r w:rsidRPr="009839B4">
        <w:rPr>
          <w:snapToGrid w:val="0"/>
        </w:rPr>
        <w:t>.</w:t>
      </w:r>
      <w:r w:rsidRPr="009839B4">
        <w:rPr>
          <w:snapToGrid w:val="0"/>
        </w:rPr>
        <w:tab/>
        <w:t>Inflammable liquids not to be discharged or loaded without permission</w:t>
      </w:r>
      <w:r>
        <w:tab/>
      </w:r>
      <w:r>
        <w:fldChar w:fldCharType="begin"/>
      </w:r>
      <w:r>
        <w:instrText xml:space="preserve"> PAGEREF _Toc75528232 \h </w:instrText>
      </w:r>
      <w:r>
        <w:fldChar w:fldCharType="separate"/>
      </w:r>
      <w:r w:rsidR="00914885">
        <w:t>39</w:t>
      </w:r>
      <w:r>
        <w:fldChar w:fldCharType="end"/>
      </w:r>
    </w:p>
    <w:p w:rsidR="002348AF" w:rsidRDefault="002348AF">
      <w:pPr>
        <w:pStyle w:val="TOC8"/>
        <w:rPr>
          <w:rFonts w:asciiTheme="minorHAnsi" w:eastAsiaTheme="minorEastAsia" w:hAnsiTheme="minorHAnsi" w:cstheme="minorBidi"/>
          <w:szCs w:val="22"/>
        </w:rPr>
      </w:pPr>
      <w:r>
        <w:t>34</w:t>
      </w:r>
      <w:r w:rsidRPr="009839B4">
        <w:rPr>
          <w:snapToGrid w:val="0"/>
        </w:rPr>
        <w:t>.</w:t>
      </w:r>
      <w:r w:rsidRPr="009839B4">
        <w:rPr>
          <w:snapToGrid w:val="0"/>
        </w:rPr>
        <w:tab/>
        <w:t>Oil vessel to be moored as directed</w:t>
      </w:r>
      <w:r>
        <w:tab/>
      </w:r>
      <w:r>
        <w:fldChar w:fldCharType="begin"/>
      </w:r>
      <w:r>
        <w:instrText xml:space="preserve"> PAGEREF _Toc75528233 \h </w:instrText>
      </w:r>
      <w:r>
        <w:fldChar w:fldCharType="separate"/>
      </w:r>
      <w:r w:rsidR="00914885">
        <w:t>40</w:t>
      </w:r>
      <w:r>
        <w:fldChar w:fldCharType="end"/>
      </w:r>
    </w:p>
    <w:p w:rsidR="002348AF" w:rsidRDefault="002348AF">
      <w:pPr>
        <w:pStyle w:val="TOC8"/>
        <w:rPr>
          <w:rFonts w:asciiTheme="minorHAnsi" w:eastAsiaTheme="minorEastAsia" w:hAnsiTheme="minorHAnsi" w:cstheme="minorBidi"/>
          <w:szCs w:val="22"/>
        </w:rPr>
      </w:pPr>
      <w:r>
        <w:t>35</w:t>
      </w:r>
      <w:r w:rsidRPr="009839B4">
        <w:rPr>
          <w:snapToGrid w:val="0"/>
        </w:rPr>
        <w:t>.</w:t>
      </w:r>
      <w:r w:rsidRPr="009839B4">
        <w:rPr>
          <w:snapToGrid w:val="0"/>
        </w:rPr>
        <w:tab/>
        <w:t>Oil vessel with inflammable liquids below deck, duties of master of</w:t>
      </w:r>
      <w:r>
        <w:tab/>
      </w:r>
      <w:r>
        <w:fldChar w:fldCharType="begin"/>
      </w:r>
      <w:r>
        <w:instrText xml:space="preserve"> PAGEREF _Toc75528234 \h </w:instrText>
      </w:r>
      <w:r>
        <w:fldChar w:fldCharType="separate"/>
      </w:r>
      <w:r w:rsidR="00914885">
        <w:t>40</w:t>
      </w:r>
      <w:r>
        <w:fldChar w:fldCharType="end"/>
      </w:r>
    </w:p>
    <w:p w:rsidR="002348AF" w:rsidRDefault="002348AF">
      <w:pPr>
        <w:pStyle w:val="TOC8"/>
        <w:rPr>
          <w:rFonts w:asciiTheme="minorHAnsi" w:eastAsiaTheme="minorEastAsia" w:hAnsiTheme="minorHAnsi" w:cstheme="minorBidi"/>
          <w:szCs w:val="22"/>
        </w:rPr>
      </w:pPr>
      <w:r>
        <w:t>36</w:t>
      </w:r>
      <w:r w:rsidRPr="009839B4">
        <w:rPr>
          <w:snapToGrid w:val="0"/>
        </w:rPr>
        <w:t>.</w:t>
      </w:r>
      <w:r w:rsidRPr="009839B4">
        <w:rPr>
          <w:snapToGrid w:val="0"/>
        </w:rPr>
        <w:tab/>
        <w:t>Oil vessel loading or unloading inflammable liquid, restricted access to etc.</w:t>
      </w:r>
      <w:r>
        <w:tab/>
      </w:r>
      <w:r>
        <w:fldChar w:fldCharType="begin"/>
      </w:r>
      <w:r>
        <w:instrText xml:space="preserve"> PAGEREF _Toc75528235 \h </w:instrText>
      </w:r>
      <w:r>
        <w:fldChar w:fldCharType="separate"/>
      </w:r>
      <w:r w:rsidR="00914885">
        <w:t>41</w:t>
      </w:r>
      <w:r>
        <w:fldChar w:fldCharType="end"/>
      </w:r>
    </w:p>
    <w:p w:rsidR="002348AF" w:rsidRDefault="002348AF">
      <w:pPr>
        <w:pStyle w:val="TOC8"/>
        <w:rPr>
          <w:rFonts w:asciiTheme="minorHAnsi" w:eastAsiaTheme="minorEastAsia" w:hAnsiTheme="minorHAnsi" w:cstheme="minorBidi"/>
          <w:szCs w:val="22"/>
        </w:rPr>
      </w:pPr>
      <w:r>
        <w:t>37</w:t>
      </w:r>
      <w:r w:rsidRPr="009839B4">
        <w:rPr>
          <w:snapToGrid w:val="0"/>
        </w:rPr>
        <w:t>.</w:t>
      </w:r>
      <w:r w:rsidRPr="009839B4">
        <w:rPr>
          <w:snapToGrid w:val="0"/>
        </w:rPr>
        <w:tab/>
        <w:t>Smoking etc. prohibited during loading or unloading inflammable liquid</w:t>
      </w:r>
      <w:r>
        <w:tab/>
      </w:r>
      <w:r>
        <w:fldChar w:fldCharType="begin"/>
      </w:r>
      <w:r>
        <w:instrText xml:space="preserve"> PAGEREF _Toc75528236 \h </w:instrText>
      </w:r>
      <w:r>
        <w:fldChar w:fldCharType="separate"/>
      </w:r>
      <w:r w:rsidR="00914885">
        <w:t>42</w:t>
      </w:r>
      <w:r>
        <w:fldChar w:fldCharType="end"/>
      </w:r>
    </w:p>
    <w:p w:rsidR="002348AF" w:rsidRDefault="002348AF">
      <w:pPr>
        <w:pStyle w:val="TOC8"/>
        <w:rPr>
          <w:rFonts w:asciiTheme="minorHAnsi" w:eastAsiaTheme="minorEastAsia" w:hAnsiTheme="minorHAnsi" w:cstheme="minorBidi"/>
          <w:szCs w:val="22"/>
        </w:rPr>
      </w:pPr>
      <w:r>
        <w:t>38</w:t>
      </w:r>
      <w:r w:rsidRPr="009839B4">
        <w:rPr>
          <w:snapToGrid w:val="0"/>
        </w:rPr>
        <w:t>.</w:t>
      </w:r>
      <w:r w:rsidRPr="009839B4">
        <w:rPr>
          <w:snapToGrid w:val="0"/>
        </w:rPr>
        <w:tab/>
        <w:t>Oil vessel with tanks open, use of fires etc. on or near prohibited</w:t>
      </w:r>
      <w:r>
        <w:tab/>
      </w:r>
      <w:r>
        <w:fldChar w:fldCharType="begin"/>
      </w:r>
      <w:r>
        <w:instrText xml:space="preserve"> PAGEREF _Toc75528237 \h </w:instrText>
      </w:r>
      <w:r>
        <w:fldChar w:fldCharType="separate"/>
      </w:r>
      <w:r w:rsidR="00914885">
        <w:t>42</w:t>
      </w:r>
      <w:r>
        <w:fldChar w:fldCharType="end"/>
      </w:r>
    </w:p>
    <w:p w:rsidR="002348AF" w:rsidRDefault="002348AF">
      <w:pPr>
        <w:pStyle w:val="TOC8"/>
        <w:rPr>
          <w:rFonts w:asciiTheme="minorHAnsi" w:eastAsiaTheme="minorEastAsia" w:hAnsiTheme="minorHAnsi" w:cstheme="minorBidi"/>
          <w:szCs w:val="22"/>
        </w:rPr>
      </w:pPr>
      <w:r>
        <w:t>39</w:t>
      </w:r>
      <w:r w:rsidRPr="009839B4">
        <w:rPr>
          <w:snapToGrid w:val="0"/>
        </w:rPr>
        <w:t>.</w:t>
      </w:r>
      <w:r w:rsidRPr="009839B4">
        <w:rPr>
          <w:snapToGrid w:val="0"/>
        </w:rPr>
        <w:tab/>
        <w:t>Pumping inflammable liquid between oil vessel and tank, master’s duties as to</w:t>
      </w:r>
      <w:r>
        <w:tab/>
      </w:r>
      <w:r>
        <w:fldChar w:fldCharType="begin"/>
      </w:r>
      <w:r>
        <w:instrText xml:space="preserve"> PAGEREF _Toc75528238 \h </w:instrText>
      </w:r>
      <w:r>
        <w:fldChar w:fldCharType="separate"/>
      </w:r>
      <w:r w:rsidR="00914885">
        <w:t>43</w:t>
      </w:r>
      <w:r>
        <w:fldChar w:fldCharType="end"/>
      </w:r>
    </w:p>
    <w:p w:rsidR="002348AF" w:rsidRDefault="002348AF">
      <w:pPr>
        <w:pStyle w:val="TOC8"/>
        <w:rPr>
          <w:rFonts w:asciiTheme="minorHAnsi" w:eastAsiaTheme="minorEastAsia" w:hAnsiTheme="minorHAnsi" w:cstheme="minorBidi"/>
          <w:szCs w:val="22"/>
        </w:rPr>
      </w:pPr>
      <w:r>
        <w:t>40</w:t>
      </w:r>
      <w:r w:rsidRPr="009839B4">
        <w:rPr>
          <w:snapToGrid w:val="0"/>
        </w:rPr>
        <w:t>.</w:t>
      </w:r>
      <w:r w:rsidRPr="009839B4">
        <w:rPr>
          <w:snapToGrid w:val="0"/>
        </w:rPr>
        <w:tab/>
        <w:t>Tanks to be closed during pumping; pumping to cease if leak occurs</w:t>
      </w:r>
      <w:r>
        <w:tab/>
      </w:r>
      <w:r>
        <w:fldChar w:fldCharType="begin"/>
      </w:r>
      <w:r>
        <w:instrText xml:space="preserve"> PAGEREF _Toc75528239 \h </w:instrText>
      </w:r>
      <w:r>
        <w:fldChar w:fldCharType="separate"/>
      </w:r>
      <w:r w:rsidR="00914885">
        <w:t>43</w:t>
      </w:r>
      <w:r>
        <w:fldChar w:fldCharType="end"/>
      </w:r>
    </w:p>
    <w:p w:rsidR="002348AF" w:rsidRDefault="002348AF">
      <w:pPr>
        <w:pStyle w:val="TOC8"/>
        <w:rPr>
          <w:rFonts w:asciiTheme="minorHAnsi" w:eastAsiaTheme="minorEastAsia" w:hAnsiTheme="minorHAnsi" w:cstheme="minorBidi"/>
          <w:szCs w:val="22"/>
        </w:rPr>
      </w:pPr>
      <w:r>
        <w:t>41</w:t>
      </w:r>
      <w:r w:rsidRPr="009839B4">
        <w:rPr>
          <w:snapToGrid w:val="0"/>
        </w:rPr>
        <w:t>.</w:t>
      </w:r>
      <w:r w:rsidRPr="009839B4">
        <w:rPr>
          <w:snapToGrid w:val="0"/>
        </w:rPr>
        <w:tab/>
        <w:t>Loading or unloading inflammable liquids at night</w:t>
      </w:r>
      <w:r>
        <w:tab/>
      </w:r>
      <w:r>
        <w:fldChar w:fldCharType="begin"/>
      </w:r>
      <w:r>
        <w:instrText xml:space="preserve"> PAGEREF _Toc75528240 \h </w:instrText>
      </w:r>
      <w:r>
        <w:fldChar w:fldCharType="separate"/>
      </w:r>
      <w:r w:rsidR="00914885">
        <w:t>44</w:t>
      </w:r>
      <w:r>
        <w:fldChar w:fldCharType="end"/>
      </w:r>
    </w:p>
    <w:p w:rsidR="002348AF" w:rsidRDefault="002348AF">
      <w:pPr>
        <w:pStyle w:val="TOC8"/>
        <w:rPr>
          <w:rFonts w:asciiTheme="minorHAnsi" w:eastAsiaTheme="minorEastAsia" w:hAnsiTheme="minorHAnsi" w:cstheme="minorBidi"/>
          <w:szCs w:val="22"/>
        </w:rPr>
      </w:pPr>
      <w:r>
        <w:t>42</w:t>
      </w:r>
      <w:r w:rsidRPr="009839B4">
        <w:rPr>
          <w:snapToGrid w:val="0"/>
        </w:rPr>
        <w:t>.</w:t>
      </w:r>
      <w:r w:rsidRPr="009839B4">
        <w:rPr>
          <w:snapToGrid w:val="0"/>
        </w:rPr>
        <w:tab/>
        <w:t>Procedure on completing discharge of inflammable liquid</w:t>
      </w:r>
      <w:r>
        <w:tab/>
      </w:r>
      <w:r>
        <w:fldChar w:fldCharType="begin"/>
      </w:r>
      <w:r>
        <w:instrText xml:space="preserve"> PAGEREF _Toc75528241 \h </w:instrText>
      </w:r>
      <w:r>
        <w:fldChar w:fldCharType="separate"/>
      </w:r>
      <w:r w:rsidR="00914885">
        <w:t>44</w:t>
      </w:r>
      <w:r>
        <w:fldChar w:fldCharType="end"/>
      </w:r>
    </w:p>
    <w:p w:rsidR="002348AF" w:rsidRDefault="002348AF">
      <w:pPr>
        <w:pStyle w:val="TOC8"/>
        <w:rPr>
          <w:rFonts w:asciiTheme="minorHAnsi" w:eastAsiaTheme="minorEastAsia" w:hAnsiTheme="minorHAnsi" w:cstheme="minorBidi"/>
          <w:szCs w:val="22"/>
        </w:rPr>
      </w:pPr>
      <w:r>
        <w:t>43</w:t>
      </w:r>
      <w:r w:rsidRPr="009839B4">
        <w:rPr>
          <w:snapToGrid w:val="0"/>
        </w:rPr>
        <w:t>.</w:t>
      </w:r>
      <w:r w:rsidRPr="009839B4">
        <w:rPr>
          <w:snapToGrid w:val="0"/>
        </w:rPr>
        <w:tab/>
        <w:t>No fires or ballasting while tanks are open</w:t>
      </w:r>
      <w:r>
        <w:tab/>
      </w:r>
      <w:r>
        <w:fldChar w:fldCharType="begin"/>
      </w:r>
      <w:r>
        <w:instrText xml:space="preserve"> PAGEREF _Toc75528242 \h </w:instrText>
      </w:r>
      <w:r>
        <w:fldChar w:fldCharType="separate"/>
      </w:r>
      <w:r w:rsidR="00914885">
        <w:t>44</w:t>
      </w:r>
      <w:r>
        <w:fldChar w:fldCharType="end"/>
      </w:r>
    </w:p>
    <w:p w:rsidR="002348AF" w:rsidRDefault="002348AF">
      <w:pPr>
        <w:pStyle w:val="TOC8"/>
        <w:rPr>
          <w:rFonts w:asciiTheme="minorHAnsi" w:eastAsiaTheme="minorEastAsia" w:hAnsiTheme="minorHAnsi" w:cstheme="minorBidi"/>
          <w:szCs w:val="22"/>
        </w:rPr>
      </w:pPr>
      <w:r>
        <w:lastRenderedPageBreak/>
        <w:t>44</w:t>
      </w:r>
      <w:r w:rsidRPr="009839B4">
        <w:rPr>
          <w:snapToGrid w:val="0"/>
        </w:rPr>
        <w:t>.</w:t>
      </w:r>
      <w:r w:rsidRPr="009839B4">
        <w:rPr>
          <w:snapToGrid w:val="0"/>
        </w:rPr>
        <w:tab/>
        <w:t>Pipelines etc. to be oil and vapour tight</w:t>
      </w:r>
      <w:r>
        <w:tab/>
      </w:r>
      <w:r>
        <w:fldChar w:fldCharType="begin"/>
      </w:r>
      <w:r>
        <w:instrText xml:space="preserve"> PAGEREF _Toc75528243 \h </w:instrText>
      </w:r>
      <w:r>
        <w:fldChar w:fldCharType="separate"/>
      </w:r>
      <w:r w:rsidR="00914885">
        <w:t>45</w:t>
      </w:r>
      <w:r>
        <w:fldChar w:fldCharType="end"/>
      </w:r>
    </w:p>
    <w:p w:rsidR="002348AF" w:rsidRDefault="002348AF">
      <w:pPr>
        <w:pStyle w:val="TOC8"/>
        <w:rPr>
          <w:rFonts w:asciiTheme="minorHAnsi" w:eastAsiaTheme="minorEastAsia" w:hAnsiTheme="minorHAnsi" w:cstheme="minorBidi"/>
          <w:szCs w:val="22"/>
        </w:rPr>
      </w:pPr>
      <w:r>
        <w:t>45</w:t>
      </w:r>
      <w:r w:rsidRPr="009839B4">
        <w:rPr>
          <w:snapToGrid w:val="0"/>
        </w:rPr>
        <w:t>.</w:t>
      </w:r>
      <w:r w:rsidRPr="009839B4">
        <w:rPr>
          <w:snapToGrid w:val="0"/>
        </w:rPr>
        <w:tab/>
        <w:t>Oil vessel to have steel hawsers to permit towing</w:t>
      </w:r>
      <w:r>
        <w:tab/>
      </w:r>
      <w:r>
        <w:fldChar w:fldCharType="begin"/>
      </w:r>
      <w:r>
        <w:instrText xml:space="preserve"> PAGEREF _Toc75528244 \h </w:instrText>
      </w:r>
      <w:r>
        <w:fldChar w:fldCharType="separate"/>
      </w:r>
      <w:r w:rsidR="00914885">
        <w:t>45</w:t>
      </w:r>
      <w:r>
        <w:fldChar w:fldCharType="end"/>
      </w:r>
    </w:p>
    <w:p w:rsidR="002348AF" w:rsidRDefault="002348AF">
      <w:pPr>
        <w:pStyle w:val="TOC8"/>
        <w:rPr>
          <w:rFonts w:asciiTheme="minorHAnsi" w:eastAsiaTheme="minorEastAsia" w:hAnsiTheme="minorHAnsi" w:cstheme="minorBidi"/>
          <w:szCs w:val="22"/>
        </w:rPr>
      </w:pPr>
      <w:r>
        <w:t>46</w:t>
      </w:r>
      <w:r w:rsidRPr="009839B4">
        <w:rPr>
          <w:snapToGrid w:val="0"/>
        </w:rPr>
        <w:t>.</w:t>
      </w:r>
      <w:r w:rsidRPr="009839B4">
        <w:rPr>
          <w:snapToGrid w:val="0"/>
        </w:rPr>
        <w:tab/>
        <w:t>Preventing fire, master of oil vessel’s duties as to</w:t>
      </w:r>
      <w:r>
        <w:tab/>
      </w:r>
      <w:r>
        <w:fldChar w:fldCharType="begin"/>
      </w:r>
      <w:r>
        <w:instrText xml:space="preserve"> PAGEREF _Toc75528245 \h </w:instrText>
      </w:r>
      <w:r>
        <w:fldChar w:fldCharType="separate"/>
      </w:r>
      <w:r w:rsidR="00914885">
        <w:t>46</w:t>
      </w:r>
      <w:r>
        <w:fldChar w:fldCharType="end"/>
      </w:r>
    </w:p>
    <w:p w:rsidR="002348AF" w:rsidRDefault="002348AF">
      <w:pPr>
        <w:pStyle w:val="TOC8"/>
        <w:rPr>
          <w:rFonts w:asciiTheme="minorHAnsi" w:eastAsiaTheme="minorEastAsia" w:hAnsiTheme="minorHAnsi" w:cstheme="minorBidi"/>
          <w:szCs w:val="22"/>
        </w:rPr>
      </w:pPr>
      <w:r>
        <w:t>47</w:t>
      </w:r>
      <w:r w:rsidRPr="009839B4">
        <w:rPr>
          <w:snapToGrid w:val="0"/>
        </w:rPr>
        <w:t>.</w:t>
      </w:r>
      <w:r w:rsidRPr="009839B4">
        <w:rPr>
          <w:snapToGrid w:val="0"/>
        </w:rPr>
        <w:tab/>
      </w:r>
      <w:r>
        <w:t>Harbour master</w:t>
      </w:r>
      <w:r w:rsidRPr="009839B4">
        <w:rPr>
          <w:snapToGrid w:val="0"/>
        </w:rPr>
        <w:t xml:space="preserve"> may inspect oil vessel</w:t>
      </w:r>
      <w:r>
        <w:tab/>
      </w:r>
      <w:r>
        <w:fldChar w:fldCharType="begin"/>
      </w:r>
      <w:r>
        <w:instrText xml:space="preserve"> PAGEREF _Toc75528246 \h </w:instrText>
      </w:r>
      <w:r>
        <w:fldChar w:fldCharType="separate"/>
      </w:r>
      <w:r w:rsidR="00914885">
        <w:t>46</w:t>
      </w:r>
      <w:r>
        <w:fldChar w:fldCharType="end"/>
      </w:r>
    </w:p>
    <w:p w:rsidR="002348AF" w:rsidRDefault="002348AF">
      <w:pPr>
        <w:pStyle w:val="TOC8"/>
        <w:rPr>
          <w:rFonts w:asciiTheme="minorHAnsi" w:eastAsiaTheme="minorEastAsia" w:hAnsiTheme="minorHAnsi" w:cstheme="minorBidi"/>
          <w:szCs w:val="22"/>
        </w:rPr>
      </w:pPr>
      <w:r>
        <w:t>48</w:t>
      </w:r>
      <w:r w:rsidRPr="009839B4">
        <w:rPr>
          <w:snapToGrid w:val="0"/>
        </w:rPr>
        <w:t>.</w:t>
      </w:r>
      <w:r w:rsidRPr="009839B4">
        <w:rPr>
          <w:snapToGrid w:val="0"/>
        </w:rPr>
        <w:tab/>
        <w:t>Wharf to be barricaded while loading and unloading inflammable liquid</w:t>
      </w:r>
      <w:r>
        <w:tab/>
      </w:r>
      <w:r>
        <w:fldChar w:fldCharType="begin"/>
      </w:r>
      <w:r>
        <w:instrText xml:space="preserve"> PAGEREF _Toc75528247 \h </w:instrText>
      </w:r>
      <w:r>
        <w:fldChar w:fldCharType="separate"/>
      </w:r>
      <w:r w:rsidR="00914885">
        <w:t>46</w:t>
      </w:r>
      <w:r>
        <w:fldChar w:fldCharType="end"/>
      </w:r>
    </w:p>
    <w:p w:rsidR="002348AF" w:rsidRDefault="002348AF">
      <w:pPr>
        <w:pStyle w:val="TOC2"/>
        <w:tabs>
          <w:tab w:val="right" w:leader="dot" w:pos="7077"/>
        </w:tabs>
        <w:rPr>
          <w:rFonts w:asciiTheme="minorHAnsi" w:eastAsiaTheme="minorEastAsia" w:hAnsiTheme="minorHAnsi" w:cstheme="minorBidi"/>
          <w:b w:val="0"/>
          <w:sz w:val="22"/>
          <w:szCs w:val="22"/>
        </w:rPr>
      </w:pPr>
      <w:r>
        <w:t>Part 8 — Miscellaneous</w:t>
      </w:r>
    </w:p>
    <w:p w:rsidR="002348AF" w:rsidRDefault="002348AF">
      <w:pPr>
        <w:pStyle w:val="TOC8"/>
        <w:rPr>
          <w:rFonts w:asciiTheme="minorHAnsi" w:eastAsiaTheme="minorEastAsia" w:hAnsiTheme="minorHAnsi" w:cstheme="minorBidi"/>
          <w:szCs w:val="22"/>
        </w:rPr>
      </w:pPr>
      <w:r>
        <w:t>49</w:t>
      </w:r>
      <w:r w:rsidRPr="009839B4">
        <w:rPr>
          <w:snapToGrid w:val="0"/>
        </w:rPr>
        <w:t>.</w:t>
      </w:r>
      <w:r w:rsidRPr="009839B4">
        <w:rPr>
          <w:snapToGrid w:val="0"/>
        </w:rPr>
        <w:tab/>
        <w:t>Police officer’s powers to enforce these regulations</w:t>
      </w:r>
      <w:r>
        <w:tab/>
      </w:r>
      <w:r>
        <w:fldChar w:fldCharType="begin"/>
      </w:r>
      <w:r>
        <w:instrText xml:space="preserve"> PAGEREF _Toc75528249 \h </w:instrText>
      </w:r>
      <w:r>
        <w:fldChar w:fldCharType="separate"/>
      </w:r>
      <w:r w:rsidR="00914885">
        <w:t>48</w:t>
      </w:r>
      <w:r>
        <w:fldChar w:fldCharType="end"/>
      </w:r>
    </w:p>
    <w:p w:rsidR="002348AF" w:rsidRDefault="002348AF">
      <w:pPr>
        <w:pStyle w:val="TOC8"/>
        <w:rPr>
          <w:rFonts w:asciiTheme="minorHAnsi" w:eastAsiaTheme="minorEastAsia" w:hAnsiTheme="minorHAnsi" w:cstheme="minorBidi"/>
          <w:szCs w:val="22"/>
        </w:rPr>
      </w:pPr>
      <w:r>
        <w:t>50</w:t>
      </w:r>
      <w:r w:rsidRPr="009839B4">
        <w:rPr>
          <w:snapToGrid w:val="0"/>
        </w:rPr>
        <w:t>.</w:t>
      </w:r>
      <w:r w:rsidRPr="009839B4">
        <w:rPr>
          <w:snapToGrid w:val="0"/>
        </w:rPr>
        <w:tab/>
        <w:t>Master responsible for compliance with regulations</w:t>
      </w:r>
      <w:r>
        <w:tab/>
      </w:r>
      <w:r>
        <w:fldChar w:fldCharType="begin"/>
      </w:r>
      <w:r>
        <w:instrText xml:space="preserve"> PAGEREF _Toc75528250 \h </w:instrText>
      </w:r>
      <w:r>
        <w:fldChar w:fldCharType="separate"/>
      </w:r>
      <w:r w:rsidR="00914885">
        <w:t>48</w:t>
      </w:r>
      <w:r>
        <w:fldChar w:fldCharType="end"/>
      </w:r>
    </w:p>
    <w:p w:rsidR="002348AF" w:rsidRDefault="002348AF">
      <w:pPr>
        <w:pStyle w:val="TOC8"/>
        <w:rPr>
          <w:rFonts w:asciiTheme="minorHAnsi" w:eastAsiaTheme="minorEastAsia" w:hAnsiTheme="minorHAnsi" w:cstheme="minorBidi"/>
          <w:szCs w:val="22"/>
        </w:rPr>
      </w:pPr>
      <w:r>
        <w:t>51</w:t>
      </w:r>
      <w:r w:rsidRPr="009839B4">
        <w:rPr>
          <w:snapToGrid w:val="0"/>
        </w:rPr>
        <w:t>.</w:t>
      </w:r>
      <w:r w:rsidRPr="009839B4">
        <w:rPr>
          <w:snapToGrid w:val="0"/>
        </w:rPr>
        <w:tab/>
        <w:t>General offence and penalty</w:t>
      </w:r>
      <w:r>
        <w:tab/>
      </w:r>
      <w:r>
        <w:fldChar w:fldCharType="begin"/>
      </w:r>
      <w:r>
        <w:instrText xml:space="preserve"> PAGEREF _Toc75528251 \h </w:instrText>
      </w:r>
      <w:r>
        <w:fldChar w:fldCharType="separate"/>
      </w:r>
      <w:r w:rsidR="00914885">
        <w:t>48</w:t>
      </w:r>
      <w:r>
        <w:fldChar w:fldCharType="end"/>
      </w:r>
    </w:p>
    <w:p w:rsidR="002348AF" w:rsidRDefault="002348AF">
      <w:pPr>
        <w:pStyle w:val="TOC2"/>
        <w:tabs>
          <w:tab w:val="right" w:leader="dot" w:pos="7077"/>
        </w:tabs>
        <w:rPr>
          <w:rFonts w:asciiTheme="minorHAnsi" w:eastAsiaTheme="minorEastAsia" w:hAnsiTheme="minorHAnsi" w:cstheme="minorBidi"/>
          <w:b w:val="0"/>
          <w:sz w:val="22"/>
          <w:szCs w:val="22"/>
        </w:rPr>
      </w:pPr>
      <w:r>
        <w:t>Part 9 — Transitional provisions</w:t>
      </w:r>
    </w:p>
    <w:p w:rsidR="002348AF" w:rsidRDefault="002348AF">
      <w:pPr>
        <w:pStyle w:val="TOC8"/>
        <w:rPr>
          <w:rFonts w:asciiTheme="minorHAnsi" w:eastAsiaTheme="minorEastAsia" w:hAnsiTheme="minorHAnsi" w:cstheme="minorBidi"/>
          <w:szCs w:val="22"/>
        </w:rPr>
      </w:pPr>
      <w:r>
        <w:t>52.</w:t>
      </w:r>
      <w:r>
        <w:tab/>
      </w:r>
      <w:r w:rsidRPr="009839B4">
        <w:rPr>
          <w:i/>
          <w:iCs/>
        </w:rPr>
        <w:t>Shipping and Pilotage Amendment Act 2006</w:t>
      </w:r>
      <w:r w:rsidRPr="009839B4">
        <w:rPr>
          <w:iCs/>
        </w:rPr>
        <w:t>,</w:t>
      </w:r>
      <w:r w:rsidRPr="009839B4">
        <w:rPr>
          <w:i/>
          <w:iCs/>
        </w:rPr>
        <w:t xml:space="preserve"> </w:t>
      </w:r>
      <w:r w:rsidRPr="009839B4">
        <w:rPr>
          <w:iCs/>
        </w:rPr>
        <w:t>provisions for</w:t>
      </w:r>
      <w:r>
        <w:tab/>
      </w:r>
      <w:r>
        <w:fldChar w:fldCharType="begin"/>
      </w:r>
      <w:r>
        <w:instrText xml:space="preserve"> PAGEREF _Toc75528253 \h </w:instrText>
      </w:r>
      <w:r>
        <w:fldChar w:fldCharType="separate"/>
      </w:r>
      <w:r w:rsidR="00914885">
        <w:t>49</w:t>
      </w:r>
      <w:r>
        <w:fldChar w:fldCharType="end"/>
      </w:r>
    </w:p>
    <w:p w:rsidR="002348AF" w:rsidRDefault="002348AF">
      <w:pPr>
        <w:pStyle w:val="TOC2"/>
        <w:tabs>
          <w:tab w:val="right" w:leader="dot" w:pos="7077"/>
        </w:tabs>
        <w:rPr>
          <w:rFonts w:asciiTheme="minorHAnsi" w:eastAsiaTheme="minorEastAsia" w:hAnsiTheme="minorHAnsi" w:cstheme="minorBidi"/>
          <w:b w:val="0"/>
          <w:sz w:val="22"/>
          <w:szCs w:val="22"/>
        </w:rPr>
      </w:pPr>
      <w:r>
        <w:t>Schedule 1A — Declared ports</w:t>
      </w:r>
    </w:p>
    <w:p w:rsidR="002348AF" w:rsidRDefault="002348AF">
      <w:pPr>
        <w:pStyle w:val="TOC4"/>
        <w:tabs>
          <w:tab w:val="right" w:leader="dot" w:pos="7077"/>
        </w:tabs>
        <w:rPr>
          <w:rFonts w:asciiTheme="minorHAnsi" w:eastAsiaTheme="minorEastAsia" w:hAnsiTheme="minorHAnsi" w:cstheme="minorBidi"/>
          <w:b w:val="0"/>
          <w:szCs w:val="22"/>
        </w:rPr>
      </w:pPr>
      <w:r>
        <w:t>Division 1 — Name and limits of port</w:t>
      </w:r>
    </w:p>
    <w:p w:rsidR="002348AF" w:rsidRDefault="002348AF">
      <w:pPr>
        <w:pStyle w:val="TOC4"/>
        <w:tabs>
          <w:tab w:val="right" w:leader="dot" w:pos="7077"/>
        </w:tabs>
        <w:rPr>
          <w:rFonts w:asciiTheme="minorHAnsi" w:eastAsiaTheme="minorEastAsia" w:hAnsiTheme="minorHAnsi" w:cstheme="minorBidi"/>
          <w:b w:val="0"/>
          <w:szCs w:val="22"/>
        </w:rPr>
      </w:pPr>
      <w:r>
        <w:t>Division 2</w:t>
      </w:r>
      <w:r w:rsidRPr="009839B4">
        <w:rPr>
          <w:b w:val="0"/>
        </w:rPr>
        <w:t> — </w:t>
      </w:r>
      <w:r>
        <w:t>Copies of plans</w:t>
      </w:r>
    </w:p>
    <w:p w:rsidR="002348AF" w:rsidRDefault="002348AF">
      <w:pPr>
        <w:pStyle w:val="TOC2"/>
        <w:tabs>
          <w:tab w:val="right" w:leader="dot" w:pos="7077"/>
        </w:tabs>
        <w:rPr>
          <w:rFonts w:asciiTheme="minorHAnsi" w:eastAsiaTheme="minorEastAsia" w:hAnsiTheme="minorHAnsi" w:cstheme="minorBidi"/>
          <w:b w:val="0"/>
          <w:sz w:val="22"/>
          <w:szCs w:val="22"/>
        </w:rPr>
      </w:pPr>
      <w:r>
        <w:t>Schedule 2 — Signals to be displayed on vessels</w:t>
      </w:r>
    </w:p>
    <w:p w:rsidR="002348AF" w:rsidRDefault="002348AF">
      <w:pPr>
        <w:pStyle w:val="TOC2"/>
        <w:tabs>
          <w:tab w:val="right" w:leader="dot" w:pos="7077"/>
        </w:tabs>
        <w:rPr>
          <w:rFonts w:asciiTheme="minorHAnsi" w:eastAsiaTheme="minorEastAsia" w:hAnsiTheme="minorHAnsi" w:cstheme="minorBidi"/>
          <w:b w:val="0"/>
          <w:sz w:val="22"/>
          <w:szCs w:val="22"/>
        </w:rPr>
      </w:pPr>
      <w:r>
        <w:t>Schedule 3 — Fees and charges</w:t>
      </w:r>
    </w:p>
    <w:p w:rsidR="002348AF" w:rsidRDefault="002348AF">
      <w:pPr>
        <w:pStyle w:val="TOC4"/>
        <w:tabs>
          <w:tab w:val="right" w:leader="dot" w:pos="7077"/>
        </w:tabs>
        <w:rPr>
          <w:rFonts w:asciiTheme="minorHAnsi" w:eastAsiaTheme="minorEastAsia" w:hAnsiTheme="minorHAnsi" w:cstheme="minorBidi"/>
          <w:b w:val="0"/>
          <w:szCs w:val="22"/>
        </w:rPr>
      </w:pPr>
      <w:r>
        <w:t>Division 2</w:t>
      </w:r>
      <w:r w:rsidRPr="009839B4">
        <w:rPr>
          <w:b w:val="0"/>
        </w:rPr>
        <w:t> — </w:t>
      </w:r>
      <w:r>
        <w:t>Conservancy dues</w:t>
      </w:r>
    </w:p>
    <w:p w:rsidR="002348AF" w:rsidRDefault="002348AF">
      <w:pPr>
        <w:pStyle w:val="TOC2"/>
        <w:tabs>
          <w:tab w:val="right" w:leader="dot" w:pos="7077"/>
        </w:tabs>
        <w:rPr>
          <w:rFonts w:asciiTheme="minorHAnsi" w:eastAsiaTheme="minorEastAsia" w:hAnsiTheme="minorHAnsi" w:cstheme="minorBidi"/>
          <w:b w:val="0"/>
          <w:sz w:val="22"/>
          <w:szCs w:val="22"/>
        </w:rPr>
      </w:pPr>
      <w:r>
        <w:t>Schedule 4 — Specified countries</w:t>
      </w:r>
    </w:p>
    <w:p w:rsidR="002348AF" w:rsidRDefault="002348AF">
      <w:pPr>
        <w:pStyle w:val="TOC2"/>
        <w:tabs>
          <w:tab w:val="right" w:leader="dot" w:pos="7077"/>
        </w:tabs>
        <w:rPr>
          <w:rFonts w:asciiTheme="minorHAnsi" w:eastAsiaTheme="minorEastAsia" w:hAnsiTheme="minorHAnsi" w:cstheme="minorBidi"/>
          <w:b w:val="0"/>
          <w:sz w:val="22"/>
          <w:szCs w:val="22"/>
        </w:rPr>
      </w:pPr>
      <w:r>
        <w:t>Schedule 5 — Specified documents</w:t>
      </w:r>
    </w:p>
    <w:p w:rsidR="002348AF" w:rsidRDefault="002348AF">
      <w:pPr>
        <w:pStyle w:val="TOC2"/>
        <w:tabs>
          <w:tab w:val="right" w:leader="dot" w:pos="7077"/>
        </w:tabs>
        <w:rPr>
          <w:rFonts w:asciiTheme="minorHAnsi" w:eastAsiaTheme="minorEastAsia" w:hAnsiTheme="minorHAnsi" w:cstheme="minorBidi"/>
          <w:b w:val="0"/>
          <w:sz w:val="22"/>
          <w:szCs w:val="22"/>
        </w:rPr>
      </w:pPr>
      <w:r>
        <w:t>Schedule 6 — Forms</w:t>
      </w:r>
    </w:p>
    <w:p w:rsidR="002348AF" w:rsidRDefault="002348AF">
      <w:pPr>
        <w:pStyle w:val="TOC2"/>
        <w:tabs>
          <w:tab w:val="right" w:leader="dot" w:pos="7077"/>
        </w:tabs>
        <w:rPr>
          <w:rFonts w:asciiTheme="minorHAnsi" w:eastAsiaTheme="minorEastAsia" w:hAnsiTheme="minorHAnsi" w:cstheme="minorBidi"/>
          <w:b w:val="0"/>
          <w:sz w:val="22"/>
          <w:szCs w:val="22"/>
        </w:rPr>
      </w:pPr>
      <w:r>
        <w:t>Notes</w:t>
      </w:r>
    </w:p>
    <w:p w:rsidR="002348AF" w:rsidRDefault="002348AF" w:rsidP="002348AF">
      <w:pPr>
        <w:pStyle w:val="TOC8"/>
        <w:rPr>
          <w:rFonts w:asciiTheme="minorHAnsi" w:eastAsiaTheme="minorEastAsia" w:hAnsiTheme="minorHAnsi" w:cstheme="minorBidi"/>
          <w:szCs w:val="22"/>
        </w:rPr>
      </w:pPr>
      <w:r>
        <w:tab/>
        <w:t>Compilation table</w:t>
      </w:r>
      <w:r>
        <w:tab/>
      </w:r>
      <w:r>
        <w:fldChar w:fldCharType="begin"/>
      </w:r>
      <w:r>
        <w:instrText xml:space="preserve"> PAGEREF _Toc75528264 \h </w:instrText>
      </w:r>
      <w:r>
        <w:fldChar w:fldCharType="separate"/>
      </w:r>
      <w:r w:rsidR="00914885">
        <w:t>72</w:t>
      </w:r>
      <w:r>
        <w:fldChar w:fldCharType="end"/>
      </w:r>
    </w:p>
    <w:p w:rsidR="002348AF" w:rsidRDefault="002348AF" w:rsidP="002348AF">
      <w:pPr>
        <w:pStyle w:val="TOC8"/>
        <w:rPr>
          <w:rFonts w:asciiTheme="minorHAnsi" w:eastAsiaTheme="minorEastAsia" w:hAnsiTheme="minorHAnsi" w:cstheme="minorBidi"/>
          <w:szCs w:val="22"/>
        </w:rPr>
      </w:pPr>
      <w:r>
        <w:tab/>
        <w:t>Other notes</w:t>
      </w:r>
      <w:r>
        <w:tab/>
      </w:r>
      <w:r>
        <w:fldChar w:fldCharType="begin"/>
      </w:r>
      <w:r>
        <w:instrText xml:space="preserve"> PAGEREF _Toc75528265 \h </w:instrText>
      </w:r>
      <w:r>
        <w:fldChar w:fldCharType="separate"/>
      </w:r>
      <w:r w:rsidR="00914885">
        <w:t>79</w:t>
      </w:r>
      <w:r>
        <w:fldChar w:fldCharType="end"/>
      </w:r>
    </w:p>
    <w:p w:rsidR="002348AF" w:rsidRDefault="002348AF">
      <w:pPr>
        <w:pStyle w:val="TOC2"/>
        <w:tabs>
          <w:tab w:val="right" w:leader="dot" w:pos="7077"/>
        </w:tabs>
        <w:rPr>
          <w:rFonts w:asciiTheme="minorHAnsi" w:eastAsiaTheme="minorEastAsia" w:hAnsiTheme="minorHAnsi" w:cstheme="minorBidi"/>
          <w:b w:val="0"/>
          <w:sz w:val="22"/>
          <w:szCs w:val="22"/>
        </w:rPr>
      </w:pPr>
      <w:r>
        <w:t>Defined terms</w:t>
      </w:r>
    </w:p>
    <w:p w:rsidR="009515FF" w:rsidRDefault="00B14AD4">
      <w:pPr>
        <w:pStyle w:val="NoteHeading"/>
      </w:pPr>
      <w:r>
        <w:fldChar w:fldCharType="end"/>
      </w:r>
      <w:r>
        <w:rPr>
          <w:rStyle w:val="CharPartNo"/>
        </w:rPr>
        <w:t xml:space="preserve"> </w:t>
      </w:r>
      <w:r>
        <w:rPr>
          <w:rStyle w:val="CharPartText"/>
        </w:rPr>
        <w:t xml:space="preserve"> </w:t>
      </w:r>
      <w:r>
        <w:rPr>
          <w:rStyle w:val="CharDivNo"/>
        </w:rPr>
        <w:t xml:space="preserve"> </w:t>
      </w:r>
      <w:r>
        <w:rPr>
          <w:rStyle w:val="CharDivText"/>
        </w:rPr>
        <w:t xml:space="preserve"> </w:t>
      </w:r>
      <w:r>
        <w:rPr>
          <w:rStyle w:val="CharSchNo"/>
        </w:rPr>
        <w:t xml:space="preserve"> </w:t>
      </w:r>
      <w:r>
        <w:rPr>
          <w:rStyle w:val="CharSchText"/>
        </w:rPr>
        <w:t xml:space="preserve"> </w:t>
      </w:r>
      <w:r>
        <w:rPr>
          <w:rStyle w:val="CharSDivNo"/>
        </w:rPr>
        <w:t xml:space="preserve"> </w:t>
      </w:r>
      <w:r>
        <w:rPr>
          <w:rStyle w:val="CharSDivText"/>
        </w:rPr>
        <w:t xml:space="preserve"> </w:t>
      </w:r>
      <w:r>
        <w:t xml:space="preserve"> </w:t>
      </w:r>
    </w:p>
    <w:p w:rsidR="009515FF" w:rsidRDefault="009515FF">
      <w:pPr>
        <w:pStyle w:val="NoteHeading"/>
        <w:sectPr w:rsidR="009515FF">
          <w:headerReference w:type="even" r:id="rId15"/>
          <w:headerReference w:type="default" r:id="rId16"/>
          <w:footerReference w:type="even" r:id="rId17"/>
          <w:footerReference w:type="default" r:id="rId18"/>
          <w:headerReference w:type="first" r:id="rId19"/>
          <w:footerReference w:type="first" r:id="rId20"/>
          <w:type w:val="oddPage"/>
          <w:pgSz w:w="11907" w:h="16840" w:code="9"/>
          <w:pgMar w:top="2381" w:right="2410" w:bottom="3544" w:left="2410" w:header="720" w:footer="3544" w:gutter="0"/>
          <w:pgNumType w:fmt="lowerRoman" w:start="1"/>
          <w:cols w:space="720"/>
          <w:noEndnote/>
          <w:titlePg/>
        </w:sectPr>
      </w:pPr>
    </w:p>
    <w:p w:rsidR="009515FF" w:rsidRDefault="00B14AD4">
      <w:pPr>
        <w:pStyle w:val="PrincipalActReg"/>
        <w:spacing w:before="120"/>
      </w:pPr>
      <w:r>
        <w:lastRenderedPageBreak/>
        <w:t>Shipping and Pilotage Act 1967</w:t>
      </w:r>
    </w:p>
    <w:p w:rsidR="009515FF" w:rsidRDefault="00B14AD4">
      <w:pPr>
        <w:pStyle w:val="NameofActReg"/>
        <w:spacing w:before="600" w:after="720"/>
      </w:pPr>
      <w:r>
        <w:t>Shipping and Pilotage (Ports and Harbours) Regulations 1966</w:t>
      </w:r>
    </w:p>
    <w:p w:rsidR="009515FF" w:rsidRDefault="00B14AD4">
      <w:pPr>
        <w:pStyle w:val="Heading2"/>
        <w:pageBreakBefore w:val="0"/>
        <w:spacing w:before="240"/>
      </w:pPr>
      <w:bookmarkStart w:id="3" w:name="_Toc75423253"/>
      <w:bookmarkStart w:id="4" w:name="_Toc75426741"/>
      <w:bookmarkStart w:id="5" w:name="_Toc75528163"/>
      <w:r>
        <w:rPr>
          <w:rStyle w:val="CharPartNo"/>
        </w:rPr>
        <w:t>Part 1</w:t>
      </w:r>
      <w:r>
        <w:rPr>
          <w:b w:val="0"/>
        </w:rPr>
        <w:t> </w:t>
      </w:r>
      <w:r>
        <w:t>—</w:t>
      </w:r>
      <w:r>
        <w:rPr>
          <w:b w:val="0"/>
        </w:rPr>
        <w:t> </w:t>
      </w:r>
      <w:r>
        <w:rPr>
          <w:rStyle w:val="CharPartText"/>
        </w:rPr>
        <w:t>Preliminary</w:t>
      </w:r>
      <w:bookmarkEnd w:id="3"/>
      <w:bookmarkEnd w:id="4"/>
      <w:bookmarkEnd w:id="5"/>
    </w:p>
    <w:p w:rsidR="009515FF" w:rsidRDefault="00B14AD4">
      <w:pPr>
        <w:pStyle w:val="Footnoteheading"/>
      </w:pPr>
      <w:r>
        <w:tab/>
        <w:t>[Heading inserted: Gazette 4 Jun 2010 p. 2424.]</w:t>
      </w:r>
    </w:p>
    <w:p w:rsidR="009515FF" w:rsidRDefault="00B14AD4">
      <w:pPr>
        <w:pStyle w:val="Heading5"/>
        <w:spacing w:before="240"/>
        <w:rPr>
          <w:snapToGrid w:val="0"/>
        </w:rPr>
      </w:pPr>
      <w:bookmarkStart w:id="6" w:name="_Toc75528164"/>
      <w:r>
        <w:rPr>
          <w:rStyle w:val="CharSectno"/>
        </w:rPr>
        <w:t>1</w:t>
      </w:r>
      <w:r>
        <w:rPr>
          <w:snapToGrid w:val="0"/>
        </w:rPr>
        <w:t>.</w:t>
      </w:r>
      <w:r>
        <w:rPr>
          <w:snapToGrid w:val="0"/>
        </w:rPr>
        <w:tab/>
        <w:t>Citation</w:t>
      </w:r>
      <w:bookmarkEnd w:id="6"/>
    </w:p>
    <w:p w:rsidR="009515FF" w:rsidRDefault="00B14AD4">
      <w:pPr>
        <w:pStyle w:val="Subsection"/>
        <w:rPr>
          <w:snapToGrid w:val="0"/>
        </w:rPr>
      </w:pPr>
      <w:r>
        <w:rPr>
          <w:snapToGrid w:val="0"/>
        </w:rPr>
        <w:tab/>
      </w:r>
      <w:r>
        <w:rPr>
          <w:snapToGrid w:val="0"/>
        </w:rPr>
        <w:tab/>
        <w:t xml:space="preserve">These regulations may be cited as the </w:t>
      </w:r>
      <w:r>
        <w:rPr>
          <w:i/>
          <w:iCs/>
        </w:rPr>
        <w:t xml:space="preserve">Shipping and Pilotage (Ports and Harbours) </w:t>
      </w:r>
      <w:r>
        <w:rPr>
          <w:i/>
          <w:snapToGrid w:val="0"/>
        </w:rPr>
        <w:t>Regulations 1966</w:t>
      </w:r>
      <w:r>
        <w:rPr>
          <w:snapToGrid w:val="0"/>
        </w:rPr>
        <w:t>.</w:t>
      </w:r>
    </w:p>
    <w:p w:rsidR="009515FF" w:rsidRDefault="00B14AD4">
      <w:pPr>
        <w:pStyle w:val="Footnotesection"/>
        <w:spacing w:before="80"/>
        <w:ind w:left="890" w:hanging="890"/>
      </w:pPr>
      <w:r>
        <w:tab/>
        <w:t xml:space="preserve">[Regulation 1 amended: Gazette 24 Jun 2005 p. 2774; 4 Jun 2010 p. 2424.] </w:t>
      </w:r>
    </w:p>
    <w:p w:rsidR="009515FF" w:rsidRDefault="00B14AD4">
      <w:pPr>
        <w:pStyle w:val="Ednotesection"/>
        <w:spacing w:before="180"/>
      </w:pPr>
      <w:r>
        <w:t>[</w:t>
      </w:r>
      <w:r>
        <w:rPr>
          <w:b/>
          <w:bCs/>
        </w:rPr>
        <w:t>2.</w:t>
      </w:r>
      <w:r>
        <w:tab/>
        <w:t>Deleted: Gazette 4 Jun 2010 p. 2424.]</w:t>
      </w:r>
    </w:p>
    <w:p w:rsidR="009515FF" w:rsidRDefault="00B14AD4">
      <w:pPr>
        <w:pStyle w:val="Heading5"/>
        <w:spacing w:before="180"/>
        <w:rPr>
          <w:snapToGrid w:val="0"/>
        </w:rPr>
      </w:pPr>
      <w:bookmarkStart w:id="7" w:name="_Toc75528165"/>
      <w:r>
        <w:rPr>
          <w:rStyle w:val="CharSectno"/>
        </w:rPr>
        <w:t>3</w:t>
      </w:r>
      <w:r>
        <w:rPr>
          <w:snapToGrid w:val="0"/>
        </w:rPr>
        <w:t>.</w:t>
      </w:r>
      <w:r>
        <w:rPr>
          <w:snapToGrid w:val="0"/>
        </w:rPr>
        <w:tab/>
        <w:t>Port Walcott, charges for pilotage at</w:t>
      </w:r>
      <w:bookmarkEnd w:id="7"/>
    </w:p>
    <w:p w:rsidR="009515FF" w:rsidRDefault="00B14AD4">
      <w:pPr>
        <w:pStyle w:val="Ednotesubsection"/>
        <w:spacing w:before="120"/>
      </w:pPr>
      <w:r>
        <w:tab/>
        <w:t>[(1), (2)</w:t>
      </w:r>
      <w:r>
        <w:tab/>
        <w:t>deleted]</w:t>
      </w:r>
    </w:p>
    <w:p w:rsidR="009515FF" w:rsidRDefault="00B14AD4">
      <w:pPr>
        <w:pStyle w:val="Subsection"/>
        <w:rPr>
          <w:snapToGrid w:val="0"/>
        </w:rPr>
      </w:pPr>
      <w:r>
        <w:rPr>
          <w:snapToGrid w:val="0"/>
        </w:rPr>
        <w:tab/>
        <w:t>(3)</w:t>
      </w:r>
      <w:r>
        <w:rPr>
          <w:snapToGrid w:val="0"/>
        </w:rPr>
        <w:tab/>
        <w:t xml:space="preserve">No charges are payable under these regulations in respect of any pilotage service provided at Port Walcott where a charge is payable in respect of the service under the </w:t>
      </w:r>
      <w:r>
        <w:rPr>
          <w:i/>
          <w:snapToGrid w:val="0"/>
        </w:rPr>
        <w:t>Iron Ore (Robe River) Cape Lambert Ore and Service Wharves By</w:t>
      </w:r>
      <w:r>
        <w:rPr>
          <w:i/>
          <w:snapToGrid w:val="0"/>
        </w:rPr>
        <w:noBreakHyphen/>
        <w:t>laws 1995</w:t>
      </w:r>
      <w:r>
        <w:rPr>
          <w:snapToGrid w:val="0"/>
        </w:rPr>
        <w:t>.</w:t>
      </w:r>
    </w:p>
    <w:p w:rsidR="009515FF" w:rsidRDefault="00B14AD4">
      <w:pPr>
        <w:pStyle w:val="Footnotesection"/>
        <w:ind w:left="890" w:hanging="890"/>
      </w:pPr>
      <w:r>
        <w:tab/>
        <w:t xml:space="preserve">[Regulation 3 inserted: Gazette 24 Sep 1971 p. 3580; amended: Gazette 31 Mar 1995 p. 1175; 25 Jun 2004 p. 2266; 4 Jun 2010 p. 2424.] </w:t>
      </w:r>
    </w:p>
    <w:p w:rsidR="009515FF" w:rsidRDefault="00B14AD4">
      <w:pPr>
        <w:pStyle w:val="Heading5"/>
        <w:rPr>
          <w:snapToGrid w:val="0"/>
        </w:rPr>
      </w:pPr>
      <w:bookmarkStart w:id="8" w:name="_Toc75528166"/>
      <w:r>
        <w:rPr>
          <w:rStyle w:val="CharSectno"/>
        </w:rPr>
        <w:t>4</w:t>
      </w:r>
      <w:r>
        <w:rPr>
          <w:snapToGrid w:val="0"/>
        </w:rPr>
        <w:t>.</w:t>
      </w:r>
      <w:r>
        <w:rPr>
          <w:snapToGrid w:val="0"/>
        </w:rPr>
        <w:tab/>
        <w:t>Terms used</w:t>
      </w:r>
      <w:bookmarkEnd w:id="8"/>
    </w:p>
    <w:p w:rsidR="009515FF" w:rsidRDefault="00B14AD4">
      <w:pPr>
        <w:pStyle w:val="Subsection"/>
        <w:rPr>
          <w:snapToGrid w:val="0"/>
        </w:rPr>
      </w:pPr>
      <w:r>
        <w:rPr>
          <w:snapToGrid w:val="0"/>
        </w:rPr>
        <w:tab/>
      </w:r>
      <w:r>
        <w:rPr>
          <w:snapToGrid w:val="0"/>
        </w:rPr>
        <w:tab/>
        <w:t>In these regulations unless the contrary intention appears — </w:t>
      </w:r>
    </w:p>
    <w:p w:rsidR="009515FF" w:rsidRDefault="00B14AD4">
      <w:pPr>
        <w:pStyle w:val="Defstart"/>
      </w:pPr>
      <w:r>
        <w:tab/>
      </w:r>
      <w:r>
        <w:rPr>
          <w:rStyle w:val="CharDefText"/>
        </w:rPr>
        <w:t>approved</w:t>
      </w:r>
      <w:r>
        <w:t xml:space="preserve"> means approved by the CEO;</w:t>
      </w:r>
    </w:p>
    <w:p w:rsidR="009515FF" w:rsidRDefault="00B14AD4">
      <w:pPr>
        <w:pStyle w:val="Defstart"/>
      </w:pPr>
      <w:r>
        <w:rPr>
          <w:b/>
        </w:rPr>
        <w:lastRenderedPageBreak/>
        <w:tab/>
      </w:r>
      <w:r>
        <w:rPr>
          <w:rStyle w:val="CharDefText"/>
        </w:rPr>
        <w:t>certificate</w:t>
      </w:r>
      <w:r>
        <w:t xml:space="preserve"> means a pilotage exemption certificate issued under regulation 16;</w:t>
      </w:r>
    </w:p>
    <w:p w:rsidR="009515FF" w:rsidRDefault="00B14AD4">
      <w:pPr>
        <w:pStyle w:val="Defstart"/>
      </w:pPr>
      <w:r>
        <w:tab/>
      </w:r>
      <w:r>
        <w:rPr>
          <w:rStyle w:val="CharDefText"/>
        </w:rPr>
        <w:t>certificate of health</w:t>
      </w:r>
      <w:r>
        <w:t xml:space="preserve"> means a valid Certificate of Medical Fitness under Part 9 of the Marine Orders made under the </w:t>
      </w:r>
      <w:r>
        <w:rPr>
          <w:i/>
          <w:iCs/>
        </w:rPr>
        <w:t xml:space="preserve">Navigation Act 1912 </w:t>
      </w:r>
      <w:r>
        <w:t>(Commonwealth);</w:t>
      </w:r>
    </w:p>
    <w:p w:rsidR="009515FF" w:rsidRDefault="00B14AD4">
      <w:pPr>
        <w:pStyle w:val="Defstart"/>
      </w:pPr>
      <w:r>
        <w:rPr>
          <w:b/>
        </w:rPr>
        <w:tab/>
      </w:r>
      <w:r>
        <w:rPr>
          <w:rStyle w:val="CharDefText"/>
        </w:rPr>
        <w:t>coasting vessel</w:t>
      </w:r>
      <w:r>
        <w:t xml:space="preserve"> means a vessel solely employed in trade between ports of the State;</w:t>
      </w:r>
    </w:p>
    <w:p w:rsidR="009515FF" w:rsidRDefault="00B14AD4">
      <w:pPr>
        <w:pStyle w:val="Defstart"/>
      </w:pPr>
      <w:r>
        <w:rPr>
          <w:b/>
        </w:rPr>
        <w:tab/>
      </w:r>
      <w:r>
        <w:rPr>
          <w:rStyle w:val="CharDefText"/>
        </w:rPr>
        <w:t>exempt master</w:t>
      </w:r>
      <w:r>
        <w:t>, in relation to a vessel, means a master who holds a valid pilotage exemption certificate for a pilotage area;</w:t>
      </w:r>
    </w:p>
    <w:p w:rsidR="009515FF" w:rsidRDefault="00B14AD4">
      <w:pPr>
        <w:pStyle w:val="Defstart"/>
      </w:pPr>
      <w:r>
        <w:rPr>
          <w:b/>
        </w:rPr>
        <w:tab/>
      </w:r>
      <w:r>
        <w:rPr>
          <w:rStyle w:val="CharDefText"/>
        </w:rPr>
        <w:t>gross registered tonnage</w:t>
      </w:r>
      <w:r>
        <w:t xml:space="preserve"> means the gross registered tonnage of a vessel calculated or determined in accordance with regulation 18A;</w:t>
      </w:r>
    </w:p>
    <w:p w:rsidR="009515FF" w:rsidRDefault="00B14AD4">
      <w:pPr>
        <w:pStyle w:val="Defstart"/>
      </w:pPr>
      <w:r>
        <w:rPr>
          <w:b/>
        </w:rPr>
        <w:tab/>
      </w:r>
      <w:r>
        <w:rPr>
          <w:rStyle w:val="CharDefText"/>
        </w:rPr>
        <w:t>International Tonnage Certificate (1969)</w:t>
      </w:r>
      <w:r>
        <w:t xml:space="preserve"> means a certificate issued pursuant to Article 7 or 8 of the International Convention on Tonnage Measurement of Ships (1969) as set out in Schedule 8 to the </w:t>
      </w:r>
      <w:r>
        <w:rPr>
          <w:i/>
        </w:rPr>
        <w:t>Navigation Act 1912</w:t>
      </w:r>
      <w:r>
        <w:t xml:space="preserve"> of the Commonwealth, as amended;</w:t>
      </w:r>
    </w:p>
    <w:p w:rsidR="009515FF" w:rsidRDefault="00B14AD4">
      <w:pPr>
        <w:pStyle w:val="Defstart"/>
      </w:pPr>
      <w:r>
        <w:rPr>
          <w:b/>
        </w:rPr>
        <w:tab/>
      </w:r>
      <w:r>
        <w:rPr>
          <w:rStyle w:val="CharDefText"/>
        </w:rPr>
        <w:t>interstate vessel</w:t>
      </w:r>
      <w:r>
        <w:t xml:space="preserve"> means a vessel solely employed in trading between ports of the Commonwealth, other than solely between ports in the State, or of New Zealand and ports of the State;</w:t>
      </w:r>
    </w:p>
    <w:p w:rsidR="009515FF" w:rsidRDefault="00B14AD4">
      <w:pPr>
        <w:pStyle w:val="Defstart"/>
      </w:pPr>
      <w:r>
        <w:tab/>
      </w:r>
      <w:r>
        <w:rPr>
          <w:rStyle w:val="CharDefText"/>
        </w:rPr>
        <w:t>length overall</w:t>
      </w:r>
      <w:r>
        <w:t>, in relation to a vessel, means the length of the vessel measured parallel to the static load waterline from the fore side of the stem to the after side of the stern or transom, excluding rubbing strakes and other projections;</w:t>
      </w:r>
    </w:p>
    <w:p w:rsidR="009515FF" w:rsidRDefault="00B14AD4">
      <w:pPr>
        <w:pStyle w:val="Defstart"/>
      </w:pPr>
      <w:r>
        <w:rPr>
          <w:b/>
        </w:rPr>
        <w:tab/>
      </w:r>
      <w:r>
        <w:rPr>
          <w:rStyle w:val="CharDefText"/>
        </w:rPr>
        <w:t>licensed pilot</w:t>
      </w:r>
      <w:r>
        <w:rPr>
          <w:bCs/>
        </w:rPr>
        <w:t xml:space="preserve">, in relation to a vessel in a pilotage area, </w:t>
      </w:r>
      <w:r>
        <w:t>means a person who holds a licence under Part 5 to act as a pilot for —</w:t>
      </w:r>
    </w:p>
    <w:p w:rsidR="009515FF" w:rsidRDefault="00B14AD4">
      <w:pPr>
        <w:pStyle w:val="Defpara"/>
      </w:pPr>
      <w:r>
        <w:tab/>
        <w:t>(a)</w:t>
      </w:r>
      <w:r>
        <w:tab/>
        <w:t>the pilotage area; and</w:t>
      </w:r>
    </w:p>
    <w:p w:rsidR="009515FF" w:rsidRDefault="00B14AD4">
      <w:pPr>
        <w:pStyle w:val="Defpara"/>
      </w:pPr>
      <w:r>
        <w:tab/>
        <w:t>(b)</w:t>
      </w:r>
      <w:r>
        <w:tab/>
        <w:t>if conditions relating to the size of vessels are imposed on the licence — a vessel of that size;</w:t>
      </w:r>
    </w:p>
    <w:p w:rsidR="009515FF" w:rsidRDefault="00B14AD4">
      <w:pPr>
        <w:pStyle w:val="Defstart"/>
      </w:pPr>
      <w:r>
        <w:rPr>
          <w:b/>
        </w:rPr>
        <w:tab/>
      </w:r>
      <w:r>
        <w:rPr>
          <w:rStyle w:val="CharDefText"/>
        </w:rPr>
        <w:t>master</w:t>
      </w:r>
      <w:r>
        <w:t xml:space="preserve"> in relation to a vessel, means the person for the time being having the command, charge, custody or control of the vessel;</w:t>
      </w:r>
    </w:p>
    <w:p w:rsidR="009515FF" w:rsidRDefault="00B14AD4">
      <w:pPr>
        <w:pStyle w:val="Defstart"/>
      </w:pPr>
      <w:r>
        <w:rPr>
          <w:b/>
        </w:rPr>
        <w:tab/>
      </w:r>
      <w:r>
        <w:rPr>
          <w:rStyle w:val="CharDefText"/>
        </w:rPr>
        <w:t>owner</w:t>
      </w:r>
      <w:r>
        <w:t xml:space="preserve"> in relation to a vessel, includes the authorised agent of the owner;</w:t>
      </w:r>
    </w:p>
    <w:p w:rsidR="009515FF" w:rsidRDefault="00B14AD4">
      <w:pPr>
        <w:pStyle w:val="Defstart"/>
      </w:pPr>
      <w:r>
        <w:rPr>
          <w:b/>
        </w:rPr>
        <w:lastRenderedPageBreak/>
        <w:tab/>
      </w:r>
      <w:r>
        <w:rPr>
          <w:rStyle w:val="CharDefText"/>
        </w:rPr>
        <w:t>passenger</w:t>
      </w:r>
      <w:r>
        <w:t xml:space="preserve"> means any person carried in a vessel, other than as the master, a seaman or indentured apprentice;</w:t>
      </w:r>
    </w:p>
    <w:p w:rsidR="009515FF" w:rsidRDefault="00B14AD4">
      <w:pPr>
        <w:pStyle w:val="Defstart"/>
      </w:pPr>
      <w:r>
        <w:rPr>
          <w:b/>
        </w:rPr>
        <w:tab/>
      </w:r>
      <w:r>
        <w:rPr>
          <w:rStyle w:val="CharDefText"/>
        </w:rPr>
        <w:t>subject port</w:t>
      </w:r>
      <w:r>
        <w:t>, in relation to an application for a pilotage exemption certificate, means a port for which the certificate is sought;</w:t>
      </w:r>
    </w:p>
    <w:p w:rsidR="009515FF" w:rsidRDefault="00B14AD4">
      <w:pPr>
        <w:pStyle w:val="Defstart"/>
      </w:pPr>
      <w:r>
        <w:rPr>
          <w:b/>
        </w:rPr>
        <w:tab/>
      </w:r>
      <w:r>
        <w:rPr>
          <w:rStyle w:val="CharDefText"/>
        </w:rPr>
        <w:t>surveyor</w:t>
      </w:r>
      <w:r>
        <w:t xml:space="preserve"> means a person appointed by the Governor to act as a surveyor of vessels and machinery;</w:t>
      </w:r>
    </w:p>
    <w:p w:rsidR="009515FF" w:rsidRDefault="00B14AD4">
      <w:pPr>
        <w:pStyle w:val="Defstart"/>
      </w:pPr>
      <w:r>
        <w:rPr>
          <w:b/>
        </w:rPr>
        <w:tab/>
      </w:r>
      <w:r>
        <w:rPr>
          <w:rStyle w:val="CharDefText"/>
        </w:rPr>
        <w:t>tons</w:t>
      </w:r>
      <w:r>
        <w:t xml:space="preserve"> or </w:t>
      </w:r>
      <w:r>
        <w:rPr>
          <w:rStyle w:val="CharDefText"/>
        </w:rPr>
        <w:t>tonnage</w:t>
      </w:r>
      <w:r>
        <w:t>, in relation to a British registered vessel, means the gross registered tons or tonnage calculated in accordance with the British measurement of registered tonnage, and, in relation to any other vessel, means the gross registered tons or tonnage calculated in accordance with the standard of measurement adopted by the authority by which the vessel is registered;</w:t>
      </w:r>
    </w:p>
    <w:p w:rsidR="009515FF" w:rsidRDefault="00B14AD4">
      <w:pPr>
        <w:pStyle w:val="Defstart"/>
      </w:pPr>
      <w:r>
        <w:rPr>
          <w:b/>
        </w:rPr>
        <w:tab/>
      </w:r>
      <w:r>
        <w:rPr>
          <w:rStyle w:val="CharDefText"/>
        </w:rPr>
        <w:t>vessel</w:t>
      </w:r>
      <w:r>
        <w:t xml:space="preserve"> includes ship, hulk, boat, barge, lighter, flat and any other type of craft howsoever propelled;</w:t>
      </w:r>
    </w:p>
    <w:p w:rsidR="009515FF" w:rsidRDefault="00B14AD4">
      <w:pPr>
        <w:pStyle w:val="Defstart"/>
      </w:pPr>
      <w:r>
        <w:rPr>
          <w:b/>
        </w:rPr>
        <w:tab/>
      </w:r>
      <w:r>
        <w:rPr>
          <w:rStyle w:val="CharDefText"/>
        </w:rPr>
        <w:t>vessel of war</w:t>
      </w:r>
      <w:r>
        <w:t xml:space="preserve"> means a vessel built for combatant service or converted for that purpose and tankers conveying fuel oil for such a vessel, if the vessel is owned or otherwise directly managed or controlled by the Government of the United Kingdom or of any of Her Majesty’s States, Dominions or Colonies, or by the Government of any foreign country which is a party with Her Majesty to any military alliance and not engaged in trade, but does not include a vessel used solely for the transport of troops, stores or equipment;</w:t>
      </w:r>
    </w:p>
    <w:p w:rsidR="009515FF" w:rsidRDefault="00B14AD4">
      <w:pPr>
        <w:pStyle w:val="Defstart"/>
      </w:pPr>
      <w:r>
        <w:rPr>
          <w:b/>
        </w:rPr>
        <w:tab/>
      </w:r>
      <w:r>
        <w:rPr>
          <w:rStyle w:val="CharDefText"/>
        </w:rPr>
        <w:t>Western Australian Land Information Authority</w:t>
      </w:r>
      <w:r>
        <w:t xml:space="preserve"> means the Western Australian Land Information Authority established by the </w:t>
      </w:r>
      <w:r>
        <w:rPr>
          <w:i/>
          <w:iCs/>
        </w:rPr>
        <w:t>Land Information Authority Act 2006</w:t>
      </w:r>
      <w:r>
        <w:t>;</w:t>
      </w:r>
    </w:p>
    <w:p w:rsidR="009515FF" w:rsidRDefault="00B14AD4">
      <w:pPr>
        <w:pStyle w:val="Defstart"/>
        <w:keepNext/>
      </w:pPr>
      <w:r>
        <w:rPr>
          <w:b/>
        </w:rPr>
        <w:tab/>
      </w:r>
      <w:r>
        <w:rPr>
          <w:rStyle w:val="CharDefText"/>
        </w:rPr>
        <w:t>wharf</w:t>
      </w:r>
      <w:r>
        <w:t xml:space="preserve"> includes any jetty or structure to which a vessel may be made fast or on which passengers, cargo or merchandise may be loaded or discharged.</w:t>
      </w:r>
    </w:p>
    <w:p w:rsidR="009515FF" w:rsidRDefault="00B14AD4">
      <w:pPr>
        <w:pStyle w:val="Footnotesection"/>
      </w:pPr>
      <w:r>
        <w:tab/>
        <w:t>[Regulation 4 amended: Gazette 10 Aug 1979 p. 2433; 28 Aug 1981 p. 3574; 21 May 1982 p. 1579; 10 Dec 1982 p. 4799; 19 Jul 1991 p. 3644; 11 Aug 1992 p. 3975; 6 Aug 1993 p. 4276; 4 Jun 2010 p. 2424</w:t>
      </w:r>
      <w:r>
        <w:noBreakHyphen/>
        <w:t>5; 16 Sep 2016 p. 3944.]</w:t>
      </w:r>
    </w:p>
    <w:p w:rsidR="009515FF" w:rsidRDefault="00B14AD4">
      <w:pPr>
        <w:pStyle w:val="Heading5"/>
      </w:pPr>
      <w:bookmarkStart w:id="9" w:name="_Toc75528167"/>
      <w:r>
        <w:rPr>
          <w:rStyle w:val="CharSectno"/>
        </w:rPr>
        <w:lastRenderedPageBreak/>
        <w:t>5A</w:t>
      </w:r>
      <w:r>
        <w:t>.</w:t>
      </w:r>
      <w:r>
        <w:tab/>
        <w:t>Ports declared (Act s. 10)</w:t>
      </w:r>
      <w:bookmarkEnd w:id="9"/>
    </w:p>
    <w:p w:rsidR="009515FF" w:rsidRDefault="00B14AD4">
      <w:pPr>
        <w:pStyle w:val="Subsection"/>
      </w:pPr>
      <w:r>
        <w:tab/>
      </w:r>
      <w:r>
        <w:tab/>
        <w:t>An area of water, or land and water specified in Schedule 1A Division 1 is declared to be a port for the purposes of the Act.</w:t>
      </w:r>
    </w:p>
    <w:p w:rsidR="009515FF" w:rsidRDefault="00B14AD4">
      <w:pPr>
        <w:pStyle w:val="Footnotesection"/>
      </w:pPr>
      <w:r>
        <w:tab/>
        <w:t>[Regulation 5A inserted: Gazette 4 Jun 2010 p. 2425.]</w:t>
      </w:r>
    </w:p>
    <w:p w:rsidR="009515FF" w:rsidRDefault="00B14AD4">
      <w:pPr>
        <w:pStyle w:val="Heading2"/>
      </w:pPr>
      <w:bookmarkStart w:id="10" w:name="_Toc75423258"/>
      <w:bookmarkStart w:id="11" w:name="_Toc75426746"/>
      <w:bookmarkStart w:id="12" w:name="_Toc75528168"/>
      <w:r>
        <w:rPr>
          <w:rStyle w:val="CharPartNo"/>
        </w:rPr>
        <w:lastRenderedPageBreak/>
        <w:t>Part 2</w:t>
      </w:r>
      <w:r>
        <w:rPr>
          <w:b w:val="0"/>
        </w:rPr>
        <w:t> </w:t>
      </w:r>
      <w:r>
        <w:t>—</w:t>
      </w:r>
      <w:r>
        <w:rPr>
          <w:b w:val="0"/>
        </w:rPr>
        <w:t> </w:t>
      </w:r>
      <w:r>
        <w:rPr>
          <w:rStyle w:val="CharPartText"/>
        </w:rPr>
        <w:t>Appointment of harbour masters and deputy harbour masters</w:t>
      </w:r>
      <w:bookmarkEnd w:id="10"/>
      <w:bookmarkEnd w:id="11"/>
      <w:bookmarkEnd w:id="12"/>
    </w:p>
    <w:p w:rsidR="009515FF" w:rsidRDefault="00B14AD4">
      <w:pPr>
        <w:pStyle w:val="Footnoteheading"/>
      </w:pPr>
      <w:r>
        <w:tab/>
        <w:t>[Heading inserted: Gazette 4 Jun 2010 p. 2426.]</w:t>
      </w:r>
    </w:p>
    <w:p w:rsidR="009515FF" w:rsidRDefault="00B14AD4">
      <w:pPr>
        <w:pStyle w:val="Heading5"/>
      </w:pPr>
      <w:bookmarkStart w:id="13" w:name="_Toc75528169"/>
      <w:r>
        <w:rPr>
          <w:rStyle w:val="CharSectno"/>
        </w:rPr>
        <w:t>5B</w:t>
      </w:r>
      <w:r>
        <w:t>.</w:t>
      </w:r>
      <w:r>
        <w:tab/>
        <w:t>Harbour masters and deputy harbour masters, appointment of</w:t>
      </w:r>
      <w:bookmarkEnd w:id="13"/>
    </w:p>
    <w:p w:rsidR="009515FF" w:rsidRDefault="00B14AD4">
      <w:pPr>
        <w:pStyle w:val="Subsection"/>
      </w:pPr>
      <w:r>
        <w:tab/>
        <w:t>(1)</w:t>
      </w:r>
      <w:r>
        <w:tab/>
        <w:t>The Minister may appoint a person to be a harbour master or deputy harbour master of a port only if the person meets the requirement under subregulation (2).</w:t>
      </w:r>
    </w:p>
    <w:p w:rsidR="009515FF" w:rsidRDefault="00B14AD4">
      <w:pPr>
        <w:pStyle w:val="Subsection"/>
      </w:pPr>
      <w:r>
        <w:tab/>
        <w:t>(2)</w:t>
      </w:r>
      <w:r>
        <w:tab/>
        <w:t xml:space="preserve">A person meets the requirement under this subregulation if the person — </w:t>
      </w:r>
    </w:p>
    <w:p w:rsidR="009515FF" w:rsidRDefault="00B14AD4">
      <w:pPr>
        <w:pStyle w:val="Indenta"/>
      </w:pPr>
      <w:r>
        <w:tab/>
        <w:t>(a)</w:t>
      </w:r>
      <w:r>
        <w:tab/>
        <w:t xml:space="preserve">holds, or has held, a certificate of competency, or a certificate of recognition, of the grade of Master issued under Part 3 of the Marine Orders made under the </w:t>
      </w:r>
      <w:r>
        <w:rPr>
          <w:i/>
          <w:iCs/>
        </w:rPr>
        <w:t xml:space="preserve">Navigation Act 1912 </w:t>
      </w:r>
      <w:r>
        <w:t>(Commonwealth); or</w:t>
      </w:r>
    </w:p>
    <w:p w:rsidR="009515FF" w:rsidRDefault="00B14AD4">
      <w:pPr>
        <w:pStyle w:val="Indenta"/>
      </w:pPr>
      <w:r>
        <w:tab/>
        <w:t>(b)</w:t>
      </w:r>
      <w:r>
        <w:tab/>
        <w:t>otherwise possesses the skills and experience that demonstrate, to the satisfaction of the Minister, the person’s competency to perform the functions of a harbour master, or deputy harbour master, of the port, as the case requires.</w:t>
      </w:r>
    </w:p>
    <w:p w:rsidR="009515FF" w:rsidRDefault="00B14AD4">
      <w:pPr>
        <w:pStyle w:val="Footnotesection"/>
      </w:pPr>
      <w:r>
        <w:tab/>
        <w:t>[Regulation 5B inserted: Gazette 4 Jun 2010 p. 2426; amended: Gazette 29 Oct 2010 p. 5332.]</w:t>
      </w:r>
    </w:p>
    <w:p w:rsidR="009515FF" w:rsidRDefault="00B14AD4">
      <w:pPr>
        <w:pStyle w:val="Heading5"/>
      </w:pPr>
      <w:bookmarkStart w:id="14" w:name="_Toc75528170"/>
      <w:r>
        <w:rPr>
          <w:rStyle w:val="CharSectno"/>
        </w:rPr>
        <w:t>5C</w:t>
      </w:r>
      <w:r>
        <w:t>.</w:t>
      </w:r>
      <w:r>
        <w:tab/>
        <w:t>Conditions of appointment</w:t>
      </w:r>
      <w:bookmarkEnd w:id="14"/>
    </w:p>
    <w:p w:rsidR="009515FF" w:rsidRDefault="00B14AD4">
      <w:pPr>
        <w:pStyle w:val="Subsection"/>
      </w:pPr>
      <w:r>
        <w:tab/>
        <w:t>(1)</w:t>
      </w:r>
      <w:r>
        <w:tab/>
        <w:t>The Minister may appoint a person to be a harbour master or deputy harbour master subject to any conditions that the Minister considers necessary to impose, as specified in the instrument of appointment.</w:t>
      </w:r>
    </w:p>
    <w:p w:rsidR="009515FF" w:rsidRDefault="00B14AD4">
      <w:pPr>
        <w:pStyle w:val="Subsection"/>
      </w:pPr>
      <w:r>
        <w:tab/>
        <w:t>(2)</w:t>
      </w:r>
      <w:r>
        <w:tab/>
        <w:t>The Minister may, at any time by written notice given to a harbour master or deputy harbour master, impose a new condition on his or her appointment or amend or revoke any condition imposed.</w:t>
      </w:r>
    </w:p>
    <w:p w:rsidR="009515FF" w:rsidRDefault="00B14AD4">
      <w:pPr>
        <w:pStyle w:val="Footnotesection"/>
      </w:pPr>
      <w:r>
        <w:tab/>
        <w:t>[Regulation 5C inserted: Gazette 4 Jun 2010 p. 2426</w:t>
      </w:r>
      <w:r>
        <w:noBreakHyphen/>
        <w:t>7.]</w:t>
      </w:r>
    </w:p>
    <w:p w:rsidR="009515FF" w:rsidRDefault="00B14AD4">
      <w:pPr>
        <w:pStyle w:val="Heading5"/>
      </w:pPr>
      <w:bookmarkStart w:id="15" w:name="_Toc75528171"/>
      <w:r>
        <w:rPr>
          <w:rStyle w:val="CharSectno"/>
        </w:rPr>
        <w:lastRenderedPageBreak/>
        <w:t>5D</w:t>
      </w:r>
      <w:r>
        <w:t>.</w:t>
      </w:r>
      <w:r>
        <w:tab/>
        <w:t>Duration of appointment</w:t>
      </w:r>
      <w:bookmarkEnd w:id="15"/>
    </w:p>
    <w:p w:rsidR="009515FF" w:rsidRDefault="00B14AD4">
      <w:pPr>
        <w:pStyle w:val="Subsection"/>
      </w:pPr>
      <w:r>
        <w:tab/>
      </w:r>
      <w:r>
        <w:tab/>
        <w:t xml:space="preserve">An appointment of a harbour master or deputy harbour master has effect until — </w:t>
      </w:r>
    </w:p>
    <w:p w:rsidR="009515FF" w:rsidRDefault="00B14AD4">
      <w:pPr>
        <w:pStyle w:val="Indenta"/>
      </w:pPr>
      <w:r>
        <w:tab/>
        <w:t>(a)</w:t>
      </w:r>
      <w:r>
        <w:tab/>
        <w:t>the appointee resigns by written notice given to the Minister; or</w:t>
      </w:r>
    </w:p>
    <w:p w:rsidR="009515FF" w:rsidRDefault="00B14AD4">
      <w:pPr>
        <w:pStyle w:val="Indenta"/>
      </w:pPr>
      <w:r>
        <w:tab/>
        <w:t>(b)</w:t>
      </w:r>
      <w:r>
        <w:tab/>
        <w:t>the appointment is revoked by the Minister; or</w:t>
      </w:r>
    </w:p>
    <w:p w:rsidR="009515FF" w:rsidRDefault="00B14AD4">
      <w:pPr>
        <w:pStyle w:val="Indenta"/>
      </w:pPr>
      <w:r>
        <w:tab/>
        <w:t>(c)</w:t>
      </w:r>
      <w:r>
        <w:tab/>
        <w:t>the appointment is otherwise terminated in accordance with its terms and conditions.</w:t>
      </w:r>
    </w:p>
    <w:p w:rsidR="009515FF" w:rsidRDefault="00B14AD4">
      <w:pPr>
        <w:pStyle w:val="Footnotesection"/>
      </w:pPr>
      <w:r>
        <w:tab/>
        <w:t>[Regulation 5D inserted: Gazette 4 Jun 2010 p. 2427.]</w:t>
      </w:r>
    </w:p>
    <w:p w:rsidR="009515FF" w:rsidRDefault="00B14AD4">
      <w:pPr>
        <w:pStyle w:val="PermNoteHeading"/>
      </w:pPr>
      <w:r>
        <w:tab/>
        <w:t>Note for this regulation:</w:t>
      </w:r>
    </w:p>
    <w:p w:rsidR="009515FF" w:rsidRDefault="00B14AD4">
      <w:pPr>
        <w:pStyle w:val="PermNoteText"/>
      </w:pPr>
      <w:r>
        <w:tab/>
      </w:r>
      <w:r>
        <w:tab/>
        <w:t xml:space="preserve">Part 3 has been reserved for regulations relating to marine safety plans.  Marine safety plans are referred to in sections 7B and 12(1)(bc), as to be inserted in the Act on the proclamation of the </w:t>
      </w:r>
      <w:r>
        <w:rPr>
          <w:i/>
          <w:iCs/>
        </w:rPr>
        <w:t>Shipping and Pilotage Amendment Act 2006</w:t>
      </w:r>
      <w:r>
        <w:t xml:space="preserve"> sections 8 and 13(1)(b) respectively. </w:t>
      </w:r>
    </w:p>
    <w:p w:rsidR="009515FF" w:rsidRDefault="00B14AD4">
      <w:pPr>
        <w:pStyle w:val="Heading2"/>
      </w:pPr>
      <w:bookmarkStart w:id="16" w:name="_Toc75423262"/>
      <w:bookmarkStart w:id="17" w:name="_Toc75426750"/>
      <w:bookmarkStart w:id="18" w:name="_Toc75528172"/>
      <w:r>
        <w:rPr>
          <w:rStyle w:val="CharPartNo"/>
        </w:rPr>
        <w:lastRenderedPageBreak/>
        <w:t>Part 4</w:t>
      </w:r>
      <w:r>
        <w:rPr>
          <w:b w:val="0"/>
        </w:rPr>
        <w:t> </w:t>
      </w:r>
      <w:r>
        <w:t>—</w:t>
      </w:r>
      <w:r>
        <w:rPr>
          <w:b w:val="0"/>
        </w:rPr>
        <w:t> </w:t>
      </w:r>
      <w:r>
        <w:rPr>
          <w:rStyle w:val="CharPartText"/>
        </w:rPr>
        <w:t>Signals</w:t>
      </w:r>
      <w:bookmarkEnd w:id="16"/>
      <w:bookmarkEnd w:id="17"/>
      <w:bookmarkEnd w:id="18"/>
    </w:p>
    <w:p w:rsidR="009515FF" w:rsidRDefault="00B14AD4">
      <w:pPr>
        <w:pStyle w:val="Footnoteheading"/>
      </w:pPr>
      <w:r>
        <w:tab/>
        <w:t>[Heading inserted: Gazette 4 Jun 2010 p. 2427.]</w:t>
      </w:r>
    </w:p>
    <w:p w:rsidR="00BC794C" w:rsidRDefault="00BC794C" w:rsidP="00BC794C">
      <w:pPr>
        <w:pStyle w:val="Ednotesection"/>
        <w:spacing w:before="180"/>
      </w:pPr>
      <w:r>
        <w:t>[</w:t>
      </w:r>
      <w:r>
        <w:rPr>
          <w:b/>
        </w:rPr>
        <w:t>5.</w:t>
      </w:r>
      <w:r>
        <w:tab/>
        <w:t>Deleted: SL 2021/51 r. 10.]</w:t>
      </w:r>
    </w:p>
    <w:p w:rsidR="009515FF" w:rsidRDefault="00B14AD4">
      <w:pPr>
        <w:pStyle w:val="Heading5"/>
        <w:spacing w:before="180"/>
        <w:rPr>
          <w:snapToGrid w:val="0"/>
        </w:rPr>
      </w:pPr>
      <w:bookmarkStart w:id="19" w:name="_Toc75528173"/>
      <w:r>
        <w:rPr>
          <w:rStyle w:val="CharSectno"/>
        </w:rPr>
        <w:t>6</w:t>
      </w:r>
      <w:r>
        <w:rPr>
          <w:snapToGrid w:val="0"/>
        </w:rPr>
        <w:t>.</w:t>
      </w:r>
      <w:r>
        <w:rPr>
          <w:snapToGrid w:val="0"/>
        </w:rPr>
        <w:tab/>
        <w:t>Vessels, signals to be displayed on (Sch. 2)</w:t>
      </w:r>
      <w:bookmarkEnd w:id="19"/>
    </w:p>
    <w:p w:rsidR="009515FF" w:rsidRDefault="00B14AD4">
      <w:pPr>
        <w:pStyle w:val="Subsection"/>
        <w:rPr>
          <w:snapToGrid w:val="0"/>
        </w:rPr>
      </w:pPr>
      <w:r>
        <w:rPr>
          <w:snapToGrid w:val="0"/>
        </w:rPr>
        <w:tab/>
      </w:r>
      <w:r>
        <w:rPr>
          <w:snapToGrid w:val="0"/>
        </w:rPr>
        <w:tab/>
        <w:t xml:space="preserve">The signal to be displayed upon any vessel for a purpose referred to in </w:t>
      </w:r>
      <w:r>
        <w:t xml:space="preserve">Schedule 2 Table 1 column 1 </w:t>
      </w:r>
      <w:r>
        <w:rPr>
          <w:snapToGrid w:val="0"/>
        </w:rPr>
        <w:t>shall be the signal set out in the second column of that Table opposite to that purpose.</w:t>
      </w:r>
    </w:p>
    <w:p w:rsidR="009515FF" w:rsidRDefault="00B14AD4">
      <w:pPr>
        <w:pStyle w:val="Footnotesection"/>
      </w:pPr>
      <w:r>
        <w:tab/>
        <w:t>[Regulation 6 amended: Gazette 4 Jun 2010 p. 2462.]</w:t>
      </w:r>
    </w:p>
    <w:p w:rsidR="009515FF" w:rsidRDefault="00B14AD4">
      <w:pPr>
        <w:pStyle w:val="Heading5"/>
        <w:keepNext w:val="0"/>
        <w:keepLines w:val="0"/>
        <w:spacing w:before="180"/>
        <w:rPr>
          <w:snapToGrid w:val="0"/>
        </w:rPr>
      </w:pPr>
      <w:bookmarkStart w:id="20" w:name="_Toc75528174"/>
      <w:r>
        <w:rPr>
          <w:rStyle w:val="CharSectno"/>
        </w:rPr>
        <w:t>7</w:t>
      </w:r>
      <w:r>
        <w:rPr>
          <w:snapToGrid w:val="0"/>
        </w:rPr>
        <w:t>.</w:t>
      </w:r>
      <w:r>
        <w:rPr>
          <w:snapToGrid w:val="0"/>
        </w:rPr>
        <w:tab/>
        <w:t>Dredgers, signals to be displayed on (Sch. 2)</w:t>
      </w:r>
      <w:bookmarkEnd w:id="20"/>
    </w:p>
    <w:p w:rsidR="009515FF" w:rsidRDefault="00B14AD4">
      <w:pPr>
        <w:pStyle w:val="Subsection"/>
        <w:spacing w:before="120"/>
        <w:rPr>
          <w:snapToGrid w:val="0"/>
        </w:rPr>
      </w:pPr>
      <w:r>
        <w:rPr>
          <w:snapToGrid w:val="0"/>
        </w:rPr>
        <w:tab/>
        <w:t>(1)</w:t>
      </w:r>
      <w:r>
        <w:rPr>
          <w:snapToGrid w:val="0"/>
        </w:rPr>
        <w:tab/>
        <w:t xml:space="preserve">The signal to be displayed by the master of a dredger within a port for a purpose set out in </w:t>
      </w:r>
      <w:r>
        <w:t xml:space="preserve">Schedule 2 Table 2 column 1 </w:t>
      </w:r>
      <w:r>
        <w:rPr>
          <w:snapToGrid w:val="0"/>
        </w:rPr>
        <w:t>shall be the signal set out in the second column of that Table opposite to that purpose.</w:t>
      </w:r>
    </w:p>
    <w:p w:rsidR="009515FF" w:rsidRDefault="00B14AD4">
      <w:pPr>
        <w:pStyle w:val="Subsection"/>
        <w:spacing w:before="120"/>
        <w:rPr>
          <w:snapToGrid w:val="0"/>
        </w:rPr>
      </w:pPr>
      <w:r>
        <w:rPr>
          <w:snapToGrid w:val="0"/>
        </w:rPr>
        <w:tab/>
        <w:t>(2)</w:t>
      </w:r>
      <w:r>
        <w:rPr>
          <w:snapToGrid w:val="0"/>
        </w:rPr>
        <w:tab/>
        <w:t>The master of a dredger who fails to give the appropriate signal set out in that Table in any case where the dredger — </w:t>
      </w:r>
    </w:p>
    <w:p w:rsidR="009515FF" w:rsidRDefault="00B14AD4">
      <w:pPr>
        <w:pStyle w:val="Indenta"/>
        <w:rPr>
          <w:snapToGrid w:val="0"/>
        </w:rPr>
      </w:pPr>
      <w:r>
        <w:rPr>
          <w:snapToGrid w:val="0"/>
        </w:rPr>
        <w:tab/>
        <w:t>(a)</w:t>
      </w:r>
      <w:r>
        <w:rPr>
          <w:snapToGrid w:val="0"/>
        </w:rPr>
        <w:tab/>
        <w:t>is blocking a channel; or</w:t>
      </w:r>
    </w:p>
    <w:p w:rsidR="009515FF" w:rsidRDefault="00B14AD4">
      <w:pPr>
        <w:pStyle w:val="Indenta"/>
        <w:rPr>
          <w:snapToGrid w:val="0"/>
        </w:rPr>
      </w:pPr>
      <w:r>
        <w:rPr>
          <w:snapToGrid w:val="0"/>
        </w:rPr>
        <w:tab/>
        <w:t>(b)</w:t>
      </w:r>
      <w:r>
        <w:rPr>
          <w:snapToGrid w:val="0"/>
        </w:rPr>
        <w:tab/>
        <w:t>is under way but unable to manoeuvre so as to give way to or avoid any other vessel; or</w:t>
      </w:r>
    </w:p>
    <w:p w:rsidR="009515FF" w:rsidRDefault="00B14AD4">
      <w:pPr>
        <w:pStyle w:val="Indenta"/>
        <w:rPr>
          <w:snapToGrid w:val="0"/>
        </w:rPr>
      </w:pPr>
      <w:r>
        <w:rPr>
          <w:snapToGrid w:val="0"/>
        </w:rPr>
        <w:tab/>
        <w:t>(c)</w:t>
      </w:r>
      <w:r>
        <w:rPr>
          <w:snapToGrid w:val="0"/>
        </w:rPr>
        <w:tab/>
        <w:t>is otherwise unable to move, or is out of control; or</w:t>
      </w:r>
    </w:p>
    <w:p w:rsidR="009515FF" w:rsidRDefault="00B14AD4">
      <w:pPr>
        <w:pStyle w:val="Indenta"/>
        <w:rPr>
          <w:snapToGrid w:val="0"/>
        </w:rPr>
      </w:pPr>
      <w:r>
        <w:rPr>
          <w:snapToGrid w:val="0"/>
        </w:rPr>
        <w:tab/>
        <w:t>(d)</w:t>
      </w:r>
      <w:r>
        <w:rPr>
          <w:snapToGrid w:val="0"/>
        </w:rPr>
        <w:tab/>
        <w:t>is so placed or is so being worked as to constitute a danger to the safe navigation of any other vessel unless the appropriate signal is given,</w:t>
      </w:r>
    </w:p>
    <w:p w:rsidR="009515FF" w:rsidRDefault="00B14AD4">
      <w:pPr>
        <w:pStyle w:val="Subsection"/>
        <w:spacing w:before="120"/>
        <w:rPr>
          <w:snapToGrid w:val="0"/>
        </w:rPr>
      </w:pPr>
      <w:r>
        <w:rPr>
          <w:snapToGrid w:val="0"/>
        </w:rPr>
        <w:tab/>
      </w:r>
      <w:r>
        <w:rPr>
          <w:snapToGrid w:val="0"/>
        </w:rPr>
        <w:tab/>
        <w:t>commits an offence.</w:t>
      </w:r>
    </w:p>
    <w:p w:rsidR="009515FF" w:rsidRDefault="00B14AD4">
      <w:pPr>
        <w:pStyle w:val="Footnotesection"/>
        <w:spacing w:before="80"/>
        <w:ind w:left="890" w:hanging="890"/>
      </w:pPr>
      <w:r>
        <w:tab/>
        <w:t>[Regulation 7 amended: Gazette 4 Jun 2010 p. 2462.]</w:t>
      </w:r>
    </w:p>
    <w:p w:rsidR="009515FF" w:rsidRDefault="00B14AD4" w:rsidP="002348AF">
      <w:pPr>
        <w:pStyle w:val="Heading5"/>
        <w:spacing w:before="180"/>
        <w:rPr>
          <w:snapToGrid w:val="0"/>
        </w:rPr>
      </w:pPr>
      <w:bookmarkStart w:id="21" w:name="_Toc75528175"/>
      <w:r>
        <w:rPr>
          <w:rStyle w:val="CharSectno"/>
        </w:rPr>
        <w:lastRenderedPageBreak/>
        <w:t>8</w:t>
      </w:r>
      <w:r>
        <w:rPr>
          <w:snapToGrid w:val="0"/>
        </w:rPr>
        <w:t>.</w:t>
      </w:r>
      <w:r>
        <w:rPr>
          <w:snapToGrid w:val="0"/>
        </w:rPr>
        <w:tab/>
        <w:t>Improper use of signals</w:t>
      </w:r>
      <w:bookmarkEnd w:id="21"/>
    </w:p>
    <w:p w:rsidR="009515FF" w:rsidRDefault="00B14AD4" w:rsidP="002348AF">
      <w:pPr>
        <w:pStyle w:val="Subsection"/>
        <w:keepNext/>
        <w:rPr>
          <w:snapToGrid w:val="0"/>
        </w:rPr>
      </w:pPr>
      <w:r>
        <w:rPr>
          <w:snapToGrid w:val="0"/>
        </w:rPr>
        <w:tab/>
      </w:r>
      <w:r>
        <w:rPr>
          <w:snapToGrid w:val="0"/>
        </w:rPr>
        <w:tab/>
        <w:t>A master of a vessel shall not use or display or cause or permit any person on the vessel to use or display — </w:t>
      </w:r>
    </w:p>
    <w:p w:rsidR="009515FF" w:rsidRDefault="00B14AD4">
      <w:pPr>
        <w:pStyle w:val="Indenta"/>
        <w:rPr>
          <w:snapToGrid w:val="0"/>
        </w:rPr>
      </w:pPr>
      <w:r>
        <w:rPr>
          <w:snapToGrid w:val="0"/>
        </w:rPr>
        <w:tab/>
        <w:t>(a)</w:t>
      </w:r>
      <w:r>
        <w:rPr>
          <w:snapToGrid w:val="0"/>
        </w:rPr>
        <w:tab/>
        <w:t xml:space="preserve">a signal set out in </w:t>
      </w:r>
      <w:r>
        <w:t xml:space="preserve">Schedule 2 Table 1 column 2 or Table 2 column 2 </w:t>
      </w:r>
      <w:r>
        <w:rPr>
          <w:snapToGrid w:val="0"/>
        </w:rPr>
        <w:t>except for the purpose of conveying the message set out in the first column of Table 1 or Table 2, as the case may be, opposite to that signal; or</w:t>
      </w:r>
    </w:p>
    <w:p w:rsidR="009515FF" w:rsidRDefault="00B14AD4">
      <w:pPr>
        <w:pStyle w:val="Indenta"/>
        <w:rPr>
          <w:snapToGrid w:val="0"/>
        </w:rPr>
      </w:pPr>
      <w:r>
        <w:rPr>
          <w:snapToGrid w:val="0"/>
        </w:rPr>
        <w:tab/>
        <w:t>(b)</w:t>
      </w:r>
      <w:r>
        <w:rPr>
          <w:snapToGrid w:val="0"/>
        </w:rPr>
        <w:tab/>
        <w:t>for the purpose of conveying a message set out in</w:t>
      </w:r>
      <w:r>
        <w:t xml:space="preserve"> Schedule 2 Table 1 column 1 or Table 2 column 1</w:t>
      </w:r>
      <w:r>
        <w:rPr>
          <w:snapToGrid w:val="0"/>
        </w:rPr>
        <w:t>, a signal other than the signal set out in the second column of Table 1 or Table 2, as the case may be, opposite to that message.</w:t>
      </w:r>
    </w:p>
    <w:p w:rsidR="009515FF" w:rsidRDefault="00B14AD4">
      <w:pPr>
        <w:pStyle w:val="Footnotesection"/>
      </w:pPr>
      <w:r>
        <w:tab/>
        <w:t>[Regulation 8 amended: Gazette 4 Jun 2010 p. 2462.]</w:t>
      </w:r>
    </w:p>
    <w:p w:rsidR="009515FF" w:rsidRDefault="00B14AD4">
      <w:pPr>
        <w:pStyle w:val="Heading2"/>
      </w:pPr>
      <w:bookmarkStart w:id="22" w:name="_Toc75423267"/>
      <w:bookmarkStart w:id="23" w:name="_Toc75426754"/>
      <w:bookmarkStart w:id="24" w:name="_Toc75528176"/>
      <w:r>
        <w:rPr>
          <w:rStyle w:val="CharPartNo"/>
        </w:rPr>
        <w:lastRenderedPageBreak/>
        <w:t>Part 5</w:t>
      </w:r>
      <w:r>
        <w:rPr>
          <w:b w:val="0"/>
        </w:rPr>
        <w:t> </w:t>
      </w:r>
      <w:r>
        <w:t>—</w:t>
      </w:r>
      <w:r>
        <w:rPr>
          <w:b w:val="0"/>
        </w:rPr>
        <w:t> </w:t>
      </w:r>
      <w:r>
        <w:rPr>
          <w:rStyle w:val="CharPartText"/>
        </w:rPr>
        <w:t>Pilotage</w:t>
      </w:r>
      <w:bookmarkEnd w:id="22"/>
      <w:bookmarkEnd w:id="23"/>
      <w:bookmarkEnd w:id="24"/>
    </w:p>
    <w:p w:rsidR="009515FF" w:rsidRDefault="00B14AD4">
      <w:pPr>
        <w:pStyle w:val="Footnoteheading"/>
      </w:pPr>
      <w:r>
        <w:tab/>
        <w:t>[Heading inserted: Gazette 4 Jun 2010 p. 2427.]</w:t>
      </w:r>
    </w:p>
    <w:p w:rsidR="009515FF" w:rsidRDefault="00B14AD4">
      <w:pPr>
        <w:pStyle w:val="Heading3"/>
      </w:pPr>
      <w:bookmarkStart w:id="25" w:name="_Toc75423268"/>
      <w:bookmarkStart w:id="26" w:name="_Toc75426755"/>
      <w:bookmarkStart w:id="27" w:name="_Toc75528177"/>
      <w:r>
        <w:rPr>
          <w:rStyle w:val="CharDivNo"/>
        </w:rPr>
        <w:t>Division 1</w:t>
      </w:r>
      <w:r>
        <w:t> — </w:t>
      </w:r>
      <w:r>
        <w:rPr>
          <w:rStyle w:val="CharDivText"/>
        </w:rPr>
        <w:t>Licensing of pilots</w:t>
      </w:r>
      <w:bookmarkEnd w:id="25"/>
      <w:bookmarkEnd w:id="26"/>
      <w:bookmarkEnd w:id="27"/>
    </w:p>
    <w:p w:rsidR="009515FF" w:rsidRDefault="00B14AD4">
      <w:pPr>
        <w:pStyle w:val="Footnoteheading"/>
      </w:pPr>
      <w:r>
        <w:tab/>
        <w:t>[Heading inserted: Gazette 4 Jun 2010 p. 2428.]</w:t>
      </w:r>
    </w:p>
    <w:p w:rsidR="009515FF" w:rsidRDefault="00B14AD4">
      <w:pPr>
        <w:pStyle w:val="Heading5"/>
      </w:pPr>
      <w:bookmarkStart w:id="28" w:name="_Toc75528178"/>
      <w:r>
        <w:rPr>
          <w:rStyle w:val="CharSectno"/>
        </w:rPr>
        <w:t>9A</w:t>
      </w:r>
      <w:r>
        <w:t>.</w:t>
      </w:r>
      <w:r>
        <w:tab/>
        <w:t>Licence required to act as pilot</w:t>
      </w:r>
      <w:bookmarkEnd w:id="28"/>
    </w:p>
    <w:p w:rsidR="009515FF" w:rsidRDefault="00B14AD4">
      <w:pPr>
        <w:pStyle w:val="Subsection"/>
      </w:pPr>
      <w:r>
        <w:tab/>
        <w:t>(1)</w:t>
      </w:r>
      <w:r>
        <w:tab/>
        <w:t>Except as provided in subregulation (2), a person must not act as a pilot for a vessel in a pilotage area unless the person is a licensed pilot.</w:t>
      </w:r>
    </w:p>
    <w:p w:rsidR="009515FF" w:rsidRDefault="00B14AD4">
      <w:pPr>
        <w:pStyle w:val="Penstart"/>
      </w:pPr>
      <w:r>
        <w:tab/>
        <w:t>Penalty: a fine of $10 000.</w:t>
      </w:r>
    </w:p>
    <w:p w:rsidR="009515FF" w:rsidRDefault="00B14AD4">
      <w:pPr>
        <w:pStyle w:val="Subsection"/>
      </w:pPr>
      <w:r>
        <w:tab/>
        <w:t>(2)</w:t>
      </w:r>
      <w:r>
        <w:tab/>
        <w:t>A person may act as a pilot for a vessel in a pilotage area if the person —</w:t>
      </w:r>
    </w:p>
    <w:p w:rsidR="009515FF" w:rsidRDefault="00B14AD4">
      <w:pPr>
        <w:pStyle w:val="Indenta"/>
      </w:pPr>
      <w:r>
        <w:tab/>
        <w:t>(a)</w:t>
      </w:r>
      <w:r>
        <w:tab/>
        <w:t>is undergoing training to become a licensed pilot; and</w:t>
      </w:r>
    </w:p>
    <w:p w:rsidR="009515FF" w:rsidRDefault="00B14AD4">
      <w:pPr>
        <w:pStyle w:val="Indenta"/>
      </w:pPr>
      <w:r>
        <w:tab/>
        <w:t>(b)</w:t>
      </w:r>
      <w:r>
        <w:tab/>
        <w:t>is acting under the direct supervision of a licensed pilot.</w:t>
      </w:r>
    </w:p>
    <w:p w:rsidR="009515FF" w:rsidRDefault="00B14AD4">
      <w:pPr>
        <w:pStyle w:val="Footnotesection"/>
      </w:pPr>
      <w:r>
        <w:tab/>
        <w:t>[Regulation 9A inserted: Gazette 4 Jun 2010 p. 2428.]</w:t>
      </w:r>
    </w:p>
    <w:p w:rsidR="009515FF" w:rsidRDefault="00B14AD4">
      <w:pPr>
        <w:pStyle w:val="Heading5"/>
      </w:pPr>
      <w:bookmarkStart w:id="29" w:name="_Toc75528179"/>
      <w:r>
        <w:rPr>
          <w:rStyle w:val="CharSectno"/>
        </w:rPr>
        <w:t>9B</w:t>
      </w:r>
      <w:r>
        <w:t>.</w:t>
      </w:r>
      <w:r>
        <w:tab/>
        <w:t>Application for licence</w:t>
      </w:r>
      <w:bookmarkEnd w:id="29"/>
    </w:p>
    <w:p w:rsidR="009515FF" w:rsidRDefault="00B14AD4">
      <w:pPr>
        <w:pStyle w:val="Subsection"/>
      </w:pPr>
      <w:r>
        <w:tab/>
        <w:t>(1)</w:t>
      </w:r>
      <w:r>
        <w:tab/>
        <w:t>A person may apply to the CEO for a licence to act as a pilot for a pilotage area.</w:t>
      </w:r>
    </w:p>
    <w:p w:rsidR="009515FF" w:rsidRDefault="00B14AD4">
      <w:pPr>
        <w:pStyle w:val="Subsection"/>
      </w:pPr>
      <w:r>
        <w:tab/>
        <w:t>(2)</w:t>
      </w:r>
      <w:r>
        <w:tab/>
        <w:t xml:space="preserve">The application must — </w:t>
      </w:r>
    </w:p>
    <w:p w:rsidR="009515FF" w:rsidRDefault="00B14AD4">
      <w:pPr>
        <w:pStyle w:val="Indenta"/>
      </w:pPr>
      <w:r>
        <w:tab/>
        <w:t>(a)</w:t>
      </w:r>
      <w:r>
        <w:tab/>
        <w:t>be in the approved form; and</w:t>
      </w:r>
    </w:p>
    <w:p w:rsidR="009515FF" w:rsidRDefault="00B14AD4">
      <w:pPr>
        <w:pStyle w:val="Indenta"/>
        <w:rPr>
          <w:bCs/>
          <w:iCs/>
        </w:rPr>
      </w:pPr>
      <w:r>
        <w:tab/>
        <w:t>(b)</w:t>
      </w:r>
      <w:r>
        <w:tab/>
        <w:t>be accompanied by a fee of</w:t>
      </w:r>
      <w:r w:rsidR="00BC1EA4">
        <w:t xml:space="preserve"> $564.70</w:t>
      </w:r>
      <w:r>
        <w:rPr>
          <w:bCs/>
          <w:iCs/>
        </w:rPr>
        <w:t>.</w:t>
      </w:r>
    </w:p>
    <w:p w:rsidR="009515FF" w:rsidRDefault="00B14AD4">
      <w:pPr>
        <w:pStyle w:val="Footnotesection"/>
      </w:pPr>
      <w:r>
        <w:tab/>
        <w:t>[Regulation 9B inserted: Gazette 4 Jun 2010 p. 2428; amended: Gazette 21 Jun 2011 p. 2242; 15 Jun 2012 p. 2527; 28 Jun 2013 p. 2769; 30 May 2014 p. 1688; 12 Jun 2015 p. 2029; 27 May 2016 p. 1553; 26 May 2017 p. 2645; 25 May 2018 p. 1645; 17 May 2019 p. 1441; SL 2020/60 r. 10</w:t>
      </w:r>
      <w:r w:rsidR="00BC1EA4">
        <w:t>;</w:t>
      </w:r>
      <w:r w:rsidR="00BC1EA4" w:rsidRPr="00BC1EA4">
        <w:t xml:space="preserve"> </w:t>
      </w:r>
      <w:r w:rsidR="00BC1EA4">
        <w:t>SL 2021/92 r. 23</w:t>
      </w:r>
      <w:r>
        <w:t>.]</w:t>
      </w:r>
    </w:p>
    <w:p w:rsidR="009515FF" w:rsidRDefault="00B14AD4">
      <w:pPr>
        <w:pStyle w:val="Heading5"/>
      </w:pPr>
      <w:bookmarkStart w:id="30" w:name="_Toc75528180"/>
      <w:r>
        <w:rPr>
          <w:rStyle w:val="CharSectno"/>
        </w:rPr>
        <w:lastRenderedPageBreak/>
        <w:t>9C</w:t>
      </w:r>
      <w:r>
        <w:t>.</w:t>
      </w:r>
      <w:r>
        <w:tab/>
        <w:t>Issue of licence</w:t>
      </w:r>
      <w:bookmarkEnd w:id="30"/>
    </w:p>
    <w:p w:rsidR="009515FF" w:rsidRDefault="00B14AD4">
      <w:pPr>
        <w:pStyle w:val="Subsection"/>
        <w:keepNext/>
      </w:pPr>
      <w:r>
        <w:tab/>
        <w:t>(1)</w:t>
      </w:r>
      <w:r>
        <w:tab/>
        <w:t xml:space="preserve">The CEO may issue a licence to a person to act as a pilot for a pilotage area only if — </w:t>
      </w:r>
    </w:p>
    <w:p w:rsidR="009515FF" w:rsidRDefault="00B14AD4">
      <w:pPr>
        <w:pStyle w:val="Ednotepara"/>
      </w:pPr>
      <w:r>
        <w:tab/>
        <w:t>[(a)</w:t>
      </w:r>
      <w:r>
        <w:tab/>
        <w:t>deleted]</w:t>
      </w:r>
    </w:p>
    <w:p w:rsidR="009515FF" w:rsidRDefault="00B14AD4">
      <w:pPr>
        <w:pStyle w:val="Indenta"/>
      </w:pPr>
      <w:r>
        <w:tab/>
        <w:t>(b)</w:t>
      </w:r>
      <w:r>
        <w:tab/>
        <w:t>the person meets the requirement under subregulation (2) or (4); and</w:t>
      </w:r>
    </w:p>
    <w:p w:rsidR="009515FF" w:rsidRDefault="00B14AD4">
      <w:pPr>
        <w:pStyle w:val="Indenta"/>
      </w:pPr>
      <w:r>
        <w:tab/>
        <w:t>(c)</w:t>
      </w:r>
      <w:r>
        <w:tab/>
        <w:t>the person has submitted a certificate of health to the CEO and the CEO is satisfied on the basis of that certificate that the person does not suffer from any disability that is likely to affect his or her ability to do what the licence will entitle him or her to do.</w:t>
      </w:r>
    </w:p>
    <w:p w:rsidR="009515FF" w:rsidRDefault="00B14AD4">
      <w:pPr>
        <w:pStyle w:val="Subsection"/>
      </w:pPr>
      <w:r>
        <w:tab/>
        <w:t>(2)</w:t>
      </w:r>
      <w:r>
        <w:tab/>
        <w:t xml:space="preserve">A person meets the requirements under this subregulation if the person — </w:t>
      </w:r>
    </w:p>
    <w:p w:rsidR="009515FF" w:rsidRDefault="00B14AD4">
      <w:pPr>
        <w:pStyle w:val="Indenta"/>
      </w:pPr>
      <w:r>
        <w:tab/>
        <w:t>(a)</w:t>
      </w:r>
      <w:r>
        <w:tab/>
        <w:t xml:space="preserve">holds a valid certificate of competency, or a valid certificate of recognition, of the grade of Master issued under Part 3 of the Marine Orders made under the </w:t>
      </w:r>
      <w:r>
        <w:rPr>
          <w:i/>
          <w:iCs/>
        </w:rPr>
        <w:t xml:space="preserve">Navigation Act 1912 </w:t>
      </w:r>
      <w:r>
        <w:t>(Commonwealth); and</w:t>
      </w:r>
    </w:p>
    <w:p w:rsidR="009515FF" w:rsidRDefault="00B14AD4">
      <w:pPr>
        <w:pStyle w:val="Indenta"/>
      </w:pPr>
      <w:r>
        <w:tab/>
        <w:t>(b)</w:t>
      </w:r>
      <w:r>
        <w:tab/>
        <w:t>has satisfactorily completed an approved training course; and</w:t>
      </w:r>
    </w:p>
    <w:p w:rsidR="009515FF" w:rsidRDefault="00B14AD4">
      <w:pPr>
        <w:pStyle w:val="Indenta"/>
      </w:pPr>
      <w:r>
        <w:tab/>
        <w:t>(c)</w:t>
      </w:r>
      <w:r>
        <w:tab/>
        <w:t xml:space="preserve">has completed such number of trips as a pilot acting under the direct supervision of a licensed pilot, in such conditions and at such times of the day or night, sufficient to satisfy the CEO that the person — </w:t>
      </w:r>
    </w:p>
    <w:p w:rsidR="009515FF" w:rsidRDefault="00B14AD4">
      <w:pPr>
        <w:pStyle w:val="Indenti"/>
      </w:pPr>
      <w:r>
        <w:tab/>
        <w:t>(i)</w:t>
      </w:r>
      <w:r>
        <w:tab/>
        <w:t>has adequate knowledge of the relevant pilotage area; and</w:t>
      </w:r>
    </w:p>
    <w:p w:rsidR="009515FF" w:rsidRDefault="00B14AD4">
      <w:pPr>
        <w:pStyle w:val="Indenti"/>
      </w:pPr>
      <w:r>
        <w:tab/>
        <w:t>(ii)</w:t>
      </w:r>
      <w:r>
        <w:tab/>
        <w:t>has adequate skill,</w:t>
      </w:r>
    </w:p>
    <w:p w:rsidR="009515FF" w:rsidRDefault="00B14AD4">
      <w:pPr>
        <w:pStyle w:val="Indenta"/>
      </w:pPr>
      <w:r>
        <w:tab/>
      </w:r>
      <w:r>
        <w:tab/>
        <w:t>to be licensed as a pilot.</w:t>
      </w:r>
    </w:p>
    <w:p w:rsidR="009515FF" w:rsidRDefault="00B14AD4">
      <w:pPr>
        <w:pStyle w:val="Subsection"/>
      </w:pPr>
      <w:r>
        <w:tab/>
        <w:t>(3)</w:t>
      </w:r>
      <w:r>
        <w:tab/>
        <w:t xml:space="preserve">The CEO cannot be satisfied of a person’s knowledge and skill under subregulation (2)(c) unless — </w:t>
      </w:r>
    </w:p>
    <w:p w:rsidR="009515FF" w:rsidRDefault="00B14AD4">
      <w:pPr>
        <w:pStyle w:val="Indenta"/>
      </w:pPr>
      <w:r>
        <w:tab/>
        <w:t>(a)</w:t>
      </w:r>
      <w:r>
        <w:tab/>
        <w:t>the trips have been recorded in a log book in an approved form; and</w:t>
      </w:r>
    </w:p>
    <w:p w:rsidR="009515FF" w:rsidRDefault="00B14AD4">
      <w:pPr>
        <w:pStyle w:val="Indenta"/>
      </w:pPr>
      <w:r>
        <w:lastRenderedPageBreak/>
        <w:tab/>
        <w:t>(b)</w:t>
      </w:r>
      <w:r>
        <w:tab/>
        <w:t>each trip has been verified in writing by the supervising licensed pilot; and</w:t>
      </w:r>
    </w:p>
    <w:p w:rsidR="009515FF" w:rsidRDefault="00B14AD4">
      <w:pPr>
        <w:pStyle w:val="Indenta"/>
      </w:pPr>
      <w:r>
        <w:tab/>
        <w:t>(c)</w:t>
      </w:r>
      <w:r>
        <w:tab/>
        <w:t>the supervising licensed pilot has provided to the CEO a signed statement attesting to the person’s knowledge and skill.</w:t>
      </w:r>
    </w:p>
    <w:p w:rsidR="009515FF" w:rsidRDefault="00B14AD4">
      <w:pPr>
        <w:pStyle w:val="Subsection"/>
        <w:spacing w:before="180"/>
      </w:pPr>
      <w:r>
        <w:tab/>
        <w:t>(4)</w:t>
      </w:r>
      <w:r>
        <w:tab/>
        <w:t xml:space="preserve">A person who does not meet the requirement under subregulation (2) meets the requirement under this subregulation if the person </w:t>
      </w:r>
      <w:r>
        <w:rPr>
          <w:color w:val="000000"/>
        </w:rPr>
        <w:t>otherwise possesses the skills and experience that demonstrates, to the satisfaction of the CEO, the person’s competency to act as a pilot in the pilotage area.</w:t>
      </w:r>
    </w:p>
    <w:p w:rsidR="009515FF" w:rsidRDefault="00B14AD4">
      <w:pPr>
        <w:pStyle w:val="Footnotesection"/>
      </w:pPr>
      <w:r>
        <w:tab/>
        <w:t>[Regulation 9C inserted: Gazette 4 Jun 2010 p. 2428</w:t>
      </w:r>
      <w:r>
        <w:noBreakHyphen/>
        <w:t>30; amended: Gazette 29 Oct 2010 p. 5332.]</w:t>
      </w:r>
    </w:p>
    <w:p w:rsidR="009515FF" w:rsidRDefault="00B14AD4">
      <w:pPr>
        <w:pStyle w:val="Heading5"/>
      </w:pPr>
      <w:bookmarkStart w:id="31" w:name="_Toc75528181"/>
      <w:r>
        <w:rPr>
          <w:rStyle w:val="CharSectno"/>
        </w:rPr>
        <w:t>9D</w:t>
      </w:r>
      <w:r>
        <w:t>.</w:t>
      </w:r>
      <w:r>
        <w:tab/>
        <w:t>Conditions of licence</w:t>
      </w:r>
      <w:bookmarkEnd w:id="31"/>
    </w:p>
    <w:p w:rsidR="009515FF" w:rsidRDefault="00B14AD4">
      <w:pPr>
        <w:pStyle w:val="Subsection"/>
      </w:pPr>
      <w:r>
        <w:tab/>
        <w:t>(1)</w:t>
      </w:r>
      <w:r>
        <w:tab/>
        <w:t>The CEO may issue or renew a licence subject to any conditions that the CEO considers necessary to impose, as specified in the licence.</w:t>
      </w:r>
    </w:p>
    <w:p w:rsidR="009515FF" w:rsidRDefault="00B14AD4">
      <w:pPr>
        <w:pStyle w:val="Subsection"/>
      </w:pPr>
      <w:r>
        <w:tab/>
        <w:t>(2)</w:t>
      </w:r>
      <w:r>
        <w:tab/>
        <w:t>The CEO may, at any time by written notice given to the holder of a licence, impose a new condition on the licence or amend or revoke any condition imposed.</w:t>
      </w:r>
    </w:p>
    <w:p w:rsidR="009515FF" w:rsidRDefault="00B14AD4">
      <w:pPr>
        <w:pStyle w:val="Subsection"/>
      </w:pPr>
      <w:r>
        <w:tab/>
        <w:t>(3)</w:t>
      </w:r>
      <w:r>
        <w:tab/>
        <w:t xml:space="preserve">Without limiting subregulation (1) or (2), the CEO may impose a condition on a licence that the holder is to submit a certificate of health to the Department — </w:t>
      </w:r>
    </w:p>
    <w:p w:rsidR="009515FF" w:rsidRDefault="00B14AD4">
      <w:pPr>
        <w:pStyle w:val="Indenta"/>
      </w:pPr>
      <w:r>
        <w:tab/>
        <w:t>(a)</w:t>
      </w:r>
      <w:r>
        <w:tab/>
        <w:t>on every second anniversary after the date on which the first certificate of health was submitted under regulation 9C(1)(c); or</w:t>
      </w:r>
    </w:p>
    <w:p w:rsidR="009515FF" w:rsidRDefault="00B14AD4">
      <w:pPr>
        <w:pStyle w:val="Indenta"/>
      </w:pPr>
      <w:r>
        <w:tab/>
        <w:t>(b)</w:t>
      </w:r>
      <w:r>
        <w:tab/>
        <w:t>at any other time specified by a medical practitioner in a certificate of health submitted under paragraph (a).</w:t>
      </w:r>
    </w:p>
    <w:p w:rsidR="009515FF" w:rsidRDefault="00B14AD4">
      <w:pPr>
        <w:pStyle w:val="Subsection"/>
      </w:pPr>
      <w:r>
        <w:tab/>
        <w:t>(4)</w:t>
      </w:r>
      <w:r>
        <w:tab/>
        <w:t>Without limiting subregulation (1) or (2), the CEO may impose a condition on a licence that the holder is not to act as a pilot for a vessel of a size that is —</w:t>
      </w:r>
    </w:p>
    <w:p w:rsidR="009515FF" w:rsidRDefault="00B14AD4">
      <w:pPr>
        <w:pStyle w:val="Indenta"/>
      </w:pPr>
      <w:r>
        <w:tab/>
        <w:t>(a)</w:t>
      </w:r>
      <w:r>
        <w:tab/>
        <w:t xml:space="preserve">if regulation 9C(2) applies to the holder — larger than the largest vessel in which the holder made a trip into or </w:t>
      </w:r>
      <w:r>
        <w:lastRenderedPageBreak/>
        <w:t>out of the pilotage area as a pilot under supervision referred to in regulation 9C(2)(c); or</w:t>
      </w:r>
    </w:p>
    <w:p w:rsidR="009515FF" w:rsidRDefault="00B14AD4">
      <w:pPr>
        <w:pStyle w:val="Indenta"/>
        <w:rPr>
          <w:b/>
          <w:bCs/>
          <w:i/>
          <w:iCs/>
          <w:color w:val="000000"/>
        </w:rPr>
      </w:pPr>
      <w:r>
        <w:tab/>
        <w:t>(b)</w:t>
      </w:r>
      <w:r>
        <w:tab/>
        <w:t>if regulation 9C(4) applies to the holder — beyond the holder’s competency referred to in that regulation.</w:t>
      </w:r>
    </w:p>
    <w:p w:rsidR="009515FF" w:rsidRDefault="00B14AD4">
      <w:pPr>
        <w:pStyle w:val="Subsection"/>
        <w:keepNext/>
      </w:pPr>
      <w:r>
        <w:tab/>
        <w:t>(5)</w:t>
      </w:r>
      <w:r>
        <w:tab/>
        <w:t>The holder of a licence must comply with any condition imposed on the licence.</w:t>
      </w:r>
    </w:p>
    <w:p w:rsidR="009515FF" w:rsidRDefault="00B14AD4">
      <w:pPr>
        <w:pStyle w:val="Footnotesection"/>
      </w:pPr>
      <w:r>
        <w:tab/>
        <w:t>[Regulation 9D inserted: Gazette 4 Jun 2010 p. 2430</w:t>
      </w:r>
      <w:r>
        <w:noBreakHyphen/>
        <w:t>1.]</w:t>
      </w:r>
    </w:p>
    <w:p w:rsidR="009515FF" w:rsidRDefault="00B14AD4">
      <w:pPr>
        <w:pStyle w:val="Heading5"/>
      </w:pPr>
      <w:bookmarkStart w:id="32" w:name="_Toc75528182"/>
      <w:r>
        <w:rPr>
          <w:rStyle w:val="CharSectno"/>
        </w:rPr>
        <w:t>9E</w:t>
      </w:r>
      <w:r>
        <w:t>.</w:t>
      </w:r>
      <w:r>
        <w:tab/>
        <w:t>Duration of licence</w:t>
      </w:r>
      <w:bookmarkEnd w:id="32"/>
    </w:p>
    <w:p w:rsidR="009515FF" w:rsidRDefault="00B14AD4">
      <w:pPr>
        <w:pStyle w:val="Subsection"/>
      </w:pPr>
      <w:r>
        <w:tab/>
        <w:t>(1)</w:t>
      </w:r>
      <w:r>
        <w:tab/>
        <w:t xml:space="preserve">A licence is to have effect for 5 years from — </w:t>
      </w:r>
    </w:p>
    <w:p w:rsidR="009515FF" w:rsidRDefault="00B14AD4">
      <w:pPr>
        <w:pStyle w:val="Indenta"/>
      </w:pPr>
      <w:r>
        <w:tab/>
        <w:t>(a)</w:t>
      </w:r>
      <w:r>
        <w:tab/>
        <w:t>the date it is issued; or</w:t>
      </w:r>
    </w:p>
    <w:p w:rsidR="009515FF" w:rsidRDefault="00B14AD4">
      <w:pPr>
        <w:pStyle w:val="Indenta"/>
      </w:pPr>
      <w:r>
        <w:tab/>
        <w:t>(b)</w:t>
      </w:r>
      <w:r>
        <w:tab/>
        <w:t>if it is a renewed licence — the day after the day when the licence would have expired if the last renewal were not made,</w:t>
      </w:r>
    </w:p>
    <w:p w:rsidR="009515FF" w:rsidRDefault="00B14AD4">
      <w:pPr>
        <w:pStyle w:val="Subsection"/>
      </w:pPr>
      <w:r>
        <w:tab/>
      </w:r>
      <w:r>
        <w:tab/>
        <w:t>unless it is suspended or revoked under regulation 9H.</w:t>
      </w:r>
    </w:p>
    <w:p w:rsidR="009515FF" w:rsidRDefault="00B14AD4">
      <w:pPr>
        <w:pStyle w:val="Subsection"/>
      </w:pPr>
      <w:r>
        <w:tab/>
        <w:t>(2)</w:t>
      </w:r>
      <w:r>
        <w:tab/>
        <w:t>The expiry date of the licence is to be specified in the licence.</w:t>
      </w:r>
    </w:p>
    <w:p w:rsidR="009515FF" w:rsidRDefault="00B14AD4">
      <w:pPr>
        <w:pStyle w:val="Footnotesection"/>
      </w:pPr>
      <w:r>
        <w:tab/>
        <w:t>[Regulation 9E inserted: Gazette 4 Jun 2010 p. 2431.]</w:t>
      </w:r>
    </w:p>
    <w:p w:rsidR="009515FF" w:rsidRDefault="00B14AD4">
      <w:pPr>
        <w:pStyle w:val="Heading5"/>
      </w:pPr>
      <w:bookmarkStart w:id="33" w:name="_Toc75528183"/>
      <w:r>
        <w:rPr>
          <w:rStyle w:val="CharSectno"/>
        </w:rPr>
        <w:t>9F</w:t>
      </w:r>
      <w:r>
        <w:t>.</w:t>
      </w:r>
      <w:r>
        <w:tab/>
        <w:t>Renewal of licence, application for</w:t>
      </w:r>
      <w:bookmarkEnd w:id="33"/>
    </w:p>
    <w:p w:rsidR="009515FF" w:rsidRDefault="00B14AD4">
      <w:pPr>
        <w:pStyle w:val="Subsection"/>
      </w:pPr>
      <w:r>
        <w:tab/>
        <w:t>(1)</w:t>
      </w:r>
      <w:r>
        <w:tab/>
        <w:t>The holder of a licence may apply to the CEO for renewal of the licence.</w:t>
      </w:r>
    </w:p>
    <w:p w:rsidR="009515FF" w:rsidRDefault="00B14AD4">
      <w:pPr>
        <w:pStyle w:val="Subsection"/>
      </w:pPr>
      <w:r>
        <w:tab/>
        <w:t>(2)</w:t>
      </w:r>
      <w:r>
        <w:tab/>
        <w:t xml:space="preserve">The application must — </w:t>
      </w:r>
    </w:p>
    <w:p w:rsidR="009515FF" w:rsidRDefault="00B14AD4">
      <w:pPr>
        <w:pStyle w:val="Indenta"/>
      </w:pPr>
      <w:r>
        <w:tab/>
        <w:t>(a)</w:t>
      </w:r>
      <w:r>
        <w:tab/>
        <w:t>be made within 28 days</w:t>
      </w:r>
      <w:r>
        <w:rPr>
          <w:b/>
          <w:bCs/>
          <w:i/>
          <w:iCs/>
        </w:rPr>
        <w:t xml:space="preserve"> </w:t>
      </w:r>
      <w:r>
        <w:t>before the licence expires; and</w:t>
      </w:r>
    </w:p>
    <w:p w:rsidR="009515FF" w:rsidRDefault="00B14AD4">
      <w:pPr>
        <w:pStyle w:val="Indenta"/>
      </w:pPr>
      <w:r>
        <w:tab/>
        <w:t>(b)</w:t>
      </w:r>
      <w:r>
        <w:tab/>
        <w:t>be in the approved form; and</w:t>
      </w:r>
    </w:p>
    <w:p w:rsidR="009515FF" w:rsidRDefault="00B14AD4">
      <w:pPr>
        <w:pStyle w:val="Indenta"/>
      </w:pPr>
      <w:r>
        <w:tab/>
        <w:t>(c)</w:t>
      </w:r>
      <w:r>
        <w:tab/>
        <w:t>be accompanied by a fee of</w:t>
      </w:r>
      <w:r w:rsidR="00BC1EA4">
        <w:t xml:space="preserve"> $365.30</w:t>
      </w:r>
      <w:r>
        <w:t>.</w:t>
      </w:r>
    </w:p>
    <w:p w:rsidR="009515FF" w:rsidRDefault="00B14AD4">
      <w:pPr>
        <w:pStyle w:val="Subsection"/>
      </w:pPr>
      <w:r>
        <w:tab/>
        <w:t>(3)</w:t>
      </w:r>
      <w:r>
        <w:tab/>
        <w:t>If an application is made in accordance with subregulation (2) but not decided before the licence expires, the licence is to be taken, despite regulation 9E, to continue to have effect until the applicant is notified of the CEO’s decision to renew or not to renew the licence.</w:t>
      </w:r>
    </w:p>
    <w:p w:rsidR="009515FF" w:rsidRDefault="00B14AD4">
      <w:pPr>
        <w:pStyle w:val="Footnotesection"/>
      </w:pPr>
      <w:r>
        <w:lastRenderedPageBreak/>
        <w:tab/>
        <w:t>[Regulation 9F inserted: Gazette 4 Jun 2010 p. 2431; amended: Gazette 21 Jun 2011 p. 2243; 15 Jun 2012 p. 2527; 28 Jun 2013 p. 2769; 30 May 2014 p. 1688; 12 Jun 2015 p. 2029; 27 May 2016 p. 1553; 26 May 2017 p. 2645; 25 May 2018 p. 1645; 17 May 2019 p. 1441; SL 2020/60 r. 10</w:t>
      </w:r>
      <w:r w:rsidR="00BC1EA4">
        <w:t>;</w:t>
      </w:r>
      <w:r w:rsidR="00BC1EA4" w:rsidRPr="00BC1EA4">
        <w:t xml:space="preserve"> </w:t>
      </w:r>
      <w:r w:rsidR="00BC1EA4">
        <w:t>SL 2021/92 r. 23</w:t>
      </w:r>
      <w:r>
        <w:t>.]</w:t>
      </w:r>
    </w:p>
    <w:p w:rsidR="009515FF" w:rsidRDefault="00B14AD4">
      <w:pPr>
        <w:pStyle w:val="Heading5"/>
      </w:pPr>
      <w:bookmarkStart w:id="34" w:name="_Toc75528184"/>
      <w:r>
        <w:rPr>
          <w:rStyle w:val="CharSectno"/>
        </w:rPr>
        <w:t>9G</w:t>
      </w:r>
      <w:r>
        <w:t>.</w:t>
      </w:r>
      <w:r>
        <w:tab/>
        <w:t>Renewal of licence</w:t>
      </w:r>
      <w:bookmarkEnd w:id="34"/>
    </w:p>
    <w:p w:rsidR="009515FF" w:rsidRDefault="00B14AD4">
      <w:pPr>
        <w:pStyle w:val="Subsection"/>
        <w:keepNext/>
        <w:keepLines/>
      </w:pPr>
      <w:r>
        <w:tab/>
      </w:r>
      <w:r>
        <w:tab/>
        <w:t xml:space="preserve">The CEO may refuse to renew a licence if the CEO suspects, on reasonable grounds, that the holder of the licence — </w:t>
      </w:r>
    </w:p>
    <w:p w:rsidR="009515FF" w:rsidRDefault="00B14AD4">
      <w:pPr>
        <w:pStyle w:val="Indenta"/>
      </w:pPr>
      <w:r>
        <w:tab/>
        <w:t>(a)</w:t>
      </w:r>
      <w:r>
        <w:tab/>
        <w:t>no longer meets a requirement under regulation 9C(1)(b); or</w:t>
      </w:r>
    </w:p>
    <w:p w:rsidR="009515FF" w:rsidRDefault="00B14AD4">
      <w:pPr>
        <w:pStyle w:val="Indenta"/>
        <w:keepNext/>
      </w:pPr>
      <w:r>
        <w:tab/>
        <w:t>(b)</w:t>
      </w:r>
      <w:r>
        <w:tab/>
        <w:t>is no longer competent to act as a pilot in a pilotage area; or</w:t>
      </w:r>
    </w:p>
    <w:p w:rsidR="009515FF" w:rsidRDefault="00B14AD4">
      <w:pPr>
        <w:pStyle w:val="Indenta"/>
      </w:pPr>
      <w:r>
        <w:tab/>
        <w:t>(c)</w:t>
      </w:r>
      <w:r>
        <w:tab/>
        <w:t>has not satisfactorily completed an approved training course required by the CEO for the renewal; or</w:t>
      </w:r>
    </w:p>
    <w:p w:rsidR="009515FF" w:rsidRDefault="00B14AD4">
      <w:pPr>
        <w:pStyle w:val="Indenta"/>
      </w:pPr>
      <w:r>
        <w:tab/>
        <w:t>(d)</w:t>
      </w:r>
      <w:r>
        <w:tab/>
        <w:t>is in breach of a condition imposed on the licence under regulation 9D(3); or</w:t>
      </w:r>
    </w:p>
    <w:p w:rsidR="009515FF" w:rsidRDefault="00B14AD4">
      <w:pPr>
        <w:pStyle w:val="Indenta"/>
      </w:pPr>
      <w:r>
        <w:tab/>
        <w:t>(e)</w:t>
      </w:r>
      <w:r>
        <w:tab/>
        <w:t>is guilty of misconduct, or has been seriously negligent, in performing his or her function as a pilot.</w:t>
      </w:r>
    </w:p>
    <w:p w:rsidR="009515FF" w:rsidRDefault="00B14AD4">
      <w:pPr>
        <w:pStyle w:val="Footnotesection"/>
      </w:pPr>
      <w:r>
        <w:tab/>
        <w:t>[Regulation 9G inserted: Gazette 4 Jun 2010 p. 2432.]</w:t>
      </w:r>
    </w:p>
    <w:p w:rsidR="009515FF" w:rsidRDefault="00B14AD4">
      <w:pPr>
        <w:pStyle w:val="Heading5"/>
      </w:pPr>
      <w:bookmarkStart w:id="35" w:name="_Toc75528185"/>
      <w:r>
        <w:rPr>
          <w:rStyle w:val="CharSectno"/>
        </w:rPr>
        <w:t>9H</w:t>
      </w:r>
      <w:r>
        <w:t>.</w:t>
      </w:r>
      <w:r>
        <w:tab/>
        <w:t>Suspension and revocation of licence</w:t>
      </w:r>
      <w:bookmarkEnd w:id="35"/>
    </w:p>
    <w:p w:rsidR="009515FF" w:rsidRDefault="00B14AD4">
      <w:pPr>
        <w:pStyle w:val="Subsection"/>
      </w:pPr>
      <w:r>
        <w:tab/>
        <w:t>(1)</w:t>
      </w:r>
      <w:r>
        <w:tab/>
        <w:t xml:space="preserve">The CEO may suspend or revoke a licence if the CEO suspects, on reasonable grounds, that the holder of the licence — </w:t>
      </w:r>
    </w:p>
    <w:p w:rsidR="009515FF" w:rsidRDefault="00B14AD4">
      <w:pPr>
        <w:pStyle w:val="Indenta"/>
      </w:pPr>
      <w:r>
        <w:tab/>
        <w:t>(a)</w:t>
      </w:r>
      <w:r>
        <w:tab/>
        <w:t>no longer meets the requirement under regulation 9C(1)(a); or</w:t>
      </w:r>
    </w:p>
    <w:p w:rsidR="009515FF" w:rsidRDefault="00B14AD4">
      <w:pPr>
        <w:pStyle w:val="Indenta"/>
      </w:pPr>
      <w:r>
        <w:tab/>
        <w:t>(b)</w:t>
      </w:r>
      <w:r>
        <w:tab/>
        <w:t>is in breach of a condition imposed on the licence under regulation 9D(3); or</w:t>
      </w:r>
    </w:p>
    <w:p w:rsidR="009515FF" w:rsidRDefault="00B14AD4">
      <w:pPr>
        <w:pStyle w:val="Indenta"/>
      </w:pPr>
      <w:r>
        <w:tab/>
        <w:t>(c)</w:t>
      </w:r>
      <w:r>
        <w:tab/>
        <w:t>is no longer competent to act as a pilot in a pilotage area; or</w:t>
      </w:r>
    </w:p>
    <w:p w:rsidR="009515FF" w:rsidRDefault="00B14AD4">
      <w:pPr>
        <w:pStyle w:val="Indenta"/>
      </w:pPr>
      <w:r>
        <w:tab/>
        <w:t>(d)</w:t>
      </w:r>
      <w:r>
        <w:tab/>
        <w:t>is guilty of misconduct, or has been seriously negligent, in performing his or her function as a pilot; or</w:t>
      </w:r>
    </w:p>
    <w:p w:rsidR="009515FF" w:rsidRDefault="00B14AD4">
      <w:pPr>
        <w:pStyle w:val="Indenta"/>
      </w:pPr>
      <w:r>
        <w:lastRenderedPageBreak/>
        <w:tab/>
        <w:t>(e)</w:t>
      </w:r>
      <w:r>
        <w:tab/>
        <w:t>obtained the licence by false representation or other fraudulent means.</w:t>
      </w:r>
    </w:p>
    <w:p w:rsidR="009515FF" w:rsidRDefault="00B14AD4">
      <w:pPr>
        <w:pStyle w:val="Subsection"/>
      </w:pPr>
      <w:r>
        <w:tab/>
        <w:t>(2)</w:t>
      </w:r>
      <w:r>
        <w:tab/>
        <w:t xml:space="preserve">The CEO may suspend a licence under subregulation (1) — </w:t>
      </w:r>
    </w:p>
    <w:p w:rsidR="009515FF" w:rsidRDefault="00B14AD4">
      <w:pPr>
        <w:pStyle w:val="Indenta"/>
      </w:pPr>
      <w:r>
        <w:tab/>
        <w:t>(a)</w:t>
      </w:r>
      <w:r>
        <w:tab/>
        <w:t>for a period specified by the CEO; or</w:t>
      </w:r>
    </w:p>
    <w:p w:rsidR="009515FF" w:rsidRDefault="00B14AD4">
      <w:pPr>
        <w:pStyle w:val="Indenta"/>
      </w:pPr>
      <w:r>
        <w:tab/>
        <w:t>(b)</w:t>
      </w:r>
      <w:r>
        <w:tab/>
        <w:t>until the holder complies with a requirement specified by the CEO.</w:t>
      </w:r>
    </w:p>
    <w:p w:rsidR="009515FF" w:rsidRDefault="00B14AD4">
      <w:pPr>
        <w:pStyle w:val="Subsection"/>
      </w:pPr>
      <w:r>
        <w:tab/>
        <w:t>(3)</w:t>
      </w:r>
      <w:r>
        <w:tab/>
        <w:t xml:space="preserve">Before the CEO decides to suspend or revoke a licence, the CEO must give written notice to the holder, stating the following — </w:t>
      </w:r>
    </w:p>
    <w:p w:rsidR="009515FF" w:rsidRDefault="00B14AD4">
      <w:pPr>
        <w:pStyle w:val="Indenta"/>
      </w:pPr>
      <w:r>
        <w:tab/>
        <w:t>(a)</w:t>
      </w:r>
      <w:r>
        <w:tab/>
        <w:t>the proposed suspension or revocation;</w:t>
      </w:r>
    </w:p>
    <w:p w:rsidR="009515FF" w:rsidRDefault="00B14AD4">
      <w:pPr>
        <w:pStyle w:val="Indenta"/>
      </w:pPr>
      <w:r>
        <w:tab/>
        <w:t>(b)</w:t>
      </w:r>
      <w:r>
        <w:tab/>
        <w:t>the findings of facts on which the decision is based;</w:t>
      </w:r>
    </w:p>
    <w:p w:rsidR="009515FF" w:rsidRDefault="00B14AD4">
      <w:pPr>
        <w:pStyle w:val="Indenta"/>
      </w:pPr>
      <w:r>
        <w:tab/>
        <w:t>(c)</w:t>
      </w:r>
      <w:r>
        <w:tab/>
        <w:t>the reason for the decision;</w:t>
      </w:r>
    </w:p>
    <w:p w:rsidR="009515FF" w:rsidRDefault="00B14AD4">
      <w:pPr>
        <w:pStyle w:val="Indenta"/>
      </w:pPr>
      <w:r>
        <w:tab/>
        <w:t>(d)</w:t>
      </w:r>
      <w:r>
        <w:tab/>
        <w:t>the period during which the holder may make written or oral representations to the CEO.</w:t>
      </w:r>
    </w:p>
    <w:p w:rsidR="009515FF" w:rsidRDefault="00B14AD4">
      <w:pPr>
        <w:pStyle w:val="Subsection"/>
      </w:pPr>
      <w:r>
        <w:tab/>
        <w:t>(4)</w:t>
      </w:r>
      <w:r>
        <w:tab/>
        <w:t xml:space="preserve">If, after considering any representations made to the CEO under subregulation (3), the CEO decides to suspend or revoke a licence, the CEO must give written notice to the holder, stating the following — </w:t>
      </w:r>
    </w:p>
    <w:p w:rsidR="009515FF" w:rsidRDefault="00B14AD4">
      <w:pPr>
        <w:pStyle w:val="Indenta"/>
      </w:pPr>
      <w:r>
        <w:tab/>
        <w:t>(a)</w:t>
      </w:r>
      <w:r>
        <w:tab/>
      </w:r>
      <w:r>
        <w:rPr>
          <w:snapToGrid w:val="0"/>
        </w:rPr>
        <w:t>the decision to suspend or revoke;</w:t>
      </w:r>
    </w:p>
    <w:p w:rsidR="009515FF" w:rsidRDefault="00B14AD4">
      <w:pPr>
        <w:pStyle w:val="Indenta"/>
      </w:pPr>
      <w:r>
        <w:tab/>
        <w:t>(b)</w:t>
      </w:r>
      <w:r>
        <w:tab/>
      </w:r>
      <w:r>
        <w:rPr>
          <w:snapToGrid w:val="0"/>
        </w:rPr>
        <w:t>the date from which the suspension or revocation is to take effect;</w:t>
      </w:r>
    </w:p>
    <w:p w:rsidR="009515FF" w:rsidRDefault="00B14AD4">
      <w:pPr>
        <w:pStyle w:val="Indenta"/>
      </w:pPr>
      <w:r>
        <w:tab/>
        <w:t>(c)</w:t>
      </w:r>
      <w:r>
        <w:tab/>
        <w:t xml:space="preserve">in the case of a suspension — </w:t>
      </w:r>
    </w:p>
    <w:p w:rsidR="009515FF" w:rsidRDefault="00B14AD4">
      <w:pPr>
        <w:pStyle w:val="Indenti"/>
      </w:pPr>
      <w:r>
        <w:tab/>
        <w:t>(i)</w:t>
      </w:r>
      <w:r>
        <w:tab/>
        <w:t>the period of the suspension; or</w:t>
      </w:r>
    </w:p>
    <w:p w:rsidR="009515FF" w:rsidRDefault="00B14AD4">
      <w:pPr>
        <w:pStyle w:val="Indenti"/>
      </w:pPr>
      <w:r>
        <w:tab/>
        <w:t>(ii)</w:t>
      </w:r>
      <w:r>
        <w:tab/>
        <w:t>any requirement that has to be complied with by the holder before the suspension ceases to have effect.</w:t>
      </w:r>
    </w:p>
    <w:p w:rsidR="009515FF" w:rsidRDefault="00B14AD4">
      <w:pPr>
        <w:pStyle w:val="Subsection"/>
      </w:pPr>
      <w:r>
        <w:tab/>
        <w:t>(5)</w:t>
      </w:r>
      <w:r>
        <w:tab/>
        <w:t>If, after considering any representations made to the CEO under subregulation (3), the CEO decides to suspend or revoke a licence, the CEO must also give notice of the CEO’s decision to the harbour master of the port concerned.</w:t>
      </w:r>
    </w:p>
    <w:p w:rsidR="009515FF" w:rsidRDefault="00B14AD4">
      <w:pPr>
        <w:pStyle w:val="Footnotesection"/>
      </w:pPr>
      <w:r>
        <w:tab/>
        <w:t>[Regulation 9H inserted: Gazette 4 Jun 2010 p. 2432</w:t>
      </w:r>
      <w:r>
        <w:noBreakHyphen/>
        <w:t>3.]</w:t>
      </w:r>
    </w:p>
    <w:p w:rsidR="009515FF" w:rsidRDefault="00B14AD4">
      <w:pPr>
        <w:pStyle w:val="Heading5"/>
      </w:pPr>
      <w:bookmarkStart w:id="36" w:name="_Toc75528186"/>
      <w:r>
        <w:rPr>
          <w:rStyle w:val="CharSectno"/>
        </w:rPr>
        <w:lastRenderedPageBreak/>
        <w:t>9I</w:t>
      </w:r>
      <w:r>
        <w:t>.</w:t>
      </w:r>
      <w:r>
        <w:tab/>
        <w:t>Review of decisions by SAT</w:t>
      </w:r>
      <w:bookmarkEnd w:id="36"/>
    </w:p>
    <w:p w:rsidR="009515FF" w:rsidRDefault="00B14AD4">
      <w:pPr>
        <w:pStyle w:val="Subsection"/>
      </w:pPr>
      <w:r>
        <w:tab/>
        <w:t>(1)</w:t>
      </w:r>
      <w:r>
        <w:tab/>
        <w:t xml:space="preserve">In this regulation — </w:t>
      </w:r>
    </w:p>
    <w:p w:rsidR="009515FF" w:rsidRDefault="00B14AD4">
      <w:pPr>
        <w:pStyle w:val="Defstart"/>
      </w:pPr>
      <w:r>
        <w:rPr>
          <w:b/>
        </w:rPr>
        <w:tab/>
      </w:r>
      <w:r>
        <w:rPr>
          <w:rStyle w:val="CharDefText"/>
        </w:rPr>
        <w:t>reviewable decision</w:t>
      </w:r>
      <w:r>
        <w:t xml:space="preserve"> means any of the following decisions by the CEO — </w:t>
      </w:r>
    </w:p>
    <w:p w:rsidR="009515FF" w:rsidRDefault="00B14AD4">
      <w:pPr>
        <w:pStyle w:val="Defpara"/>
      </w:pPr>
      <w:r>
        <w:tab/>
        <w:t>(a)</w:t>
      </w:r>
      <w:r>
        <w:tab/>
        <w:t>a decision under regulation 9C not to issue a licence;</w:t>
      </w:r>
    </w:p>
    <w:p w:rsidR="009515FF" w:rsidRDefault="00B14AD4">
      <w:pPr>
        <w:pStyle w:val="Defpara"/>
      </w:pPr>
      <w:r>
        <w:tab/>
        <w:t>(b)</w:t>
      </w:r>
      <w:r>
        <w:tab/>
        <w:t>a decision under regulation 9D to impose or amend a condition;</w:t>
      </w:r>
    </w:p>
    <w:p w:rsidR="009515FF" w:rsidRDefault="00B14AD4">
      <w:pPr>
        <w:pStyle w:val="Defpara"/>
      </w:pPr>
      <w:r>
        <w:tab/>
        <w:t>(c)</w:t>
      </w:r>
      <w:r>
        <w:tab/>
        <w:t>a decision under regulation 9G not to renew a licence;</w:t>
      </w:r>
    </w:p>
    <w:p w:rsidR="009515FF" w:rsidRDefault="00B14AD4">
      <w:pPr>
        <w:pStyle w:val="Defpara"/>
      </w:pPr>
      <w:r>
        <w:tab/>
        <w:t>(d)</w:t>
      </w:r>
      <w:r>
        <w:tab/>
        <w:t>a decision under regulation 9H to suspend or revoke a licence.</w:t>
      </w:r>
    </w:p>
    <w:p w:rsidR="009515FF" w:rsidRDefault="00B14AD4">
      <w:pPr>
        <w:pStyle w:val="Subsection"/>
      </w:pPr>
      <w:r>
        <w:tab/>
        <w:t>(2)</w:t>
      </w:r>
      <w:r>
        <w:tab/>
        <w:t>A person aggrieved by a reviewable decision may apply to the State Administrative Tribunal for a review of the decision.</w:t>
      </w:r>
    </w:p>
    <w:p w:rsidR="009515FF" w:rsidRDefault="00B14AD4">
      <w:pPr>
        <w:pStyle w:val="Footnotesection"/>
      </w:pPr>
      <w:r>
        <w:tab/>
        <w:t>[Regulation 9I inserted: Gazette 4 Jun 2010 p. 2434.]</w:t>
      </w:r>
    </w:p>
    <w:p w:rsidR="009515FF" w:rsidRDefault="00B14AD4">
      <w:pPr>
        <w:pStyle w:val="Heading5"/>
      </w:pPr>
      <w:bookmarkStart w:id="37" w:name="_Toc75528187"/>
      <w:r>
        <w:rPr>
          <w:rStyle w:val="CharSectno"/>
        </w:rPr>
        <w:t>9J</w:t>
      </w:r>
      <w:r>
        <w:t>.</w:t>
      </w:r>
      <w:r>
        <w:tab/>
        <w:t>Lost etc. licence documents, replacement of</w:t>
      </w:r>
      <w:bookmarkEnd w:id="37"/>
    </w:p>
    <w:p w:rsidR="009515FF" w:rsidRDefault="00B14AD4">
      <w:pPr>
        <w:pStyle w:val="Subsection"/>
      </w:pPr>
      <w:r>
        <w:tab/>
      </w:r>
      <w:r>
        <w:tab/>
        <w:t>If the CEO is satisfied that a licence document has been damaged, lost or stolen, the CEO may issue a replacement on payment of a fee of</w:t>
      </w:r>
      <w:r w:rsidR="00BC1EA4">
        <w:t xml:space="preserve"> $206.55</w:t>
      </w:r>
      <w:r>
        <w:t>.</w:t>
      </w:r>
    </w:p>
    <w:p w:rsidR="009515FF" w:rsidRDefault="00B14AD4">
      <w:pPr>
        <w:pStyle w:val="Footnotesection"/>
      </w:pPr>
      <w:r>
        <w:tab/>
        <w:t>[Regulation 9J inserted: Gazette 29 Oct 2010 p. 5332; amended: Gazette 21 Jun 2011 p. 2243; 15 Jun 2012 p. 2527; 28 Jun 2013 p. 2769; 30 May 2014 p. 1688; 12 Jun 2015 p. 2029; 27 May 2016 p. 1553; 25 May 2018 p. 1645; 17 May 2019 p. 1441; SL 2020/60 r. 10</w:t>
      </w:r>
      <w:r w:rsidR="00BC1EA4">
        <w:t>;</w:t>
      </w:r>
      <w:r w:rsidR="00BC1EA4" w:rsidRPr="00BC1EA4">
        <w:t xml:space="preserve"> </w:t>
      </w:r>
      <w:r w:rsidR="00BC1EA4">
        <w:t>SL 2021/92 r. 23</w:t>
      </w:r>
      <w:r>
        <w:t>.]</w:t>
      </w:r>
    </w:p>
    <w:p w:rsidR="009515FF" w:rsidRDefault="00B14AD4">
      <w:pPr>
        <w:pStyle w:val="Heading3"/>
      </w:pPr>
      <w:bookmarkStart w:id="38" w:name="_Toc75423279"/>
      <w:bookmarkStart w:id="39" w:name="_Toc75426766"/>
      <w:bookmarkStart w:id="40" w:name="_Toc75528188"/>
      <w:r>
        <w:rPr>
          <w:rStyle w:val="CharDivNo"/>
        </w:rPr>
        <w:t>Division 2</w:t>
      </w:r>
      <w:r>
        <w:t> — </w:t>
      </w:r>
      <w:r>
        <w:rPr>
          <w:rStyle w:val="CharDivText"/>
        </w:rPr>
        <w:t>Requirements relating to pilotage</w:t>
      </w:r>
      <w:bookmarkEnd w:id="38"/>
      <w:bookmarkEnd w:id="39"/>
      <w:bookmarkEnd w:id="40"/>
    </w:p>
    <w:p w:rsidR="009515FF" w:rsidRDefault="00B14AD4">
      <w:pPr>
        <w:pStyle w:val="Footnoteheading"/>
      </w:pPr>
      <w:r>
        <w:tab/>
        <w:t>[Heading inserted: Gazette 4 Jun 2010 p. 2434.]</w:t>
      </w:r>
    </w:p>
    <w:p w:rsidR="009515FF" w:rsidRDefault="00B14AD4">
      <w:pPr>
        <w:pStyle w:val="Heading5"/>
        <w:keepLines w:val="0"/>
        <w:rPr>
          <w:snapToGrid w:val="0"/>
        </w:rPr>
      </w:pPr>
      <w:bookmarkStart w:id="41" w:name="_Toc75528189"/>
      <w:r>
        <w:rPr>
          <w:rStyle w:val="CharSectno"/>
        </w:rPr>
        <w:t>9</w:t>
      </w:r>
      <w:r>
        <w:rPr>
          <w:snapToGrid w:val="0"/>
        </w:rPr>
        <w:t>.</w:t>
      </w:r>
      <w:r>
        <w:rPr>
          <w:snapToGrid w:val="0"/>
        </w:rPr>
        <w:tab/>
        <w:t>Which vessels require licensed pilot in pilotage area</w:t>
      </w:r>
      <w:bookmarkEnd w:id="41"/>
    </w:p>
    <w:p w:rsidR="009515FF" w:rsidRDefault="00B14AD4">
      <w:pPr>
        <w:pStyle w:val="Subsection"/>
        <w:keepNext/>
        <w:rPr>
          <w:snapToGrid w:val="0"/>
        </w:rPr>
      </w:pPr>
      <w:r>
        <w:rPr>
          <w:snapToGrid w:val="0"/>
        </w:rPr>
        <w:tab/>
      </w:r>
      <w:r>
        <w:rPr>
          <w:snapToGrid w:val="0"/>
        </w:rPr>
        <w:tab/>
        <w:t>The master of any vessel other than — </w:t>
      </w:r>
    </w:p>
    <w:p w:rsidR="009515FF" w:rsidRDefault="00B14AD4">
      <w:pPr>
        <w:pStyle w:val="Indenta"/>
        <w:rPr>
          <w:snapToGrid w:val="0"/>
        </w:rPr>
      </w:pPr>
      <w:r>
        <w:rPr>
          <w:snapToGrid w:val="0"/>
        </w:rPr>
        <w:tab/>
        <w:t>(a)</w:t>
      </w:r>
      <w:r>
        <w:rPr>
          <w:snapToGrid w:val="0"/>
        </w:rPr>
        <w:tab/>
        <w:t>a vessel of war; or</w:t>
      </w:r>
    </w:p>
    <w:p w:rsidR="009515FF" w:rsidRDefault="00B14AD4">
      <w:pPr>
        <w:pStyle w:val="Indenta"/>
        <w:rPr>
          <w:snapToGrid w:val="0"/>
        </w:rPr>
      </w:pPr>
      <w:r>
        <w:rPr>
          <w:snapToGrid w:val="0"/>
        </w:rPr>
        <w:tab/>
        <w:t>(b)</w:t>
      </w:r>
      <w:r>
        <w:rPr>
          <w:snapToGrid w:val="0"/>
        </w:rPr>
        <w:tab/>
        <w:t xml:space="preserve">a vessel owned by any of Her Majesty’s States or Colonies or the government of any country that is a </w:t>
      </w:r>
      <w:r>
        <w:rPr>
          <w:snapToGrid w:val="0"/>
        </w:rPr>
        <w:lastRenderedPageBreak/>
        <w:t>member of the British Commonwealth of Nations, that is engaged in a non</w:t>
      </w:r>
      <w:r>
        <w:rPr>
          <w:snapToGrid w:val="0"/>
        </w:rPr>
        <w:noBreakHyphen/>
        <w:t>commercial voyage; or</w:t>
      </w:r>
    </w:p>
    <w:p w:rsidR="009515FF" w:rsidRDefault="00B14AD4">
      <w:pPr>
        <w:pStyle w:val="Ednotepara"/>
        <w:rPr>
          <w:snapToGrid w:val="0"/>
        </w:rPr>
      </w:pPr>
      <w:r>
        <w:rPr>
          <w:snapToGrid w:val="0"/>
        </w:rPr>
        <w:tab/>
        <w:t>[(c)</w:t>
      </w:r>
      <w:r>
        <w:rPr>
          <w:snapToGrid w:val="0"/>
        </w:rPr>
        <w:tab/>
        <w:t>deleted]</w:t>
      </w:r>
    </w:p>
    <w:p w:rsidR="009515FF" w:rsidRDefault="00B14AD4">
      <w:pPr>
        <w:pStyle w:val="Indenta"/>
        <w:rPr>
          <w:snapToGrid w:val="0"/>
        </w:rPr>
      </w:pPr>
      <w:r>
        <w:tab/>
        <w:t>(ca)</w:t>
      </w:r>
      <w:r>
        <w:tab/>
        <w:t>a vessel with a length overall of not more than 35 m; or</w:t>
      </w:r>
    </w:p>
    <w:p w:rsidR="009515FF" w:rsidRDefault="00B14AD4">
      <w:pPr>
        <w:pStyle w:val="Indenta"/>
        <w:rPr>
          <w:snapToGrid w:val="0"/>
        </w:rPr>
      </w:pPr>
      <w:r>
        <w:rPr>
          <w:snapToGrid w:val="0"/>
        </w:rPr>
        <w:tab/>
        <w:t>(d)</w:t>
      </w:r>
      <w:r>
        <w:rPr>
          <w:snapToGrid w:val="0"/>
        </w:rPr>
        <w:tab/>
        <w:t>a training vessel on a non</w:t>
      </w:r>
      <w:r>
        <w:rPr>
          <w:snapToGrid w:val="0"/>
        </w:rPr>
        <w:noBreakHyphen/>
        <w:t>commercial voyage; or</w:t>
      </w:r>
    </w:p>
    <w:p w:rsidR="009515FF" w:rsidRDefault="00B14AD4">
      <w:pPr>
        <w:pStyle w:val="Ednotepara"/>
        <w:rPr>
          <w:snapToGrid w:val="0"/>
        </w:rPr>
      </w:pPr>
      <w:r>
        <w:rPr>
          <w:snapToGrid w:val="0"/>
        </w:rPr>
        <w:tab/>
        <w:t>[(e)</w:t>
      </w:r>
      <w:r>
        <w:rPr>
          <w:snapToGrid w:val="0"/>
        </w:rPr>
        <w:tab/>
        <w:t>deleted]</w:t>
      </w:r>
    </w:p>
    <w:p w:rsidR="009515FF" w:rsidRDefault="00B14AD4">
      <w:pPr>
        <w:pStyle w:val="Indenta"/>
        <w:rPr>
          <w:snapToGrid w:val="0"/>
        </w:rPr>
      </w:pPr>
      <w:r>
        <w:rPr>
          <w:snapToGrid w:val="0"/>
        </w:rPr>
        <w:tab/>
        <w:t>(f)</w:t>
      </w:r>
      <w:r>
        <w:rPr>
          <w:snapToGrid w:val="0"/>
        </w:rPr>
        <w:tab/>
        <w:t>a vessel on a non</w:t>
      </w:r>
      <w:r>
        <w:rPr>
          <w:snapToGrid w:val="0"/>
        </w:rPr>
        <w:noBreakHyphen/>
        <w:t>commercial voyage exempted in circumstances which are or at the discretion of the CEO; or</w:t>
      </w:r>
    </w:p>
    <w:p w:rsidR="009515FF" w:rsidRDefault="00B14AD4">
      <w:pPr>
        <w:pStyle w:val="Indenta"/>
        <w:rPr>
          <w:snapToGrid w:val="0"/>
        </w:rPr>
      </w:pPr>
      <w:r>
        <w:rPr>
          <w:snapToGrid w:val="0"/>
        </w:rPr>
        <w:tab/>
        <w:t>(g)</w:t>
      </w:r>
      <w:r>
        <w:rPr>
          <w:snapToGrid w:val="0"/>
        </w:rPr>
        <w:tab/>
        <w:t xml:space="preserve">a vessel under the command of a master who holds a valid certificate in respect of the </w:t>
      </w:r>
      <w:r>
        <w:t>pilotage area</w:t>
      </w:r>
      <w:r>
        <w:rPr>
          <w:snapToGrid w:val="0"/>
        </w:rPr>
        <w:t xml:space="preserve"> concerned,</w:t>
      </w:r>
    </w:p>
    <w:p w:rsidR="009515FF" w:rsidRDefault="00B14AD4">
      <w:pPr>
        <w:pStyle w:val="Subsection"/>
        <w:rPr>
          <w:snapToGrid w:val="0"/>
        </w:rPr>
      </w:pPr>
      <w:r>
        <w:rPr>
          <w:snapToGrid w:val="0"/>
        </w:rPr>
        <w:tab/>
      </w:r>
      <w:r>
        <w:rPr>
          <w:snapToGrid w:val="0"/>
        </w:rPr>
        <w:tab/>
        <w:t xml:space="preserve">shall not cause or permit the vessel to enter or depart from any </w:t>
      </w:r>
      <w:r>
        <w:t>pilotage area</w:t>
      </w:r>
      <w:r>
        <w:rPr>
          <w:snapToGrid w:val="0"/>
        </w:rPr>
        <w:t xml:space="preserve"> without having first taken on board a licensed pilot.</w:t>
      </w:r>
    </w:p>
    <w:p w:rsidR="009515FF" w:rsidRDefault="00B14AD4">
      <w:pPr>
        <w:pStyle w:val="Footnotesection"/>
      </w:pPr>
      <w:r>
        <w:tab/>
        <w:t>[Regulation 9 amended: Gazette 23 Oct 1987 p. 3942 (erratum 13 Nov 1987 p. 4146); 19 Jul 1991 p. 3644; 11 Aug 1992 p. 3975; 4 Jun 2010 p. 2434</w:t>
      </w:r>
      <w:r>
        <w:noBreakHyphen/>
        <w:t xml:space="preserve">5 and 2463; 16 Sep 2016 p. 3944.] </w:t>
      </w:r>
    </w:p>
    <w:p w:rsidR="009515FF" w:rsidRDefault="00B14AD4">
      <w:pPr>
        <w:pStyle w:val="Heading5"/>
        <w:rPr>
          <w:snapToGrid w:val="0"/>
        </w:rPr>
      </w:pPr>
      <w:bookmarkStart w:id="42" w:name="_Toc75528190"/>
      <w:r>
        <w:rPr>
          <w:rStyle w:val="CharSectno"/>
        </w:rPr>
        <w:t>10</w:t>
      </w:r>
      <w:r>
        <w:rPr>
          <w:snapToGrid w:val="0"/>
        </w:rPr>
        <w:t>.</w:t>
      </w:r>
      <w:r>
        <w:rPr>
          <w:snapToGrid w:val="0"/>
        </w:rPr>
        <w:tab/>
        <w:t>Boarding and discharging pilot, master’s duties as to</w:t>
      </w:r>
      <w:bookmarkEnd w:id="42"/>
    </w:p>
    <w:p w:rsidR="009515FF" w:rsidRDefault="00B14AD4">
      <w:pPr>
        <w:pStyle w:val="Subsection"/>
        <w:rPr>
          <w:snapToGrid w:val="0"/>
        </w:rPr>
      </w:pPr>
      <w:r>
        <w:rPr>
          <w:snapToGrid w:val="0"/>
        </w:rPr>
        <w:tab/>
        <w:t>(1)</w:t>
      </w:r>
      <w:r>
        <w:rPr>
          <w:snapToGrid w:val="0"/>
        </w:rPr>
        <w:tab/>
        <w:t xml:space="preserve">The master of a vessel approaching </w:t>
      </w:r>
      <w:r>
        <w:t>a pilotage area must —</w:t>
      </w:r>
    </w:p>
    <w:p w:rsidR="009515FF" w:rsidRDefault="00B14AD4">
      <w:pPr>
        <w:pStyle w:val="Indenta"/>
        <w:rPr>
          <w:snapToGrid w:val="0"/>
        </w:rPr>
      </w:pPr>
      <w:r>
        <w:rPr>
          <w:snapToGrid w:val="0"/>
        </w:rPr>
        <w:tab/>
        <w:t>(a)</w:t>
      </w:r>
      <w:r>
        <w:rPr>
          <w:snapToGrid w:val="0"/>
        </w:rPr>
        <w:tab/>
        <w:t>lay to on the pilot boarding ground so as to provide the best possible lee; and</w:t>
      </w:r>
    </w:p>
    <w:p w:rsidR="009515FF" w:rsidRDefault="00B14AD4">
      <w:pPr>
        <w:pStyle w:val="Indenta"/>
        <w:rPr>
          <w:snapToGrid w:val="0"/>
        </w:rPr>
      </w:pPr>
      <w:r>
        <w:rPr>
          <w:snapToGrid w:val="0"/>
        </w:rPr>
        <w:tab/>
        <w:t>(b)</w:t>
      </w:r>
      <w:r>
        <w:rPr>
          <w:snapToGrid w:val="0"/>
        </w:rPr>
        <w:tab/>
        <w:t>provide on the lee side of the vessel a pilot ladder fitted with spreaders and a man rope on either side of the ladder made fast to the vessel quite independent of the ladder, and cause the ladder to be suitably illuminated if the pilot is to board the vessel at night; and</w:t>
      </w:r>
    </w:p>
    <w:p w:rsidR="009515FF" w:rsidRDefault="00B14AD4">
      <w:pPr>
        <w:pStyle w:val="Indenta"/>
        <w:rPr>
          <w:snapToGrid w:val="0"/>
        </w:rPr>
      </w:pPr>
      <w:r>
        <w:rPr>
          <w:snapToGrid w:val="0"/>
        </w:rPr>
        <w:tab/>
        <w:t>(c)</w:t>
      </w:r>
      <w:r>
        <w:rPr>
          <w:snapToGrid w:val="0"/>
        </w:rPr>
        <w:tab/>
        <w:t>if the vessel is of high structure, and is fitted with gangway doors, cause one gangway door to be opened and the ladder rigged at that doorway; and</w:t>
      </w:r>
    </w:p>
    <w:p w:rsidR="009515FF" w:rsidRDefault="00B14AD4">
      <w:pPr>
        <w:pStyle w:val="Indenta"/>
        <w:rPr>
          <w:snapToGrid w:val="0"/>
        </w:rPr>
      </w:pPr>
      <w:r>
        <w:rPr>
          <w:snapToGrid w:val="0"/>
        </w:rPr>
        <w:tab/>
        <w:t>(d)</w:t>
      </w:r>
      <w:r>
        <w:rPr>
          <w:snapToGrid w:val="0"/>
        </w:rPr>
        <w:tab/>
        <w:t xml:space="preserve">provide a suitable boat rope of which the forward end is fastened well clear forward of the ladder in readiness to </w:t>
      </w:r>
      <w:r>
        <w:rPr>
          <w:snapToGrid w:val="0"/>
        </w:rPr>
        <w:lastRenderedPageBreak/>
        <w:t>be released when the pilot vessel has secured the boat rope; and</w:t>
      </w:r>
    </w:p>
    <w:p w:rsidR="009515FF" w:rsidRDefault="00B14AD4">
      <w:pPr>
        <w:pStyle w:val="Indenta"/>
        <w:rPr>
          <w:snapToGrid w:val="0"/>
        </w:rPr>
      </w:pPr>
      <w:r>
        <w:rPr>
          <w:snapToGrid w:val="0"/>
        </w:rPr>
        <w:tab/>
        <w:t>(e)</w:t>
      </w:r>
      <w:r>
        <w:rPr>
          <w:snapToGrid w:val="0"/>
        </w:rPr>
        <w:tab/>
        <w:t>arrange for all scuppers, sanitary and other refuse outlets near the pilot ladder to be closed.</w:t>
      </w:r>
    </w:p>
    <w:p w:rsidR="009515FF" w:rsidRDefault="00B14AD4">
      <w:pPr>
        <w:pStyle w:val="Subsection"/>
        <w:rPr>
          <w:snapToGrid w:val="0"/>
        </w:rPr>
      </w:pPr>
      <w:r>
        <w:rPr>
          <w:snapToGrid w:val="0"/>
        </w:rPr>
        <w:tab/>
        <w:t>(2)</w:t>
      </w:r>
      <w:r>
        <w:rPr>
          <w:snapToGrid w:val="0"/>
        </w:rPr>
        <w:tab/>
        <w:t xml:space="preserve">The master of a vessel from which a pilot is being discharged after the vessel has departed from a </w:t>
      </w:r>
      <w:r>
        <w:t xml:space="preserve">pilotage area must </w:t>
      </w:r>
      <w:r>
        <w:rPr>
          <w:snapToGrid w:val="0"/>
        </w:rPr>
        <w:t>make arrangements similar to those set out in subregulation (1) to assist the pilot leaving the vessel and boarding the pilot boat.</w:t>
      </w:r>
    </w:p>
    <w:p w:rsidR="009515FF" w:rsidRDefault="00B14AD4">
      <w:pPr>
        <w:pStyle w:val="Footnotesection"/>
        <w:spacing w:before="80"/>
        <w:ind w:left="890" w:hanging="890"/>
      </w:pPr>
      <w:r>
        <w:tab/>
        <w:t xml:space="preserve">[Regulation 10 amended: Gazette 19 Jul 1991 p. 3644; 4 Jun 2010 p. 2435.] </w:t>
      </w:r>
    </w:p>
    <w:p w:rsidR="009515FF" w:rsidRDefault="00B14AD4">
      <w:pPr>
        <w:pStyle w:val="Heading5"/>
        <w:rPr>
          <w:snapToGrid w:val="0"/>
        </w:rPr>
      </w:pPr>
      <w:bookmarkStart w:id="43" w:name="_Toc75528191"/>
      <w:r>
        <w:rPr>
          <w:rStyle w:val="CharSectno"/>
        </w:rPr>
        <w:t>11</w:t>
      </w:r>
      <w:r>
        <w:rPr>
          <w:snapToGrid w:val="0"/>
        </w:rPr>
        <w:t>.</w:t>
      </w:r>
      <w:r>
        <w:rPr>
          <w:snapToGrid w:val="0"/>
        </w:rPr>
        <w:tab/>
        <w:t>Master to declare draught to pilot</w:t>
      </w:r>
      <w:bookmarkEnd w:id="43"/>
    </w:p>
    <w:p w:rsidR="009515FF" w:rsidRDefault="00B14AD4">
      <w:pPr>
        <w:pStyle w:val="Subsection"/>
        <w:spacing w:before="180"/>
        <w:rPr>
          <w:snapToGrid w:val="0"/>
        </w:rPr>
      </w:pPr>
      <w:r>
        <w:rPr>
          <w:snapToGrid w:val="0"/>
        </w:rPr>
        <w:tab/>
      </w:r>
      <w:r>
        <w:rPr>
          <w:snapToGrid w:val="0"/>
        </w:rPr>
        <w:tab/>
        <w:t>The master of a vessel onto which a pilot has been taken, shall, if requested, declare to the pilot the draught of the vessel.</w:t>
      </w:r>
    </w:p>
    <w:p w:rsidR="009515FF" w:rsidRDefault="00B14AD4">
      <w:pPr>
        <w:pStyle w:val="Heading5"/>
        <w:spacing w:before="240"/>
        <w:rPr>
          <w:snapToGrid w:val="0"/>
        </w:rPr>
      </w:pPr>
      <w:bookmarkStart w:id="44" w:name="_Toc75528192"/>
      <w:r>
        <w:rPr>
          <w:rStyle w:val="CharSectno"/>
        </w:rPr>
        <w:t>12</w:t>
      </w:r>
      <w:r>
        <w:rPr>
          <w:snapToGrid w:val="0"/>
        </w:rPr>
        <w:t>.</w:t>
      </w:r>
      <w:r>
        <w:rPr>
          <w:snapToGrid w:val="0"/>
        </w:rPr>
        <w:tab/>
        <w:t>Flag required on pilot boat</w:t>
      </w:r>
      <w:bookmarkEnd w:id="44"/>
    </w:p>
    <w:p w:rsidR="009515FF" w:rsidRDefault="00B14AD4">
      <w:pPr>
        <w:pStyle w:val="Subsection"/>
        <w:spacing w:before="180"/>
        <w:rPr>
          <w:snapToGrid w:val="0"/>
        </w:rPr>
      </w:pPr>
      <w:r>
        <w:rPr>
          <w:snapToGrid w:val="0"/>
        </w:rPr>
        <w:tab/>
      </w:r>
      <w:r>
        <w:rPr>
          <w:snapToGrid w:val="0"/>
        </w:rPr>
        <w:tab/>
        <w:t>The master of a pilot boat shall, at any time that the vessel is in service, cause to be so flown from the pilot boat as to be easily discernible from a reasonable distance a flag of which the upper half is white and the lower half red.</w:t>
      </w:r>
    </w:p>
    <w:p w:rsidR="009515FF" w:rsidRDefault="00B14AD4">
      <w:pPr>
        <w:pStyle w:val="Heading5"/>
        <w:spacing w:before="240"/>
        <w:rPr>
          <w:snapToGrid w:val="0"/>
        </w:rPr>
      </w:pPr>
      <w:bookmarkStart w:id="45" w:name="_Toc75528193"/>
      <w:r>
        <w:rPr>
          <w:rStyle w:val="CharSectno"/>
        </w:rPr>
        <w:t>13</w:t>
      </w:r>
      <w:r>
        <w:rPr>
          <w:snapToGrid w:val="0"/>
        </w:rPr>
        <w:t>.</w:t>
      </w:r>
      <w:r>
        <w:rPr>
          <w:snapToGrid w:val="0"/>
        </w:rPr>
        <w:tab/>
        <w:t>Masters of tugs etc. assisting piloted vessel to obey pilot</w:t>
      </w:r>
      <w:bookmarkEnd w:id="45"/>
    </w:p>
    <w:p w:rsidR="009515FF" w:rsidRDefault="00B14AD4">
      <w:pPr>
        <w:pStyle w:val="Subsection"/>
        <w:spacing w:before="180"/>
        <w:rPr>
          <w:snapToGrid w:val="0"/>
        </w:rPr>
      </w:pPr>
      <w:r>
        <w:rPr>
          <w:snapToGrid w:val="0"/>
        </w:rPr>
        <w:tab/>
      </w:r>
      <w:r>
        <w:rPr>
          <w:snapToGrid w:val="0"/>
        </w:rPr>
        <w:tab/>
        <w:t>The master of any vessel that is employed to tow, move or in any way assist the manoeuvring of a vessel in the charge of a</w:t>
      </w:r>
      <w:r>
        <w:t xml:space="preserve"> licensed</w:t>
      </w:r>
      <w:r>
        <w:rPr>
          <w:snapToGrid w:val="0"/>
        </w:rPr>
        <w:t xml:space="preserve"> pilot shall obey all orders and directions of the pilot.</w:t>
      </w:r>
    </w:p>
    <w:p w:rsidR="009515FF" w:rsidRDefault="00B14AD4">
      <w:pPr>
        <w:pStyle w:val="Footnotesection"/>
      </w:pPr>
      <w:r>
        <w:tab/>
        <w:t>[Regulation 13 amended: Gazette 4 Jun 2010 p. 2464.]</w:t>
      </w:r>
    </w:p>
    <w:p w:rsidR="009515FF" w:rsidRDefault="00B14AD4">
      <w:pPr>
        <w:pStyle w:val="Heading5"/>
        <w:spacing w:before="240"/>
        <w:rPr>
          <w:snapToGrid w:val="0"/>
        </w:rPr>
      </w:pPr>
      <w:bookmarkStart w:id="46" w:name="_Toc75528194"/>
      <w:r>
        <w:rPr>
          <w:rStyle w:val="CharSectno"/>
        </w:rPr>
        <w:t>14</w:t>
      </w:r>
      <w:r>
        <w:rPr>
          <w:snapToGrid w:val="0"/>
        </w:rPr>
        <w:t>.</w:t>
      </w:r>
      <w:r>
        <w:rPr>
          <w:snapToGrid w:val="0"/>
        </w:rPr>
        <w:tab/>
        <w:t>Vessel movement in pilotage area, restrictions on; when 2 pilots required</w:t>
      </w:r>
      <w:bookmarkEnd w:id="46"/>
    </w:p>
    <w:p w:rsidR="009515FF" w:rsidRDefault="00B14AD4">
      <w:pPr>
        <w:pStyle w:val="Subsection"/>
        <w:keepNext/>
        <w:spacing w:before="180"/>
        <w:rPr>
          <w:snapToGrid w:val="0"/>
        </w:rPr>
      </w:pPr>
      <w:r>
        <w:tab/>
        <w:t>(1)</w:t>
      </w:r>
      <w:r>
        <w:tab/>
      </w:r>
      <w:r>
        <w:rPr>
          <w:snapToGrid w:val="0"/>
        </w:rPr>
        <w:t xml:space="preserve">The master of any vessel that is within a pilotage area — </w:t>
      </w:r>
    </w:p>
    <w:p w:rsidR="009515FF" w:rsidRDefault="00B14AD4">
      <w:pPr>
        <w:pStyle w:val="Indenta"/>
        <w:rPr>
          <w:snapToGrid w:val="0"/>
        </w:rPr>
      </w:pPr>
      <w:r>
        <w:rPr>
          <w:snapToGrid w:val="0"/>
        </w:rPr>
        <w:tab/>
        <w:t>(a)</w:t>
      </w:r>
      <w:r>
        <w:rPr>
          <w:snapToGrid w:val="0"/>
        </w:rPr>
        <w:tab/>
        <w:t>must not move the vessel within that pilotage area without the consent of the harbour master of the port, except as provided in subregulation (2A); and</w:t>
      </w:r>
    </w:p>
    <w:p w:rsidR="009515FF" w:rsidRDefault="00B14AD4">
      <w:pPr>
        <w:pStyle w:val="Indenta"/>
        <w:rPr>
          <w:snapToGrid w:val="0"/>
        </w:rPr>
      </w:pPr>
      <w:r>
        <w:rPr>
          <w:snapToGrid w:val="0"/>
        </w:rPr>
        <w:lastRenderedPageBreak/>
        <w:tab/>
        <w:t>(b)</w:t>
      </w:r>
      <w:r>
        <w:rPr>
          <w:snapToGrid w:val="0"/>
        </w:rPr>
        <w:tab/>
        <w:t>unless he or she is an exempt master in respect of that pilotage area — must obtain the services of a licensed pilot before moving the vessel if the harbour master so directs.</w:t>
      </w:r>
    </w:p>
    <w:p w:rsidR="009515FF" w:rsidRDefault="00B14AD4">
      <w:pPr>
        <w:pStyle w:val="Subsection"/>
      </w:pPr>
      <w:r>
        <w:tab/>
        <w:t>(2A)</w:t>
      </w:r>
      <w:r>
        <w:tab/>
        <w:t>If the harbour master of a port has given consent for a dredging operation to commence, the master of the dredger may, for the purposes of the operation, move the vessel within any part of the pilotage area, as permitted by the harbour master.</w:t>
      </w:r>
    </w:p>
    <w:p w:rsidR="009515FF" w:rsidRDefault="00B14AD4">
      <w:pPr>
        <w:pStyle w:val="Subsection"/>
        <w:rPr>
          <w:snapToGrid w:val="0"/>
        </w:rPr>
      </w:pPr>
      <w:r>
        <w:rPr>
          <w:snapToGrid w:val="0"/>
        </w:rPr>
        <w:tab/>
        <w:t>(2)</w:t>
      </w:r>
      <w:r>
        <w:rPr>
          <w:snapToGrid w:val="0"/>
        </w:rPr>
        <w:tab/>
        <w:t xml:space="preserve">Where, because of the structural arrangement of a vessel, the visibility of a pilot conning a vessel from the normal position is adversely affected, the </w:t>
      </w:r>
      <w:r>
        <w:t>harbour master</w:t>
      </w:r>
      <w:r>
        <w:rPr>
          <w:snapToGrid w:val="0"/>
        </w:rPr>
        <w:t xml:space="preserve"> may direct that a second </w:t>
      </w:r>
      <w:r>
        <w:t>licensed</w:t>
      </w:r>
      <w:r>
        <w:rPr>
          <w:snapToGrid w:val="0"/>
        </w:rPr>
        <w:t xml:space="preserve"> pilot be engaged to assist the first pilot.</w:t>
      </w:r>
    </w:p>
    <w:p w:rsidR="009515FF" w:rsidRDefault="00B14AD4">
      <w:pPr>
        <w:pStyle w:val="Subsection"/>
      </w:pPr>
      <w:r>
        <w:tab/>
        <w:t>(3)</w:t>
      </w:r>
      <w:r>
        <w:tab/>
        <w:t xml:space="preserve">Where a second licensed pilot is engaged to assist, an additional charge equal to half the amount payable for the first pilot is payable to a maximum of </w:t>
      </w:r>
      <w:r>
        <w:rPr>
          <w:bCs/>
          <w:szCs w:val="24"/>
        </w:rPr>
        <w:t xml:space="preserve">$6 267.67 </w:t>
      </w:r>
      <w:r>
        <w:t>in respect of each occasion on which that vessel is required to be so piloted.</w:t>
      </w:r>
    </w:p>
    <w:p w:rsidR="009515FF" w:rsidRDefault="00B14AD4">
      <w:pPr>
        <w:pStyle w:val="Footnotesection"/>
        <w:keepLines w:val="0"/>
        <w:ind w:left="890" w:hanging="890"/>
      </w:pPr>
      <w:r>
        <w:tab/>
        <w:t>[Regulation 14 inserted: Gazette 14 Jun 1974 p. 1911; amended: Gazette 12 Oct 1984 p. 3274 (erratum 26 Oct 1984 p. 3459); 30 Aug 1985 p. 3079; 8 Aug 1986 p. 2831; 16 Oct 1987 p. 3896; 12 Aug 1988 p. 2711; 30 Jun 1989 p. 1921; 1 Aug 1990 p. 3643; 19 Jul 1991 p. 3644; 26 Jul 1991 p. 3925; 30 Jun 1992 p. 2902; 29 Jun 1993 p. 3182; 14 Jun 1994 p. 2483; 30 Jun 1995 p. 2692; 25 Jun 1996 p. 2993; 12 May 1998 p. 2773; 20 Jun 2000 p. 3040; 27 Jul 2001 p. 3802; 14 Jun 2002 p. 2821; 27 Jun 2003 p. 2521; 25 Jun 2004 p. 2266; 24 Jun 2005 p. 2774; 23 Jun 2006 p. 2209; 12 Jun 2007 p. 2723; 1 Jul 2008 p. 3156; 23 Jun 2009 p. 2483; 4 Jun 2010 p. 2435</w:t>
      </w:r>
      <w:r>
        <w:noBreakHyphen/>
        <w:t>6 and 2464</w:t>
      </w:r>
      <w:r>
        <w:noBreakHyphen/>
        <w:t xml:space="preserve">5; 30 Jun 2010 p. 3168; 21 Jun 2011 p. 2231; 15 Jun 2012 p. 2521; 28 Jun 2013 p. 2777; 27 Jun 2014 p. 2353; 12 Jun 2015 p. 2029; 27 May 2016 p. 1553; 26 May 2017 p. 2645; 25 May 2018 p. 1645; 17 May 2019 p. 1441; SL 2020/60 r. 10.] </w:t>
      </w:r>
    </w:p>
    <w:p w:rsidR="00CD1B0E" w:rsidRPr="00717266" w:rsidRDefault="00CD1B0E" w:rsidP="00717266">
      <w:pPr>
        <w:pStyle w:val="Ednotedivision"/>
      </w:pPr>
      <w:bookmarkStart w:id="47" w:name="_Toc75423286"/>
      <w:r>
        <w:t>[Division 3 (r. 15</w:t>
      </w:r>
      <w:r>
        <w:noBreakHyphen/>
        <w:t>15C) deleted: SL 2021/51 r. 11.]</w:t>
      </w:r>
    </w:p>
    <w:p w:rsidR="009515FF" w:rsidRDefault="00B14AD4">
      <w:pPr>
        <w:pStyle w:val="Heading3"/>
        <w:spacing w:before="200"/>
      </w:pPr>
      <w:bookmarkStart w:id="48" w:name="_Toc75423291"/>
      <w:bookmarkStart w:id="49" w:name="_Toc75426773"/>
      <w:bookmarkStart w:id="50" w:name="_Toc75528195"/>
      <w:bookmarkEnd w:id="47"/>
      <w:r>
        <w:rPr>
          <w:rStyle w:val="CharDivNo"/>
        </w:rPr>
        <w:lastRenderedPageBreak/>
        <w:t>Division 4</w:t>
      </w:r>
      <w:r>
        <w:t> — </w:t>
      </w:r>
      <w:r>
        <w:rPr>
          <w:rStyle w:val="CharDivText"/>
        </w:rPr>
        <w:t>Pilotage exemption certificates</w:t>
      </w:r>
      <w:bookmarkEnd w:id="48"/>
      <w:bookmarkEnd w:id="49"/>
      <w:bookmarkEnd w:id="50"/>
    </w:p>
    <w:p w:rsidR="009515FF" w:rsidRDefault="00B14AD4">
      <w:pPr>
        <w:pStyle w:val="Footnoteheading"/>
        <w:keepNext/>
        <w:spacing w:before="80"/>
      </w:pPr>
      <w:r>
        <w:tab/>
        <w:t>[Heading inserted: Gazette 4 Jun 2010 p. 2437.]</w:t>
      </w:r>
    </w:p>
    <w:p w:rsidR="009515FF" w:rsidRDefault="00B14AD4">
      <w:pPr>
        <w:pStyle w:val="Heading5"/>
        <w:spacing w:before="180"/>
        <w:rPr>
          <w:snapToGrid w:val="0"/>
        </w:rPr>
      </w:pPr>
      <w:bookmarkStart w:id="51" w:name="_Toc75528196"/>
      <w:r>
        <w:rPr>
          <w:rStyle w:val="CharSectno"/>
        </w:rPr>
        <w:t>16</w:t>
      </w:r>
      <w:r>
        <w:rPr>
          <w:snapToGrid w:val="0"/>
        </w:rPr>
        <w:t>.</w:t>
      </w:r>
      <w:r>
        <w:rPr>
          <w:snapToGrid w:val="0"/>
        </w:rPr>
        <w:tab/>
        <w:t>Who is entitled to certificate</w:t>
      </w:r>
      <w:bookmarkEnd w:id="51"/>
    </w:p>
    <w:p w:rsidR="009515FF" w:rsidRDefault="00B14AD4">
      <w:pPr>
        <w:pStyle w:val="Subsection"/>
        <w:rPr>
          <w:snapToGrid w:val="0"/>
        </w:rPr>
      </w:pPr>
      <w:r>
        <w:rPr>
          <w:snapToGrid w:val="0"/>
        </w:rPr>
        <w:tab/>
      </w:r>
      <w:r>
        <w:rPr>
          <w:snapToGrid w:val="0"/>
        </w:rPr>
        <w:tab/>
        <w:t xml:space="preserve">The CEO shall issue a pilotage exemption certificate, valid for use in respect of the </w:t>
      </w:r>
      <w:r>
        <w:t>pilotage areas</w:t>
      </w:r>
      <w:r>
        <w:rPr>
          <w:snapToGrid w:val="0"/>
        </w:rPr>
        <w:t xml:space="preserve"> specified in the certificate, to a person who — </w:t>
      </w:r>
    </w:p>
    <w:p w:rsidR="009515FF" w:rsidRDefault="00B14AD4">
      <w:pPr>
        <w:pStyle w:val="Indenta"/>
      </w:pPr>
      <w:r>
        <w:tab/>
        <w:t>(a)</w:t>
      </w:r>
      <w:r>
        <w:tab/>
        <w:t xml:space="preserve">is — </w:t>
      </w:r>
    </w:p>
    <w:p w:rsidR="009515FF" w:rsidRDefault="00B14AD4">
      <w:pPr>
        <w:pStyle w:val="Indenti"/>
      </w:pPr>
      <w:r>
        <w:tab/>
        <w:t>(i)</w:t>
      </w:r>
      <w:r>
        <w:tab/>
        <w:t>entitled to reside permanently in Australia under an Act of the Commonwealth; or</w:t>
      </w:r>
    </w:p>
    <w:p w:rsidR="009515FF" w:rsidRDefault="00B14AD4">
      <w:pPr>
        <w:pStyle w:val="Indenti"/>
      </w:pPr>
      <w:r>
        <w:tab/>
        <w:t>(ii)</w:t>
      </w:r>
      <w:r>
        <w:tab/>
        <w:t xml:space="preserve">a New Zealand citizen who is entitled to reside and work in Australia under an Act of the Commonwealth; </w:t>
      </w:r>
    </w:p>
    <w:p w:rsidR="009515FF" w:rsidRDefault="00B14AD4">
      <w:pPr>
        <w:pStyle w:val="Indenta"/>
      </w:pPr>
      <w:r>
        <w:tab/>
      </w:r>
      <w:r>
        <w:tab/>
        <w:t>and</w:t>
      </w:r>
    </w:p>
    <w:p w:rsidR="009515FF" w:rsidRDefault="00B14AD4">
      <w:pPr>
        <w:pStyle w:val="Indenta"/>
        <w:rPr>
          <w:snapToGrid w:val="0"/>
        </w:rPr>
      </w:pPr>
      <w:r>
        <w:rPr>
          <w:snapToGrid w:val="0"/>
        </w:rPr>
        <w:tab/>
        <w:t>(b)</w:t>
      </w:r>
      <w:r>
        <w:rPr>
          <w:snapToGrid w:val="0"/>
        </w:rPr>
        <w:tab/>
        <w:t>has met the requirements of regulation 16B; and</w:t>
      </w:r>
    </w:p>
    <w:p w:rsidR="009515FF" w:rsidRDefault="00B14AD4">
      <w:pPr>
        <w:pStyle w:val="Indenta"/>
        <w:keepNext/>
        <w:keepLines/>
        <w:rPr>
          <w:snapToGrid w:val="0"/>
        </w:rPr>
      </w:pPr>
      <w:r>
        <w:rPr>
          <w:snapToGrid w:val="0"/>
        </w:rPr>
        <w:tab/>
        <w:t>(c)</w:t>
      </w:r>
      <w:r>
        <w:rPr>
          <w:snapToGrid w:val="0"/>
        </w:rPr>
        <w:tab/>
        <w:t xml:space="preserve">has submitted a certificate of health showing, to the satisfaction of the CEO, that </w:t>
      </w:r>
      <w:r>
        <w:t>he or she</w:t>
      </w:r>
      <w:r>
        <w:rPr>
          <w:snapToGrid w:val="0"/>
        </w:rPr>
        <w:t xml:space="preserve"> does not suffer from any disability that is likely to affect his or her ability to do what the certificate will entitle him or her to do; and</w:t>
      </w:r>
    </w:p>
    <w:p w:rsidR="00CD1B0E" w:rsidRDefault="00CD1B0E" w:rsidP="00CD1B0E">
      <w:pPr>
        <w:pStyle w:val="Indenta"/>
      </w:pPr>
      <w:r>
        <w:tab/>
        <w:t>(d)</w:t>
      </w:r>
      <w:r>
        <w:tab/>
        <w:t xml:space="preserve">has paid a fee of </w:t>
      </w:r>
      <w:r w:rsidR="00BC1EA4">
        <w:t>$747.85</w:t>
      </w:r>
      <w:r>
        <w:t xml:space="preserve"> in respect of each port specified in the certificate.</w:t>
      </w:r>
    </w:p>
    <w:p w:rsidR="009515FF" w:rsidRDefault="00B14AD4">
      <w:pPr>
        <w:pStyle w:val="Footnotesection"/>
        <w:keepLines w:val="0"/>
      </w:pPr>
      <w:r>
        <w:tab/>
        <w:t>[Regulation 16 inserted: Gazette 19 Jul 1991 p. 3644</w:t>
      </w:r>
      <w:r>
        <w:noBreakHyphen/>
        <w:t xml:space="preserve">5; amended: Gazette 26 Jul 1991 p. 3926; 30 Jun 1992 p. 2903; </w:t>
      </w:r>
      <w:r>
        <w:rPr>
          <w:spacing w:val="-2"/>
        </w:rPr>
        <w:t>29 Jun 1993 p. 3183; 14 Jun 1994 p. 2484; 30 Jun 1995 p. 2693; 25 Jun 1996 p. 2994; 12 May 1998 p. 2773</w:t>
      </w:r>
      <w:r>
        <w:rPr>
          <w:spacing w:val="-2"/>
        </w:rPr>
        <w:noBreakHyphen/>
        <w:t xml:space="preserve">4; 20 Jun 2000 p. 3041; 14 Jun 2002 p. 2821; 27 Jun 2003 p. 2522; 25 Jun 2004 p. 2267; 24 Jun 2005 p. 2775; </w:t>
      </w:r>
      <w:r>
        <w:t xml:space="preserve">23 Jun 2006 p. 2209; 12 Jun 2007 p. 2724; 1 Jul 2008 p. 3157; 23 Jun 2009 p. 2484; 4 Jun 2010 p. 2437, 2463 and 2466; 30 Jun 2010 p. 3169; 21 Jun 2011 p. 2231; 15 Jun 2012 p. 2522 and 2527; 28 Jun 2013 p. 2769 and 2778; 30 May 2014 p. 1688; 27 Jun 2014 p. 2354; 12 Jun 2015 p. 2030; 27 May 2016 p. 1553; 26 May 2017 p. 2645; 11 May 2018 p. 1512; 25 May 2018 p. 1645; </w:t>
      </w:r>
      <w:r>
        <w:lastRenderedPageBreak/>
        <w:t>17 May 2019 p. 1441; SL 2020/60 r. 10</w:t>
      </w:r>
      <w:r w:rsidR="00CD1B0E">
        <w:t>;</w:t>
      </w:r>
      <w:r w:rsidR="00CD1B0E" w:rsidRPr="00CD1B0E">
        <w:t xml:space="preserve"> </w:t>
      </w:r>
      <w:r w:rsidR="00CD1B0E">
        <w:t>SL 2021/51 r. 12</w:t>
      </w:r>
      <w:r w:rsidR="00BC1EA4">
        <w:t>; SL 2021/92 r. 22</w:t>
      </w:r>
      <w:r>
        <w:t xml:space="preserve">.] </w:t>
      </w:r>
    </w:p>
    <w:p w:rsidR="009515FF" w:rsidRDefault="00B14AD4">
      <w:pPr>
        <w:pStyle w:val="Heading5"/>
        <w:rPr>
          <w:snapToGrid w:val="0"/>
        </w:rPr>
      </w:pPr>
      <w:bookmarkStart w:id="52" w:name="_Toc75528197"/>
      <w:r>
        <w:rPr>
          <w:rStyle w:val="CharSectno"/>
        </w:rPr>
        <w:t>16A</w:t>
      </w:r>
      <w:r>
        <w:rPr>
          <w:snapToGrid w:val="0"/>
        </w:rPr>
        <w:t>.</w:t>
      </w:r>
      <w:r>
        <w:rPr>
          <w:snapToGrid w:val="0"/>
        </w:rPr>
        <w:tab/>
        <w:t>Who is eligible to attempt r. 16B examination</w:t>
      </w:r>
      <w:bookmarkEnd w:id="52"/>
      <w:r>
        <w:rPr>
          <w:snapToGrid w:val="0"/>
        </w:rPr>
        <w:t xml:space="preserve"> </w:t>
      </w:r>
    </w:p>
    <w:p w:rsidR="009515FF" w:rsidRDefault="00B14AD4">
      <w:pPr>
        <w:pStyle w:val="Subsection"/>
        <w:spacing w:before="100"/>
      </w:pPr>
      <w:r>
        <w:tab/>
        <w:t>(1)</w:t>
      </w:r>
      <w:r>
        <w:tab/>
        <w:t xml:space="preserve">A person is not eligible to be examined under regulation 16B unless in the 2 years immediately before the examination he or she has made — </w:t>
      </w:r>
    </w:p>
    <w:p w:rsidR="009515FF" w:rsidRDefault="00B14AD4">
      <w:pPr>
        <w:pStyle w:val="Indenta"/>
      </w:pPr>
      <w:r>
        <w:tab/>
        <w:t>(a)</w:t>
      </w:r>
      <w:r>
        <w:tab/>
        <w:t>3 trips into and 3 trips out of the subject port in command of a vessel; or</w:t>
      </w:r>
    </w:p>
    <w:p w:rsidR="009515FF" w:rsidRDefault="00B14AD4">
      <w:pPr>
        <w:pStyle w:val="Indenta"/>
      </w:pPr>
      <w:r>
        <w:tab/>
        <w:t>(b)</w:t>
      </w:r>
      <w:r>
        <w:tab/>
        <w:t>2 trips into and 2 trips out of the subject port in command of a vessel and 2 trips into and 2 trips out of the subject port as first mate on duty on the bridge throughout the period of pilotage or, if the vessel was under the command of an exempt master, throughout what would otherwise have been the period of compulsory pilotage.</w:t>
      </w:r>
    </w:p>
    <w:p w:rsidR="009515FF" w:rsidRDefault="00B14AD4">
      <w:pPr>
        <w:pStyle w:val="Subsection"/>
        <w:spacing w:before="100"/>
        <w:rPr>
          <w:snapToGrid w:val="0"/>
        </w:rPr>
      </w:pPr>
      <w:r>
        <w:rPr>
          <w:snapToGrid w:val="0"/>
        </w:rPr>
        <w:tab/>
        <w:t>(2)</w:t>
      </w:r>
      <w:r>
        <w:rPr>
          <w:snapToGrid w:val="0"/>
        </w:rPr>
        <w:tab/>
        <w:t xml:space="preserve">Where a </w:t>
      </w:r>
      <w:r>
        <w:t>person</w:t>
      </w:r>
      <w:r>
        <w:rPr>
          <w:snapToGrid w:val="0"/>
        </w:rPr>
        <w:t xml:space="preserve"> is seeking to obtain a certificate that is valid for use during hours of daylight and hours of darkness, at least one trip into and one trip out of the subject port in command of a vessel as referred to in subregulation (1) must have been made during hours of darkness.</w:t>
      </w:r>
    </w:p>
    <w:p w:rsidR="009515FF" w:rsidRDefault="00B14AD4">
      <w:pPr>
        <w:pStyle w:val="Subsection"/>
        <w:spacing w:before="120"/>
        <w:rPr>
          <w:snapToGrid w:val="0"/>
        </w:rPr>
      </w:pPr>
      <w:r>
        <w:rPr>
          <w:snapToGrid w:val="0"/>
        </w:rPr>
        <w:tab/>
        <w:t>(3)</w:t>
      </w:r>
      <w:r>
        <w:rPr>
          <w:snapToGrid w:val="0"/>
        </w:rPr>
        <w:tab/>
        <w:t>The trips as first mate referred to in subregulation (1)(b) have to be verified in writing by the master or exempt master in command of the vessel.</w:t>
      </w:r>
    </w:p>
    <w:p w:rsidR="009515FF" w:rsidRDefault="00B14AD4">
      <w:pPr>
        <w:pStyle w:val="Footnotesection"/>
      </w:pPr>
      <w:r>
        <w:tab/>
        <w:t xml:space="preserve">[Regulation 16A inserted: Gazette 19 Jul 1991 p. 3645; amended: Gazette 1 Jul 2008 p. 3155.] </w:t>
      </w:r>
    </w:p>
    <w:p w:rsidR="009515FF" w:rsidRDefault="00B14AD4">
      <w:pPr>
        <w:pStyle w:val="Heading5"/>
        <w:spacing w:before="180"/>
        <w:rPr>
          <w:snapToGrid w:val="0"/>
        </w:rPr>
      </w:pPr>
      <w:bookmarkStart w:id="53" w:name="_Toc75528198"/>
      <w:r>
        <w:rPr>
          <w:rStyle w:val="CharSectno"/>
        </w:rPr>
        <w:t>16B</w:t>
      </w:r>
      <w:r>
        <w:rPr>
          <w:snapToGrid w:val="0"/>
        </w:rPr>
        <w:t>.</w:t>
      </w:r>
      <w:r>
        <w:rPr>
          <w:snapToGrid w:val="0"/>
        </w:rPr>
        <w:tab/>
        <w:t>Examinations as to knowledge of port etc.</w:t>
      </w:r>
      <w:bookmarkEnd w:id="53"/>
    </w:p>
    <w:p w:rsidR="009515FF" w:rsidRDefault="00B14AD4">
      <w:pPr>
        <w:pStyle w:val="Subsection"/>
        <w:spacing w:before="120"/>
        <w:rPr>
          <w:snapToGrid w:val="0"/>
        </w:rPr>
      </w:pPr>
      <w:r>
        <w:rPr>
          <w:snapToGrid w:val="0"/>
        </w:rPr>
        <w:tab/>
        <w:t>(1)</w:t>
      </w:r>
      <w:r>
        <w:rPr>
          <w:snapToGrid w:val="0"/>
        </w:rPr>
        <w:tab/>
        <w:t>An applicant for a certificate has to demonstrate, on written or oral examination — </w:t>
      </w:r>
    </w:p>
    <w:p w:rsidR="009515FF" w:rsidRDefault="00B14AD4">
      <w:pPr>
        <w:pStyle w:val="Indenta"/>
        <w:rPr>
          <w:snapToGrid w:val="0"/>
        </w:rPr>
      </w:pPr>
      <w:r>
        <w:rPr>
          <w:snapToGrid w:val="0"/>
        </w:rPr>
        <w:tab/>
        <w:t>(a)</w:t>
      </w:r>
      <w:r>
        <w:rPr>
          <w:snapToGrid w:val="0"/>
        </w:rPr>
        <w:tab/>
        <w:t>adequate general knowledge of the subject port, particularly the soundings, minimum keel clearances, tides, currents, buoys, beacons and lights within the subject port and its approaches; and</w:t>
      </w:r>
    </w:p>
    <w:p w:rsidR="009515FF" w:rsidRDefault="00B14AD4">
      <w:pPr>
        <w:pStyle w:val="Indenta"/>
        <w:rPr>
          <w:snapToGrid w:val="0"/>
        </w:rPr>
      </w:pPr>
      <w:r>
        <w:rPr>
          <w:snapToGrid w:val="0"/>
        </w:rPr>
        <w:lastRenderedPageBreak/>
        <w:tab/>
        <w:t>(b)</w:t>
      </w:r>
      <w:r>
        <w:rPr>
          <w:snapToGrid w:val="0"/>
        </w:rPr>
        <w:tab/>
        <w:t>ability to satisfactorily complete blank charts of the subject port by marking soundings and characteristics of the buoys, beacons, lights, signals and other aids to navigation; and</w:t>
      </w:r>
    </w:p>
    <w:p w:rsidR="009515FF" w:rsidRDefault="00B14AD4">
      <w:pPr>
        <w:pStyle w:val="Indenta"/>
        <w:rPr>
          <w:snapToGrid w:val="0"/>
        </w:rPr>
      </w:pPr>
      <w:r>
        <w:rPr>
          <w:snapToGrid w:val="0"/>
        </w:rPr>
        <w:tab/>
        <w:t>(c)</w:t>
      </w:r>
      <w:r>
        <w:rPr>
          <w:snapToGrid w:val="0"/>
        </w:rPr>
        <w:tab/>
        <w:t>thorough knowledge of control requirements, traffic patterns, separation lanes and the special signals, communications and rules applicable to the subject port; and</w:t>
      </w:r>
    </w:p>
    <w:p w:rsidR="009515FF" w:rsidRDefault="00B14AD4">
      <w:pPr>
        <w:pStyle w:val="Indenta"/>
        <w:keepNext/>
        <w:rPr>
          <w:snapToGrid w:val="0"/>
        </w:rPr>
      </w:pPr>
      <w:r>
        <w:rPr>
          <w:snapToGrid w:val="0"/>
        </w:rPr>
        <w:tab/>
        <w:t>(d)</w:t>
      </w:r>
      <w:r>
        <w:rPr>
          <w:snapToGrid w:val="0"/>
        </w:rPr>
        <w:tab/>
        <w:t>a reasonable knowledge of — </w:t>
      </w:r>
    </w:p>
    <w:p w:rsidR="009515FF" w:rsidRDefault="00B14AD4">
      <w:pPr>
        <w:pStyle w:val="Indenti"/>
        <w:rPr>
          <w:snapToGrid w:val="0"/>
        </w:rPr>
      </w:pPr>
      <w:r>
        <w:rPr>
          <w:snapToGrid w:val="0"/>
        </w:rPr>
        <w:tab/>
        <w:t>(i)</w:t>
      </w:r>
      <w:r>
        <w:rPr>
          <w:snapToGrid w:val="0"/>
        </w:rPr>
        <w:tab/>
        <w:t>these regulations; and</w:t>
      </w:r>
    </w:p>
    <w:p w:rsidR="009515FF" w:rsidRDefault="00B14AD4">
      <w:pPr>
        <w:pStyle w:val="Indenti"/>
        <w:rPr>
          <w:snapToGrid w:val="0"/>
        </w:rPr>
      </w:pPr>
      <w:r>
        <w:rPr>
          <w:snapToGrid w:val="0"/>
        </w:rPr>
        <w:tab/>
        <w:t>(ii)</w:t>
      </w:r>
      <w:r>
        <w:rPr>
          <w:snapToGrid w:val="0"/>
        </w:rPr>
        <w:tab/>
        <w:t xml:space="preserve">the </w:t>
      </w:r>
      <w:r>
        <w:rPr>
          <w:i/>
          <w:snapToGrid w:val="0"/>
        </w:rPr>
        <w:t>Shipping and Pilotage Act 1967</w:t>
      </w:r>
      <w:r>
        <w:rPr>
          <w:snapToGrid w:val="0"/>
        </w:rPr>
        <w:t>; and</w:t>
      </w:r>
    </w:p>
    <w:p w:rsidR="009515FF" w:rsidRDefault="00B14AD4">
      <w:pPr>
        <w:pStyle w:val="Indenti"/>
        <w:rPr>
          <w:snapToGrid w:val="0"/>
        </w:rPr>
      </w:pPr>
      <w:r>
        <w:rPr>
          <w:snapToGrid w:val="0"/>
        </w:rPr>
        <w:tab/>
        <w:t>(iii)</w:t>
      </w:r>
      <w:r>
        <w:rPr>
          <w:snapToGrid w:val="0"/>
        </w:rPr>
        <w:tab/>
        <w:t xml:space="preserve">the </w:t>
      </w:r>
      <w:r>
        <w:rPr>
          <w:i/>
          <w:snapToGrid w:val="0"/>
        </w:rPr>
        <w:t>Western Australian Marine Act 1982</w:t>
      </w:r>
      <w:r>
        <w:rPr>
          <w:snapToGrid w:val="0"/>
        </w:rPr>
        <w:t>; and</w:t>
      </w:r>
    </w:p>
    <w:p w:rsidR="009515FF" w:rsidRDefault="00B14AD4">
      <w:pPr>
        <w:pStyle w:val="Indenti"/>
      </w:pPr>
      <w:r>
        <w:tab/>
        <w:t>(iv)</w:t>
      </w:r>
      <w:r>
        <w:tab/>
        <w:t xml:space="preserve">the </w:t>
      </w:r>
      <w:r>
        <w:rPr>
          <w:i/>
          <w:iCs/>
        </w:rPr>
        <w:t>Pollution of Waters by Oil and Noxious Substances Act 1987</w:t>
      </w:r>
      <w:r>
        <w:t>; and</w:t>
      </w:r>
    </w:p>
    <w:p w:rsidR="009515FF" w:rsidRDefault="00B14AD4">
      <w:pPr>
        <w:pStyle w:val="Indenti"/>
        <w:rPr>
          <w:snapToGrid w:val="0"/>
        </w:rPr>
      </w:pPr>
      <w:r>
        <w:rPr>
          <w:snapToGrid w:val="0"/>
        </w:rPr>
        <w:tab/>
        <w:t>(v)</w:t>
      </w:r>
      <w:r>
        <w:rPr>
          <w:snapToGrid w:val="0"/>
        </w:rPr>
        <w:tab/>
        <w:t>any written law applying specifically in respect of the subject port.</w:t>
      </w:r>
    </w:p>
    <w:p w:rsidR="009515FF" w:rsidRDefault="00B14AD4">
      <w:pPr>
        <w:pStyle w:val="Subsection"/>
        <w:rPr>
          <w:snapToGrid w:val="0"/>
        </w:rPr>
      </w:pPr>
      <w:r>
        <w:rPr>
          <w:snapToGrid w:val="0"/>
        </w:rPr>
        <w:tab/>
        <w:t>(2)</w:t>
      </w:r>
      <w:r>
        <w:rPr>
          <w:snapToGrid w:val="0"/>
        </w:rPr>
        <w:tab/>
        <w:t>An applicant for a certificate has to demonstrate by practical examination safe ship handling ability within the limits of the subject port.</w:t>
      </w:r>
    </w:p>
    <w:p w:rsidR="009515FF" w:rsidRDefault="00B14AD4">
      <w:pPr>
        <w:pStyle w:val="Footnotesection"/>
      </w:pPr>
      <w:r>
        <w:tab/>
        <w:t>[Regulation 16B inserted: Gazette 19 Jul 1991 p. 3645; amended: Gazette 4 Jun 2010 p. 2437</w:t>
      </w:r>
      <w:r>
        <w:noBreakHyphen/>
        <w:t xml:space="preserve">8.] </w:t>
      </w:r>
    </w:p>
    <w:p w:rsidR="009515FF" w:rsidRDefault="00B14AD4">
      <w:pPr>
        <w:pStyle w:val="Heading5"/>
        <w:rPr>
          <w:snapToGrid w:val="0"/>
        </w:rPr>
      </w:pPr>
      <w:bookmarkStart w:id="54" w:name="_Toc75528199"/>
      <w:r>
        <w:rPr>
          <w:rStyle w:val="CharSectno"/>
        </w:rPr>
        <w:t>16C</w:t>
      </w:r>
      <w:r>
        <w:rPr>
          <w:snapToGrid w:val="0"/>
        </w:rPr>
        <w:t>.</w:t>
      </w:r>
      <w:r>
        <w:rPr>
          <w:snapToGrid w:val="0"/>
        </w:rPr>
        <w:tab/>
        <w:t>Certificate of health</w:t>
      </w:r>
      <w:bookmarkEnd w:id="54"/>
    </w:p>
    <w:p w:rsidR="009515FF" w:rsidRDefault="00B14AD4">
      <w:pPr>
        <w:pStyle w:val="Ednotesubsection"/>
      </w:pPr>
      <w:r>
        <w:tab/>
        <w:t>[(1)</w:t>
      </w:r>
      <w:r>
        <w:tab/>
        <w:t>deleted]</w:t>
      </w:r>
    </w:p>
    <w:p w:rsidR="009515FF" w:rsidRDefault="00B14AD4">
      <w:pPr>
        <w:pStyle w:val="Subsection"/>
        <w:rPr>
          <w:snapToGrid w:val="0"/>
        </w:rPr>
      </w:pPr>
      <w:r>
        <w:rPr>
          <w:snapToGrid w:val="0"/>
        </w:rPr>
        <w:tab/>
        <w:t>(2)</w:t>
      </w:r>
      <w:r>
        <w:rPr>
          <w:snapToGrid w:val="0"/>
        </w:rPr>
        <w:tab/>
        <w:t>An exempt master shall submit a certificate of health to the Department not later than 2 years after the date on which the previous certificate of health was submitted.</w:t>
      </w:r>
    </w:p>
    <w:p w:rsidR="009515FF" w:rsidRDefault="00B14AD4" w:rsidP="002348AF">
      <w:pPr>
        <w:pStyle w:val="Subsection"/>
        <w:keepNext/>
        <w:rPr>
          <w:snapToGrid w:val="0"/>
        </w:rPr>
      </w:pPr>
      <w:r>
        <w:rPr>
          <w:snapToGrid w:val="0"/>
        </w:rPr>
        <w:tab/>
        <w:t>(3)</w:t>
      </w:r>
      <w:r>
        <w:rPr>
          <w:snapToGrid w:val="0"/>
        </w:rPr>
        <w:tab/>
        <w:t xml:space="preserve">Where a medical practitioner has recommended that an exempt master undergo a medical examination for the purposes of this regulation after a nominated period that is less than 2 years after </w:t>
      </w:r>
      <w:r>
        <w:rPr>
          <w:snapToGrid w:val="0"/>
        </w:rPr>
        <w:lastRenderedPageBreak/>
        <w:t>the date of the previous medical examination for the purposes of this regulation, the exempt master shall — </w:t>
      </w:r>
    </w:p>
    <w:p w:rsidR="009515FF" w:rsidRDefault="00B14AD4">
      <w:pPr>
        <w:pStyle w:val="Indenta"/>
        <w:rPr>
          <w:snapToGrid w:val="0"/>
        </w:rPr>
      </w:pPr>
      <w:r>
        <w:rPr>
          <w:snapToGrid w:val="0"/>
        </w:rPr>
        <w:tab/>
        <w:t>(a)</w:t>
      </w:r>
      <w:r>
        <w:rPr>
          <w:snapToGrid w:val="0"/>
        </w:rPr>
        <w:tab/>
        <w:t>undergo a medical examination in accordance with that recommendation; and</w:t>
      </w:r>
    </w:p>
    <w:p w:rsidR="009515FF" w:rsidRDefault="00B14AD4">
      <w:pPr>
        <w:pStyle w:val="Indenta"/>
        <w:rPr>
          <w:snapToGrid w:val="0"/>
        </w:rPr>
      </w:pPr>
      <w:r>
        <w:rPr>
          <w:snapToGrid w:val="0"/>
        </w:rPr>
        <w:tab/>
        <w:t>(b)</w:t>
      </w:r>
      <w:r>
        <w:rPr>
          <w:snapToGrid w:val="0"/>
        </w:rPr>
        <w:tab/>
        <w:t>submit to the Department immediately after the examination — </w:t>
      </w:r>
    </w:p>
    <w:p w:rsidR="009515FF" w:rsidRDefault="00B14AD4">
      <w:pPr>
        <w:pStyle w:val="Indenti"/>
        <w:rPr>
          <w:snapToGrid w:val="0"/>
        </w:rPr>
      </w:pPr>
      <w:r>
        <w:rPr>
          <w:snapToGrid w:val="0"/>
        </w:rPr>
        <w:tab/>
        <w:t>(i)</w:t>
      </w:r>
      <w:r>
        <w:rPr>
          <w:snapToGrid w:val="0"/>
        </w:rPr>
        <w:tab/>
        <w:t>a certificate of health; or</w:t>
      </w:r>
    </w:p>
    <w:p w:rsidR="009515FF" w:rsidRDefault="00B14AD4">
      <w:pPr>
        <w:pStyle w:val="Indenti"/>
        <w:keepNext/>
        <w:rPr>
          <w:snapToGrid w:val="0"/>
        </w:rPr>
      </w:pPr>
      <w:r>
        <w:rPr>
          <w:snapToGrid w:val="0"/>
        </w:rPr>
        <w:tab/>
        <w:t>(ii)</w:t>
      </w:r>
      <w:r>
        <w:rPr>
          <w:snapToGrid w:val="0"/>
        </w:rPr>
        <w:tab/>
        <w:t>written notification that a certificate of health was not issued.</w:t>
      </w:r>
    </w:p>
    <w:p w:rsidR="009515FF" w:rsidRDefault="00B14AD4">
      <w:pPr>
        <w:pStyle w:val="Footnotesection"/>
      </w:pPr>
      <w:r>
        <w:tab/>
        <w:t>[Regulation 16C inserted: Gazette 19 Jul 1991 p. 3645</w:t>
      </w:r>
      <w:r>
        <w:noBreakHyphen/>
        <w:t xml:space="preserve">6; amended: Gazette 4 Jun 2010 p. 2438.] </w:t>
      </w:r>
    </w:p>
    <w:p w:rsidR="009515FF" w:rsidRDefault="00B14AD4">
      <w:pPr>
        <w:pStyle w:val="Heading5"/>
        <w:rPr>
          <w:snapToGrid w:val="0"/>
        </w:rPr>
      </w:pPr>
      <w:bookmarkStart w:id="55" w:name="_Toc75528200"/>
      <w:r>
        <w:rPr>
          <w:rStyle w:val="CharSectno"/>
        </w:rPr>
        <w:t>16D</w:t>
      </w:r>
      <w:r>
        <w:rPr>
          <w:snapToGrid w:val="0"/>
        </w:rPr>
        <w:t>.</w:t>
      </w:r>
      <w:r>
        <w:rPr>
          <w:snapToGrid w:val="0"/>
        </w:rPr>
        <w:tab/>
        <w:t>Determining maximum length overall of vessel for certificates</w:t>
      </w:r>
      <w:bookmarkEnd w:id="55"/>
    </w:p>
    <w:p w:rsidR="009515FF" w:rsidRDefault="00B14AD4">
      <w:pPr>
        <w:pStyle w:val="Subsection"/>
        <w:rPr>
          <w:snapToGrid w:val="0"/>
        </w:rPr>
      </w:pPr>
      <w:r>
        <w:rPr>
          <w:snapToGrid w:val="0"/>
        </w:rPr>
        <w:tab/>
        <w:t>(1)</w:t>
      </w:r>
      <w:r>
        <w:rPr>
          <w:snapToGrid w:val="0"/>
        </w:rPr>
        <w:tab/>
        <w:t xml:space="preserve">Subject to regulation 16E(1), the maximum length </w:t>
      </w:r>
      <w:r>
        <w:t>overall</w:t>
      </w:r>
      <w:r>
        <w:rPr>
          <w:snapToGrid w:val="0"/>
        </w:rPr>
        <w:t xml:space="preserve"> of a vessel in respect of which a certificate may be used in a </w:t>
      </w:r>
      <w:r>
        <w:t>pilotage area</w:t>
      </w:r>
      <w:r>
        <w:rPr>
          <w:snapToGrid w:val="0"/>
        </w:rPr>
        <w:t xml:space="preserve"> shall be determined by the </w:t>
      </w:r>
      <w:r>
        <w:t>harbour master</w:t>
      </w:r>
      <w:r>
        <w:rPr>
          <w:snapToGrid w:val="0"/>
        </w:rPr>
        <w:t xml:space="preserve"> for the relevant port having regard to — </w:t>
      </w:r>
    </w:p>
    <w:p w:rsidR="009515FF" w:rsidRDefault="00B14AD4">
      <w:pPr>
        <w:pStyle w:val="Indenta"/>
        <w:rPr>
          <w:snapToGrid w:val="0"/>
        </w:rPr>
      </w:pPr>
      <w:r>
        <w:rPr>
          <w:snapToGrid w:val="0"/>
        </w:rPr>
        <w:tab/>
        <w:t>(a)</w:t>
      </w:r>
      <w:r>
        <w:rPr>
          <w:snapToGrid w:val="0"/>
        </w:rPr>
        <w:tab/>
        <w:t>the depth and width of channel entrances; and</w:t>
      </w:r>
    </w:p>
    <w:p w:rsidR="009515FF" w:rsidRDefault="00B14AD4">
      <w:pPr>
        <w:pStyle w:val="Indenta"/>
        <w:rPr>
          <w:snapToGrid w:val="0"/>
        </w:rPr>
      </w:pPr>
      <w:r>
        <w:rPr>
          <w:snapToGrid w:val="0"/>
        </w:rPr>
        <w:tab/>
        <w:t>(b)</w:t>
      </w:r>
      <w:r>
        <w:rPr>
          <w:snapToGrid w:val="0"/>
        </w:rPr>
        <w:tab/>
        <w:t>available deep water manoeuvring space; and</w:t>
      </w:r>
    </w:p>
    <w:p w:rsidR="009515FF" w:rsidRDefault="00B14AD4">
      <w:pPr>
        <w:pStyle w:val="Indenta"/>
        <w:rPr>
          <w:snapToGrid w:val="0"/>
        </w:rPr>
      </w:pPr>
      <w:r>
        <w:rPr>
          <w:snapToGrid w:val="0"/>
        </w:rPr>
        <w:tab/>
        <w:t>(c)</w:t>
      </w:r>
      <w:r>
        <w:rPr>
          <w:snapToGrid w:val="0"/>
        </w:rPr>
        <w:tab/>
        <w:t>local tidal conditions; and</w:t>
      </w:r>
    </w:p>
    <w:p w:rsidR="009515FF" w:rsidRDefault="00B14AD4">
      <w:pPr>
        <w:pStyle w:val="Indenta"/>
        <w:rPr>
          <w:snapToGrid w:val="0"/>
        </w:rPr>
      </w:pPr>
      <w:r>
        <w:rPr>
          <w:snapToGrid w:val="0"/>
        </w:rPr>
        <w:tab/>
        <w:t>(d)</w:t>
      </w:r>
      <w:r>
        <w:rPr>
          <w:snapToGrid w:val="0"/>
        </w:rPr>
        <w:tab/>
        <w:t>local current conditions; and</w:t>
      </w:r>
    </w:p>
    <w:p w:rsidR="009515FF" w:rsidRDefault="00B14AD4">
      <w:pPr>
        <w:pStyle w:val="Indenta"/>
        <w:rPr>
          <w:snapToGrid w:val="0"/>
        </w:rPr>
      </w:pPr>
      <w:r>
        <w:rPr>
          <w:snapToGrid w:val="0"/>
        </w:rPr>
        <w:tab/>
        <w:t>(e)</w:t>
      </w:r>
      <w:r>
        <w:rPr>
          <w:snapToGrid w:val="0"/>
        </w:rPr>
        <w:tab/>
        <w:t>proximity of other vessels and berthing facilities.</w:t>
      </w:r>
    </w:p>
    <w:p w:rsidR="009515FF" w:rsidRDefault="00B14AD4">
      <w:pPr>
        <w:pStyle w:val="Subsection"/>
        <w:rPr>
          <w:snapToGrid w:val="0"/>
        </w:rPr>
      </w:pPr>
      <w:r>
        <w:rPr>
          <w:snapToGrid w:val="0"/>
        </w:rPr>
        <w:tab/>
        <w:t>(2)</w:t>
      </w:r>
      <w:r>
        <w:rPr>
          <w:snapToGrid w:val="0"/>
        </w:rPr>
        <w:tab/>
        <w:t xml:space="preserve">The CEO shall cause to be recorded in each certificate the maximum length </w:t>
      </w:r>
      <w:r>
        <w:t>overall</w:t>
      </w:r>
      <w:r>
        <w:rPr>
          <w:snapToGrid w:val="0"/>
        </w:rPr>
        <w:t xml:space="preserve"> of a vessel in respect of which the certificate may be used.</w:t>
      </w:r>
    </w:p>
    <w:p w:rsidR="009515FF" w:rsidRDefault="00B14AD4">
      <w:pPr>
        <w:pStyle w:val="Footnotesection"/>
      </w:pPr>
      <w:r>
        <w:tab/>
        <w:t>[Regulation 16D inserted: Gazette 19 Jul 1991 p. 3646; amended: Gazette 4 Jun 2010 p. 2438 and 2463</w:t>
      </w:r>
      <w:r>
        <w:noBreakHyphen/>
        <w:t xml:space="preserve">5; 16 Sep 2016 p. 3945.] </w:t>
      </w:r>
    </w:p>
    <w:p w:rsidR="009515FF" w:rsidRDefault="00B14AD4">
      <w:pPr>
        <w:pStyle w:val="Heading5"/>
        <w:rPr>
          <w:snapToGrid w:val="0"/>
        </w:rPr>
      </w:pPr>
      <w:bookmarkStart w:id="56" w:name="_Toc75528201"/>
      <w:r>
        <w:rPr>
          <w:rStyle w:val="CharSectno"/>
        </w:rPr>
        <w:lastRenderedPageBreak/>
        <w:t>16E</w:t>
      </w:r>
      <w:r>
        <w:rPr>
          <w:snapToGrid w:val="0"/>
        </w:rPr>
        <w:t>.</w:t>
      </w:r>
      <w:r>
        <w:rPr>
          <w:snapToGrid w:val="0"/>
        </w:rPr>
        <w:tab/>
        <w:t>Restrictions and conditions in certificates</w:t>
      </w:r>
      <w:bookmarkEnd w:id="56"/>
    </w:p>
    <w:p w:rsidR="009515FF" w:rsidRDefault="00B14AD4">
      <w:pPr>
        <w:pStyle w:val="Subsection"/>
        <w:rPr>
          <w:snapToGrid w:val="0"/>
        </w:rPr>
      </w:pPr>
      <w:r>
        <w:rPr>
          <w:snapToGrid w:val="0"/>
        </w:rPr>
        <w:tab/>
        <w:t>(1)</w:t>
      </w:r>
      <w:r>
        <w:rPr>
          <w:snapToGrid w:val="0"/>
        </w:rPr>
        <w:tab/>
        <w:t xml:space="preserve">The CEO shall not issue a certificate for use in respect of a vessel that </w:t>
      </w:r>
      <w:r>
        <w:t>has a length overall that is greater than the greatest length overall of a vessel</w:t>
      </w:r>
      <w:r>
        <w:rPr>
          <w:snapToGrid w:val="0"/>
        </w:rPr>
        <w:t xml:space="preserve"> in which the exempt master made a trip into or out of the subject port in command of a vessel as referred to in regulation 16A(1).</w:t>
      </w:r>
    </w:p>
    <w:p w:rsidR="009515FF" w:rsidRDefault="00B14AD4">
      <w:pPr>
        <w:pStyle w:val="Subsection"/>
        <w:rPr>
          <w:snapToGrid w:val="0"/>
        </w:rPr>
      </w:pPr>
      <w:r>
        <w:rPr>
          <w:snapToGrid w:val="0"/>
        </w:rPr>
        <w:tab/>
        <w:t>(2)</w:t>
      </w:r>
      <w:r>
        <w:rPr>
          <w:snapToGrid w:val="0"/>
        </w:rPr>
        <w:tab/>
        <w:t xml:space="preserve">The CEO may, on the written recommendation of the </w:t>
      </w:r>
      <w:r>
        <w:t>harbour master</w:t>
      </w:r>
      <w:r>
        <w:rPr>
          <w:snapToGrid w:val="0"/>
        </w:rPr>
        <w:t xml:space="preserve"> for a port, issue all certificates in respect of that port for use only in respect of specified areas of the port.</w:t>
      </w:r>
    </w:p>
    <w:p w:rsidR="009515FF" w:rsidRDefault="00B14AD4">
      <w:pPr>
        <w:pStyle w:val="Subsection"/>
        <w:rPr>
          <w:snapToGrid w:val="0"/>
        </w:rPr>
      </w:pPr>
      <w:r>
        <w:rPr>
          <w:snapToGrid w:val="0"/>
        </w:rPr>
        <w:tab/>
        <w:t>(3)</w:t>
      </w:r>
      <w:r>
        <w:rPr>
          <w:snapToGrid w:val="0"/>
        </w:rPr>
        <w:tab/>
        <w:t>Where a person who is otherwise entitled to a certificate has not met the requirements of regulation 16A(2), the CEO shall issue a certificate for use by the person during hours of daylight only.</w:t>
      </w:r>
    </w:p>
    <w:p w:rsidR="009515FF" w:rsidRDefault="00B14AD4">
      <w:pPr>
        <w:pStyle w:val="Subsection"/>
        <w:rPr>
          <w:snapToGrid w:val="0"/>
        </w:rPr>
      </w:pPr>
      <w:r>
        <w:rPr>
          <w:snapToGrid w:val="0"/>
        </w:rPr>
        <w:tab/>
        <w:t>(4)</w:t>
      </w:r>
      <w:r>
        <w:rPr>
          <w:snapToGrid w:val="0"/>
        </w:rPr>
        <w:tab/>
        <w:t>An exempt master shall comply with all conditions attaching to his or her certificate.</w:t>
      </w:r>
    </w:p>
    <w:p w:rsidR="009515FF" w:rsidRDefault="00B14AD4">
      <w:pPr>
        <w:pStyle w:val="Footnotesection"/>
      </w:pPr>
      <w:r>
        <w:tab/>
        <w:t>[Regulation 16E inserted: Gazette 19 Jul 1991 p. 3646; amended: Gazette 1 Jul 2008 p. 3156; 4 Jun 2010 p. 2463</w:t>
      </w:r>
      <w:r>
        <w:noBreakHyphen/>
        <w:t xml:space="preserve">6; 16 Sep 2016 p. 3945.] </w:t>
      </w:r>
    </w:p>
    <w:p w:rsidR="009515FF" w:rsidRDefault="00B14AD4">
      <w:pPr>
        <w:pStyle w:val="Heading5"/>
        <w:rPr>
          <w:snapToGrid w:val="0"/>
        </w:rPr>
      </w:pPr>
      <w:bookmarkStart w:id="57" w:name="_Toc75528202"/>
      <w:r>
        <w:rPr>
          <w:rStyle w:val="CharSectno"/>
        </w:rPr>
        <w:t>16F</w:t>
      </w:r>
      <w:r>
        <w:rPr>
          <w:snapToGrid w:val="0"/>
        </w:rPr>
        <w:t>.</w:t>
      </w:r>
      <w:r>
        <w:rPr>
          <w:snapToGrid w:val="0"/>
        </w:rPr>
        <w:tab/>
        <w:t>Certificates valid for only Australian crewed vessels</w:t>
      </w:r>
      <w:bookmarkEnd w:id="57"/>
    </w:p>
    <w:p w:rsidR="009515FF" w:rsidRDefault="00B14AD4">
      <w:pPr>
        <w:pStyle w:val="Subsection"/>
      </w:pPr>
      <w:r>
        <w:rPr>
          <w:snapToGrid w:val="0"/>
        </w:rPr>
        <w:tab/>
      </w:r>
      <w:r>
        <w:rPr>
          <w:snapToGrid w:val="0"/>
        </w:rPr>
        <w:tab/>
        <w:t xml:space="preserve">A certificate may be used only in respect of a vessel that is crewed in accordance with the requirements </w:t>
      </w:r>
      <w:r>
        <w:t xml:space="preserve">of — </w:t>
      </w:r>
    </w:p>
    <w:p w:rsidR="009515FF" w:rsidRDefault="00B14AD4">
      <w:pPr>
        <w:pStyle w:val="Indenta"/>
      </w:pPr>
      <w:r>
        <w:tab/>
        <w:t>(a)</w:t>
      </w:r>
      <w:r>
        <w:tab/>
        <w:t xml:space="preserve">an award made, or an agreement registered, under the </w:t>
      </w:r>
      <w:r>
        <w:rPr>
          <w:i/>
          <w:iCs/>
        </w:rPr>
        <w:t>Industrial Relations Act 1979</w:t>
      </w:r>
      <w:r>
        <w:t>; or</w:t>
      </w:r>
    </w:p>
    <w:p w:rsidR="009515FF" w:rsidRDefault="00B14AD4">
      <w:pPr>
        <w:pStyle w:val="Indenta"/>
        <w:keepNext/>
        <w:rPr>
          <w:snapToGrid w:val="0"/>
        </w:rPr>
      </w:pPr>
      <w:r>
        <w:tab/>
        <w:t>(b)</w:t>
      </w:r>
      <w:r>
        <w:tab/>
        <w:t xml:space="preserve">an award, or a collective agreement, made under the </w:t>
      </w:r>
      <w:r>
        <w:rPr>
          <w:i/>
          <w:iCs/>
        </w:rPr>
        <w:t xml:space="preserve">Workplace Relations Act 1996 </w:t>
      </w:r>
      <w:r>
        <w:t>(Commonwealth)</w:t>
      </w:r>
      <w:r>
        <w:rPr>
          <w:vertAlign w:val="superscript"/>
        </w:rPr>
        <w:t> 1</w:t>
      </w:r>
      <w:r>
        <w:t>.</w:t>
      </w:r>
    </w:p>
    <w:p w:rsidR="009515FF" w:rsidRDefault="00B14AD4">
      <w:pPr>
        <w:pStyle w:val="Footnotesection"/>
      </w:pPr>
      <w:r>
        <w:tab/>
        <w:t xml:space="preserve">[Regulation 16F inserted: Gazette 19 Jul 1991 p. 3646; amended: Gazette 4 Jun 2010 p. 2438.] </w:t>
      </w:r>
    </w:p>
    <w:p w:rsidR="009515FF" w:rsidRDefault="00B14AD4">
      <w:pPr>
        <w:pStyle w:val="Heading5"/>
        <w:rPr>
          <w:snapToGrid w:val="0"/>
        </w:rPr>
      </w:pPr>
      <w:bookmarkStart w:id="58" w:name="_Toc75528203"/>
      <w:r>
        <w:rPr>
          <w:rStyle w:val="CharSectno"/>
        </w:rPr>
        <w:t>16G</w:t>
      </w:r>
      <w:r>
        <w:rPr>
          <w:snapToGrid w:val="0"/>
        </w:rPr>
        <w:t>.</w:t>
      </w:r>
      <w:r>
        <w:rPr>
          <w:snapToGrid w:val="0"/>
        </w:rPr>
        <w:tab/>
        <w:t>Use of certificate may be prohibited</w:t>
      </w:r>
      <w:bookmarkEnd w:id="58"/>
    </w:p>
    <w:p w:rsidR="009515FF" w:rsidRDefault="00B14AD4">
      <w:pPr>
        <w:pStyle w:val="Subsection"/>
        <w:rPr>
          <w:snapToGrid w:val="0"/>
        </w:rPr>
      </w:pPr>
      <w:r>
        <w:rPr>
          <w:snapToGrid w:val="0"/>
        </w:rPr>
        <w:tab/>
      </w:r>
      <w:r>
        <w:rPr>
          <w:snapToGrid w:val="0"/>
        </w:rPr>
        <w:tab/>
        <w:t>Notwithstanding any other regulation, where — </w:t>
      </w:r>
    </w:p>
    <w:p w:rsidR="009515FF" w:rsidRDefault="00B14AD4">
      <w:pPr>
        <w:pStyle w:val="Indenta"/>
        <w:rPr>
          <w:snapToGrid w:val="0"/>
        </w:rPr>
      </w:pPr>
      <w:r>
        <w:rPr>
          <w:snapToGrid w:val="0"/>
        </w:rPr>
        <w:tab/>
        <w:t>(a)</w:t>
      </w:r>
      <w:r>
        <w:rPr>
          <w:snapToGrid w:val="0"/>
        </w:rPr>
        <w:tab/>
        <w:t xml:space="preserve">major works are being carried out in </w:t>
      </w:r>
      <w:r>
        <w:t>a pilotage area; or</w:t>
      </w:r>
    </w:p>
    <w:p w:rsidR="009515FF" w:rsidRDefault="00B14AD4">
      <w:pPr>
        <w:pStyle w:val="Indenta"/>
        <w:rPr>
          <w:snapToGrid w:val="0"/>
        </w:rPr>
      </w:pPr>
      <w:r>
        <w:rPr>
          <w:snapToGrid w:val="0"/>
        </w:rPr>
        <w:lastRenderedPageBreak/>
        <w:tab/>
        <w:t>(b)</w:t>
      </w:r>
      <w:r>
        <w:rPr>
          <w:snapToGrid w:val="0"/>
        </w:rPr>
        <w:tab/>
        <w:t>the vessel of an exempt master is carrying cargo that is noxious or otherwise hazardous; or</w:t>
      </w:r>
    </w:p>
    <w:p w:rsidR="009515FF" w:rsidRDefault="00B14AD4">
      <w:pPr>
        <w:pStyle w:val="Indenta"/>
        <w:rPr>
          <w:snapToGrid w:val="0"/>
        </w:rPr>
      </w:pPr>
      <w:r>
        <w:rPr>
          <w:snapToGrid w:val="0"/>
        </w:rPr>
        <w:tab/>
        <w:t>(c)</w:t>
      </w:r>
      <w:r>
        <w:rPr>
          <w:snapToGrid w:val="0"/>
        </w:rPr>
        <w:tab/>
        <w:t>there are any other circumstances that may impair the ability of the exempt master to navigate the vessel safely,</w:t>
      </w:r>
    </w:p>
    <w:p w:rsidR="009515FF" w:rsidRDefault="00B14AD4">
      <w:pPr>
        <w:pStyle w:val="Subsection"/>
        <w:rPr>
          <w:snapToGrid w:val="0"/>
        </w:rPr>
      </w:pPr>
      <w:r>
        <w:rPr>
          <w:snapToGrid w:val="0"/>
        </w:rPr>
        <w:tab/>
      </w:r>
      <w:r>
        <w:rPr>
          <w:snapToGrid w:val="0"/>
        </w:rPr>
        <w:tab/>
        <w:t xml:space="preserve">the </w:t>
      </w:r>
      <w:r>
        <w:t>harbour master</w:t>
      </w:r>
      <w:r>
        <w:rPr>
          <w:snapToGrid w:val="0"/>
        </w:rPr>
        <w:t xml:space="preserve"> for the relevant port may direct the exempt master to use the services of a</w:t>
      </w:r>
      <w:r>
        <w:t xml:space="preserve"> licensed</w:t>
      </w:r>
      <w:r>
        <w:rPr>
          <w:snapToGrid w:val="0"/>
        </w:rPr>
        <w:t xml:space="preserve"> pilot to navigate the vessel into or out of the </w:t>
      </w:r>
      <w:r>
        <w:t xml:space="preserve">pilotage area, </w:t>
      </w:r>
      <w:r>
        <w:rPr>
          <w:snapToGrid w:val="0"/>
        </w:rPr>
        <w:t>and the exempt master shall comply with such a direction.</w:t>
      </w:r>
    </w:p>
    <w:p w:rsidR="009515FF" w:rsidRDefault="00B14AD4">
      <w:pPr>
        <w:pStyle w:val="Footnotesection"/>
      </w:pPr>
      <w:r>
        <w:tab/>
        <w:t>[Regulation 16G inserted: Gazette 19 Jul 1991 p. 3646; amended: Gazette 4 Jun 2010 p. 2439 and 2464</w:t>
      </w:r>
      <w:r>
        <w:noBreakHyphen/>
        <w:t xml:space="preserve">5.] </w:t>
      </w:r>
    </w:p>
    <w:p w:rsidR="009515FF" w:rsidRDefault="00B14AD4">
      <w:pPr>
        <w:pStyle w:val="Heading5"/>
        <w:rPr>
          <w:snapToGrid w:val="0"/>
        </w:rPr>
      </w:pPr>
      <w:bookmarkStart w:id="59" w:name="_Toc75528204"/>
      <w:r>
        <w:rPr>
          <w:rStyle w:val="CharSectno"/>
        </w:rPr>
        <w:t>16H</w:t>
      </w:r>
      <w:r>
        <w:rPr>
          <w:snapToGrid w:val="0"/>
        </w:rPr>
        <w:t>.</w:t>
      </w:r>
      <w:r>
        <w:rPr>
          <w:snapToGrid w:val="0"/>
        </w:rPr>
        <w:tab/>
        <w:t>Contents of certificate (Sch. 6)</w:t>
      </w:r>
      <w:bookmarkEnd w:id="59"/>
    </w:p>
    <w:p w:rsidR="009515FF" w:rsidRDefault="00B14AD4">
      <w:pPr>
        <w:pStyle w:val="Subsection"/>
        <w:rPr>
          <w:snapToGrid w:val="0"/>
        </w:rPr>
      </w:pPr>
      <w:r>
        <w:rPr>
          <w:snapToGrid w:val="0"/>
        </w:rPr>
        <w:tab/>
        <w:t>(1)</w:t>
      </w:r>
      <w:r>
        <w:rPr>
          <w:snapToGrid w:val="0"/>
        </w:rPr>
        <w:tab/>
        <w:t xml:space="preserve">The CEO shall issue a certificate in accordance with </w:t>
      </w:r>
      <w:r>
        <w:t xml:space="preserve">Schedule 6 Form 1 </w:t>
      </w:r>
      <w:r>
        <w:rPr>
          <w:snapToGrid w:val="0"/>
        </w:rPr>
        <w:t>to a person who becomes entitled to a certificate.</w:t>
      </w:r>
    </w:p>
    <w:p w:rsidR="009515FF" w:rsidRDefault="00B14AD4">
      <w:pPr>
        <w:pStyle w:val="Subsection"/>
        <w:rPr>
          <w:snapToGrid w:val="0"/>
        </w:rPr>
      </w:pPr>
      <w:r>
        <w:rPr>
          <w:snapToGrid w:val="0"/>
        </w:rPr>
        <w:tab/>
        <w:t>(2)</w:t>
      </w:r>
      <w:r>
        <w:rPr>
          <w:snapToGrid w:val="0"/>
        </w:rPr>
        <w:tab/>
        <w:t>The CEO shall cause a certificate to be suitably amended where there is any change in the entitlements of the exempt master under the certificate.</w:t>
      </w:r>
    </w:p>
    <w:p w:rsidR="009515FF" w:rsidRDefault="00B14AD4">
      <w:pPr>
        <w:pStyle w:val="Footnotesection"/>
      </w:pPr>
      <w:r>
        <w:tab/>
        <w:t xml:space="preserve">[Regulation 16H inserted: Gazette 19 Jul 1991 p. 3646; amended: Gazette 4 Jun 2010 p. 2462 and 2463.] </w:t>
      </w:r>
    </w:p>
    <w:p w:rsidR="009515FF" w:rsidRDefault="00B14AD4">
      <w:pPr>
        <w:pStyle w:val="Heading5"/>
        <w:spacing w:before="240"/>
        <w:rPr>
          <w:snapToGrid w:val="0"/>
        </w:rPr>
      </w:pPr>
      <w:bookmarkStart w:id="60" w:name="_Toc75528205"/>
      <w:r>
        <w:rPr>
          <w:rStyle w:val="CharSectno"/>
        </w:rPr>
        <w:t>16I</w:t>
      </w:r>
      <w:r>
        <w:rPr>
          <w:snapToGrid w:val="0"/>
        </w:rPr>
        <w:t>.</w:t>
      </w:r>
      <w:r>
        <w:rPr>
          <w:snapToGrid w:val="0"/>
        </w:rPr>
        <w:tab/>
        <w:t>Register of certificates</w:t>
      </w:r>
      <w:bookmarkEnd w:id="60"/>
    </w:p>
    <w:p w:rsidR="009515FF" w:rsidRDefault="00B14AD4">
      <w:pPr>
        <w:pStyle w:val="Subsection"/>
        <w:rPr>
          <w:snapToGrid w:val="0"/>
        </w:rPr>
      </w:pPr>
      <w:r>
        <w:rPr>
          <w:snapToGrid w:val="0"/>
        </w:rPr>
        <w:tab/>
        <w:t>(1)</w:t>
      </w:r>
      <w:r>
        <w:rPr>
          <w:snapToGrid w:val="0"/>
        </w:rPr>
        <w:tab/>
        <w:t>The CEO shall cause to be established and maintained a register containing particulars of all persons holding certificates and their entitlements under the certificates.</w:t>
      </w:r>
    </w:p>
    <w:p w:rsidR="009515FF" w:rsidRDefault="00B14AD4">
      <w:pPr>
        <w:pStyle w:val="Subsection"/>
        <w:rPr>
          <w:snapToGrid w:val="0"/>
        </w:rPr>
      </w:pPr>
      <w:r>
        <w:rPr>
          <w:snapToGrid w:val="0"/>
        </w:rPr>
        <w:tab/>
        <w:t>(2)</w:t>
      </w:r>
      <w:r>
        <w:rPr>
          <w:snapToGrid w:val="0"/>
        </w:rPr>
        <w:tab/>
        <w:t>The CEO shall cause the register to be noted where the certificate of a person is cancelled or suspended.</w:t>
      </w:r>
    </w:p>
    <w:p w:rsidR="009515FF" w:rsidRDefault="00B14AD4">
      <w:pPr>
        <w:pStyle w:val="Footnotesection"/>
      </w:pPr>
      <w:r>
        <w:tab/>
        <w:t xml:space="preserve">[Regulation 16I inserted: Gazette 19 Jul 1991 p. 3646; amended: Gazette 4 Jun 2010 p. 2463.] </w:t>
      </w:r>
    </w:p>
    <w:p w:rsidR="009515FF" w:rsidRDefault="00B14AD4">
      <w:pPr>
        <w:pStyle w:val="Heading5"/>
        <w:spacing w:before="240"/>
        <w:rPr>
          <w:snapToGrid w:val="0"/>
        </w:rPr>
      </w:pPr>
      <w:bookmarkStart w:id="61" w:name="_Toc75528206"/>
      <w:r>
        <w:rPr>
          <w:rStyle w:val="CharSectno"/>
        </w:rPr>
        <w:lastRenderedPageBreak/>
        <w:t>16J</w:t>
      </w:r>
      <w:r>
        <w:rPr>
          <w:snapToGrid w:val="0"/>
        </w:rPr>
        <w:t>.</w:t>
      </w:r>
      <w:r>
        <w:rPr>
          <w:snapToGrid w:val="0"/>
        </w:rPr>
        <w:tab/>
        <w:t>Pilotage exemption record book for exempt masters (Sch. 6)</w:t>
      </w:r>
      <w:bookmarkEnd w:id="61"/>
    </w:p>
    <w:p w:rsidR="009515FF" w:rsidRDefault="00B14AD4">
      <w:pPr>
        <w:pStyle w:val="Subsection"/>
        <w:rPr>
          <w:snapToGrid w:val="0"/>
        </w:rPr>
      </w:pPr>
      <w:r>
        <w:rPr>
          <w:snapToGrid w:val="0"/>
        </w:rPr>
        <w:tab/>
        <w:t>(1)</w:t>
      </w:r>
      <w:r>
        <w:rPr>
          <w:snapToGrid w:val="0"/>
        </w:rPr>
        <w:tab/>
      </w:r>
      <w:r>
        <w:t>The</w:t>
      </w:r>
      <w:r>
        <w:rPr>
          <w:snapToGrid w:val="0"/>
        </w:rPr>
        <w:t xml:space="preserve"> CEO shall issue to each exempt master a book containing pages in accordance with </w:t>
      </w:r>
      <w:r>
        <w:t xml:space="preserve">Schedule 6 Form 2 </w:t>
      </w:r>
      <w:r>
        <w:rPr>
          <w:snapToGrid w:val="0"/>
        </w:rPr>
        <w:t>and the book is to be known as the “pilotage exemption record book”.</w:t>
      </w:r>
    </w:p>
    <w:p w:rsidR="009515FF" w:rsidRDefault="00B14AD4">
      <w:pPr>
        <w:pStyle w:val="Subsection"/>
        <w:rPr>
          <w:snapToGrid w:val="0"/>
        </w:rPr>
      </w:pPr>
      <w:r>
        <w:rPr>
          <w:snapToGrid w:val="0"/>
        </w:rPr>
        <w:tab/>
        <w:t>(2)</w:t>
      </w:r>
      <w:r>
        <w:rPr>
          <w:snapToGrid w:val="0"/>
        </w:rPr>
        <w:tab/>
        <w:t>An exempt master shall enter in the pilotage exemption record book, in respect of each trip into or out of a port — </w:t>
      </w:r>
    </w:p>
    <w:p w:rsidR="009515FF" w:rsidRDefault="00B14AD4">
      <w:pPr>
        <w:pStyle w:val="Indenta"/>
        <w:rPr>
          <w:snapToGrid w:val="0"/>
        </w:rPr>
      </w:pPr>
      <w:r>
        <w:rPr>
          <w:snapToGrid w:val="0"/>
        </w:rPr>
        <w:tab/>
        <w:t>(a)</w:t>
      </w:r>
      <w:r>
        <w:rPr>
          <w:snapToGrid w:val="0"/>
        </w:rPr>
        <w:tab/>
        <w:t>the name of the port; and</w:t>
      </w:r>
    </w:p>
    <w:p w:rsidR="009515FF" w:rsidRDefault="00B14AD4">
      <w:pPr>
        <w:pStyle w:val="Indenta"/>
        <w:rPr>
          <w:snapToGrid w:val="0"/>
        </w:rPr>
      </w:pPr>
      <w:r>
        <w:rPr>
          <w:snapToGrid w:val="0"/>
        </w:rPr>
        <w:tab/>
        <w:t>(b)</w:t>
      </w:r>
      <w:r>
        <w:rPr>
          <w:snapToGrid w:val="0"/>
        </w:rPr>
        <w:tab/>
        <w:t>the date and time of commencement of the trip; and</w:t>
      </w:r>
    </w:p>
    <w:p w:rsidR="009515FF" w:rsidRDefault="00B14AD4">
      <w:pPr>
        <w:pStyle w:val="Indenta"/>
        <w:rPr>
          <w:snapToGrid w:val="0"/>
        </w:rPr>
      </w:pPr>
      <w:r>
        <w:rPr>
          <w:snapToGrid w:val="0"/>
        </w:rPr>
        <w:tab/>
        <w:t>(c)</w:t>
      </w:r>
      <w:r>
        <w:rPr>
          <w:snapToGrid w:val="0"/>
        </w:rPr>
        <w:tab/>
        <w:t>the name of the vessel.</w:t>
      </w:r>
    </w:p>
    <w:p w:rsidR="009515FF" w:rsidRDefault="00B14AD4">
      <w:pPr>
        <w:pStyle w:val="Subsection"/>
        <w:rPr>
          <w:snapToGrid w:val="0"/>
        </w:rPr>
      </w:pPr>
      <w:r>
        <w:rPr>
          <w:snapToGrid w:val="0"/>
        </w:rPr>
        <w:tab/>
        <w:t>(3)</w:t>
      </w:r>
      <w:r>
        <w:rPr>
          <w:snapToGrid w:val="0"/>
        </w:rPr>
        <w:tab/>
        <w:t xml:space="preserve">After making a trip into or out of a port and entering the particulars prescribed by subregulation (2) into the pilotage exemption record book, an exempt master shall present the book to the </w:t>
      </w:r>
      <w:r>
        <w:t>harbour master</w:t>
      </w:r>
      <w:r>
        <w:rPr>
          <w:snapToGrid w:val="0"/>
        </w:rPr>
        <w:t xml:space="preserve"> of the port concerned or another officer of the Department, who shall read and endorse the entry made by the exempt master.</w:t>
      </w:r>
    </w:p>
    <w:p w:rsidR="009515FF" w:rsidRDefault="00B14AD4">
      <w:pPr>
        <w:pStyle w:val="Subsection"/>
        <w:rPr>
          <w:snapToGrid w:val="0"/>
        </w:rPr>
      </w:pPr>
      <w:r>
        <w:rPr>
          <w:snapToGrid w:val="0"/>
        </w:rPr>
        <w:tab/>
        <w:t>(4)</w:t>
      </w:r>
      <w:r>
        <w:rPr>
          <w:snapToGrid w:val="0"/>
        </w:rPr>
        <w:tab/>
        <w:t xml:space="preserve">An </w:t>
      </w:r>
      <w:r>
        <w:t>officer</w:t>
      </w:r>
      <w:r>
        <w:rPr>
          <w:snapToGrid w:val="0"/>
        </w:rPr>
        <w:t xml:space="preserve"> of the Department to whom a certificate of health is submitted shall record the date on which the certificate was submitted in the pilotage exemption record book of the exempt master concerned and the exempt master shall produce the book to the officer for this purpose.</w:t>
      </w:r>
    </w:p>
    <w:p w:rsidR="009515FF" w:rsidRDefault="00B14AD4">
      <w:pPr>
        <w:pStyle w:val="Footnotesection"/>
      </w:pPr>
      <w:r>
        <w:tab/>
        <w:t>[Regulation 16J inserted: Gazette 19 Jul 1991 p. 3647; amended: Gazette 4 Jun 2010 p. 2462</w:t>
      </w:r>
      <w:r>
        <w:noBreakHyphen/>
        <w:t xml:space="preserve">5.] </w:t>
      </w:r>
    </w:p>
    <w:p w:rsidR="009515FF" w:rsidRDefault="00B14AD4">
      <w:pPr>
        <w:pStyle w:val="Heading5"/>
        <w:spacing w:before="180"/>
        <w:rPr>
          <w:snapToGrid w:val="0"/>
        </w:rPr>
      </w:pPr>
      <w:bookmarkStart w:id="62" w:name="_Toc75528207"/>
      <w:r>
        <w:rPr>
          <w:rStyle w:val="CharSectno"/>
        </w:rPr>
        <w:t>16K</w:t>
      </w:r>
      <w:r>
        <w:rPr>
          <w:snapToGrid w:val="0"/>
        </w:rPr>
        <w:t>.</w:t>
      </w:r>
      <w:r>
        <w:rPr>
          <w:snapToGrid w:val="0"/>
        </w:rPr>
        <w:tab/>
        <w:t>Certificate invalid if not used for one year or more</w:t>
      </w:r>
      <w:bookmarkEnd w:id="62"/>
    </w:p>
    <w:p w:rsidR="009515FF" w:rsidRDefault="00B14AD4">
      <w:pPr>
        <w:pStyle w:val="Subsection"/>
        <w:rPr>
          <w:snapToGrid w:val="0"/>
        </w:rPr>
      </w:pPr>
      <w:r>
        <w:rPr>
          <w:snapToGrid w:val="0"/>
        </w:rPr>
        <w:tab/>
      </w:r>
      <w:r>
        <w:rPr>
          <w:snapToGrid w:val="0"/>
        </w:rPr>
        <w:tab/>
        <w:t xml:space="preserve">A certificate that has not been used in respect of a </w:t>
      </w:r>
      <w:r>
        <w:t>pilotage area</w:t>
      </w:r>
      <w:r>
        <w:rPr>
          <w:snapToGrid w:val="0"/>
        </w:rPr>
        <w:t xml:space="preserve"> for one year or longer is invalid in respect of that</w:t>
      </w:r>
      <w:r>
        <w:t xml:space="preserve"> pilotage area</w:t>
      </w:r>
      <w:r>
        <w:rPr>
          <w:snapToGrid w:val="0"/>
        </w:rPr>
        <w:t>.</w:t>
      </w:r>
    </w:p>
    <w:p w:rsidR="009515FF" w:rsidRDefault="00B14AD4">
      <w:pPr>
        <w:pStyle w:val="Footnotesection"/>
      </w:pPr>
      <w:r>
        <w:tab/>
        <w:t xml:space="preserve">[Regulation 16K inserted: Gazette 19 Jul 1991 p. 3647; amended: Gazette 4 Jun 2010 p. 2439.] </w:t>
      </w:r>
    </w:p>
    <w:p w:rsidR="009515FF" w:rsidRDefault="00B14AD4">
      <w:pPr>
        <w:pStyle w:val="Heading5"/>
        <w:rPr>
          <w:snapToGrid w:val="0"/>
        </w:rPr>
      </w:pPr>
      <w:bookmarkStart w:id="63" w:name="_Toc75528208"/>
      <w:r>
        <w:rPr>
          <w:rStyle w:val="CharSectno"/>
        </w:rPr>
        <w:t>16L</w:t>
      </w:r>
      <w:r>
        <w:rPr>
          <w:snapToGrid w:val="0"/>
        </w:rPr>
        <w:t>.</w:t>
      </w:r>
      <w:r>
        <w:rPr>
          <w:snapToGrid w:val="0"/>
        </w:rPr>
        <w:tab/>
        <w:t>Revalidation of certificate invalid under r. 16K</w:t>
      </w:r>
      <w:bookmarkEnd w:id="63"/>
    </w:p>
    <w:p w:rsidR="009515FF" w:rsidRDefault="00B14AD4">
      <w:pPr>
        <w:pStyle w:val="Subsection"/>
        <w:spacing w:before="120"/>
        <w:rPr>
          <w:snapToGrid w:val="0"/>
        </w:rPr>
      </w:pPr>
      <w:r>
        <w:rPr>
          <w:snapToGrid w:val="0"/>
        </w:rPr>
        <w:tab/>
      </w:r>
      <w:r>
        <w:rPr>
          <w:snapToGrid w:val="0"/>
        </w:rPr>
        <w:tab/>
        <w:t xml:space="preserve">A certificate that is invalid in respect of a </w:t>
      </w:r>
      <w:r>
        <w:t>pilotage area</w:t>
      </w:r>
      <w:r>
        <w:rPr>
          <w:snapToGrid w:val="0"/>
        </w:rPr>
        <w:t xml:space="preserve"> under regulation 16K is revalidated in respect of that </w:t>
      </w:r>
      <w:r>
        <w:t>pilotage area</w:t>
      </w:r>
      <w:r>
        <w:rPr>
          <w:snapToGrid w:val="0"/>
        </w:rPr>
        <w:t xml:space="preserve"> if the holder of the certificate makes, under pilotage, at least one </w:t>
      </w:r>
      <w:r>
        <w:rPr>
          <w:snapToGrid w:val="0"/>
        </w:rPr>
        <w:lastRenderedPageBreak/>
        <w:t xml:space="preserve">trip into and one trip out of the </w:t>
      </w:r>
      <w:r>
        <w:t>pilotage area</w:t>
      </w:r>
      <w:r>
        <w:rPr>
          <w:snapToGrid w:val="0"/>
        </w:rPr>
        <w:t xml:space="preserve"> in command of a vessel within one year of the certificate becoming invalid in respect of that</w:t>
      </w:r>
      <w:r>
        <w:t xml:space="preserve"> pilotage area</w:t>
      </w:r>
      <w:r>
        <w:rPr>
          <w:snapToGrid w:val="0"/>
        </w:rPr>
        <w:t>.</w:t>
      </w:r>
    </w:p>
    <w:p w:rsidR="009515FF" w:rsidRDefault="00B14AD4">
      <w:pPr>
        <w:pStyle w:val="Footnotesection"/>
        <w:spacing w:before="80"/>
        <w:ind w:left="890" w:hanging="890"/>
      </w:pPr>
      <w:r>
        <w:tab/>
        <w:t xml:space="preserve">[Regulation 16L inserted: Gazette 19 Jul 1991 p. 3647; amended: Gazette 4 Jun 2010 p. 2439.] </w:t>
      </w:r>
    </w:p>
    <w:p w:rsidR="009515FF" w:rsidRDefault="00B14AD4">
      <w:pPr>
        <w:pStyle w:val="Heading5"/>
        <w:spacing w:before="180"/>
        <w:rPr>
          <w:snapToGrid w:val="0"/>
        </w:rPr>
      </w:pPr>
      <w:bookmarkStart w:id="64" w:name="_Toc75528209"/>
      <w:r>
        <w:rPr>
          <w:rStyle w:val="CharSectno"/>
        </w:rPr>
        <w:t>16M</w:t>
      </w:r>
      <w:r>
        <w:rPr>
          <w:snapToGrid w:val="0"/>
        </w:rPr>
        <w:t>.</w:t>
      </w:r>
      <w:r>
        <w:rPr>
          <w:snapToGrid w:val="0"/>
        </w:rPr>
        <w:tab/>
        <w:t>Cancellation or suspension of certificate</w:t>
      </w:r>
      <w:bookmarkEnd w:id="64"/>
    </w:p>
    <w:p w:rsidR="009515FF" w:rsidRDefault="00B14AD4">
      <w:pPr>
        <w:pStyle w:val="Subsection"/>
        <w:spacing w:before="120"/>
        <w:rPr>
          <w:snapToGrid w:val="0"/>
        </w:rPr>
      </w:pPr>
      <w:r>
        <w:rPr>
          <w:snapToGrid w:val="0"/>
        </w:rPr>
        <w:tab/>
        <w:t>(1)</w:t>
      </w:r>
      <w:r>
        <w:rPr>
          <w:snapToGrid w:val="0"/>
        </w:rPr>
        <w:tab/>
        <w:t>The CEO may cancel or suspend the certificate of an exempt master if — </w:t>
      </w:r>
    </w:p>
    <w:p w:rsidR="009515FF" w:rsidRDefault="00B14AD4">
      <w:pPr>
        <w:pStyle w:val="Indenta"/>
        <w:rPr>
          <w:snapToGrid w:val="0"/>
        </w:rPr>
      </w:pPr>
      <w:r>
        <w:rPr>
          <w:snapToGrid w:val="0"/>
        </w:rPr>
        <w:tab/>
        <w:t>(a)</w:t>
      </w:r>
      <w:r>
        <w:rPr>
          <w:snapToGrid w:val="0"/>
        </w:rPr>
        <w:tab/>
        <w:t>the exempt master is convicted of contravening regulation 9, 16E(4), 16G or 16J(2) or (3); or</w:t>
      </w:r>
    </w:p>
    <w:p w:rsidR="009515FF" w:rsidRDefault="00B14AD4">
      <w:pPr>
        <w:pStyle w:val="Indenta"/>
        <w:rPr>
          <w:snapToGrid w:val="0"/>
        </w:rPr>
      </w:pPr>
      <w:r>
        <w:rPr>
          <w:snapToGrid w:val="0"/>
        </w:rPr>
        <w:tab/>
        <w:t>(b)</w:t>
      </w:r>
      <w:r>
        <w:rPr>
          <w:snapToGrid w:val="0"/>
        </w:rPr>
        <w:tab/>
        <w:t>the CEO believes on reasonable grounds that the exempt master has contravened any of those provisions.</w:t>
      </w:r>
    </w:p>
    <w:p w:rsidR="009515FF" w:rsidRDefault="00B14AD4">
      <w:pPr>
        <w:pStyle w:val="Subsection"/>
        <w:spacing w:before="120"/>
        <w:rPr>
          <w:snapToGrid w:val="0"/>
        </w:rPr>
      </w:pPr>
      <w:r>
        <w:rPr>
          <w:snapToGrid w:val="0"/>
        </w:rPr>
        <w:tab/>
        <w:t>(2)</w:t>
      </w:r>
      <w:r>
        <w:rPr>
          <w:snapToGrid w:val="0"/>
        </w:rPr>
        <w:tab/>
        <w:t>The CEO shall cancel a certificate that has become wholly invalid under regulation 16K and has not been wholly or partly revalidated under regulation 16L.</w:t>
      </w:r>
    </w:p>
    <w:p w:rsidR="009515FF" w:rsidRDefault="00B14AD4">
      <w:pPr>
        <w:pStyle w:val="Subsection"/>
        <w:spacing w:before="120"/>
        <w:rPr>
          <w:snapToGrid w:val="0"/>
        </w:rPr>
      </w:pPr>
      <w:r>
        <w:rPr>
          <w:snapToGrid w:val="0"/>
        </w:rPr>
        <w:tab/>
        <w:t>(3)</w:t>
      </w:r>
      <w:r>
        <w:rPr>
          <w:snapToGrid w:val="0"/>
        </w:rPr>
        <w:tab/>
        <w:t>The CEO shall cancel a certificate if its holder does not submit a certificate of health in accordance with regulation 16C(2) or (3).</w:t>
      </w:r>
    </w:p>
    <w:p w:rsidR="009515FF" w:rsidRDefault="00B14AD4">
      <w:pPr>
        <w:pStyle w:val="Subsection"/>
        <w:spacing w:before="120"/>
        <w:rPr>
          <w:snapToGrid w:val="0"/>
        </w:rPr>
      </w:pPr>
      <w:r>
        <w:rPr>
          <w:snapToGrid w:val="0"/>
        </w:rPr>
        <w:tab/>
        <w:t>(4)</w:t>
      </w:r>
      <w:r>
        <w:rPr>
          <w:snapToGrid w:val="0"/>
        </w:rPr>
        <w:tab/>
        <w:t xml:space="preserve">The </w:t>
      </w:r>
      <w:r>
        <w:t>CEO must cancel or suspend a certificate in respect of a pilotage area if he or she</w:t>
      </w:r>
      <w:r>
        <w:rPr>
          <w:snapToGrid w:val="0"/>
        </w:rPr>
        <w:t xml:space="preserve"> believes on reasonable grounds that the holder of the certificate is no longer competent to navigate a vessel into and out of the </w:t>
      </w:r>
      <w:r>
        <w:t>pilotage area.</w:t>
      </w:r>
    </w:p>
    <w:p w:rsidR="009515FF" w:rsidRDefault="00B14AD4">
      <w:pPr>
        <w:pStyle w:val="Subsection"/>
        <w:spacing w:before="120"/>
        <w:rPr>
          <w:snapToGrid w:val="0"/>
        </w:rPr>
      </w:pPr>
      <w:r>
        <w:rPr>
          <w:snapToGrid w:val="0"/>
        </w:rPr>
        <w:tab/>
        <w:t>(5)</w:t>
      </w:r>
      <w:r>
        <w:rPr>
          <w:snapToGrid w:val="0"/>
        </w:rPr>
        <w:tab/>
        <w:t>Where the CEO cancels or suspends a certificate, he or she shall in writing notify the person concerned of the cancellation or suspension and the reason for it, including, in the case of a cancellation or suspension under subregulation (1)(b) or (4), particulars of the reasons for the belief held by the CEO.</w:t>
      </w:r>
    </w:p>
    <w:p w:rsidR="009515FF" w:rsidRDefault="00B14AD4">
      <w:pPr>
        <w:pStyle w:val="Subsection"/>
        <w:spacing w:before="120"/>
        <w:rPr>
          <w:snapToGrid w:val="0"/>
        </w:rPr>
      </w:pPr>
      <w:r>
        <w:rPr>
          <w:snapToGrid w:val="0"/>
        </w:rPr>
        <w:tab/>
        <w:t>(6)</w:t>
      </w:r>
      <w:r>
        <w:rPr>
          <w:snapToGrid w:val="0"/>
        </w:rPr>
        <w:tab/>
        <w:t>The CEO shall, in a notification of a cancellation or suspension under subregulation (1)(b) or (4), inform the person concerned of the right of appeal under regulation 16N.</w:t>
      </w:r>
    </w:p>
    <w:p w:rsidR="009515FF" w:rsidRDefault="00B14AD4">
      <w:pPr>
        <w:pStyle w:val="Subsection"/>
        <w:rPr>
          <w:snapToGrid w:val="0"/>
        </w:rPr>
      </w:pPr>
      <w:r>
        <w:rPr>
          <w:snapToGrid w:val="0"/>
        </w:rPr>
        <w:tab/>
        <w:t>(7)</w:t>
      </w:r>
      <w:r>
        <w:rPr>
          <w:snapToGrid w:val="0"/>
        </w:rPr>
        <w:tab/>
        <w:t>A cancellation or suspension takes effect on the service of a notice under subregulation (5).</w:t>
      </w:r>
    </w:p>
    <w:p w:rsidR="009515FF" w:rsidRDefault="00B14AD4">
      <w:pPr>
        <w:pStyle w:val="Footnotesection"/>
      </w:pPr>
      <w:r>
        <w:lastRenderedPageBreak/>
        <w:tab/>
        <w:t xml:space="preserve">[Regulation 16M inserted: Gazette 19 Jul 1991 p. 3647; amended: Gazette 4 Jun 2010 p. 2440, 2463 and 2466.] </w:t>
      </w:r>
    </w:p>
    <w:p w:rsidR="009515FF" w:rsidRDefault="00B14AD4">
      <w:pPr>
        <w:pStyle w:val="Heading5"/>
        <w:spacing w:before="240"/>
        <w:rPr>
          <w:snapToGrid w:val="0"/>
        </w:rPr>
      </w:pPr>
      <w:bookmarkStart w:id="65" w:name="_Toc75528210"/>
      <w:r>
        <w:rPr>
          <w:rStyle w:val="CharSectno"/>
        </w:rPr>
        <w:t>16N</w:t>
      </w:r>
      <w:r>
        <w:rPr>
          <w:snapToGrid w:val="0"/>
        </w:rPr>
        <w:t>.</w:t>
      </w:r>
      <w:r>
        <w:rPr>
          <w:snapToGrid w:val="0"/>
        </w:rPr>
        <w:tab/>
        <w:t>Appeals against cancellation or suspension</w:t>
      </w:r>
      <w:bookmarkEnd w:id="65"/>
    </w:p>
    <w:p w:rsidR="009515FF" w:rsidRDefault="00B14AD4">
      <w:pPr>
        <w:pStyle w:val="Subsection"/>
        <w:rPr>
          <w:snapToGrid w:val="0"/>
        </w:rPr>
      </w:pPr>
      <w:r>
        <w:rPr>
          <w:snapToGrid w:val="0"/>
        </w:rPr>
        <w:tab/>
        <w:t>(1)</w:t>
      </w:r>
      <w:r>
        <w:rPr>
          <w:snapToGrid w:val="0"/>
        </w:rPr>
        <w:tab/>
        <w:t>An exempt master whose certificate is cancelled or suspended under regulation 16M(1)(b) or (4) may, in writing, within 21 days of the day on which he or she received notice of the cancellation or suspension, appeal to the Minister against the decision of the CEO.</w:t>
      </w:r>
    </w:p>
    <w:p w:rsidR="009515FF" w:rsidRDefault="00B14AD4">
      <w:pPr>
        <w:pStyle w:val="Subsection"/>
        <w:rPr>
          <w:snapToGrid w:val="0"/>
        </w:rPr>
      </w:pPr>
      <w:r>
        <w:rPr>
          <w:snapToGrid w:val="0"/>
        </w:rPr>
        <w:tab/>
        <w:t>(2)</w:t>
      </w:r>
      <w:r>
        <w:rPr>
          <w:snapToGrid w:val="0"/>
        </w:rPr>
        <w:tab/>
        <w:t>The Minister shall determine an appeal without delay and may confirm the decision of the CEO or direct the CEO to reverse his or her decision or modify it in the manner specified by the Minister.</w:t>
      </w:r>
    </w:p>
    <w:p w:rsidR="009515FF" w:rsidRDefault="00B14AD4">
      <w:pPr>
        <w:pStyle w:val="Subsection"/>
        <w:keepNext/>
        <w:rPr>
          <w:snapToGrid w:val="0"/>
        </w:rPr>
      </w:pPr>
      <w:r>
        <w:rPr>
          <w:snapToGrid w:val="0"/>
        </w:rPr>
        <w:tab/>
        <w:t>(3)</w:t>
      </w:r>
      <w:r>
        <w:rPr>
          <w:snapToGrid w:val="0"/>
        </w:rPr>
        <w:tab/>
        <w:t>The CEO shall give effect to a direction under subregulation (2).</w:t>
      </w:r>
    </w:p>
    <w:p w:rsidR="009515FF" w:rsidRDefault="00B14AD4">
      <w:pPr>
        <w:pStyle w:val="Footnotesection"/>
        <w:ind w:left="890" w:hanging="890"/>
      </w:pPr>
      <w:r>
        <w:tab/>
        <w:t xml:space="preserve">[Regulation 16N inserted: Gazette 19 Jul 1991 p. 3647; amended: Gazette 4 Jun 2010 p. 2463 and 2466.] </w:t>
      </w:r>
    </w:p>
    <w:p w:rsidR="009515FF" w:rsidRDefault="00B14AD4">
      <w:pPr>
        <w:pStyle w:val="Heading5"/>
        <w:rPr>
          <w:snapToGrid w:val="0"/>
        </w:rPr>
      </w:pPr>
      <w:bookmarkStart w:id="66" w:name="_Toc75528211"/>
      <w:r>
        <w:rPr>
          <w:rStyle w:val="CharSectno"/>
        </w:rPr>
        <w:t>17</w:t>
      </w:r>
      <w:r>
        <w:rPr>
          <w:snapToGrid w:val="0"/>
        </w:rPr>
        <w:t>.</w:t>
      </w:r>
      <w:r>
        <w:rPr>
          <w:snapToGrid w:val="0"/>
        </w:rPr>
        <w:tab/>
        <w:t>Flag required if no</w:t>
      </w:r>
      <w:r>
        <w:t xml:space="preserve"> licensed</w:t>
      </w:r>
      <w:r>
        <w:rPr>
          <w:snapToGrid w:val="0"/>
        </w:rPr>
        <w:t xml:space="preserve"> pilot on board</w:t>
      </w:r>
      <w:bookmarkEnd w:id="66"/>
    </w:p>
    <w:p w:rsidR="009515FF" w:rsidRDefault="00B14AD4">
      <w:pPr>
        <w:pStyle w:val="Subsection"/>
        <w:spacing w:before="120"/>
        <w:rPr>
          <w:snapToGrid w:val="0"/>
        </w:rPr>
      </w:pPr>
      <w:r>
        <w:rPr>
          <w:snapToGrid w:val="0"/>
        </w:rPr>
        <w:tab/>
        <w:t>(1)</w:t>
      </w:r>
      <w:r>
        <w:rPr>
          <w:snapToGrid w:val="0"/>
        </w:rPr>
        <w:tab/>
        <w:t xml:space="preserve">The master of a vessel approaching any </w:t>
      </w:r>
      <w:r>
        <w:t>pilotage area</w:t>
      </w:r>
      <w:r>
        <w:rPr>
          <w:snapToGrid w:val="0"/>
        </w:rPr>
        <w:t xml:space="preserve"> who is, by reason of his or her being the holder of a Pilotage Exemption Certificate, entitled to bring the vessel into that </w:t>
      </w:r>
      <w:r>
        <w:t>pilotage area</w:t>
      </w:r>
      <w:r>
        <w:rPr>
          <w:snapToGrid w:val="0"/>
        </w:rPr>
        <w:t xml:space="preserve"> without taking on board a </w:t>
      </w:r>
      <w:r>
        <w:t>licensed</w:t>
      </w:r>
      <w:r>
        <w:rPr>
          <w:snapToGrid w:val="0"/>
        </w:rPr>
        <w:t xml:space="preserve"> pilot, shall cause to be flown from the vessel from the time that the vessel is within 5 nautical miles of the relevant port until the vessel berths, a white flag.</w:t>
      </w:r>
    </w:p>
    <w:p w:rsidR="009515FF" w:rsidRDefault="00B14AD4">
      <w:pPr>
        <w:pStyle w:val="Subsection"/>
        <w:spacing w:before="120"/>
        <w:rPr>
          <w:snapToGrid w:val="0"/>
        </w:rPr>
      </w:pPr>
      <w:r>
        <w:rPr>
          <w:snapToGrid w:val="0"/>
        </w:rPr>
        <w:tab/>
        <w:t>(2)</w:t>
      </w:r>
      <w:r>
        <w:rPr>
          <w:snapToGrid w:val="0"/>
        </w:rPr>
        <w:tab/>
        <w:t xml:space="preserve">Where a master referred to in subregulation (1) fails to comply with the provisions of that subregulation, the master or owner of that vessel shall be liable to pay the charges for pilotage that would have been payable if the services of a </w:t>
      </w:r>
      <w:r>
        <w:t>licensed</w:t>
      </w:r>
      <w:r>
        <w:rPr>
          <w:snapToGrid w:val="0"/>
        </w:rPr>
        <w:t xml:space="preserve"> pilot had been obtained.</w:t>
      </w:r>
    </w:p>
    <w:p w:rsidR="009515FF" w:rsidRDefault="00B14AD4">
      <w:pPr>
        <w:pStyle w:val="Footnotesection"/>
      </w:pPr>
      <w:r>
        <w:tab/>
        <w:t>[Regulation 17 amended: Gazette 27 Jun 2003 p. 2522; 4 Jun 2010 p. 2440, 2464 and 2466.]</w:t>
      </w:r>
    </w:p>
    <w:p w:rsidR="009515FF" w:rsidRDefault="00B14AD4">
      <w:pPr>
        <w:pStyle w:val="Heading2"/>
      </w:pPr>
      <w:bookmarkStart w:id="67" w:name="_Toc75423308"/>
      <w:bookmarkStart w:id="68" w:name="_Toc75426790"/>
      <w:bookmarkStart w:id="69" w:name="_Toc75528212"/>
      <w:r>
        <w:rPr>
          <w:rStyle w:val="CharPartNo"/>
        </w:rPr>
        <w:lastRenderedPageBreak/>
        <w:t>Part 6</w:t>
      </w:r>
      <w:r>
        <w:rPr>
          <w:rStyle w:val="CharDivNo"/>
        </w:rPr>
        <w:t> </w:t>
      </w:r>
      <w:r>
        <w:t>—</w:t>
      </w:r>
      <w:r>
        <w:rPr>
          <w:rStyle w:val="CharDivText"/>
        </w:rPr>
        <w:t> </w:t>
      </w:r>
      <w:r>
        <w:rPr>
          <w:rStyle w:val="CharPartText"/>
        </w:rPr>
        <w:t>Conservancy dues</w:t>
      </w:r>
      <w:bookmarkEnd w:id="67"/>
      <w:bookmarkEnd w:id="68"/>
      <w:bookmarkEnd w:id="69"/>
    </w:p>
    <w:p w:rsidR="009515FF" w:rsidRDefault="00B14AD4">
      <w:pPr>
        <w:pStyle w:val="Footnoteheading"/>
      </w:pPr>
      <w:r>
        <w:tab/>
        <w:t>[Heading inserted: Gazette 4 Jun 2010 p. 2441.]</w:t>
      </w:r>
    </w:p>
    <w:p w:rsidR="009515FF" w:rsidRDefault="00B14AD4">
      <w:pPr>
        <w:pStyle w:val="Heading5"/>
        <w:spacing w:before="180"/>
        <w:rPr>
          <w:snapToGrid w:val="0"/>
        </w:rPr>
      </w:pPr>
      <w:bookmarkStart w:id="70" w:name="_Toc75528213"/>
      <w:r>
        <w:rPr>
          <w:rStyle w:val="CharSectno"/>
        </w:rPr>
        <w:t>18</w:t>
      </w:r>
      <w:r>
        <w:rPr>
          <w:snapToGrid w:val="0"/>
        </w:rPr>
        <w:t>.</w:t>
      </w:r>
      <w:r>
        <w:rPr>
          <w:snapToGrid w:val="0"/>
        </w:rPr>
        <w:tab/>
        <w:t>Conservancy dues (Sch. 3 Div. 20)</w:t>
      </w:r>
      <w:bookmarkEnd w:id="70"/>
    </w:p>
    <w:p w:rsidR="009515FF" w:rsidRDefault="00B14AD4">
      <w:pPr>
        <w:pStyle w:val="Subsection"/>
        <w:spacing w:before="120"/>
        <w:rPr>
          <w:snapToGrid w:val="0"/>
        </w:rPr>
      </w:pPr>
      <w:r>
        <w:rPr>
          <w:snapToGrid w:val="0"/>
        </w:rPr>
        <w:tab/>
        <w:t>(1)</w:t>
      </w:r>
      <w:r>
        <w:rPr>
          <w:snapToGrid w:val="0"/>
        </w:rPr>
        <w:tab/>
        <w:t>The master or owner of any vessel other than — </w:t>
      </w:r>
    </w:p>
    <w:p w:rsidR="009515FF" w:rsidRDefault="00B14AD4">
      <w:pPr>
        <w:pStyle w:val="Indenta"/>
        <w:spacing w:before="100"/>
        <w:rPr>
          <w:snapToGrid w:val="0"/>
        </w:rPr>
      </w:pPr>
      <w:r>
        <w:rPr>
          <w:snapToGrid w:val="0"/>
        </w:rPr>
        <w:tab/>
        <w:t>(a)</w:t>
      </w:r>
      <w:r>
        <w:rPr>
          <w:snapToGrid w:val="0"/>
        </w:rPr>
        <w:tab/>
        <w:t>a vessel of war; or</w:t>
      </w:r>
    </w:p>
    <w:p w:rsidR="009515FF" w:rsidRDefault="00B14AD4">
      <w:pPr>
        <w:pStyle w:val="Indenta"/>
        <w:spacing w:before="100"/>
        <w:rPr>
          <w:snapToGrid w:val="0"/>
        </w:rPr>
      </w:pPr>
      <w:r>
        <w:rPr>
          <w:snapToGrid w:val="0"/>
        </w:rPr>
        <w:tab/>
        <w:t>(b)</w:t>
      </w:r>
      <w:r>
        <w:rPr>
          <w:snapToGrid w:val="0"/>
        </w:rPr>
        <w:tab/>
        <w:t>a vessel owned by any of Her Majesty’s States or Colonies or the government of any country that is a member of the British Commonwealth of Nations, that is engaged in a non</w:t>
      </w:r>
      <w:r>
        <w:rPr>
          <w:snapToGrid w:val="0"/>
        </w:rPr>
        <w:softHyphen/>
      </w:r>
      <w:r>
        <w:rPr>
          <w:snapToGrid w:val="0"/>
        </w:rPr>
        <w:noBreakHyphen/>
        <w:t>commercial voyage; or</w:t>
      </w:r>
    </w:p>
    <w:p w:rsidR="009515FF" w:rsidRDefault="00B14AD4">
      <w:pPr>
        <w:pStyle w:val="Indenta"/>
        <w:spacing w:before="100"/>
        <w:rPr>
          <w:snapToGrid w:val="0"/>
        </w:rPr>
      </w:pPr>
      <w:r>
        <w:rPr>
          <w:snapToGrid w:val="0"/>
        </w:rPr>
        <w:tab/>
        <w:t>(c)</w:t>
      </w:r>
      <w:r>
        <w:rPr>
          <w:snapToGrid w:val="0"/>
        </w:rPr>
        <w:tab/>
        <w:t>a mission vessel; or</w:t>
      </w:r>
    </w:p>
    <w:p w:rsidR="009515FF" w:rsidRDefault="00B14AD4">
      <w:pPr>
        <w:pStyle w:val="Indenta"/>
        <w:spacing w:before="100"/>
        <w:rPr>
          <w:snapToGrid w:val="0"/>
        </w:rPr>
      </w:pPr>
      <w:r>
        <w:rPr>
          <w:snapToGrid w:val="0"/>
        </w:rPr>
        <w:tab/>
        <w:t>(d)</w:t>
      </w:r>
      <w:r>
        <w:rPr>
          <w:snapToGrid w:val="0"/>
        </w:rPr>
        <w:tab/>
        <w:t>a vessel calling at a port either for the purpose of remedying a situation endangering the safety of the vessel or of obtaining medical treatment for a person on board; or</w:t>
      </w:r>
    </w:p>
    <w:p w:rsidR="009515FF" w:rsidRDefault="00B14AD4">
      <w:pPr>
        <w:pStyle w:val="Indenta"/>
        <w:spacing w:before="100"/>
        <w:rPr>
          <w:snapToGrid w:val="0"/>
        </w:rPr>
      </w:pPr>
      <w:r>
        <w:rPr>
          <w:snapToGrid w:val="0"/>
        </w:rPr>
        <w:tab/>
        <w:t>(e)</w:t>
      </w:r>
      <w:r>
        <w:rPr>
          <w:snapToGrid w:val="0"/>
        </w:rPr>
        <w:tab/>
        <w:t>a vessel owned and used solely for private pleasure purposes; or</w:t>
      </w:r>
    </w:p>
    <w:p w:rsidR="009515FF" w:rsidRDefault="00B14AD4">
      <w:pPr>
        <w:pStyle w:val="Indenta"/>
        <w:rPr>
          <w:snapToGrid w:val="0"/>
        </w:rPr>
      </w:pPr>
      <w:r>
        <w:rPr>
          <w:snapToGrid w:val="0"/>
        </w:rPr>
        <w:tab/>
        <w:t>(f)</w:t>
      </w:r>
      <w:r>
        <w:rPr>
          <w:snapToGrid w:val="0"/>
        </w:rPr>
        <w:tab/>
        <w:t xml:space="preserve">subject to subregulation (1a), a fishing vessel used for professional purposes that is a subject of a current fishing boat licence </w:t>
      </w:r>
      <w:r>
        <w:t xml:space="preserve">granted under the </w:t>
      </w:r>
      <w:r>
        <w:rPr>
          <w:i/>
          <w:iCs/>
        </w:rPr>
        <w:t xml:space="preserve">Fish Resources Management Regulations 1995 </w:t>
      </w:r>
      <w:r>
        <w:rPr>
          <w:snapToGrid w:val="0"/>
        </w:rPr>
        <w:t>or of an equivalent licence, permit or registration under the laws of another State or a Territory of the Commonwealth; or</w:t>
      </w:r>
    </w:p>
    <w:p w:rsidR="009515FF" w:rsidRDefault="00B14AD4">
      <w:pPr>
        <w:pStyle w:val="Indenta"/>
        <w:rPr>
          <w:snapToGrid w:val="0"/>
        </w:rPr>
      </w:pPr>
      <w:r>
        <w:rPr>
          <w:snapToGrid w:val="0"/>
        </w:rPr>
        <w:tab/>
        <w:t>(g)</w:t>
      </w:r>
      <w:r>
        <w:rPr>
          <w:snapToGrid w:val="0"/>
        </w:rPr>
        <w:tab/>
        <w:t>a commercial vessel — </w:t>
      </w:r>
    </w:p>
    <w:p w:rsidR="009515FF" w:rsidRDefault="00B14AD4">
      <w:pPr>
        <w:pStyle w:val="Indenti"/>
      </w:pPr>
      <w:r>
        <w:tab/>
        <w:t>(i)</w:t>
      </w:r>
      <w:r>
        <w:tab/>
        <w:t>with a length overall of not more than 5.5 m; or</w:t>
      </w:r>
    </w:p>
    <w:p w:rsidR="009515FF" w:rsidRDefault="00B14AD4">
      <w:pPr>
        <w:pStyle w:val="Indenti"/>
        <w:rPr>
          <w:snapToGrid w:val="0"/>
        </w:rPr>
      </w:pPr>
      <w:r>
        <w:rPr>
          <w:snapToGrid w:val="0"/>
        </w:rPr>
        <w:tab/>
        <w:t>(ii)</w:t>
      </w:r>
      <w:r>
        <w:rPr>
          <w:snapToGrid w:val="0"/>
        </w:rPr>
        <w:tab/>
        <w:t>without its own means of propulsion;</w:t>
      </w:r>
    </w:p>
    <w:p w:rsidR="009515FF" w:rsidRDefault="00B14AD4">
      <w:pPr>
        <w:pStyle w:val="Indenta"/>
        <w:rPr>
          <w:snapToGrid w:val="0"/>
        </w:rPr>
      </w:pPr>
      <w:r>
        <w:rPr>
          <w:snapToGrid w:val="0"/>
        </w:rPr>
        <w:tab/>
      </w:r>
      <w:r>
        <w:rPr>
          <w:snapToGrid w:val="0"/>
        </w:rPr>
        <w:tab/>
        <w:t>or</w:t>
      </w:r>
    </w:p>
    <w:p w:rsidR="009515FF" w:rsidRDefault="00B14AD4">
      <w:pPr>
        <w:pStyle w:val="Indenta"/>
        <w:rPr>
          <w:snapToGrid w:val="0"/>
        </w:rPr>
      </w:pPr>
      <w:r>
        <w:rPr>
          <w:snapToGrid w:val="0"/>
        </w:rPr>
        <w:tab/>
        <w:t>(h)</w:t>
      </w:r>
      <w:r>
        <w:rPr>
          <w:snapToGrid w:val="0"/>
        </w:rPr>
        <w:tab/>
        <w:t>a training vessel on a non</w:t>
      </w:r>
      <w:r>
        <w:rPr>
          <w:snapToGrid w:val="0"/>
        </w:rPr>
        <w:noBreakHyphen/>
        <w:t>commercial voyage; or</w:t>
      </w:r>
    </w:p>
    <w:p w:rsidR="009515FF" w:rsidRDefault="00B14AD4">
      <w:pPr>
        <w:pStyle w:val="Indenta"/>
        <w:rPr>
          <w:snapToGrid w:val="0"/>
        </w:rPr>
      </w:pPr>
      <w:r>
        <w:rPr>
          <w:snapToGrid w:val="0"/>
        </w:rPr>
        <w:tab/>
        <w:t>(i)</w:t>
      </w:r>
      <w:r>
        <w:rPr>
          <w:snapToGrid w:val="0"/>
        </w:rPr>
        <w:tab/>
        <w:t>a vessel which is at the time engaged as a private pleasure vessel or on some other non</w:t>
      </w:r>
      <w:r>
        <w:rPr>
          <w:snapToGrid w:val="0"/>
        </w:rPr>
        <w:noBreakHyphen/>
        <w:t>commercial voyage and which is exempted in circumstances which are at the discretion of the CEO; or</w:t>
      </w:r>
    </w:p>
    <w:p w:rsidR="009515FF" w:rsidRDefault="00B14AD4">
      <w:pPr>
        <w:pStyle w:val="Indenta"/>
        <w:rPr>
          <w:snapToGrid w:val="0"/>
        </w:rPr>
      </w:pPr>
      <w:r>
        <w:lastRenderedPageBreak/>
        <w:tab/>
        <w:t>(j)</w:t>
      </w:r>
      <w:r>
        <w:tab/>
        <w:t xml:space="preserve">a vessel with a length overall of 70 m or more, </w:t>
      </w:r>
    </w:p>
    <w:p w:rsidR="009515FF" w:rsidRDefault="00B14AD4">
      <w:pPr>
        <w:pStyle w:val="Subsection"/>
        <w:rPr>
          <w:snapToGrid w:val="0"/>
        </w:rPr>
      </w:pPr>
      <w:r>
        <w:rPr>
          <w:snapToGrid w:val="0"/>
        </w:rPr>
        <w:tab/>
      </w:r>
      <w:r>
        <w:rPr>
          <w:snapToGrid w:val="0"/>
        </w:rPr>
        <w:tab/>
        <w:t xml:space="preserve">entering, calling at or using any port in the State shall pay to the Department conservancy dues calculated in accordance with the provisions of </w:t>
      </w:r>
      <w:r>
        <w:t>Schedule 3 Division 2.</w:t>
      </w:r>
    </w:p>
    <w:p w:rsidR="009515FF" w:rsidRDefault="00B14AD4">
      <w:pPr>
        <w:pStyle w:val="Subsection"/>
        <w:rPr>
          <w:snapToGrid w:val="0"/>
        </w:rPr>
      </w:pPr>
      <w:r>
        <w:rPr>
          <w:snapToGrid w:val="0"/>
        </w:rPr>
        <w:tab/>
        <w:t>(1a)</w:t>
      </w:r>
      <w:r>
        <w:rPr>
          <w:snapToGrid w:val="0"/>
        </w:rPr>
        <w:tab/>
        <w:t xml:space="preserve">The master or owner of any fishing vessel, entering, calling or using the Emu Point Fishing Boat Harbour, Albany, the Fishing Boat Harbour, Carnarvon, the Bandy Creek Small Boat Harbour, Esperance, the Fishing Boat Harbour, Fremantle, the Inner Harbour, Geraldton or the Fishing Boat Harbour, Port Denison, shall pay to the Department conservancy dues calculated in accordance with the provisions of </w:t>
      </w:r>
      <w:r>
        <w:t>Schedule 3 Division 2 item 3.</w:t>
      </w:r>
    </w:p>
    <w:p w:rsidR="009515FF" w:rsidRDefault="00B14AD4">
      <w:pPr>
        <w:pStyle w:val="Subsection"/>
        <w:rPr>
          <w:snapToGrid w:val="0"/>
        </w:rPr>
      </w:pPr>
      <w:r>
        <w:rPr>
          <w:snapToGrid w:val="0"/>
        </w:rPr>
        <w:tab/>
        <w:t>(2)</w:t>
      </w:r>
      <w:r>
        <w:rPr>
          <w:snapToGrid w:val="0"/>
        </w:rPr>
        <w:tab/>
        <w:t xml:space="preserve">The conservancy dues referred to in </w:t>
      </w:r>
      <w:r>
        <w:t xml:space="preserve">Schedule 3 Division 2 </w:t>
      </w:r>
      <w:r>
        <w:rPr>
          <w:snapToGrid w:val="0"/>
        </w:rPr>
        <w:t>are payable — </w:t>
      </w:r>
    </w:p>
    <w:p w:rsidR="009515FF" w:rsidRDefault="00B14AD4">
      <w:pPr>
        <w:pStyle w:val="Indenta"/>
        <w:rPr>
          <w:snapToGrid w:val="0"/>
        </w:rPr>
      </w:pPr>
      <w:r>
        <w:rPr>
          <w:snapToGrid w:val="0"/>
        </w:rPr>
        <w:tab/>
        <w:t>(a)</w:t>
      </w:r>
      <w:r>
        <w:rPr>
          <w:snapToGrid w:val="0"/>
        </w:rPr>
        <w:tab/>
        <w:t>in the case of conservancy dues referred to in item 1, on the date of the first entry of the vessel into or on the first day of use of, the port in the period in respect of which the conservancy dues are payable;</w:t>
      </w:r>
    </w:p>
    <w:p w:rsidR="009515FF" w:rsidRDefault="00B14AD4">
      <w:pPr>
        <w:pStyle w:val="Indenta"/>
        <w:rPr>
          <w:snapToGrid w:val="0"/>
        </w:rPr>
      </w:pPr>
      <w:r>
        <w:rPr>
          <w:snapToGrid w:val="0"/>
        </w:rPr>
        <w:tab/>
        <w:t>(b)</w:t>
      </w:r>
      <w:r>
        <w:rPr>
          <w:snapToGrid w:val="0"/>
        </w:rPr>
        <w:tab/>
        <w:t>in the case of conservancy dues referred to in item 2, on the day of entry of the vessel into the port;</w:t>
      </w:r>
    </w:p>
    <w:p w:rsidR="009515FF" w:rsidRDefault="00B14AD4">
      <w:pPr>
        <w:pStyle w:val="Indenta"/>
        <w:rPr>
          <w:snapToGrid w:val="0"/>
        </w:rPr>
      </w:pPr>
      <w:r>
        <w:rPr>
          <w:snapToGrid w:val="0"/>
        </w:rPr>
        <w:tab/>
        <w:t>(c)</w:t>
      </w:r>
      <w:r>
        <w:rPr>
          <w:snapToGrid w:val="0"/>
        </w:rPr>
        <w:tab/>
        <w:t>in the case of conservancy dues referred to in paragraph (i) of item 2, on 1 January;</w:t>
      </w:r>
    </w:p>
    <w:p w:rsidR="009515FF" w:rsidRDefault="00B14AD4">
      <w:pPr>
        <w:pStyle w:val="Indenta"/>
        <w:rPr>
          <w:snapToGrid w:val="0"/>
        </w:rPr>
      </w:pPr>
      <w:r>
        <w:rPr>
          <w:snapToGrid w:val="0"/>
        </w:rPr>
        <w:tab/>
        <w:t>(d)</w:t>
      </w:r>
      <w:r>
        <w:rPr>
          <w:snapToGrid w:val="0"/>
        </w:rPr>
        <w:tab/>
        <w:t>in the case of conservancy dues referred to in paragraph (ii) of item 2, on 1 July or 1 January, as the case may be;</w:t>
      </w:r>
    </w:p>
    <w:p w:rsidR="009515FF" w:rsidRDefault="00B14AD4">
      <w:pPr>
        <w:pStyle w:val="Indenta"/>
        <w:rPr>
          <w:color w:val="000000"/>
        </w:rPr>
      </w:pPr>
      <w:r>
        <w:tab/>
        <w:t>(e)</w:t>
      </w:r>
      <w:r>
        <w:tab/>
      </w:r>
      <w:r>
        <w:rPr>
          <w:color w:val="000000"/>
        </w:rPr>
        <w:t>in the case of conservancy dues referred to in item 3, on 1 July.</w:t>
      </w:r>
    </w:p>
    <w:p w:rsidR="009515FF" w:rsidRDefault="00B14AD4">
      <w:pPr>
        <w:pStyle w:val="Subsection"/>
        <w:rPr>
          <w:snapToGrid w:val="0"/>
        </w:rPr>
      </w:pPr>
      <w:r>
        <w:rPr>
          <w:snapToGrid w:val="0"/>
        </w:rPr>
        <w:tab/>
        <w:t>(2a)</w:t>
      </w:r>
      <w:r>
        <w:rPr>
          <w:snapToGrid w:val="0"/>
        </w:rPr>
        <w:tab/>
        <w:t>For the purposes of this regulation</w:t>
      </w:r>
      <w:r>
        <w:t>,</w:t>
      </w:r>
      <w:r>
        <w:rPr>
          <w:b/>
          <w:snapToGrid w:val="0"/>
        </w:rPr>
        <w:t xml:space="preserve"> </w:t>
      </w:r>
      <w:r>
        <w:rPr>
          <w:rStyle w:val="CharDefText"/>
        </w:rPr>
        <w:t>commercial vessel</w:t>
      </w:r>
      <w:r>
        <w:rPr>
          <w:snapToGrid w:val="0"/>
        </w:rPr>
        <w:t xml:space="preserve"> means a vessel which is not used solely for pleasure or recreation and the use of which is made, allowed or authorised in the course of any business or in connection with any commercial transaction but does not include a vessel referred to in subregulation (1)(a) to (f).</w:t>
      </w:r>
    </w:p>
    <w:p w:rsidR="009515FF" w:rsidRDefault="00B14AD4">
      <w:pPr>
        <w:pStyle w:val="Subsection"/>
        <w:rPr>
          <w:snapToGrid w:val="0"/>
        </w:rPr>
      </w:pPr>
      <w:r>
        <w:rPr>
          <w:snapToGrid w:val="0"/>
        </w:rPr>
        <w:lastRenderedPageBreak/>
        <w:tab/>
        <w:t>(3)</w:t>
      </w:r>
      <w:r>
        <w:rPr>
          <w:snapToGrid w:val="0"/>
        </w:rPr>
        <w:tab/>
        <w:t xml:space="preserve">Where the master of a vessel entering or within any port claims, by reason of there having been made a payment in respect of conservancy dues referred to in </w:t>
      </w:r>
      <w:r>
        <w:t xml:space="preserve">Schedule 3 Division 2 item 1, </w:t>
      </w:r>
      <w:r>
        <w:rPr>
          <w:snapToGrid w:val="0"/>
        </w:rPr>
        <w:t xml:space="preserve">to be entitled to use that port for any period without further payment of conservancy dues, the </w:t>
      </w:r>
      <w:r>
        <w:t>harbour master</w:t>
      </w:r>
      <w:r>
        <w:rPr>
          <w:snapToGrid w:val="0"/>
        </w:rPr>
        <w:t xml:space="preserve"> may require the master or owner to produce satisfactory evidence of the payment so claimed to have been made and, subject to subregulation (4), where satisfactory evidence of that payment is not produced, the master or owner is liable to pay conservancy dues as if the payment claimed to have been made had not been made.</w:t>
      </w:r>
    </w:p>
    <w:p w:rsidR="009515FF" w:rsidRDefault="00B14AD4">
      <w:pPr>
        <w:pStyle w:val="Subsection"/>
        <w:rPr>
          <w:snapToGrid w:val="0"/>
        </w:rPr>
      </w:pPr>
      <w:r>
        <w:rPr>
          <w:snapToGrid w:val="0"/>
        </w:rPr>
        <w:tab/>
        <w:t>(4)</w:t>
      </w:r>
      <w:r>
        <w:rPr>
          <w:snapToGrid w:val="0"/>
        </w:rPr>
        <w:tab/>
        <w:t>Where the master of a vessel who — </w:t>
      </w:r>
    </w:p>
    <w:p w:rsidR="009515FF" w:rsidRDefault="00B14AD4">
      <w:pPr>
        <w:pStyle w:val="Indenta"/>
        <w:rPr>
          <w:snapToGrid w:val="0"/>
        </w:rPr>
      </w:pPr>
      <w:r>
        <w:rPr>
          <w:snapToGrid w:val="0"/>
        </w:rPr>
        <w:tab/>
        <w:t>(a)</w:t>
      </w:r>
      <w:r>
        <w:rPr>
          <w:snapToGrid w:val="0"/>
        </w:rPr>
        <w:tab/>
        <w:t xml:space="preserve">has claimed to be entitled to bring the vessel into or use any port without payment of conservancy dues by reason of his or her previously having paid conservancy dues referred to in </w:t>
      </w:r>
      <w:r>
        <w:t xml:space="preserve">Schedule 3 Division 2 item 1; </w:t>
      </w:r>
      <w:r>
        <w:rPr>
          <w:snapToGrid w:val="0"/>
        </w:rPr>
        <w:t>and</w:t>
      </w:r>
    </w:p>
    <w:p w:rsidR="009515FF" w:rsidRDefault="00B14AD4">
      <w:pPr>
        <w:pStyle w:val="Indenta"/>
        <w:rPr>
          <w:snapToGrid w:val="0"/>
        </w:rPr>
      </w:pPr>
      <w:r>
        <w:rPr>
          <w:snapToGrid w:val="0"/>
        </w:rPr>
        <w:tab/>
        <w:t>(b)</w:t>
      </w:r>
      <w:r>
        <w:rPr>
          <w:snapToGrid w:val="0"/>
        </w:rPr>
        <w:tab/>
        <w:t>has, by reason of his or her being unable to produce satisfactory evidence of that prior payment, been required to pay conservancy dues as if the prior payment claimed to have been made had not been made,</w:t>
      </w:r>
    </w:p>
    <w:p w:rsidR="009515FF" w:rsidRDefault="00B14AD4">
      <w:pPr>
        <w:pStyle w:val="Subsection"/>
        <w:rPr>
          <w:snapToGrid w:val="0"/>
        </w:rPr>
      </w:pPr>
      <w:r>
        <w:rPr>
          <w:snapToGrid w:val="0"/>
        </w:rPr>
        <w:tab/>
      </w:r>
      <w:r>
        <w:rPr>
          <w:snapToGrid w:val="0"/>
        </w:rPr>
        <w:tab/>
        <w:t xml:space="preserve">satisfies the </w:t>
      </w:r>
      <w:r>
        <w:t>harbour master</w:t>
      </w:r>
      <w:r>
        <w:rPr>
          <w:snapToGrid w:val="0"/>
        </w:rPr>
        <w:t xml:space="preserve"> or the Department that the payment claimed to have been made was made, there shall be paid to the master or owner an amount equal to the conservancy dues that were required to be paid in pursuance of subregulation (3).</w:t>
      </w:r>
    </w:p>
    <w:p w:rsidR="009515FF" w:rsidRDefault="00B14AD4">
      <w:pPr>
        <w:pStyle w:val="Subsection"/>
        <w:rPr>
          <w:snapToGrid w:val="0"/>
        </w:rPr>
      </w:pPr>
      <w:r>
        <w:rPr>
          <w:snapToGrid w:val="0"/>
        </w:rPr>
        <w:tab/>
        <w:t>(5)</w:t>
      </w:r>
      <w:r>
        <w:rPr>
          <w:snapToGrid w:val="0"/>
        </w:rPr>
        <w:tab/>
        <w:t xml:space="preserve">The master of a vessel shall produce the certificate of registry, and any certificate of tonnage or any other record specified in </w:t>
      </w:r>
      <w:r>
        <w:t xml:space="preserve">Schedule 5 </w:t>
      </w:r>
      <w:r>
        <w:rPr>
          <w:snapToGrid w:val="0"/>
        </w:rPr>
        <w:t>to the Department or an authorised person, upon demand.</w:t>
      </w:r>
    </w:p>
    <w:p w:rsidR="009515FF" w:rsidRDefault="00B14AD4">
      <w:pPr>
        <w:pStyle w:val="Footnotesection"/>
        <w:keepLines w:val="0"/>
        <w:ind w:left="890" w:hanging="890"/>
      </w:pPr>
      <w:r>
        <w:tab/>
        <w:t xml:space="preserve">[Regulation 18 amended: Gazette 2 Dec 1977 p. 4442; 27 Mar 1981 p. 1077; 28 Aug 1981 p. 3574; 2 Jul 1982 p. 2361; 13 Aug 1982 p. 3141; 17 Feb 1984 p. 434; 29 Jun 1984 p. 1760; 28 Jun 1985 p. 2319; 23 Oct 1987 p. 3943; 26 Jul 1991 p. 3926; 11 Aug 1992 p. 3975; 6 Aug 1999 p. 3733; 27 Jun 2003 </w:t>
      </w:r>
      <w:r>
        <w:lastRenderedPageBreak/>
        <w:t>p. 2522</w:t>
      </w:r>
      <w:r>
        <w:noBreakHyphen/>
        <w:t>3; 25 Jun 2004 p. 2267; 1 Jul 2008 p. 3157</w:t>
      </w:r>
      <w:r>
        <w:noBreakHyphen/>
        <w:t>8; 4 Jun 2010 p. 2462</w:t>
      </w:r>
      <w:r>
        <w:noBreakHyphen/>
        <w:t xml:space="preserve">6; 16 Sep 2016 p. 3945.] </w:t>
      </w:r>
    </w:p>
    <w:p w:rsidR="009515FF" w:rsidRDefault="00B14AD4">
      <w:pPr>
        <w:pStyle w:val="Heading5"/>
        <w:spacing w:before="240"/>
        <w:rPr>
          <w:snapToGrid w:val="0"/>
        </w:rPr>
      </w:pPr>
      <w:bookmarkStart w:id="71" w:name="_Toc75528214"/>
      <w:r>
        <w:rPr>
          <w:rStyle w:val="CharSectno"/>
        </w:rPr>
        <w:t>18A</w:t>
      </w:r>
      <w:r>
        <w:rPr>
          <w:snapToGrid w:val="0"/>
        </w:rPr>
        <w:t>.</w:t>
      </w:r>
      <w:r>
        <w:rPr>
          <w:snapToGrid w:val="0"/>
        </w:rPr>
        <w:tab/>
        <w:t>Gross registered tonnage, determining</w:t>
      </w:r>
      <w:bookmarkEnd w:id="71"/>
    </w:p>
    <w:p w:rsidR="009515FF" w:rsidRDefault="00B14AD4">
      <w:pPr>
        <w:pStyle w:val="Subsection"/>
        <w:spacing w:before="180"/>
        <w:rPr>
          <w:snapToGrid w:val="0"/>
        </w:rPr>
      </w:pPr>
      <w:r>
        <w:rPr>
          <w:snapToGrid w:val="0"/>
        </w:rPr>
        <w:tab/>
        <w:t>(1)</w:t>
      </w:r>
      <w:r>
        <w:rPr>
          <w:snapToGrid w:val="0"/>
        </w:rPr>
        <w:tab/>
        <w:t>Subject to subregulation (2), in these regulations gross registered tonnage of a vessel is — </w:t>
      </w:r>
    </w:p>
    <w:p w:rsidR="009515FF" w:rsidRDefault="00B14AD4">
      <w:pPr>
        <w:pStyle w:val="Indenta"/>
        <w:rPr>
          <w:snapToGrid w:val="0"/>
        </w:rPr>
      </w:pPr>
      <w:r>
        <w:rPr>
          <w:snapToGrid w:val="0"/>
        </w:rPr>
        <w:tab/>
        <w:t>(a)</w:t>
      </w:r>
      <w:r>
        <w:rPr>
          <w:snapToGrid w:val="0"/>
        </w:rPr>
        <w:tab/>
        <w:t>in the case of a vessel the certificate of registry or certificate of tonnage of which was issued by a country specified in</w:t>
      </w:r>
      <w:r>
        <w:t xml:space="preserve"> Schedule 4</w:t>
      </w:r>
      <w:r>
        <w:rPr>
          <w:snapToGrid w:val="0"/>
        </w:rPr>
        <w:t>, the sum of the highest gross tonnage appearing on that certificate and the tonnage, as estimated by an authorised person, of any cargo spaces specified on that certificate but not taken into account in the calculation or determination of that highest gross tonnage;</w:t>
      </w:r>
    </w:p>
    <w:p w:rsidR="009515FF" w:rsidRDefault="00B14AD4">
      <w:pPr>
        <w:pStyle w:val="Indenta"/>
        <w:rPr>
          <w:snapToGrid w:val="0"/>
        </w:rPr>
      </w:pPr>
      <w:r>
        <w:rPr>
          <w:snapToGrid w:val="0"/>
        </w:rPr>
        <w:tab/>
        <w:t>(b)</w:t>
      </w:r>
      <w:r>
        <w:rPr>
          <w:snapToGrid w:val="0"/>
        </w:rPr>
        <w:tab/>
        <w:t>in the case of a vessel the certificate of registry or certificate of tonnage of which was issued by a country other than a country referred to in paragraph (a) — </w:t>
      </w:r>
    </w:p>
    <w:p w:rsidR="009515FF" w:rsidRDefault="00B14AD4">
      <w:pPr>
        <w:pStyle w:val="Indenti"/>
        <w:rPr>
          <w:snapToGrid w:val="0"/>
        </w:rPr>
      </w:pPr>
      <w:r>
        <w:rPr>
          <w:snapToGrid w:val="0"/>
        </w:rPr>
        <w:tab/>
        <w:t>(i)</w:t>
      </w:r>
      <w:r>
        <w:rPr>
          <w:snapToGrid w:val="0"/>
        </w:rPr>
        <w:tab/>
        <w:t>if that vessel formerly carried a certificate referred to in paragraph (a) and the Department is aware of the contents of that certificate — </w:t>
      </w:r>
    </w:p>
    <w:p w:rsidR="009515FF" w:rsidRDefault="00B14AD4">
      <w:pPr>
        <w:pStyle w:val="IndentI0"/>
        <w:rPr>
          <w:snapToGrid w:val="0"/>
        </w:rPr>
      </w:pPr>
      <w:r>
        <w:rPr>
          <w:snapToGrid w:val="0"/>
        </w:rPr>
        <w:tab/>
        <w:t>(I)</w:t>
      </w:r>
      <w:r>
        <w:rPr>
          <w:snapToGrid w:val="0"/>
        </w:rPr>
        <w:tab/>
        <w:t>the sum of the highest gross tonnage appearing in that certificate and the tonnage, as estimated by an authorised person, of any cargo spaces specified on that certificate but not taken into account in the calculation or determination of that highest gross tonnage; or</w:t>
      </w:r>
    </w:p>
    <w:p w:rsidR="009515FF" w:rsidRDefault="00B14AD4">
      <w:pPr>
        <w:pStyle w:val="IndentI0"/>
        <w:rPr>
          <w:snapToGrid w:val="0"/>
        </w:rPr>
      </w:pPr>
      <w:r>
        <w:rPr>
          <w:snapToGrid w:val="0"/>
        </w:rPr>
        <w:tab/>
        <w:t>(II)</w:t>
      </w:r>
      <w:r>
        <w:rPr>
          <w:snapToGrid w:val="0"/>
        </w:rPr>
        <w:tab/>
        <w:t>the tonnage of that vessel as estimated by an authorised person by reference to the factors referred to in subparagraph (ii);</w:t>
      </w:r>
    </w:p>
    <w:p w:rsidR="009515FF" w:rsidRDefault="00B14AD4">
      <w:pPr>
        <w:pStyle w:val="Indenti"/>
        <w:rPr>
          <w:snapToGrid w:val="0"/>
        </w:rPr>
      </w:pPr>
      <w:r>
        <w:rPr>
          <w:snapToGrid w:val="0"/>
        </w:rPr>
        <w:tab/>
      </w:r>
      <w:r>
        <w:rPr>
          <w:snapToGrid w:val="0"/>
        </w:rPr>
        <w:tab/>
        <w:t>or</w:t>
      </w:r>
    </w:p>
    <w:p w:rsidR="009515FF" w:rsidRDefault="00B14AD4">
      <w:pPr>
        <w:pStyle w:val="Indenti"/>
        <w:rPr>
          <w:snapToGrid w:val="0"/>
        </w:rPr>
      </w:pPr>
      <w:r>
        <w:rPr>
          <w:snapToGrid w:val="0"/>
        </w:rPr>
        <w:tab/>
        <w:t>(ii)</w:t>
      </w:r>
      <w:r>
        <w:rPr>
          <w:snapToGrid w:val="0"/>
        </w:rPr>
        <w:tab/>
        <w:t xml:space="preserve">the tonnage of that vessel as estimated by an authorised person by reference to the dimensions </w:t>
      </w:r>
      <w:r>
        <w:rPr>
          <w:snapToGrid w:val="0"/>
        </w:rPr>
        <w:lastRenderedPageBreak/>
        <w:t xml:space="preserve">and gross tonnage of a vessel similar to that vessel or to the measurements and dimensions of that vessel and any information appearing on any other document specified in </w:t>
      </w:r>
      <w:r>
        <w:t xml:space="preserve">Schedule 5 </w:t>
      </w:r>
      <w:r>
        <w:rPr>
          <w:snapToGrid w:val="0"/>
        </w:rPr>
        <w:t>pertaining to the tonnage or measurement of the vessel.</w:t>
      </w:r>
    </w:p>
    <w:p w:rsidR="009515FF" w:rsidRDefault="00B14AD4">
      <w:pPr>
        <w:pStyle w:val="Subsection"/>
        <w:rPr>
          <w:snapToGrid w:val="0"/>
        </w:rPr>
      </w:pPr>
      <w:r>
        <w:rPr>
          <w:snapToGrid w:val="0"/>
        </w:rPr>
        <w:tab/>
        <w:t>(2)</w:t>
      </w:r>
      <w:r>
        <w:rPr>
          <w:snapToGrid w:val="0"/>
        </w:rPr>
        <w:tab/>
        <w:t>Where an International Tonnage Certificate (1969) has been issued in respect of a vessel, the gross registered tonnage of that vessel for the purposes of these regulations is the gross tonnage set out in the International Tonnage Certificate (1969) relating to that vessel.</w:t>
      </w:r>
    </w:p>
    <w:p w:rsidR="009515FF" w:rsidRDefault="00B14AD4">
      <w:pPr>
        <w:pStyle w:val="Footnotesection"/>
      </w:pPr>
      <w:r>
        <w:tab/>
        <w:t>[Regulation 18A inserted: Gazette 28 Aug 1981 p. 3574</w:t>
      </w:r>
      <w:r>
        <w:noBreakHyphen/>
        <w:t>5; amended: Gazette 10 Dec 1982 p. 4799; 4 Jun 2010 p. 2462</w:t>
      </w:r>
      <w:r>
        <w:noBreakHyphen/>
        <w:t xml:space="preserve">3.] </w:t>
      </w:r>
    </w:p>
    <w:p w:rsidR="009515FF" w:rsidRDefault="00B14AD4">
      <w:pPr>
        <w:pStyle w:val="Heading2"/>
      </w:pPr>
      <w:bookmarkStart w:id="72" w:name="_Toc75423311"/>
      <w:bookmarkStart w:id="73" w:name="_Toc75426793"/>
      <w:bookmarkStart w:id="74" w:name="_Toc75528215"/>
      <w:r>
        <w:rPr>
          <w:rStyle w:val="CharPartNo"/>
        </w:rPr>
        <w:lastRenderedPageBreak/>
        <w:t>Part 7</w:t>
      </w:r>
      <w:r>
        <w:rPr>
          <w:b w:val="0"/>
        </w:rPr>
        <w:t> </w:t>
      </w:r>
      <w:r>
        <w:t>—</w:t>
      </w:r>
      <w:r>
        <w:rPr>
          <w:b w:val="0"/>
        </w:rPr>
        <w:t> </w:t>
      </w:r>
      <w:r>
        <w:rPr>
          <w:rStyle w:val="CharPartText"/>
        </w:rPr>
        <w:t>Regulation of other matters</w:t>
      </w:r>
      <w:bookmarkEnd w:id="72"/>
      <w:bookmarkEnd w:id="73"/>
      <w:bookmarkEnd w:id="74"/>
    </w:p>
    <w:p w:rsidR="009515FF" w:rsidRDefault="00B14AD4">
      <w:pPr>
        <w:pStyle w:val="Footnoteheading"/>
        <w:spacing w:before="80"/>
      </w:pPr>
      <w:r>
        <w:tab/>
        <w:t>[Heading inserted: Gazette 4 Jun 2010 p. 2441.]</w:t>
      </w:r>
    </w:p>
    <w:p w:rsidR="009515FF" w:rsidRDefault="00B14AD4">
      <w:pPr>
        <w:pStyle w:val="Heading3"/>
        <w:spacing w:before="260"/>
      </w:pPr>
      <w:bookmarkStart w:id="75" w:name="_Toc75423312"/>
      <w:bookmarkStart w:id="76" w:name="_Toc75426794"/>
      <w:bookmarkStart w:id="77" w:name="_Toc75528216"/>
      <w:r>
        <w:rPr>
          <w:rStyle w:val="CharDivNo"/>
        </w:rPr>
        <w:t>Division 1</w:t>
      </w:r>
      <w:r>
        <w:t> — </w:t>
      </w:r>
      <w:r>
        <w:rPr>
          <w:rStyle w:val="CharDivText"/>
        </w:rPr>
        <w:t>General</w:t>
      </w:r>
      <w:bookmarkEnd w:id="75"/>
      <w:bookmarkEnd w:id="76"/>
      <w:bookmarkEnd w:id="77"/>
    </w:p>
    <w:p w:rsidR="009515FF" w:rsidRDefault="00B14AD4">
      <w:pPr>
        <w:pStyle w:val="Footnoteheading"/>
        <w:spacing w:before="80"/>
      </w:pPr>
      <w:r>
        <w:tab/>
        <w:t>[Heading inserted: Gazette 4 Jun 2010 p. 2441.]</w:t>
      </w:r>
    </w:p>
    <w:p w:rsidR="009515FF" w:rsidRDefault="00B14AD4">
      <w:pPr>
        <w:pStyle w:val="Ednotesection"/>
        <w:spacing w:before="180"/>
      </w:pPr>
      <w:r>
        <w:t>[</w:t>
      </w:r>
      <w:r>
        <w:rPr>
          <w:b/>
        </w:rPr>
        <w:t>18B.</w:t>
      </w:r>
      <w:r>
        <w:tab/>
        <w:t>Deleted: Gazette 1 Aug 1990 p. 3641.]</w:t>
      </w:r>
    </w:p>
    <w:p w:rsidR="009515FF" w:rsidRDefault="00B14AD4">
      <w:pPr>
        <w:pStyle w:val="Heading5"/>
        <w:spacing w:before="180"/>
        <w:rPr>
          <w:snapToGrid w:val="0"/>
        </w:rPr>
      </w:pPr>
      <w:bookmarkStart w:id="78" w:name="_Toc75528217"/>
      <w:r>
        <w:rPr>
          <w:rStyle w:val="CharSectno"/>
        </w:rPr>
        <w:t>19</w:t>
      </w:r>
      <w:r>
        <w:rPr>
          <w:snapToGrid w:val="0"/>
        </w:rPr>
        <w:t>.</w:t>
      </w:r>
      <w:r>
        <w:rPr>
          <w:snapToGrid w:val="0"/>
        </w:rPr>
        <w:tab/>
        <w:t>H</w:t>
      </w:r>
      <w:r>
        <w:t>arbour masters’ powers</w:t>
      </w:r>
      <w:bookmarkEnd w:id="78"/>
    </w:p>
    <w:p w:rsidR="009515FF" w:rsidRDefault="00B14AD4">
      <w:pPr>
        <w:pStyle w:val="Subsection"/>
        <w:spacing w:before="120"/>
        <w:rPr>
          <w:snapToGrid w:val="0"/>
        </w:rPr>
      </w:pPr>
      <w:r>
        <w:rPr>
          <w:snapToGrid w:val="0"/>
        </w:rPr>
        <w:tab/>
        <w:t>(1)</w:t>
      </w:r>
      <w:r>
        <w:rPr>
          <w:snapToGrid w:val="0"/>
        </w:rPr>
        <w:tab/>
        <w:t>The master of any vessel shall obey all lawful orders of the</w:t>
      </w:r>
      <w:r>
        <w:t xml:space="preserve"> harbour master</w:t>
      </w:r>
      <w:r>
        <w:rPr>
          <w:snapToGrid w:val="0"/>
        </w:rPr>
        <w:t>, and generally follow such directions as the weather, the crowded conditions of the port or other circumstances may render necessary or expedient, in the judgment of the</w:t>
      </w:r>
      <w:r>
        <w:t xml:space="preserve"> harbour master</w:t>
      </w:r>
      <w:r>
        <w:rPr>
          <w:snapToGrid w:val="0"/>
        </w:rPr>
        <w:t>, for the safety and interest of the whole shipping.</w:t>
      </w:r>
    </w:p>
    <w:p w:rsidR="009515FF" w:rsidRDefault="00B14AD4">
      <w:pPr>
        <w:pStyle w:val="Subsection"/>
        <w:spacing w:before="120"/>
        <w:rPr>
          <w:snapToGrid w:val="0"/>
        </w:rPr>
      </w:pPr>
      <w:r>
        <w:rPr>
          <w:snapToGrid w:val="0"/>
        </w:rPr>
        <w:tab/>
        <w:t>(2)</w:t>
      </w:r>
      <w:r>
        <w:rPr>
          <w:snapToGrid w:val="0"/>
        </w:rPr>
        <w:tab/>
        <w:t xml:space="preserve">The </w:t>
      </w:r>
      <w:r>
        <w:t>harbour master</w:t>
      </w:r>
      <w:r>
        <w:rPr>
          <w:snapToGrid w:val="0"/>
        </w:rPr>
        <w:t xml:space="preserve"> of any port has the entire control of the anchoring, mooring, berthing and movement of all vessels within the port, and shall appoint the place where any vessel is to anchor, moor or lie in the port and the berth that any vessel is to occupy.</w:t>
      </w:r>
    </w:p>
    <w:p w:rsidR="009515FF" w:rsidRDefault="00B14AD4">
      <w:pPr>
        <w:pStyle w:val="Subsection"/>
        <w:spacing w:before="120"/>
        <w:rPr>
          <w:snapToGrid w:val="0"/>
        </w:rPr>
      </w:pPr>
      <w:r>
        <w:rPr>
          <w:snapToGrid w:val="0"/>
        </w:rPr>
        <w:tab/>
        <w:t>(3)</w:t>
      </w:r>
      <w:r>
        <w:rPr>
          <w:snapToGrid w:val="0"/>
        </w:rPr>
        <w:tab/>
        <w:t xml:space="preserve">The </w:t>
      </w:r>
      <w:r>
        <w:t>harbour master</w:t>
      </w:r>
      <w:r>
        <w:rPr>
          <w:snapToGrid w:val="0"/>
        </w:rPr>
        <w:t xml:space="preserve"> of a port may at any time order the master of a vessel within the port to move the vessel from its place in the port to any other place in the port.</w:t>
      </w:r>
    </w:p>
    <w:p w:rsidR="009515FF" w:rsidRDefault="00B14AD4">
      <w:pPr>
        <w:pStyle w:val="Subsection"/>
        <w:spacing w:before="120"/>
        <w:rPr>
          <w:snapToGrid w:val="0"/>
        </w:rPr>
      </w:pPr>
      <w:r>
        <w:rPr>
          <w:snapToGrid w:val="0"/>
        </w:rPr>
        <w:tab/>
        <w:t>(4)</w:t>
      </w:r>
      <w:r>
        <w:rPr>
          <w:snapToGrid w:val="0"/>
        </w:rPr>
        <w:tab/>
        <w:t xml:space="preserve">Where for any reason the order of a </w:t>
      </w:r>
      <w:r>
        <w:t>harbour master</w:t>
      </w:r>
      <w:r>
        <w:rPr>
          <w:snapToGrid w:val="0"/>
        </w:rPr>
        <w:t xml:space="preserve"> to move a vessel in a port is not complied with, the </w:t>
      </w:r>
      <w:r>
        <w:t>harbour master</w:t>
      </w:r>
      <w:r>
        <w:rPr>
          <w:snapToGrid w:val="0"/>
        </w:rPr>
        <w:t xml:space="preserve"> may move the vessel at the risk and expense of the master or owner thereof, and for that purpose may, at the expense of the owner or master of the vessel, break any anchor chain or rope or mooring line securing the vessel.</w:t>
      </w:r>
    </w:p>
    <w:p w:rsidR="009515FF" w:rsidRDefault="00B14AD4">
      <w:pPr>
        <w:pStyle w:val="Subsection"/>
        <w:spacing w:before="120"/>
        <w:rPr>
          <w:snapToGrid w:val="0"/>
        </w:rPr>
      </w:pPr>
      <w:r>
        <w:rPr>
          <w:snapToGrid w:val="0"/>
        </w:rPr>
        <w:tab/>
        <w:t>(5)</w:t>
      </w:r>
      <w:r>
        <w:rPr>
          <w:snapToGrid w:val="0"/>
        </w:rPr>
        <w:tab/>
        <w:t xml:space="preserve">The </w:t>
      </w:r>
      <w:r>
        <w:t>harbour master</w:t>
      </w:r>
      <w:r>
        <w:rPr>
          <w:snapToGrid w:val="0"/>
        </w:rPr>
        <w:t xml:space="preserve"> at a port may, and shall if so directed by the CEO, require the master of a vessel that is entering, departing from or being moved within the port, to engage the services of a tug for that purpose.</w:t>
      </w:r>
    </w:p>
    <w:p w:rsidR="009515FF" w:rsidRDefault="00B14AD4">
      <w:pPr>
        <w:pStyle w:val="Footnotesection"/>
        <w:spacing w:before="60"/>
        <w:ind w:left="890" w:hanging="890"/>
      </w:pPr>
      <w:r>
        <w:tab/>
        <w:t>[Regulation 19 amended: Gazette 27 Jun 2003 p. 2523; 4 Jun 2010 p. 2463</w:t>
      </w:r>
      <w:r>
        <w:noBreakHyphen/>
        <w:t>6.]</w:t>
      </w:r>
    </w:p>
    <w:p w:rsidR="009515FF" w:rsidRDefault="00B14AD4">
      <w:pPr>
        <w:pStyle w:val="Heading5"/>
        <w:spacing w:before="180"/>
        <w:rPr>
          <w:snapToGrid w:val="0"/>
        </w:rPr>
      </w:pPr>
      <w:bookmarkStart w:id="79" w:name="_Toc75528218"/>
      <w:r>
        <w:rPr>
          <w:rStyle w:val="CharSectno"/>
        </w:rPr>
        <w:lastRenderedPageBreak/>
        <w:t>20</w:t>
      </w:r>
      <w:r>
        <w:rPr>
          <w:snapToGrid w:val="0"/>
        </w:rPr>
        <w:t>.</w:t>
      </w:r>
      <w:r>
        <w:rPr>
          <w:snapToGrid w:val="0"/>
        </w:rPr>
        <w:tab/>
        <w:t>Masters’ duties in port</w:t>
      </w:r>
      <w:bookmarkEnd w:id="79"/>
    </w:p>
    <w:p w:rsidR="009515FF" w:rsidRDefault="00B14AD4">
      <w:pPr>
        <w:pStyle w:val="Subsection"/>
        <w:keepNext/>
        <w:keepLines/>
        <w:spacing w:before="120"/>
        <w:rPr>
          <w:snapToGrid w:val="0"/>
        </w:rPr>
      </w:pPr>
      <w:r>
        <w:rPr>
          <w:snapToGrid w:val="0"/>
        </w:rPr>
        <w:tab/>
      </w:r>
      <w:r>
        <w:rPr>
          <w:snapToGrid w:val="0"/>
        </w:rPr>
        <w:tab/>
        <w:t>Subject to these regulations, the master of any vessel within a port shall, unless otherwise directed by the</w:t>
      </w:r>
      <w:r>
        <w:t xml:space="preserve"> harbour master</w:t>
      </w:r>
      <w:r>
        <w:rPr>
          <w:snapToGrid w:val="0"/>
        </w:rPr>
        <w:t>, comply with the following provisions:</w:t>
      </w:r>
    </w:p>
    <w:p w:rsidR="009515FF" w:rsidRDefault="00B14AD4">
      <w:pPr>
        <w:pStyle w:val="Indenta"/>
        <w:rPr>
          <w:snapToGrid w:val="0"/>
        </w:rPr>
      </w:pPr>
      <w:r>
        <w:rPr>
          <w:snapToGrid w:val="0"/>
        </w:rPr>
        <w:tab/>
        <w:t>(a)</w:t>
      </w:r>
      <w:r>
        <w:rPr>
          <w:snapToGrid w:val="0"/>
        </w:rPr>
        <w:tab/>
        <w:t>a vessel shall not be fastened to any part of a wharf except to the bollards or fastenings that are, or may be, provided for the purpose;</w:t>
      </w:r>
    </w:p>
    <w:p w:rsidR="009515FF" w:rsidRDefault="00B14AD4">
      <w:pPr>
        <w:pStyle w:val="Indenta"/>
        <w:rPr>
          <w:snapToGrid w:val="0"/>
        </w:rPr>
      </w:pPr>
      <w:r>
        <w:rPr>
          <w:snapToGrid w:val="0"/>
        </w:rPr>
        <w:tab/>
        <w:t>(b)</w:t>
      </w:r>
      <w:r>
        <w:rPr>
          <w:snapToGrid w:val="0"/>
        </w:rPr>
        <w:tab/>
        <w:t>a vessel shall not lie alongside a wharf unless it is properly moored and fastened so as to relieve, as much as may be possible, the wharf from the weight of the vessel;</w:t>
      </w:r>
    </w:p>
    <w:p w:rsidR="009515FF" w:rsidRDefault="00B14AD4">
      <w:pPr>
        <w:pStyle w:val="Indenta"/>
        <w:rPr>
          <w:snapToGrid w:val="0"/>
        </w:rPr>
      </w:pPr>
      <w:r>
        <w:rPr>
          <w:snapToGrid w:val="0"/>
        </w:rPr>
        <w:tab/>
        <w:t>(c)</w:t>
      </w:r>
      <w:r>
        <w:rPr>
          <w:snapToGrid w:val="0"/>
        </w:rPr>
        <w:tab/>
        <w:t>a vessel shall not be moored, anchored or lie in the vicinity of a wharf so as to create a second bank of vessels alongside the wharf;</w:t>
      </w:r>
    </w:p>
    <w:p w:rsidR="009515FF" w:rsidRDefault="00B14AD4">
      <w:pPr>
        <w:pStyle w:val="Indenta"/>
        <w:rPr>
          <w:snapToGrid w:val="0"/>
        </w:rPr>
      </w:pPr>
      <w:r>
        <w:rPr>
          <w:snapToGrid w:val="0"/>
        </w:rPr>
        <w:tab/>
        <w:t>(d)</w:t>
      </w:r>
      <w:r>
        <w:rPr>
          <w:snapToGrid w:val="0"/>
        </w:rPr>
        <w:tab/>
        <w:t>a vessel shall not be moored or fastened to, or remain alongside, any wharf except for the purpose of, and for the period actually required for, the loading or unloading of cargo;</w:t>
      </w:r>
    </w:p>
    <w:p w:rsidR="009515FF" w:rsidRDefault="00B14AD4">
      <w:pPr>
        <w:pStyle w:val="Indenta"/>
        <w:rPr>
          <w:snapToGrid w:val="0"/>
        </w:rPr>
      </w:pPr>
      <w:r>
        <w:rPr>
          <w:snapToGrid w:val="0"/>
        </w:rPr>
        <w:tab/>
        <w:t>(e)</w:t>
      </w:r>
      <w:r>
        <w:rPr>
          <w:snapToGrid w:val="0"/>
        </w:rPr>
        <w:tab/>
        <w:t>where the vessel, being a passenger vessel, has been brought alongside the steps provided at a wharf for the purpose of embarking or disembarking passengers, the master shall not permit the vessel to remain alongside those steps for any period longer than that necessary to complete the embarking or disembarking.</w:t>
      </w:r>
    </w:p>
    <w:p w:rsidR="009515FF" w:rsidRDefault="00B14AD4">
      <w:pPr>
        <w:pStyle w:val="Footnotesection"/>
        <w:spacing w:before="80"/>
        <w:ind w:left="890" w:hanging="890"/>
      </w:pPr>
      <w:r>
        <w:tab/>
        <w:t>[Regulation 20 amended: Gazette 4 Jun 2010 p. 2464</w:t>
      </w:r>
      <w:r>
        <w:noBreakHyphen/>
        <w:t>5.]</w:t>
      </w:r>
    </w:p>
    <w:p w:rsidR="009515FF" w:rsidRDefault="00B14AD4">
      <w:pPr>
        <w:pStyle w:val="Heading5"/>
        <w:keepNext w:val="0"/>
        <w:keepLines w:val="0"/>
        <w:spacing w:before="180"/>
        <w:rPr>
          <w:snapToGrid w:val="0"/>
        </w:rPr>
      </w:pPr>
      <w:bookmarkStart w:id="80" w:name="_Toc75528219"/>
      <w:r>
        <w:rPr>
          <w:rStyle w:val="CharSectno"/>
        </w:rPr>
        <w:t>21</w:t>
      </w:r>
      <w:r>
        <w:rPr>
          <w:snapToGrid w:val="0"/>
        </w:rPr>
        <w:t>.</w:t>
      </w:r>
      <w:r>
        <w:rPr>
          <w:snapToGrid w:val="0"/>
        </w:rPr>
        <w:tab/>
        <w:t>Anchoring etc. in port, masters’ duties as to</w:t>
      </w:r>
      <w:bookmarkEnd w:id="80"/>
    </w:p>
    <w:p w:rsidR="009515FF" w:rsidRDefault="00B14AD4">
      <w:pPr>
        <w:pStyle w:val="Subsection"/>
        <w:spacing w:before="120"/>
        <w:rPr>
          <w:snapToGrid w:val="0"/>
        </w:rPr>
      </w:pPr>
      <w:r>
        <w:rPr>
          <w:snapToGrid w:val="0"/>
        </w:rPr>
        <w:tab/>
        <w:t>(1)</w:t>
      </w:r>
      <w:r>
        <w:rPr>
          <w:snapToGrid w:val="0"/>
        </w:rPr>
        <w:tab/>
        <w:t>The master of any vessel within a port — </w:t>
      </w:r>
    </w:p>
    <w:p w:rsidR="009515FF" w:rsidRDefault="00B14AD4">
      <w:pPr>
        <w:pStyle w:val="Indenta"/>
        <w:rPr>
          <w:snapToGrid w:val="0"/>
        </w:rPr>
      </w:pPr>
      <w:r>
        <w:rPr>
          <w:snapToGrid w:val="0"/>
        </w:rPr>
        <w:tab/>
        <w:t>(a)</w:t>
      </w:r>
      <w:r>
        <w:rPr>
          <w:snapToGrid w:val="0"/>
        </w:rPr>
        <w:tab/>
        <w:t xml:space="preserve">shall anchor, moor or berth the vessel at the place appointed by the </w:t>
      </w:r>
      <w:r>
        <w:t>harbour master</w:t>
      </w:r>
      <w:r>
        <w:rPr>
          <w:snapToGrid w:val="0"/>
        </w:rPr>
        <w:t xml:space="preserve"> and in no other place;</w:t>
      </w:r>
    </w:p>
    <w:p w:rsidR="009515FF" w:rsidRDefault="00B14AD4">
      <w:pPr>
        <w:pStyle w:val="Indenta"/>
        <w:rPr>
          <w:snapToGrid w:val="0"/>
        </w:rPr>
      </w:pPr>
      <w:r>
        <w:rPr>
          <w:snapToGrid w:val="0"/>
        </w:rPr>
        <w:tab/>
        <w:t>(b)</w:t>
      </w:r>
      <w:r>
        <w:rPr>
          <w:snapToGrid w:val="0"/>
        </w:rPr>
        <w:tab/>
        <w:t xml:space="preserve">shall forthwith comply with any order of the </w:t>
      </w:r>
      <w:r>
        <w:t>harbour master</w:t>
      </w:r>
      <w:r>
        <w:rPr>
          <w:snapToGrid w:val="0"/>
        </w:rPr>
        <w:t xml:space="preserve"> requiring him or her — </w:t>
      </w:r>
    </w:p>
    <w:p w:rsidR="009515FF" w:rsidRDefault="00B14AD4">
      <w:pPr>
        <w:pStyle w:val="Indenti"/>
        <w:rPr>
          <w:snapToGrid w:val="0"/>
        </w:rPr>
      </w:pPr>
      <w:r>
        <w:rPr>
          <w:snapToGrid w:val="0"/>
        </w:rPr>
        <w:tab/>
        <w:t>(i)</w:t>
      </w:r>
      <w:r>
        <w:rPr>
          <w:snapToGrid w:val="0"/>
        </w:rPr>
        <w:tab/>
        <w:t>to move the vessel from its place in the port to any other place in the port; or</w:t>
      </w:r>
    </w:p>
    <w:p w:rsidR="009515FF" w:rsidRDefault="00B14AD4">
      <w:pPr>
        <w:pStyle w:val="Indenti"/>
        <w:rPr>
          <w:snapToGrid w:val="0"/>
        </w:rPr>
      </w:pPr>
      <w:r>
        <w:rPr>
          <w:snapToGrid w:val="0"/>
        </w:rPr>
        <w:lastRenderedPageBreak/>
        <w:tab/>
        <w:t>(ii)</w:t>
      </w:r>
      <w:r>
        <w:rPr>
          <w:snapToGrid w:val="0"/>
        </w:rPr>
        <w:tab/>
        <w:t>to put down additional anchors or mooring lines to secure the vessel; or</w:t>
      </w:r>
    </w:p>
    <w:p w:rsidR="009515FF" w:rsidRDefault="00B14AD4">
      <w:pPr>
        <w:pStyle w:val="Indenti"/>
        <w:rPr>
          <w:snapToGrid w:val="0"/>
        </w:rPr>
      </w:pPr>
      <w:r>
        <w:rPr>
          <w:snapToGrid w:val="0"/>
        </w:rPr>
        <w:tab/>
        <w:t>(iii)</w:t>
      </w:r>
      <w:r>
        <w:rPr>
          <w:snapToGrid w:val="0"/>
        </w:rPr>
        <w:tab/>
        <w:t>to slacken any anchor chains or ropes or mooring lines securing the vessel.</w:t>
      </w:r>
    </w:p>
    <w:p w:rsidR="009515FF" w:rsidRDefault="00B14AD4">
      <w:pPr>
        <w:pStyle w:val="Subsection"/>
        <w:rPr>
          <w:snapToGrid w:val="0"/>
        </w:rPr>
      </w:pPr>
      <w:r>
        <w:rPr>
          <w:snapToGrid w:val="0"/>
        </w:rPr>
        <w:tab/>
        <w:t>(2)</w:t>
      </w:r>
      <w:r>
        <w:rPr>
          <w:snapToGrid w:val="0"/>
        </w:rPr>
        <w:tab/>
        <w:t>The master of a vessel shall not, except in unavoidable circumstances or with the permission of the</w:t>
      </w:r>
      <w:r>
        <w:t xml:space="preserve"> harbour master</w:t>
      </w:r>
      <w:r>
        <w:rPr>
          <w:snapToGrid w:val="0"/>
        </w:rPr>
        <w:t>, beach the vessel within any port and, where a vessel is beached in a port, the master or owner of the vessel shall cause the vessel to be removed in accordance with the directions of the</w:t>
      </w:r>
      <w:r>
        <w:t xml:space="preserve"> harbour master</w:t>
      </w:r>
      <w:r>
        <w:rPr>
          <w:snapToGrid w:val="0"/>
        </w:rPr>
        <w:t>.</w:t>
      </w:r>
    </w:p>
    <w:p w:rsidR="009515FF" w:rsidRDefault="00B14AD4">
      <w:pPr>
        <w:pStyle w:val="Footnotesection"/>
      </w:pPr>
      <w:r>
        <w:tab/>
        <w:t>[Regulation 21 amended: Gazette 4 Jun 2010 p. 2464</w:t>
      </w:r>
      <w:r>
        <w:noBreakHyphen/>
        <w:t>6.]</w:t>
      </w:r>
    </w:p>
    <w:p w:rsidR="009515FF" w:rsidRDefault="00B14AD4">
      <w:pPr>
        <w:pStyle w:val="Heading5"/>
        <w:rPr>
          <w:snapToGrid w:val="0"/>
        </w:rPr>
      </w:pPr>
      <w:bookmarkStart w:id="81" w:name="_Toc75528220"/>
      <w:r>
        <w:rPr>
          <w:rStyle w:val="CharSectno"/>
        </w:rPr>
        <w:t>22</w:t>
      </w:r>
      <w:r>
        <w:rPr>
          <w:snapToGrid w:val="0"/>
        </w:rPr>
        <w:t>.</w:t>
      </w:r>
      <w:r>
        <w:rPr>
          <w:snapToGrid w:val="0"/>
        </w:rPr>
        <w:tab/>
        <w:t>H</w:t>
      </w:r>
      <w:r>
        <w:t>arbour master</w:t>
      </w:r>
      <w:r>
        <w:rPr>
          <w:snapToGrid w:val="0"/>
        </w:rPr>
        <w:t xml:space="preserve"> may order scuttling</w:t>
      </w:r>
      <w:bookmarkEnd w:id="81"/>
    </w:p>
    <w:p w:rsidR="009515FF" w:rsidRDefault="00B14AD4">
      <w:pPr>
        <w:pStyle w:val="Subsection"/>
        <w:rPr>
          <w:snapToGrid w:val="0"/>
        </w:rPr>
      </w:pPr>
      <w:r>
        <w:rPr>
          <w:snapToGrid w:val="0"/>
        </w:rPr>
        <w:tab/>
      </w:r>
      <w:r>
        <w:rPr>
          <w:snapToGrid w:val="0"/>
        </w:rPr>
        <w:tab/>
        <w:t xml:space="preserve">Where the </w:t>
      </w:r>
      <w:r>
        <w:t>harbour master</w:t>
      </w:r>
      <w:r>
        <w:rPr>
          <w:snapToGrid w:val="0"/>
        </w:rPr>
        <w:t xml:space="preserve"> of a port is satisfied that a dangerous situation exists in a port and that — </w:t>
      </w:r>
    </w:p>
    <w:p w:rsidR="009515FF" w:rsidRDefault="00B14AD4">
      <w:pPr>
        <w:pStyle w:val="Indenta"/>
        <w:spacing w:before="60"/>
        <w:rPr>
          <w:snapToGrid w:val="0"/>
        </w:rPr>
      </w:pPr>
      <w:r>
        <w:rPr>
          <w:snapToGrid w:val="0"/>
        </w:rPr>
        <w:tab/>
        <w:t>(a)</w:t>
      </w:r>
      <w:r>
        <w:rPr>
          <w:snapToGrid w:val="0"/>
        </w:rPr>
        <w:tab/>
        <w:t>the presence of a vessel within the port constitutes a danger to the safety of persons, vessels or valuable property within the port; and</w:t>
      </w:r>
    </w:p>
    <w:p w:rsidR="009515FF" w:rsidRDefault="00B14AD4">
      <w:pPr>
        <w:pStyle w:val="Indenta"/>
        <w:rPr>
          <w:snapToGrid w:val="0"/>
        </w:rPr>
      </w:pPr>
      <w:r>
        <w:rPr>
          <w:snapToGrid w:val="0"/>
        </w:rPr>
        <w:tab/>
        <w:t>(b)</w:t>
      </w:r>
      <w:r>
        <w:rPr>
          <w:snapToGrid w:val="0"/>
        </w:rPr>
        <w:tab/>
        <w:t>it is impossible to remove the vessel from the port or that the removal of the vessel would itself create a danger to the safety of persons, vessels or valuable property within the port,</w:t>
      </w:r>
    </w:p>
    <w:p w:rsidR="009515FF" w:rsidRDefault="00B14AD4">
      <w:pPr>
        <w:pStyle w:val="Subsection"/>
        <w:spacing w:before="120"/>
        <w:rPr>
          <w:snapToGrid w:val="0"/>
        </w:rPr>
      </w:pPr>
      <w:r>
        <w:rPr>
          <w:snapToGrid w:val="0"/>
        </w:rPr>
        <w:tab/>
      </w:r>
      <w:r>
        <w:rPr>
          <w:snapToGrid w:val="0"/>
        </w:rPr>
        <w:tab/>
        <w:t xml:space="preserve">he or she may order the master to forthwith scuttle the vessel and, if the master fails to comply forthwith with that order, the </w:t>
      </w:r>
      <w:r>
        <w:t>harbour master</w:t>
      </w:r>
      <w:r>
        <w:rPr>
          <w:snapToGrid w:val="0"/>
        </w:rPr>
        <w:t xml:space="preserve"> may by any means that he or she thinks fit scuttle the vessel.</w:t>
      </w:r>
    </w:p>
    <w:p w:rsidR="009515FF" w:rsidRDefault="00B14AD4">
      <w:pPr>
        <w:pStyle w:val="Footnotesection"/>
      </w:pPr>
      <w:r>
        <w:tab/>
        <w:t>[Regulation 22 amended: Gazette 4 Jun 2010 p. 2464</w:t>
      </w:r>
      <w:r>
        <w:noBreakHyphen/>
        <w:t>7.]</w:t>
      </w:r>
    </w:p>
    <w:p w:rsidR="009515FF" w:rsidRDefault="00B14AD4">
      <w:pPr>
        <w:pStyle w:val="Heading5"/>
        <w:spacing w:before="180"/>
        <w:rPr>
          <w:snapToGrid w:val="0"/>
        </w:rPr>
      </w:pPr>
      <w:bookmarkStart w:id="82" w:name="_Toc75528221"/>
      <w:r>
        <w:rPr>
          <w:rStyle w:val="CharSectno"/>
        </w:rPr>
        <w:t>23</w:t>
      </w:r>
      <w:r>
        <w:rPr>
          <w:snapToGrid w:val="0"/>
        </w:rPr>
        <w:t>.</w:t>
      </w:r>
      <w:r>
        <w:rPr>
          <w:snapToGrid w:val="0"/>
        </w:rPr>
        <w:tab/>
        <w:t>Gangways, provision and use of</w:t>
      </w:r>
      <w:bookmarkEnd w:id="82"/>
      <w:r>
        <w:rPr>
          <w:snapToGrid w:val="0"/>
        </w:rPr>
        <w:t xml:space="preserve"> </w:t>
      </w:r>
    </w:p>
    <w:p w:rsidR="009515FF" w:rsidRDefault="00B14AD4">
      <w:pPr>
        <w:pStyle w:val="Subsection"/>
        <w:spacing w:before="120"/>
        <w:rPr>
          <w:snapToGrid w:val="0"/>
        </w:rPr>
      </w:pPr>
      <w:r>
        <w:rPr>
          <w:snapToGrid w:val="0"/>
        </w:rPr>
        <w:tab/>
        <w:t>(1)</w:t>
      </w:r>
      <w:r>
        <w:rPr>
          <w:snapToGrid w:val="0"/>
        </w:rPr>
        <w:tab/>
        <w:t xml:space="preserve">The master of any vessel berthed at any wharf or jetty shall, unless the </w:t>
      </w:r>
      <w:r>
        <w:t>harbour master</w:t>
      </w:r>
      <w:r>
        <w:rPr>
          <w:snapToGrid w:val="0"/>
        </w:rPr>
        <w:t xml:space="preserve"> otherwise directs, at all times that the vessel is so berthed — </w:t>
      </w:r>
    </w:p>
    <w:p w:rsidR="009515FF" w:rsidRDefault="00B14AD4">
      <w:pPr>
        <w:pStyle w:val="Indenta"/>
        <w:rPr>
          <w:snapToGrid w:val="0"/>
        </w:rPr>
      </w:pPr>
      <w:r>
        <w:rPr>
          <w:snapToGrid w:val="0"/>
        </w:rPr>
        <w:tab/>
        <w:t>(a)</w:t>
      </w:r>
      <w:r>
        <w:rPr>
          <w:snapToGrid w:val="0"/>
        </w:rPr>
        <w:tab/>
        <w:t xml:space="preserve">cause the vessel to be fitted with such gangways and manropes as in the opinion of the </w:t>
      </w:r>
      <w:r>
        <w:t>harbour master</w:t>
      </w:r>
      <w:r>
        <w:rPr>
          <w:snapToGrid w:val="0"/>
        </w:rPr>
        <w:t xml:space="preserve"> are </w:t>
      </w:r>
      <w:r>
        <w:rPr>
          <w:snapToGrid w:val="0"/>
        </w:rPr>
        <w:lastRenderedPageBreak/>
        <w:t>necessary for the safety and convenience of the public; and</w:t>
      </w:r>
    </w:p>
    <w:p w:rsidR="009515FF" w:rsidRDefault="00B14AD4">
      <w:pPr>
        <w:pStyle w:val="Indenta"/>
        <w:keepLines/>
        <w:rPr>
          <w:snapToGrid w:val="0"/>
        </w:rPr>
      </w:pPr>
      <w:r>
        <w:rPr>
          <w:snapToGrid w:val="0"/>
        </w:rPr>
        <w:tab/>
        <w:t>(b)</w:t>
      </w:r>
      <w:r>
        <w:rPr>
          <w:snapToGrid w:val="0"/>
        </w:rPr>
        <w:tab/>
        <w:t xml:space="preserve">place under each gangway a safety net or other device that is, in the opinion of the </w:t>
      </w:r>
      <w:r>
        <w:t>harbour master</w:t>
      </w:r>
      <w:r>
        <w:rPr>
          <w:snapToGrid w:val="0"/>
        </w:rPr>
        <w:t>, suitable to prevent any person using the gangway from falling into the water; and</w:t>
      </w:r>
    </w:p>
    <w:p w:rsidR="009515FF" w:rsidRDefault="00B14AD4">
      <w:pPr>
        <w:pStyle w:val="Indenta"/>
        <w:rPr>
          <w:snapToGrid w:val="0"/>
        </w:rPr>
      </w:pPr>
      <w:r>
        <w:rPr>
          <w:snapToGrid w:val="0"/>
        </w:rPr>
        <w:tab/>
        <w:t>(c)</w:t>
      </w:r>
      <w:r>
        <w:rPr>
          <w:snapToGrid w:val="0"/>
        </w:rPr>
        <w:tab/>
        <w:t>cause to be displayed between sunset and sunrise lights that adequately light any gangway fitted to the vessel; and</w:t>
      </w:r>
    </w:p>
    <w:p w:rsidR="009515FF" w:rsidRDefault="00B14AD4">
      <w:pPr>
        <w:pStyle w:val="Indenta"/>
        <w:rPr>
          <w:snapToGrid w:val="0"/>
        </w:rPr>
      </w:pPr>
      <w:r>
        <w:rPr>
          <w:snapToGrid w:val="0"/>
        </w:rPr>
        <w:tab/>
        <w:t>(d)</w:t>
      </w:r>
      <w:r>
        <w:rPr>
          <w:snapToGrid w:val="0"/>
        </w:rPr>
        <w:tab/>
        <w:t>cause a watch to be kept upon the gangway.</w:t>
      </w:r>
    </w:p>
    <w:p w:rsidR="009515FF" w:rsidRDefault="00B14AD4">
      <w:pPr>
        <w:pStyle w:val="Subsection"/>
        <w:rPr>
          <w:snapToGrid w:val="0"/>
        </w:rPr>
      </w:pPr>
      <w:r>
        <w:rPr>
          <w:snapToGrid w:val="0"/>
        </w:rPr>
        <w:tab/>
        <w:t>(2)</w:t>
      </w:r>
      <w:r>
        <w:rPr>
          <w:snapToGrid w:val="0"/>
        </w:rPr>
        <w:tab/>
        <w:t>A person other than a member of the crew of the vessel or a person employed by the Department or any harbour authority shall not board or leave, or attempt to board or leave, a vessel before a gangway and net have been properly fitted and secured to the vessel.</w:t>
      </w:r>
    </w:p>
    <w:p w:rsidR="009515FF" w:rsidRDefault="00B14AD4">
      <w:pPr>
        <w:pStyle w:val="Subsection"/>
        <w:rPr>
          <w:snapToGrid w:val="0"/>
        </w:rPr>
      </w:pPr>
      <w:r>
        <w:rPr>
          <w:snapToGrid w:val="0"/>
        </w:rPr>
        <w:tab/>
        <w:t>(3)</w:t>
      </w:r>
      <w:r>
        <w:rPr>
          <w:snapToGrid w:val="0"/>
        </w:rPr>
        <w:tab/>
        <w:t>A person employed to control the use of any gangway shall not permit any person to leave or board, or to attempt to leave or board, a vessel before a gangway and net have been properly fitted and secured to the vessel.</w:t>
      </w:r>
    </w:p>
    <w:p w:rsidR="009515FF" w:rsidRDefault="00B14AD4">
      <w:pPr>
        <w:pStyle w:val="Footnotesection"/>
      </w:pPr>
      <w:r>
        <w:tab/>
        <w:t>[Regulation 23 amended: Gazette 4 Jun 2010 p. 2441 and 2464</w:t>
      </w:r>
      <w:r>
        <w:noBreakHyphen/>
        <w:t>5.]</w:t>
      </w:r>
    </w:p>
    <w:p w:rsidR="009515FF" w:rsidRDefault="00B14AD4">
      <w:pPr>
        <w:pStyle w:val="Heading5"/>
        <w:spacing w:before="240"/>
        <w:rPr>
          <w:snapToGrid w:val="0"/>
        </w:rPr>
      </w:pPr>
      <w:bookmarkStart w:id="83" w:name="_Toc75528222"/>
      <w:r>
        <w:rPr>
          <w:rStyle w:val="CharSectno"/>
        </w:rPr>
        <w:t>24</w:t>
      </w:r>
      <w:r>
        <w:rPr>
          <w:snapToGrid w:val="0"/>
        </w:rPr>
        <w:t>.</w:t>
      </w:r>
      <w:r>
        <w:rPr>
          <w:snapToGrid w:val="0"/>
        </w:rPr>
        <w:tab/>
        <w:t>Watch keeping etc. requirements in port</w:t>
      </w:r>
      <w:bookmarkEnd w:id="83"/>
    </w:p>
    <w:p w:rsidR="009515FF" w:rsidRDefault="00B14AD4">
      <w:pPr>
        <w:pStyle w:val="Subsection"/>
        <w:rPr>
          <w:snapToGrid w:val="0"/>
        </w:rPr>
      </w:pPr>
      <w:r>
        <w:rPr>
          <w:snapToGrid w:val="0"/>
        </w:rPr>
        <w:tab/>
        <w:t>(1)</w:t>
      </w:r>
      <w:r>
        <w:rPr>
          <w:snapToGrid w:val="0"/>
        </w:rPr>
        <w:tab/>
        <w:t xml:space="preserve">The master of any vessel exceeding 150 t gross registered tonnage shall, unless the CEO or the </w:t>
      </w:r>
      <w:r>
        <w:t>harbour master</w:t>
      </w:r>
      <w:r>
        <w:rPr>
          <w:snapToGrid w:val="0"/>
        </w:rPr>
        <w:t xml:space="preserve"> otherwise directs, cause a watchman to be kept on duty on the deck of the vessel between sunset and sunrise whenever the vessel is within a port.</w:t>
      </w:r>
    </w:p>
    <w:p w:rsidR="009515FF" w:rsidRDefault="00B14AD4">
      <w:pPr>
        <w:pStyle w:val="Subsection"/>
        <w:rPr>
          <w:snapToGrid w:val="0"/>
        </w:rPr>
      </w:pPr>
      <w:r>
        <w:rPr>
          <w:snapToGrid w:val="0"/>
        </w:rPr>
        <w:tab/>
        <w:t>(2)</w:t>
      </w:r>
      <w:r>
        <w:rPr>
          <w:snapToGrid w:val="0"/>
        </w:rPr>
        <w:tab/>
        <w:t xml:space="preserve">The master of a vessel exceeding 150 t gross registered tonnage shall, unless the CEO or the </w:t>
      </w:r>
      <w:r>
        <w:t>harbour master</w:t>
      </w:r>
      <w:r>
        <w:rPr>
          <w:snapToGrid w:val="0"/>
        </w:rPr>
        <w:t xml:space="preserve"> otherwise directs, cause one person to be on board the vessel between sunrise and sunset whenever the vessel is within a port.</w:t>
      </w:r>
    </w:p>
    <w:p w:rsidR="009515FF" w:rsidRDefault="00B14AD4">
      <w:pPr>
        <w:pStyle w:val="Subsection"/>
        <w:rPr>
          <w:snapToGrid w:val="0"/>
        </w:rPr>
      </w:pPr>
      <w:r>
        <w:rPr>
          <w:snapToGrid w:val="0"/>
        </w:rPr>
        <w:lastRenderedPageBreak/>
        <w:tab/>
        <w:t>(3)</w:t>
      </w:r>
      <w:r>
        <w:rPr>
          <w:snapToGrid w:val="0"/>
        </w:rPr>
        <w:tab/>
        <w:t xml:space="preserve">The master of any vessel of 150 t gross registered tonnage or less shall, if the </w:t>
      </w:r>
      <w:r>
        <w:t>harbour master</w:t>
      </w:r>
      <w:r>
        <w:rPr>
          <w:snapToGrid w:val="0"/>
        </w:rPr>
        <w:t xml:space="preserve"> directs, cause one person to be on board the vessel at any time that the vessel is within a port.</w:t>
      </w:r>
    </w:p>
    <w:p w:rsidR="009515FF" w:rsidRDefault="00B14AD4">
      <w:pPr>
        <w:pStyle w:val="Footnotesection"/>
      </w:pPr>
      <w:r>
        <w:tab/>
        <w:t>[Regulation 24 amended: Gazette 11 Aug 1992 p. 3975; 4 Jun 2010 p. 2463</w:t>
      </w:r>
      <w:r>
        <w:noBreakHyphen/>
        <w:t xml:space="preserve">5.] </w:t>
      </w:r>
    </w:p>
    <w:p w:rsidR="009515FF" w:rsidRDefault="00B14AD4">
      <w:pPr>
        <w:pStyle w:val="Heading5"/>
        <w:rPr>
          <w:snapToGrid w:val="0"/>
        </w:rPr>
      </w:pPr>
      <w:bookmarkStart w:id="84" w:name="_Toc75528223"/>
      <w:r>
        <w:rPr>
          <w:rStyle w:val="CharSectno"/>
        </w:rPr>
        <w:t>25</w:t>
      </w:r>
      <w:r>
        <w:rPr>
          <w:snapToGrid w:val="0"/>
        </w:rPr>
        <w:t>.</w:t>
      </w:r>
      <w:r>
        <w:rPr>
          <w:snapToGrid w:val="0"/>
        </w:rPr>
        <w:tab/>
        <w:t>Naked lights etc. on vessels at wharves etc.</w:t>
      </w:r>
      <w:bookmarkEnd w:id="84"/>
    </w:p>
    <w:p w:rsidR="009515FF" w:rsidRDefault="00B14AD4">
      <w:pPr>
        <w:pStyle w:val="Subsection"/>
        <w:rPr>
          <w:snapToGrid w:val="0"/>
        </w:rPr>
      </w:pPr>
      <w:r>
        <w:rPr>
          <w:snapToGrid w:val="0"/>
        </w:rPr>
        <w:tab/>
        <w:t>(1)</w:t>
      </w:r>
      <w:r>
        <w:rPr>
          <w:snapToGrid w:val="0"/>
        </w:rPr>
        <w:tab/>
        <w:t xml:space="preserve">Unless the consent in writing of the </w:t>
      </w:r>
      <w:r>
        <w:t>harbour master</w:t>
      </w:r>
      <w:r>
        <w:rPr>
          <w:snapToGrid w:val="0"/>
        </w:rPr>
        <w:t xml:space="preserve"> has been first obtained, the master of a vessel lying at any wharf shall not cause or permit the use of a flare</w:t>
      </w:r>
      <w:r>
        <w:rPr>
          <w:snapToGrid w:val="0"/>
        </w:rPr>
        <w:noBreakHyphen/>
        <w:t>up lamp or naked light in any hold of the vessel.</w:t>
      </w:r>
    </w:p>
    <w:p w:rsidR="009515FF" w:rsidRDefault="00B14AD4">
      <w:pPr>
        <w:pStyle w:val="Subsection"/>
        <w:spacing w:before="120"/>
        <w:rPr>
          <w:snapToGrid w:val="0"/>
        </w:rPr>
      </w:pPr>
      <w:r>
        <w:rPr>
          <w:snapToGrid w:val="0"/>
        </w:rPr>
        <w:tab/>
        <w:t>(2)</w:t>
      </w:r>
      <w:r>
        <w:rPr>
          <w:snapToGrid w:val="0"/>
        </w:rPr>
        <w:tab/>
        <w:t xml:space="preserve">The </w:t>
      </w:r>
      <w:r>
        <w:t>harbour master</w:t>
      </w:r>
      <w:r>
        <w:rPr>
          <w:snapToGrid w:val="0"/>
        </w:rPr>
        <w:t xml:space="preserve"> of a port may board or enter any ship or place within the port to search for any fire, or any flare</w:t>
      </w:r>
      <w:r>
        <w:rPr>
          <w:snapToGrid w:val="0"/>
        </w:rPr>
        <w:noBreakHyphen/>
        <w:t>up lamp or naked light that he or she suspects may be burning in a vessel or any other prohibited place in the port and may extinguish any such fire, flare</w:t>
      </w:r>
      <w:r>
        <w:rPr>
          <w:snapToGrid w:val="0"/>
        </w:rPr>
        <w:noBreakHyphen/>
        <w:t>up light or naked light that he or she may find and take any other action he or she thinks necessary for the safety of the port.</w:t>
      </w:r>
    </w:p>
    <w:p w:rsidR="009515FF" w:rsidRDefault="00B14AD4">
      <w:pPr>
        <w:pStyle w:val="Footnotesection"/>
      </w:pPr>
      <w:r>
        <w:tab/>
        <w:t>[Regulation 25 amended: Gazette 4 Jun 2010 p. 2464</w:t>
      </w:r>
      <w:r>
        <w:noBreakHyphen/>
        <w:t>7.]</w:t>
      </w:r>
    </w:p>
    <w:p w:rsidR="009515FF" w:rsidRDefault="00B14AD4">
      <w:pPr>
        <w:pStyle w:val="Heading5"/>
        <w:spacing w:before="180"/>
        <w:rPr>
          <w:snapToGrid w:val="0"/>
        </w:rPr>
      </w:pPr>
      <w:bookmarkStart w:id="85" w:name="_Toc75528224"/>
      <w:r>
        <w:rPr>
          <w:rStyle w:val="CharSectno"/>
        </w:rPr>
        <w:t>26</w:t>
      </w:r>
      <w:r>
        <w:rPr>
          <w:snapToGrid w:val="0"/>
        </w:rPr>
        <w:t>.</w:t>
      </w:r>
      <w:r>
        <w:rPr>
          <w:snapToGrid w:val="0"/>
        </w:rPr>
        <w:tab/>
        <w:t>Fires on vessels, notification and extinguishment of</w:t>
      </w:r>
      <w:bookmarkEnd w:id="85"/>
    </w:p>
    <w:p w:rsidR="009515FF" w:rsidRDefault="00B14AD4">
      <w:pPr>
        <w:pStyle w:val="Subsection"/>
        <w:spacing w:before="120"/>
        <w:rPr>
          <w:snapToGrid w:val="0"/>
        </w:rPr>
      </w:pPr>
      <w:r>
        <w:rPr>
          <w:snapToGrid w:val="0"/>
        </w:rPr>
        <w:tab/>
      </w:r>
      <w:r>
        <w:rPr>
          <w:snapToGrid w:val="0"/>
        </w:rPr>
        <w:tab/>
        <w:t xml:space="preserve">Where a fire occurs on any vessel within a port, the master of the vessel shall forthwith notify the </w:t>
      </w:r>
      <w:r>
        <w:t>harbour master</w:t>
      </w:r>
      <w:r>
        <w:rPr>
          <w:snapToGrid w:val="0"/>
        </w:rPr>
        <w:t xml:space="preserve"> and his or her assistants and every person on board or belonging to the vessel shall render the </w:t>
      </w:r>
      <w:r>
        <w:t>harbour master</w:t>
      </w:r>
      <w:r>
        <w:rPr>
          <w:snapToGrid w:val="0"/>
        </w:rPr>
        <w:t xml:space="preserve"> and his or her assistants such assistance towards extinguishing the fire and protecting other vessels as the </w:t>
      </w:r>
      <w:r>
        <w:t>harbour master</w:t>
      </w:r>
      <w:r>
        <w:rPr>
          <w:snapToGrid w:val="0"/>
        </w:rPr>
        <w:t xml:space="preserve"> may direct.</w:t>
      </w:r>
    </w:p>
    <w:p w:rsidR="009515FF" w:rsidRDefault="00B14AD4">
      <w:pPr>
        <w:pStyle w:val="Footnotesection"/>
      </w:pPr>
      <w:r>
        <w:tab/>
        <w:t>[Regulation 26 amended: Gazette 4 Jun 2010 p. 2464</w:t>
      </w:r>
      <w:r>
        <w:noBreakHyphen/>
        <w:t>7.]</w:t>
      </w:r>
    </w:p>
    <w:p w:rsidR="009515FF" w:rsidRDefault="00B14AD4">
      <w:pPr>
        <w:pStyle w:val="Heading5"/>
        <w:spacing w:before="180"/>
        <w:rPr>
          <w:snapToGrid w:val="0"/>
        </w:rPr>
      </w:pPr>
      <w:bookmarkStart w:id="86" w:name="_Toc75528225"/>
      <w:r>
        <w:rPr>
          <w:rStyle w:val="CharSectno"/>
        </w:rPr>
        <w:t>27</w:t>
      </w:r>
      <w:r>
        <w:rPr>
          <w:snapToGrid w:val="0"/>
        </w:rPr>
        <w:t>.</w:t>
      </w:r>
      <w:r>
        <w:rPr>
          <w:snapToGrid w:val="0"/>
        </w:rPr>
        <w:tab/>
        <w:t>Waste disposal, masters’ duties as to</w:t>
      </w:r>
      <w:bookmarkEnd w:id="86"/>
    </w:p>
    <w:p w:rsidR="009515FF" w:rsidRDefault="00B14AD4">
      <w:pPr>
        <w:pStyle w:val="Subsection"/>
        <w:spacing w:before="120"/>
        <w:rPr>
          <w:snapToGrid w:val="0"/>
        </w:rPr>
      </w:pPr>
      <w:r>
        <w:rPr>
          <w:snapToGrid w:val="0"/>
        </w:rPr>
        <w:tab/>
      </w:r>
      <w:r>
        <w:rPr>
          <w:snapToGrid w:val="0"/>
        </w:rPr>
        <w:tab/>
        <w:t>The master of any vessel lying alongside a wharf in any port shall not — </w:t>
      </w:r>
    </w:p>
    <w:p w:rsidR="009515FF" w:rsidRDefault="00B14AD4">
      <w:pPr>
        <w:pStyle w:val="Indenta"/>
        <w:rPr>
          <w:snapToGrid w:val="0"/>
        </w:rPr>
      </w:pPr>
      <w:r>
        <w:rPr>
          <w:snapToGrid w:val="0"/>
        </w:rPr>
        <w:tab/>
        <w:t>(a)</w:t>
      </w:r>
      <w:r>
        <w:rPr>
          <w:snapToGrid w:val="0"/>
        </w:rPr>
        <w:tab/>
        <w:t>cause or permit any carcass of a dead animal or any refuse, debris or rubbish from the vessel to be cast or deposited on the wharf or in the water near the vessel; or</w:t>
      </w:r>
    </w:p>
    <w:p w:rsidR="009515FF" w:rsidRDefault="00B14AD4">
      <w:pPr>
        <w:pStyle w:val="Indenta"/>
        <w:rPr>
          <w:snapToGrid w:val="0"/>
        </w:rPr>
      </w:pPr>
      <w:r>
        <w:rPr>
          <w:snapToGrid w:val="0"/>
        </w:rPr>
        <w:lastRenderedPageBreak/>
        <w:tab/>
        <w:t>(b)</w:t>
      </w:r>
      <w:r>
        <w:rPr>
          <w:snapToGrid w:val="0"/>
        </w:rPr>
        <w:tab/>
        <w:t>cause or permit waste from any lavatory or any water to be discharged from the vessel upon any portion of the wharf or steps attached to the wharf; or</w:t>
      </w:r>
    </w:p>
    <w:p w:rsidR="009515FF" w:rsidRDefault="00B14AD4">
      <w:pPr>
        <w:pStyle w:val="Indenta"/>
        <w:rPr>
          <w:snapToGrid w:val="0"/>
        </w:rPr>
      </w:pPr>
      <w:r>
        <w:rPr>
          <w:snapToGrid w:val="0"/>
        </w:rPr>
        <w:tab/>
        <w:t>(c)</w:t>
      </w:r>
      <w:r>
        <w:rPr>
          <w:snapToGrid w:val="0"/>
        </w:rPr>
        <w:tab/>
        <w:t xml:space="preserve">unless the </w:t>
      </w:r>
      <w:r>
        <w:t>harbour master</w:t>
      </w:r>
      <w:r>
        <w:rPr>
          <w:snapToGrid w:val="0"/>
        </w:rPr>
        <w:t xml:space="preserve"> otherwise directs, remove the vessel from the wharf until all debris, rubbish and waste from the vessel has been removed from that portion of the wharf near which the vessel was lying.</w:t>
      </w:r>
    </w:p>
    <w:p w:rsidR="009515FF" w:rsidRDefault="00B14AD4">
      <w:pPr>
        <w:pStyle w:val="Footnotesection"/>
      </w:pPr>
      <w:r>
        <w:tab/>
        <w:t>[Regulation 27 amended: Gazette 4 Jun 2010 p. 2464</w:t>
      </w:r>
      <w:r>
        <w:noBreakHyphen/>
        <w:t>5.]</w:t>
      </w:r>
    </w:p>
    <w:p w:rsidR="009515FF" w:rsidRDefault="00B14AD4">
      <w:pPr>
        <w:pStyle w:val="Heading5"/>
        <w:rPr>
          <w:snapToGrid w:val="0"/>
        </w:rPr>
      </w:pPr>
      <w:bookmarkStart w:id="87" w:name="_Toc75528226"/>
      <w:r>
        <w:rPr>
          <w:rStyle w:val="CharSectno"/>
        </w:rPr>
        <w:t>28</w:t>
      </w:r>
      <w:r>
        <w:rPr>
          <w:snapToGrid w:val="0"/>
        </w:rPr>
        <w:t>.</w:t>
      </w:r>
      <w:r>
        <w:rPr>
          <w:snapToGrid w:val="0"/>
        </w:rPr>
        <w:tab/>
        <w:t>Carcasses, debris etc., not to be thrown overboard</w:t>
      </w:r>
      <w:bookmarkEnd w:id="87"/>
    </w:p>
    <w:p w:rsidR="009515FF" w:rsidRDefault="00B14AD4">
      <w:pPr>
        <w:pStyle w:val="Subsection"/>
        <w:rPr>
          <w:snapToGrid w:val="0"/>
        </w:rPr>
      </w:pPr>
      <w:r>
        <w:rPr>
          <w:snapToGrid w:val="0"/>
        </w:rPr>
        <w:tab/>
      </w:r>
      <w:r>
        <w:rPr>
          <w:snapToGrid w:val="0"/>
        </w:rPr>
        <w:tab/>
        <w:t>A person shall not throw a carcass of a dead animal or any stone or debris overboard from a vessel within any port.</w:t>
      </w:r>
    </w:p>
    <w:p w:rsidR="009515FF" w:rsidRDefault="00B14AD4">
      <w:pPr>
        <w:pStyle w:val="Heading5"/>
        <w:rPr>
          <w:snapToGrid w:val="0"/>
        </w:rPr>
      </w:pPr>
      <w:bookmarkStart w:id="88" w:name="_Toc75528227"/>
      <w:r>
        <w:rPr>
          <w:rStyle w:val="CharSectno"/>
        </w:rPr>
        <w:t>29</w:t>
      </w:r>
      <w:r>
        <w:rPr>
          <w:snapToGrid w:val="0"/>
        </w:rPr>
        <w:t>.</w:t>
      </w:r>
      <w:r>
        <w:rPr>
          <w:snapToGrid w:val="0"/>
        </w:rPr>
        <w:tab/>
        <w:t>Smoking in holds, prohibition of</w:t>
      </w:r>
      <w:bookmarkEnd w:id="88"/>
    </w:p>
    <w:p w:rsidR="009515FF" w:rsidRDefault="00B14AD4">
      <w:pPr>
        <w:pStyle w:val="Subsection"/>
        <w:rPr>
          <w:snapToGrid w:val="0"/>
        </w:rPr>
      </w:pPr>
      <w:r>
        <w:rPr>
          <w:snapToGrid w:val="0"/>
        </w:rPr>
        <w:tab/>
      </w:r>
      <w:r>
        <w:rPr>
          <w:snapToGrid w:val="0"/>
        </w:rPr>
        <w:tab/>
        <w:t xml:space="preserve">A person shall not smoke in the hold of any vessel within a port, or in any other part of a vessel in relation to which the master of the vessel or the </w:t>
      </w:r>
      <w:r>
        <w:t>harbour master</w:t>
      </w:r>
      <w:r>
        <w:rPr>
          <w:snapToGrid w:val="0"/>
        </w:rPr>
        <w:t xml:space="preserve"> directs that smoking is prohibited.</w:t>
      </w:r>
    </w:p>
    <w:p w:rsidR="009515FF" w:rsidRDefault="00B14AD4">
      <w:pPr>
        <w:pStyle w:val="Footnotesection"/>
      </w:pPr>
      <w:r>
        <w:tab/>
        <w:t>[Regulation 29 amended: Gazette 4 Jun 2010 p. 2464</w:t>
      </w:r>
      <w:r>
        <w:noBreakHyphen/>
        <w:t>5.]</w:t>
      </w:r>
    </w:p>
    <w:p w:rsidR="009515FF" w:rsidRDefault="00B14AD4">
      <w:pPr>
        <w:pStyle w:val="Heading3"/>
      </w:pPr>
      <w:bookmarkStart w:id="89" w:name="_Toc75423324"/>
      <w:bookmarkStart w:id="90" w:name="_Toc75426806"/>
      <w:bookmarkStart w:id="91" w:name="_Toc75528228"/>
      <w:r>
        <w:rPr>
          <w:rStyle w:val="CharDivNo"/>
        </w:rPr>
        <w:t>Division 2</w:t>
      </w:r>
      <w:r>
        <w:t> — </w:t>
      </w:r>
      <w:r>
        <w:rPr>
          <w:rStyle w:val="CharDivText"/>
        </w:rPr>
        <w:t>Oil vessels</w:t>
      </w:r>
      <w:bookmarkEnd w:id="89"/>
      <w:bookmarkEnd w:id="90"/>
      <w:bookmarkEnd w:id="91"/>
    </w:p>
    <w:p w:rsidR="009515FF" w:rsidRDefault="00B14AD4">
      <w:pPr>
        <w:pStyle w:val="Footnoteheading"/>
      </w:pPr>
      <w:r>
        <w:tab/>
        <w:t>[Heading inserted: Gazette 4 Jun 2010 p. 2441.]</w:t>
      </w:r>
    </w:p>
    <w:p w:rsidR="009515FF" w:rsidRDefault="00B14AD4">
      <w:pPr>
        <w:pStyle w:val="Heading5"/>
        <w:keepLines w:val="0"/>
        <w:rPr>
          <w:snapToGrid w:val="0"/>
        </w:rPr>
      </w:pPr>
      <w:bookmarkStart w:id="92" w:name="_Toc75528229"/>
      <w:r>
        <w:rPr>
          <w:rStyle w:val="CharSectno"/>
        </w:rPr>
        <w:t>30</w:t>
      </w:r>
      <w:r>
        <w:rPr>
          <w:snapToGrid w:val="0"/>
        </w:rPr>
        <w:t>.</w:t>
      </w:r>
      <w:r>
        <w:rPr>
          <w:snapToGrid w:val="0"/>
        </w:rPr>
        <w:tab/>
        <w:t>Terms used</w:t>
      </w:r>
      <w:bookmarkEnd w:id="92"/>
    </w:p>
    <w:p w:rsidR="009515FF" w:rsidRDefault="00B14AD4">
      <w:pPr>
        <w:pStyle w:val="Subsection"/>
        <w:spacing w:before="180"/>
        <w:rPr>
          <w:snapToGrid w:val="0"/>
        </w:rPr>
      </w:pPr>
      <w:r>
        <w:rPr>
          <w:snapToGrid w:val="0"/>
        </w:rPr>
        <w:tab/>
      </w:r>
      <w:r>
        <w:rPr>
          <w:snapToGrid w:val="0"/>
        </w:rPr>
        <w:tab/>
        <w:t xml:space="preserve">In </w:t>
      </w:r>
      <w:r>
        <w:t xml:space="preserve">this Division, </w:t>
      </w:r>
      <w:r>
        <w:rPr>
          <w:snapToGrid w:val="0"/>
        </w:rPr>
        <w:t>unless the contrary intention appears — </w:t>
      </w:r>
    </w:p>
    <w:p w:rsidR="009515FF" w:rsidRDefault="00B14AD4">
      <w:pPr>
        <w:pStyle w:val="Defstart"/>
      </w:pPr>
      <w:r>
        <w:rPr>
          <w:b/>
        </w:rPr>
        <w:tab/>
      </w:r>
      <w:r>
        <w:rPr>
          <w:rStyle w:val="CharDefText"/>
        </w:rPr>
        <w:t>inflammable liquid</w:t>
      </w:r>
      <w:r>
        <w:t xml:space="preserve"> means petroleum, kerosene, and any oil, liquid or spirit derived wholly or in part from any petroleum, shale, schist, coal, peat, bitumen or any similar substance, and which has a true flashing point of less than 61°C and any other liquid which the Governor by proclamation in the </w:t>
      </w:r>
      <w:r>
        <w:rPr>
          <w:i/>
        </w:rPr>
        <w:t>Gazette</w:t>
      </w:r>
      <w:r>
        <w:t xml:space="preserve"> declares to be an inflammable liquid for the purposes of these regulations;</w:t>
      </w:r>
    </w:p>
    <w:p w:rsidR="009515FF" w:rsidRDefault="00B14AD4">
      <w:pPr>
        <w:pStyle w:val="Defstart"/>
      </w:pPr>
      <w:r>
        <w:rPr>
          <w:b/>
        </w:rPr>
        <w:tab/>
      </w:r>
      <w:r>
        <w:rPr>
          <w:rStyle w:val="CharDefText"/>
        </w:rPr>
        <w:t>oil vessel</w:t>
      </w:r>
      <w:r>
        <w:t xml:space="preserve"> means any ship having on board or having lately had on board any inflammable liquid as cargo or part cargo, and </w:t>
      </w:r>
      <w:r>
        <w:lastRenderedPageBreak/>
        <w:t>includes a tank steamer, barge, or other vessel fitted to carry inflammable liquid.</w:t>
      </w:r>
    </w:p>
    <w:p w:rsidR="009515FF" w:rsidRDefault="00B14AD4">
      <w:pPr>
        <w:pStyle w:val="Footnotesection"/>
      </w:pPr>
      <w:r>
        <w:tab/>
        <w:t xml:space="preserve">[Regulation 30 amended: Gazette 15 Jun 1973 p. 2234; 4 Jun 2010 p. 2441.] </w:t>
      </w:r>
    </w:p>
    <w:p w:rsidR="009515FF" w:rsidRDefault="00B14AD4">
      <w:pPr>
        <w:pStyle w:val="Heading5"/>
        <w:rPr>
          <w:snapToGrid w:val="0"/>
        </w:rPr>
      </w:pPr>
      <w:bookmarkStart w:id="93" w:name="_Toc75528230"/>
      <w:r>
        <w:rPr>
          <w:rStyle w:val="CharSectno"/>
        </w:rPr>
        <w:t>31</w:t>
      </w:r>
      <w:r>
        <w:rPr>
          <w:snapToGrid w:val="0"/>
        </w:rPr>
        <w:t>.</w:t>
      </w:r>
      <w:r>
        <w:rPr>
          <w:snapToGrid w:val="0"/>
        </w:rPr>
        <w:tab/>
        <w:t>Flag required on oil vessel</w:t>
      </w:r>
      <w:bookmarkEnd w:id="93"/>
    </w:p>
    <w:p w:rsidR="009515FF" w:rsidRDefault="00B14AD4">
      <w:pPr>
        <w:pStyle w:val="Subsection"/>
        <w:rPr>
          <w:snapToGrid w:val="0"/>
        </w:rPr>
      </w:pPr>
      <w:r>
        <w:rPr>
          <w:snapToGrid w:val="0"/>
        </w:rPr>
        <w:tab/>
      </w:r>
      <w:r>
        <w:rPr>
          <w:snapToGrid w:val="0"/>
        </w:rPr>
        <w:tab/>
        <w:t>The master of an oil vessel shall, at all times that the vessel is nearing or is at a wharf or jetty, display at the foremast head, or other conspicuous place clear of all obstructions so as to be clearly visible from any direction at a distance of at least 1 nautical mile from the vessel — </w:t>
      </w:r>
    </w:p>
    <w:p w:rsidR="009515FF" w:rsidRDefault="00B14AD4">
      <w:pPr>
        <w:pStyle w:val="Indenta"/>
        <w:rPr>
          <w:snapToGrid w:val="0"/>
        </w:rPr>
      </w:pPr>
      <w:r>
        <w:rPr>
          <w:snapToGrid w:val="0"/>
        </w:rPr>
        <w:tab/>
        <w:t>(a)</w:t>
      </w:r>
      <w:r>
        <w:rPr>
          <w:snapToGrid w:val="0"/>
        </w:rPr>
        <w:tab/>
        <w:t>by day, the International Code flag “B”; and</w:t>
      </w:r>
    </w:p>
    <w:p w:rsidR="009515FF" w:rsidRDefault="00B14AD4">
      <w:pPr>
        <w:pStyle w:val="Indenta"/>
        <w:rPr>
          <w:snapToGrid w:val="0"/>
        </w:rPr>
      </w:pPr>
      <w:r>
        <w:rPr>
          <w:snapToGrid w:val="0"/>
        </w:rPr>
        <w:tab/>
        <w:t>(b)</w:t>
      </w:r>
      <w:r>
        <w:rPr>
          <w:snapToGrid w:val="0"/>
        </w:rPr>
        <w:tab/>
        <w:t>during the hours of darkness a red light so positioned as to be clear of all other lights on the vessel.</w:t>
      </w:r>
    </w:p>
    <w:p w:rsidR="009515FF" w:rsidRDefault="00B14AD4">
      <w:pPr>
        <w:pStyle w:val="Footnotesection"/>
      </w:pPr>
      <w:r>
        <w:tab/>
        <w:t>[Regulation 31 amended: Gazette 27 Jun 2003 p. 2523.]</w:t>
      </w:r>
    </w:p>
    <w:p w:rsidR="009515FF" w:rsidRDefault="00B14AD4">
      <w:pPr>
        <w:pStyle w:val="Heading5"/>
        <w:rPr>
          <w:snapToGrid w:val="0"/>
        </w:rPr>
      </w:pPr>
      <w:bookmarkStart w:id="94" w:name="_Toc75528231"/>
      <w:r>
        <w:rPr>
          <w:rStyle w:val="CharSectno"/>
        </w:rPr>
        <w:t>32</w:t>
      </w:r>
      <w:r>
        <w:rPr>
          <w:snapToGrid w:val="0"/>
        </w:rPr>
        <w:t>.</w:t>
      </w:r>
      <w:r>
        <w:rPr>
          <w:snapToGrid w:val="0"/>
        </w:rPr>
        <w:tab/>
        <w:t>Notice of intention to load or discharge inflammable liquid</w:t>
      </w:r>
      <w:bookmarkEnd w:id="94"/>
    </w:p>
    <w:p w:rsidR="009515FF" w:rsidRDefault="00B14AD4">
      <w:pPr>
        <w:pStyle w:val="Subsection"/>
        <w:rPr>
          <w:snapToGrid w:val="0"/>
        </w:rPr>
      </w:pPr>
      <w:r>
        <w:rPr>
          <w:snapToGrid w:val="0"/>
        </w:rPr>
        <w:tab/>
      </w:r>
      <w:r>
        <w:rPr>
          <w:snapToGrid w:val="0"/>
        </w:rPr>
        <w:tab/>
        <w:t xml:space="preserve">The agents or master of any oil vessel intending to load or unload any quantity in excess of 180 L of inflammable liquid, shall, immediately after making fast to any wharf or jetty, give notice in writing to the </w:t>
      </w:r>
      <w:r>
        <w:t>harbour master</w:t>
      </w:r>
      <w:r>
        <w:rPr>
          <w:snapToGrid w:val="0"/>
        </w:rPr>
        <w:t xml:space="preserve"> of that intention, with particulars as to the quantity of inflammable liquid intended to be loaded or discharged.</w:t>
      </w:r>
    </w:p>
    <w:p w:rsidR="009515FF" w:rsidRDefault="00B14AD4">
      <w:pPr>
        <w:pStyle w:val="Footnotesection"/>
      </w:pPr>
      <w:r>
        <w:tab/>
        <w:t>[Regulation 32 amended: Gazette 15 Jun 1973 p. 2234; 4 Jun 2010 p. 2464</w:t>
      </w:r>
      <w:r>
        <w:noBreakHyphen/>
        <w:t xml:space="preserve">5.] </w:t>
      </w:r>
    </w:p>
    <w:p w:rsidR="009515FF" w:rsidRDefault="00B14AD4">
      <w:pPr>
        <w:pStyle w:val="Heading5"/>
        <w:rPr>
          <w:snapToGrid w:val="0"/>
        </w:rPr>
      </w:pPr>
      <w:bookmarkStart w:id="95" w:name="_Toc75528232"/>
      <w:r>
        <w:rPr>
          <w:rStyle w:val="CharSectno"/>
        </w:rPr>
        <w:t>33</w:t>
      </w:r>
      <w:r>
        <w:rPr>
          <w:snapToGrid w:val="0"/>
        </w:rPr>
        <w:t>.</w:t>
      </w:r>
      <w:r>
        <w:rPr>
          <w:snapToGrid w:val="0"/>
        </w:rPr>
        <w:tab/>
        <w:t>Inflammable liquids not to be discharged or loaded without permission</w:t>
      </w:r>
      <w:bookmarkEnd w:id="95"/>
    </w:p>
    <w:p w:rsidR="009515FF" w:rsidRDefault="00B14AD4">
      <w:pPr>
        <w:pStyle w:val="Subsection"/>
        <w:rPr>
          <w:snapToGrid w:val="0"/>
        </w:rPr>
      </w:pPr>
      <w:r>
        <w:rPr>
          <w:snapToGrid w:val="0"/>
        </w:rPr>
        <w:tab/>
      </w:r>
      <w:r>
        <w:rPr>
          <w:snapToGrid w:val="0"/>
        </w:rPr>
        <w:tab/>
        <w:t>The master of an oil vessel shall not permit inflammable liquids to be discharged or loaded without first obtaining the written permission of the</w:t>
      </w:r>
      <w:r>
        <w:t xml:space="preserve"> harbour master</w:t>
      </w:r>
      <w:r>
        <w:rPr>
          <w:snapToGrid w:val="0"/>
        </w:rPr>
        <w:t>.</w:t>
      </w:r>
    </w:p>
    <w:p w:rsidR="009515FF" w:rsidRDefault="00B14AD4">
      <w:pPr>
        <w:pStyle w:val="Footnotesection"/>
        <w:ind w:left="890" w:hanging="890"/>
      </w:pPr>
      <w:r>
        <w:tab/>
        <w:t>[Regulation 33 amended: Gazette 4 Jun 2010 p. 2464</w:t>
      </w:r>
      <w:r>
        <w:noBreakHyphen/>
        <w:t>5.]</w:t>
      </w:r>
    </w:p>
    <w:p w:rsidR="009515FF" w:rsidRDefault="00B14AD4">
      <w:pPr>
        <w:pStyle w:val="Heading5"/>
        <w:rPr>
          <w:snapToGrid w:val="0"/>
        </w:rPr>
      </w:pPr>
      <w:bookmarkStart w:id="96" w:name="_Toc75528233"/>
      <w:r>
        <w:rPr>
          <w:rStyle w:val="CharSectno"/>
        </w:rPr>
        <w:lastRenderedPageBreak/>
        <w:t>34</w:t>
      </w:r>
      <w:r>
        <w:rPr>
          <w:snapToGrid w:val="0"/>
        </w:rPr>
        <w:t>.</w:t>
      </w:r>
      <w:r>
        <w:rPr>
          <w:snapToGrid w:val="0"/>
        </w:rPr>
        <w:tab/>
        <w:t>Oil vessel to be moored as directed</w:t>
      </w:r>
      <w:bookmarkEnd w:id="96"/>
    </w:p>
    <w:p w:rsidR="009515FF" w:rsidRDefault="00B14AD4">
      <w:pPr>
        <w:pStyle w:val="Subsection"/>
        <w:rPr>
          <w:snapToGrid w:val="0"/>
        </w:rPr>
      </w:pPr>
      <w:r>
        <w:rPr>
          <w:snapToGrid w:val="0"/>
        </w:rPr>
        <w:tab/>
      </w:r>
      <w:r>
        <w:rPr>
          <w:snapToGrid w:val="0"/>
        </w:rPr>
        <w:tab/>
        <w:t xml:space="preserve">The master of an oil vessel shall moor his or her vessel only at such places as the </w:t>
      </w:r>
      <w:r>
        <w:t>harbour master</w:t>
      </w:r>
      <w:r>
        <w:rPr>
          <w:snapToGrid w:val="0"/>
        </w:rPr>
        <w:t xml:space="preserve"> shall from time to time direct, and he or she shall not remove his or her vessel from the place as directed without the written permission of the</w:t>
      </w:r>
      <w:r>
        <w:t xml:space="preserve"> harbour master</w:t>
      </w:r>
      <w:r>
        <w:rPr>
          <w:snapToGrid w:val="0"/>
        </w:rPr>
        <w:t>.</w:t>
      </w:r>
    </w:p>
    <w:p w:rsidR="009515FF" w:rsidRDefault="00B14AD4">
      <w:pPr>
        <w:pStyle w:val="Footnotesection"/>
      </w:pPr>
      <w:r>
        <w:tab/>
        <w:t>[Regulation 34 amended: Gazette 4 Jun 2010 p. 2464</w:t>
      </w:r>
      <w:r>
        <w:noBreakHyphen/>
        <w:t>7.]</w:t>
      </w:r>
    </w:p>
    <w:p w:rsidR="009515FF" w:rsidRDefault="00B14AD4">
      <w:pPr>
        <w:pStyle w:val="Heading5"/>
        <w:rPr>
          <w:snapToGrid w:val="0"/>
        </w:rPr>
      </w:pPr>
      <w:bookmarkStart w:id="97" w:name="_Toc75528234"/>
      <w:r>
        <w:rPr>
          <w:rStyle w:val="CharSectno"/>
        </w:rPr>
        <w:t>35</w:t>
      </w:r>
      <w:r>
        <w:rPr>
          <w:snapToGrid w:val="0"/>
        </w:rPr>
        <w:t>.</w:t>
      </w:r>
      <w:r>
        <w:rPr>
          <w:snapToGrid w:val="0"/>
        </w:rPr>
        <w:tab/>
        <w:t>Oil vessel with inflammable liquids below deck, duties of master of</w:t>
      </w:r>
      <w:bookmarkEnd w:id="97"/>
    </w:p>
    <w:p w:rsidR="009515FF" w:rsidRDefault="00B14AD4">
      <w:pPr>
        <w:pStyle w:val="Subsection"/>
        <w:rPr>
          <w:snapToGrid w:val="0"/>
        </w:rPr>
      </w:pPr>
      <w:r>
        <w:rPr>
          <w:snapToGrid w:val="0"/>
        </w:rPr>
        <w:tab/>
      </w:r>
      <w:r>
        <w:rPr>
          <w:snapToGrid w:val="0"/>
        </w:rPr>
        <w:tab/>
        <w:t>The master of an oil vessel having on board inflammable liquids other than as deck cargo, and all other persons concerned, shall observe and perform the following provisions, namely:</w:t>
      </w:r>
    </w:p>
    <w:p w:rsidR="009515FF" w:rsidRDefault="00B14AD4">
      <w:pPr>
        <w:pStyle w:val="Indenta"/>
        <w:rPr>
          <w:snapToGrid w:val="0"/>
        </w:rPr>
      </w:pPr>
      <w:r>
        <w:rPr>
          <w:snapToGrid w:val="0"/>
        </w:rPr>
        <w:tab/>
        <w:t>(a)</w:t>
      </w:r>
      <w:r>
        <w:rPr>
          <w:snapToGrid w:val="0"/>
        </w:rPr>
        <w:tab/>
        <w:t>after the vessel is made fast to a wharf or jetty, all holds, tanks, and spaces containing inflammable liquid shall be kept securely closed and fastened down, except when opened for the purpose of discharging;</w:t>
      </w:r>
    </w:p>
    <w:p w:rsidR="009515FF" w:rsidRDefault="00B14AD4">
      <w:pPr>
        <w:pStyle w:val="Indenta"/>
        <w:rPr>
          <w:snapToGrid w:val="0"/>
        </w:rPr>
      </w:pPr>
      <w:r>
        <w:rPr>
          <w:snapToGrid w:val="0"/>
        </w:rPr>
        <w:tab/>
        <w:t>(b)</w:t>
      </w:r>
      <w:r>
        <w:rPr>
          <w:snapToGrid w:val="0"/>
        </w:rPr>
        <w:tab/>
        <w:t>an oil vessel with its cargo in bulk shall not be berthed until it is ready to load or discharge, and shall at all times continue and complete the loading or discharging with all possible despatch;</w:t>
      </w:r>
    </w:p>
    <w:p w:rsidR="009515FF" w:rsidRDefault="00B14AD4">
      <w:pPr>
        <w:pStyle w:val="Indenta"/>
        <w:rPr>
          <w:snapToGrid w:val="0"/>
        </w:rPr>
      </w:pPr>
      <w:r>
        <w:rPr>
          <w:snapToGrid w:val="0"/>
        </w:rPr>
        <w:tab/>
        <w:t>(c)</w:t>
      </w:r>
      <w:r>
        <w:rPr>
          <w:snapToGrid w:val="0"/>
        </w:rPr>
        <w:tab/>
        <w:t>no hold, tank, or space containing inflammable liquid in containers shall be opened until all trucks or other vehicles into which such goods are to be loaded are placed alongside the vessel and all is in readiness to commence the work;</w:t>
      </w:r>
    </w:p>
    <w:p w:rsidR="009515FF" w:rsidRDefault="00B14AD4">
      <w:pPr>
        <w:pStyle w:val="Indenta"/>
        <w:rPr>
          <w:snapToGrid w:val="0"/>
        </w:rPr>
      </w:pPr>
      <w:r>
        <w:rPr>
          <w:snapToGrid w:val="0"/>
        </w:rPr>
        <w:tab/>
        <w:t>(d)</w:t>
      </w:r>
      <w:r>
        <w:rPr>
          <w:snapToGrid w:val="0"/>
        </w:rPr>
        <w:tab/>
        <w:t>after the vessel is made fast to a wharf or jetty, all holds, tanks or spaces containing inflammable liquid shall be kept properly ventilated, to the satisfaction of the</w:t>
      </w:r>
      <w:r>
        <w:t xml:space="preserve"> harbour master</w:t>
      </w:r>
      <w:r>
        <w:rPr>
          <w:snapToGrid w:val="0"/>
        </w:rPr>
        <w:t>, to disperse all dangerous vapour that may be generated by the cargo or collected or lie in those places;</w:t>
      </w:r>
    </w:p>
    <w:p w:rsidR="009515FF" w:rsidRDefault="00B14AD4">
      <w:pPr>
        <w:pStyle w:val="Indenta"/>
        <w:keepLines/>
        <w:rPr>
          <w:snapToGrid w:val="0"/>
        </w:rPr>
      </w:pPr>
      <w:r>
        <w:rPr>
          <w:snapToGrid w:val="0"/>
        </w:rPr>
        <w:lastRenderedPageBreak/>
        <w:tab/>
        <w:t>(e)</w:t>
      </w:r>
      <w:r>
        <w:rPr>
          <w:snapToGrid w:val="0"/>
        </w:rPr>
        <w:tab/>
        <w:t>an oil vessel loading or unloading inflammable liquid in casks, barrels, or other receptacles or containers shall work its cargo or carry out any other work on board only as directed by the</w:t>
      </w:r>
      <w:r>
        <w:t xml:space="preserve"> harbour master</w:t>
      </w:r>
      <w:r>
        <w:rPr>
          <w:snapToGrid w:val="0"/>
        </w:rPr>
        <w:t>;</w:t>
      </w:r>
    </w:p>
    <w:p w:rsidR="009515FF" w:rsidRDefault="00B14AD4">
      <w:pPr>
        <w:pStyle w:val="Indenta"/>
        <w:rPr>
          <w:snapToGrid w:val="0"/>
        </w:rPr>
      </w:pPr>
      <w:r>
        <w:rPr>
          <w:snapToGrid w:val="0"/>
        </w:rPr>
        <w:tab/>
        <w:t>(f)</w:t>
      </w:r>
      <w:r>
        <w:rPr>
          <w:snapToGrid w:val="0"/>
        </w:rPr>
        <w:tab/>
        <w:t>inflammable liquid contained in casks, barrels or other receptacles shall not be landed on any wharf or jetty from a vessel unless the casks, barrels or other receptacles are staunch and free from leakage and are of such strength and construction as to be not liable to break or to leak;</w:t>
      </w:r>
    </w:p>
    <w:p w:rsidR="009515FF" w:rsidRDefault="00B14AD4">
      <w:pPr>
        <w:pStyle w:val="Indenta"/>
        <w:rPr>
          <w:snapToGrid w:val="0"/>
        </w:rPr>
      </w:pPr>
      <w:r>
        <w:rPr>
          <w:snapToGrid w:val="0"/>
        </w:rPr>
        <w:tab/>
        <w:t>(g)</w:t>
      </w:r>
      <w:r>
        <w:rPr>
          <w:snapToGrid w:val="0"/>
        </w:rPr>
        <w:tab/>
        <w:t xml:space="preserve">where the </w:t>
      </w:r>
      <w:r>
        <w:t>harbour master</w:t>
      </w:r>
      <w:r>
        <w:rPr>
          <w:snapToGrid w:val="0"/>
        </w:rPr>
        <w:t xml:space="preserve"> so approves in writing, inflammable liquid in bulk may be unloaded after sunset into shore tanks, and may, in special circumstances, be loaded into tank ships, and the following conditions and such other conditions as the </w:t>
      </w:r>
      <w:r>
        <w:t>harbour master</w:t>
      </w:r>
      <w:r>
        <w:rPr>
          <w:snapToGrid w:val="0"/>
        </w:rPr>
        <w:t xml:space="preserve"> may in those circumstances impose, shall be complied with:</w:t>
      </w:r>
    </w:p>
    <w:p w:rsidR="009515FF" w:rsidRDefault="00B14AD4">
      <w:pPr>
        <w:pStyle w:val="Indenti"/>
        <w:rPr>
          <w:snapToGrid w:val="0"/>
        </w:rPr>
      </w:pPr>
      <w:r>
        <w:rPr>
          <w:snapToGrid w:val="0"/>
        </w:rPr>
        <w:tab/>
        <w:t>(a)</w:t>
      </w:r>
      <w:r>
        <w:rPr>
          <w:snapToGrid w:val="0"/>
        </w:rPr>
        <w:tab/>
        <w:t>unless circumstances render it unavoidable, pipelines and hoses shall not be coupled, uncoupled, or otherwise interfered with, except in daylight; and</w:t>
      </w:r>
    </w:p>
    <w:p w:rsidR="009515FF" w:rsidRDefault="00B14AD4">
      <w:pPr>
        <w:pStyle w:val="Indenti"/>
        <w:rPr>
          <w:snapToGrid w:val="0"/>
        </w:rPr>
      </w:pPr>
      <w:r>
        <w:rPr>
          <w:snapToGrid w:val="0"/>
        </w:rPr>
        <w:tab/>
        <w:t>(b)</w:t>
      </w:r>
      <w:r>
        <w:rPr>
          <w:snapToGrid w:val="0"/>
        </w:rPr>
        <w:tab/>
        <w:t>sufficient electric flood lighting of approved type shall be provided to give ample light for all operations;</w:t>
      </w:r>
    </w:p>
    <w:p w:rsidR="009515FF" w:rsidRDefault="00B14AD4">
      <w:pPr>
        <w:pStyle w:val="Indenta"/>
        <w:rPr>
          <w:snapToGrid w:val="0"/>
        </w:rPr>
      </w:pPr>
      <w:r>
        <w:rPr>
          <w:snapToGrid w:val="0"/>
        </w:rPr>
        <w:tab/>
        <w:t>(h)</w:t>
      </w:r>
      <w:r>
        <w:rPr>
          <w:snapToGrid w:val="0"/>
        </w:rPr>
        <w:tab/>
        <w:t>general cargo, other than deck cargo, shall not be unloaded after sunset on any day from any oil vessel without the approval in writing of the</w:t>
      </w:r>
      <w:r>
        <w:t xml:space="preserve"> harbour master</w:t>
      </w:r>
      <w:r>
        <w:rPr>
          <w:snapToGrid w:val="0"/>
        </w:rPr>
        <w:t>.</w:t>
      </w:r>
    </w:p>
    <w:p w:rsidR="009515FF" w:rsidRDefault="00B14AD4">
      <w:pPr>
        <w:pStyle w:val="Footnotesection"/>
      </w:pPr>
      <w:r>
        <w:tab/>
        <w:t>[Regulation 35 amended: Gazette 4 Jun 2010 p. 2464</w:t>
      </w:r>
      <w:r>
        <w:noBreakHyphen/>
        <w:t>5.]</w:t>
      </w:r>
    </w:p>
    <w:p w:rsidR="009515FF" w:rsidRDefault="00B14AD4">
      <w:pPr>
        <w:pStyle w:val="Heading5"/>
        <w:keepNext w:val="0"/>
        <w:keepLines w:val="0"/>
        <w:spacing w:before="240"/>
        <w:rPr>
          <w:snapToGrid w:val="0"/>
        </w:rPr>
      </w:pPr>
      <w:bookmarkStart w:id="98" w:name="_Toc75528235"/>
      <w:r>
        <w:rPr>
          <w:rStyle w:val="CharSectno"/>
        </w:rPr>
        <w:t>36</w:t>
      </w:r>
      <w:r>
        <w:rPr>
          <w:snapToGrid w:val="0"/>
        </w:rPr>
        <w:t>.</w:t>
      </w:r>
      <w:r>
        <w:rPr>
          <w:snapToGrid w:val="0"/>
        </w:rPr>
        <w:tab/>
        <w:t>Oil vessel loading or unloading inflammable liquid, restricted access to etc.</w:t>
      </w:r>
      <w:bookmarkEnd w:id="98"/>
    </w:p>
    <w:p w:rsidR="009515FF" w:rsidRDefault="00B14AD4">
      <w:pPr>
        <w:pStyle w:val="Subsection"/>
        <w:spacing w:before="180"/>
        <w:rPr>
          <w:snapToGrid w:val="0"/>
        </w:rPr>
      </w:pPr>
      <w:r>
        <w:rPr>
          <w:snapToGrid w:val="0"/>
        </w:rPr>
        <w:tab/>
      </w:r>
      <w:r>
        <w:rPr>
          <w:snapToGrid w:val="0"/>
        </w:rPr>
        <w:tab/>
        <w:t xml:space="preserve">The master of an oil vessel shall not permit or suffer any unauthorised person to be on board the vessel while loading or unloading of inflammable liquid is in process, and shall display and keep displayed at the main gangway while occupying any </w:t>
      </w:r>
      <w:r>
        <w:rPr>
          <w:snapToGrid w:val="0"/>
        </w:rPr>
        <w:lastRenderedPageBreak/>
        <w:t>berth at a wharf or jetty a conspicuous notice to the following effect — </w:t>
      </w:r>
    </w:p>
    <w:p w:rsidR="009515FF" w:rsidRDefault="00B14AD4">
      <w:pPr>
        <w:pStyle w:val="MiscellaneousHeading"/>
        <w:keepNext w:val="0"/>
        <w:keepLines/>
        <w:spacing w:before="80"/>
        <w:rPr>
          <w:snapToGrid w:val="0"/>
        </w:rPr>
      </w:pPr>
      <w:r>
        <w:rPr>
          <w:snapToGrid w:val="0"/>
        </w:rPr>
        <w:t>NO ADMITTANCE.</w:t>
      </w:r>
    </w:p>
    <w:p w:rsidR="009515FF" w:rsidRDefault="00B14AD4">
      <w:pPr>
        <w:pStyle w:val="MiscellaneousHeading"/>
        <w:keepNext w:val="0"/>
        <w:keepLines/>
        <w:spacing w:before="80"/>
        <w:rPr>
          <w:snapToGrid w:val="0"/>
        </w:rPr>
      </w:pPr>
      <w:r>
        <w:rPr>
          <w:snapToGrid w:val="0"/>
        </w:rPr>
        <w:t>OIL SHIP.</w:t>
      </w:r>
    </w:p>
    <w:p w:rsidR="009515FF" w:rsidRDefault="00B14AD4">
      <w:pPr>
        <w:pStyle w:val="MiscellaneousHeading"/>
        <w:keepNext w:val="0"/>
        <w:keepLines/>
        <w:spacing w:before="80"/>
        <w:rPr>
          <w:snapToGrid w:val="0"/>
        </w:rPr>
      </w:pPr>
      <w:r>
        <w:rPr>
          <w:snapToGrid w:val="0"/>
        </w:rPr>
        <w:t>NO SMOKING ALLOWED.</w:t>
      </w:r>
    </w:p>
    <w:p w:rsidR="009515FF" w:rsidRDefault="00B14AD4">
      <w:pPr>
        <w:pStyle w:val="Heading5"/>
        <w:spacing w:before="180"/>
        <w:rPr>
          <w:snapToGrid w:val="0"/>
        </w:rPr>
      </w:pPr>
      <w:bookmarkStart w:id="99" w:name="_Toc75528236"/>
      <w:r>
        <w:rPr>
          <w:rStyle w:val="CharSectno"/>
        </w:rPr>
        <w:t>37</w:t>
      </w:r>
      <w:r>
        <w:rPr>
          <w:snapToGrid w:val="0"/>
        </w:rPr>
        <w:t>.</w:t>
      </w:r>
      <w:r>
        <w:rPr>
          <w:snapToGrid w:val="0"/>
        </w:rPr>
        <w:tab/>
        <w:t>Smoking etc. prohibited during loading or unloading inflammable liquid</w:t>
      </w:r>
      <w:bookmarkEnd w:id="99"/>
    </w:p>
    <w:p w:rsidR="009515FF" w:rsidRDefault="00B14AD4">
      <w:pPr>
        <w:pStyle w:val="Subsection"/>
        <w:spacing w:before="120"/>
        <w:rPr>
          <w:snapToGrid w:val="0"/>
        </w:rPr>
      </w:pPr>
      <w:r>
        <w:rPr>
          <w:snapToGrid w:val="0"/>
        </w:rPr>
        <w:tab/>
      </w:r>
      <w:r>
        <w:rPr>
          <w:snapToGrid w:val="0"/>
        </w:rPr>
        <w:tab/>
        <w:t>During the loading or unloading of inflammable liquid no person shall smoke or heat any combustible matter, rivet or chip iron, or clean boilers or boiler tubes, or carry out other work likely to cause ignition on board the oil vessel or any other vessel lying alongside, and no person engaged in that loading or unloading shall carry matches or other appliances for providing or capable of providing ignition.</w:t>
      </w:r>
    </w:p>
    <w:p w:rsidR="009515FF" w:rsidRDefault="00B14AD4">
      <w:pPr>
        <w:pStyle w:val="Heading5"/>
        <w:spacing w:before="180"/>
        <w:rPr>
          <w:snapToGrid w:val="0"/>
        </w:rPr>
      </w:pPr>
      <w:bookmarkStart w:id="100" w:name="_Toc75528237"/>
      <w:r>
        <w:rPr>
          <w:rStyle w:val="CharSectno"/>
        </w:rPr>
        <w:t>38</w:t>
      </w:r>
      <w:r>
        <w:rPr>
          <w:snapToGrid w:val="0"/>
        </w:rPr>
        <w:t>.</w:t>
      </w:r>
      <w:r>
        <w:rPr>
          <w:snapToGrid w:val="0"/>
        </w:rPr>
        <w:tab/>
        <w:t>Oil vessel with tanks open, use of fires etc. on or near prohibited</w:t>
      </w:r>
      <w:bookmarkEnd w:id="100"/>
    </w:p>
    <w:p w:rsidR="009515FF" w:rsidRDefault="00B14AD4">
      <w:pPr>
        <w:pStyle w:val="Subsection"/>
        <w:spacing w:before="100"/>
        <w:rPr>
          <w:snapToGrid w:val="0"/>
        </w:rPr>
      </w:pPr>
      <w:r>
        <w:rPr>
          <w:snapToGrid w:val="0"/>
        </w:rPr>
        <w:tab/>
        <w:t>(1)</w:t>
      </w:r>
      <w:r>
        <w:rPr>
          <w:snapToGrid w:val="0"/>
        </w:rPr>
        <w:tab/>
        <w:t>From the time when tanks of an oil vessel are opened for the purpose of discharging or loading inflammable liquid in bulk, and until such time as the operations of discharging or loading have been completed and the tanks have been thoroughly ventilated, no person shall use or permit or suffer to be used on the vessel, any fire, other than approved ship’s boilers, or light other than a safety lamp approved by the</w:t>
      </w:r>
      <w:r>
        <w:t xml:space="preserve"> harbour master</w:t>
      </w:r>
      <w:r>
        <w:rPr>
          <w:snapToGrid w:val="0"/>
        </w:rPr>
        <w:t>, either on board or within 30 m of the oil vessel, without the authority of the</w:t>
      </w:r>
      <w:r>
        <w:t xml:space="preserve"> harbour master</w:t>
      </w:r>
      <w:r>
        <w:rPr>
          <w:snapToGrid w:val="0"/>
        </w:rPr>
        <w:t>.</w:t>
      </w:r>
    </w:p>
    <w:p w:rsidR="009515FF" w:rsidRDefault="00B14AD4">
      <w:pPr>
        <w:pStyle w:val="Subsection"/>
        <w:spacing w:before="100"/>
        <w:rPr>
          <w:snapToGrid w:val="0"/>
        </w:rPr>
      </w:pPr>
      <w:r>
        <w:rPr>
          <w:snapToGrid w:val="0"/>
        </w:rPr>
        <w:tab/>
        <w:t>(2)</w:t>
      </w:r>
      <w:r>
        <w:rPr>
          <w:snapToGrid w:val="0"/>
        </w:rPr>
        <w:tab/>
        <w:t>Fires, lights, or electric apparatus, other than electric filament lamps or self contained lamps, heaters, cookers, or other types of safe apparatus so designed, constructed and maintained as to be incapable of igniting inflammable vapour, shall not be used on or near the wharf at which inflammable liquid is being discharged or loaded, or upon which inflammable liquid is lying.</w:t>
      </w:r>
    </w:p>
    <w:p w:rsidR="009515FF" w:rsidRDefault="00B14AD4">
      <w:pPr>
        <w:pStyle w:val="Footnotesection"/>
        <w:spacing w:before="60"/>
        <w:ind w:left="890" w:hanging="890"/>
      </w:pPr>
      <w:r>
        <w:tab/>
        <w:t>[Regulation 38 amended: Gazette 27 Jun 2003 p. 2523; 4 Jun 2010 p. 2464</w:t>
      </w:r>
      <w:r>
        <w:noBreakHyphen/>
        <w:t>5.]</w:t>
      </w:r>
    </w:p>
    <w:p w:rsidR="009515FF" w:rsidRDefault="00B14AD4">
      <w:pPr>
        <w:pStyle w:val="Heading5"/>
        <w:rPr>
          <w:snapToGrid w:val="0"/>
        </w:rPr>
      </w:pPr>
      <w:bookmarkStart w:id="101" w:name="_Toc75528238"/>
      <w:r>
        <w:rPr>
          <w:rStyle w:val="CharSectno"/>
        </w:rPr>
        <w:lastRenderedPageBreak/>
        <w:t>39</w:t>
      </w:r>
      <w:r>
        <w:rPr>
          <w:snapToGrid w:val="0"/>
        </w:rPr>
        <w:t>.</w:t>
      </w:r>
      <w:r>
        <w:rPr>
          <w:snapToGrid w:val="0"/>
        </w:rPr>
        <w:tab/>
        <w:t>Pumping inflammable liquid between oil vessel and tank, master’s duties as to</w:t>
      </w:r>
      <w:bookmarkEnd w:id="101"/>
    </w:p>
    <w:p w:rsidR="009515FF" w:rsidRDefault="00B14AD4">
      <w:pPr>
        <w:pStyle w:val="Subsection"/>
        <w:rPr>
          <w:snapToGrid w:val="0"/>
        </w:rPr>
      </w:pPr>
      <w:r>
        <w:rPr>
          <w:snapToGrid w:val="0"/>
        </w:rPr>
        <w:tab/>
        <w:t>(1)</w:t>
      </w:r>
      <w:r>
        <w:rPr>
          <w:snapToGrid w:val="0"/>
        </w:rPr>
        <w:tab/>
        <w:t>Before any pumping operations of inflammable liquids are commenced, and during the continuance of those operations, the master shall cause — </w:t>
      </w:r>
    </w:p>
    <w:p w:rsidR="009515FF" w:rsidRDefault="00B14AD4">
      <w:pPr>
        <w:pStyle w:val="Indenta"/>
        <w:rPr>
          <w:snapToGrid w:val="0"/>
        </w:rPr>
      </w:pPr>
      <w:r>
        <w:rPr>
          <w:snapToGrid w:val="0"/>
        </w:rPr>
        <w:tab/>
        <w:t>(a)</w:t>
      </w:r>
      <w:r>
        <w:rPr>
          <w:snapToGrid w:val="0"/>
        </w:rPr>
        <w:tab/>
        <w:t>a competent signalling staff to be in attendance both at the tank installation and on board the oil vessel; and</w:t>
      </w:r>
    </w:p>
    <w:p w:rsidR="009515FF" w:rsidRDefault="00B14AD4">
      <w:pPr>
        <w:pStyle w:val="Indenta"/>
        <w:rPr>
          <w:snapToGrid w:val="0"/>
        </w:rPr>
      </w:pPr>
      <w:r>
        <w:rPr>
          <w:snapToGrid w:val="0"/>
        </w:rPr>
        <w:tab/>
        <w:t>(b)</w:t>
      </w:r>
      <w:r>
        <w:rPr>
          <w:snapToGrid w:val="0"/>
        </w:rPr>
        <w:tab/>
        <w:t>telephonic communication between the same points to be established and maintained.</w:t>
      </w:r>
    </w:p>
    <w:p w:rsidR="009515FF" w:rsidRDefault="00B14AD4">
      <w:pPr>
        <w:pStyle w:val="Subsection"/>
        <w:rPr>
          <w:snapToGrid w:val="0"/>
        </w:rPr>
      </w:pPr>
      <w:r>
        <w:rPr>
          <w:snapToGrid w:val="0"/>
        </w:rPr>
        <w:tab/>
        <w:t>(2)</w:t>
      </w:r>
      <w:r>
        <w:rPr>
          <w:snapToGrid w:val="0"/>
        </w:rPr>
        <w:tab/>
        <w:t>A responsible person shall be detailed by the master for attendance on the wharf or jetty to superintend the opening and closing of valves and for patrol of the pipe line during the whole of the pumping operation, and pumping operations shall not be commenced before the correct position of all valves has been verified by the</w:t>
      </w:r>
      <w:r>
        <w:t xml:space="preserve"> harbour master</w:t>
      </w:r>
      <w:r>
        <w:rPr>
          <w:snapToGrid w:val="0"/>
        </w:rPr>
        <w:t xml:space="preserve">, and the </w:t>
      </w:r>
      <w:r>
        <w:t>harbour master</w:t>
      </w:r>
      <w:r>
        <w:rPr>
          <w:snapToGrid w:val="0"/>
        </w:rPr>
        <w:t xml:space="preserve"> is satisfied that all precautions necessary have and will be taken to prevent leakages.</w:t>
      </w:r>
    </w:p>
    <w:p w:rsidR="009515FF" w:rsidRDefault="00B14AD4">
      <w:pPr>
        <w:pStyle w:val="Footnotesection"/>
        <w:ind w:left="890" w:hanging="890"/>
      </w:pPr>
      <w:r>
        <w:tab/>
        <w:t>[Regulation 39 amended: Gazette 4 Jun 2010 p. 2464</w:t>
      </w:r>
      <w:r>
        <w:noBreakHyphen/>
        <w:t>5.]</w:t>
      </w:r>
    </w:p>
    <w:p w:rsidR="009515FF" w:rsidRDefault="00B14AD4">
      <w:pPr>
        <w:pStyle w:val="Heading5"/>
        <w:keepLines w:val="0"/>
        <w:rPr>
          <w:snapToGrid w:val="0"/>
        </w:rPr>
      </w:pPr>
      <w:bookmarkStart w:id="102" w:name="_Toc75528239"/>
      <w:r>
        <w:rPr>
          <w:rStyle w:val="CharSectno"/>
        </w:rPr>
        <w:t>40</w:t>
      </w:r>
      <w:r>
        <w:rPr>
          <w:snapToGrid w:val="0"/>
        </w:rPr>
        <w:t>.</w:t>
      </w:r>
      <w:r>
        <w:rPr>
          <w:snapToGrid w:val="0"/>
        </w:rPr>
        <w:tab/>
        <w:t>Tanks to be closed during pumping; pumping to cease if leak occurs</w:t>
      </w:r>
      <w:bookmarkEnd w:id="102"/>
    </w:p>
    <w:p w:rsidR="009515FF" w:rsidRDefault="00B14AD4">
      <w:pPr>
        <w:pStyle w:val="Subsection"/>
        <w:rPr>
          <w:snapToGrid w:val="0"/>
        </w:rPr>
      </w:pPr>
      <w:r>
        <w:rPr>
          <w:snapToGrid w:val="0"/>
        </w:rPr>
        <w:tab/>
        <w:t>(1)</w:t>
      </w:r>
      <w:r>
        <w:rPr>
          <w:snapToGrid w:val="0"/>
        </w:rPr>
        <w:tab/>
        <w:t>While pumping is in progress the lids, screw caps, or other removable coverings of the tanks shall be kept securely fastened or screwed down, except so far as may be necessary to enable discharge of the inflammable liquid to proceed, and where it is necessary to remove any lid, screw cap, or other coverings, safety wire gauzes shall immediately be properly fitted, or other effective measures immediately taken, by the master to prevent the ignition of the inflammable liquid or vapours.</w:t>
      </w:r>
    </w:p>
    <w:p w:rsidR="009515FF" w:rsidRDefault="00B14AD4">
      <w:pPr>
        <w:pStyle w:val="Subsection"/>
        <w:rPr>
          <w:snapToGrid w:val="0"/>
        </w:rPr>
      </w:pPr>
      <w:r>
        <w:rPr>
          <w:snapToGrid w:val="0"/>
        </w:rPr>
        <w:tab/>
        <w:t>(2)</w:t>
      </w:r>
      <w:r>
        <w:rPr>
          <w:snapToGrid w:val="0"/>
        </w:rPr>
        <w:tab/>
        <w:t>If any leakage occurs while inflammable liquid is being loaded onto or discharged from an oil vessel, the master of the oil vessel shall forthwith cause the loading or discharging to cease.</w:t>
      </w:r>
    </w:p>
    <w:p w:rsidR="009515FF" w:rsidRDefault="00B14AD4">
      <w:pPr>
        <w:pStyle w:val="Heading5"/>
        <w:keepLines w:val="0"/>
        <w:rPr>
          <w:snapToGrid w:val="0"/>
        </w:rPr>
      </w:pPr>
      <w:bookmarkStart w:id="103" w:name="_Toc75528240"/>
      <w:r>
        <w:rPr>
          <w:rStyle w:val="CharSectno"/>
        </w:rPr>
        <w:lastRenderedPageBreak/>
        <w:t>41</w:t>
      </w:r>
      <w:r>
        <w:rPr>
          <w:snapToGrid w:val="0"/>
        </w:rPr>
        <w:t>.</w:t>
      </w:r>
      <w:r>
        <w:rPr>
          <w:snapToGrid w:val="0"/>
        </w:rPr>
        <w:tab/>
        <w:t>Loading or unloading inflammable liquids at night</w:t>
      </w:r>
      <w:bookmarkEnd w:id="103"/>
    </w:p>
    <w:p w:rsidR="009515FF" w:rsidRDefault="00B14AD4">
      <w:pPr>
        <w:pStyle w:val="Subsection"/>
        <w:rPr>
          <w:snapToGrid w:val="0"/>
        </w:rPr>
      </w:pPr>
      <w:r>
        <w:rPr>
          <w:snapToGrid w:val="0"/>
        </w:rPr>
        <w:tab/>
      </w:r>
      <w:r>
        <w:rPr>
          <w:snapToGrid w:val="0"/>
        </w:rPr>
        <w:tab/>
        <w:t xml:space="preserve">Where permission has been granted by the </w:t>
      </w:r>
      <w:r>
        <w:t>harbour master</w:t>
      </w:r>
      <w:r>
        <w:rPr>
          <w:snapToGrid w:val="0"/>
        </w:rPr>
        <w:t xml:space="preserve"> in writing for the pumping of inflammable liquids into or out of an oil vessel to be carried out between sunset and sunrise, and an interruption or stoppage of loading or discharging takes place, the pumping shall not be recommenced before sunrise unless permission to do so has been granted by the </w:t>
      </w:r>
      <w:r>
        <w:t>harbour master</w:t>
      </w:r>
      <w:r>
        <w:rPr>
          <w:snapToGrid w:val="0"/>
        </w:rPr>
        <w:t xml:space="preserve"> in writing.</w:t>
      </w:r>
    </w:p>
    <w:p w:rsidR="009515FF" w:rsidRDefault="00B14AD4">
      <w:pPr>
        <w:pStyle w:val="Footnotesection"/>
        <w:ind w:left="890" w:hanging="890"/>
      </w:pPr>
      <w:r>
        <w:tab/>
        <w:t>[Regulation 41 amended: Gazette 14 Feb 1975 p. 571; 4 Jun 2010 p. 2464</w:t>
      </w:r>
      <w:r>
        <w:noBreakHyphen/>
        <w:t xml:space="preserve">5.] </w:t>
      </w:r>
    </w:p>
    <w:p w:rsidR="009515FF" w:rsidRDefault="00B14AD4">
      <w:pPr>
        <w:pStyle w:val="Heading5"/>
        <w:rPr>
          <w:snapToGrid w:val="0"/>
        </w:rPr>
      </w:pPr>
      <w:bookmarkStart w:id="104" w:name="_Toc75528241"/>
      <w:r>
        <w:rPr>
          <w:rStyle w:val="CharSectno"/>
        </w:rPr>
        <w:t>42</w:t>
      </w:r>
      <w:r>
        <w:rPr>
          <w:snapToGrid w:val="0"/>
        </w:rPr>
        <w:t>.</w:t>
      </w:r>
      <w:r>
        <w:rPr>
          <w:snapToGrid w:val="0"/>
        </w:rPr>
        <w:tab/>
        <w:t>Procedure on completing discharge of inflammable liquid</w:t>
      </w:r>
      <w:bookmarkEnd w:id="104"/>
    </w:p>
    <w:p w:rsidR="009515FF" w:rsidRDefault="00B14AD4">
      <w:pPr>
        <w:pStyle w:val="Subsection"/>
        <w:rPr>
          <w:snapToGrid w:val="0"/>
        </w:rPr>
      </w:pPr>
      <w:r>
        <w:rPr>
          <w:snapToGrid w:val="0"/>
        </w:rPr>
        <w:tab/>
        <w:t>(1)</w:t>
      </w:r>
      <w:r>
        <w:rPr>
          <w:snapToGrid w:val="0"/>
        </w:rPr>
        <w:tab/>
        <w:t xml:space="preserve">When an oil vessel has completed discharging inflammable liquid in bulk, the connection or connections to the shore pipe line shall not be broken until the pipe line for its whole length has been completely and satisfactorily cleared of all inflammable liquid, and the </w:t>
      </w:r>
      <w:r>
        <w:t>harbour master</w:t>
      </w:r>
      <w:r>
        <w:rPr>
          <w:snapToGrid w:val="0"/>
        </w:rPr>
        <w:t xml:space="preserve"> approves the breaking of the pipe line.</w:t>
      </w:r>
    </w:p>
    <w:p w:rsidR="009515FF" w:rsidRDefault="00B14AD4">
      <w:pPr>
        <w:pStyle w:val="Subsection"/>
        <w:rPr>
          <w:snapToGrid w:val="0"/>
        </w:rPr>
      </w:pPr>
      <w:r>
        <w:rPr>
          <w:snapToGrid w:val="0"/>
        </w:rPr>
        <w:tab/>
        <w:t>(2)</w:t>
      </w:r>
      <w:r>
        <w:rPr>
          <w:snapToGrid w:val="0"/>
        </w:rPr>
        <w:tab/>
        <w:t>Immediately discharge of the inflammable liquid is suspended or completed, all lids, screw caps, or other coverings shall be replaced, securely fastened down and made gas tight.</w:t>
      </w:r>
    </w:p>
    <w:p w:rsidR="009515FF" w:rsidRDefault="00B14AD4">
      <w:pPr>
        <w:pStyle w:val="Footnotesection"/>
      </w:pPr>
      <w:r>
        <w:tab/>
        <w:t>[Regulation 42 amended: Gazette 4 Jun 2010 p. 2464</w:t>
      </w:r>
      <w:r>
        <w:noBreakHyphen/>
        <w:t>5.]</w:t>
      </w:r>
    </w:p>
    <w:p w:rsidR="009515FF" w:rsidRDefault="00B14AD4">
      <w:pPr>
        <w:pStyle w:val="Heading5"/>
        <w:rPr>
          <w:snapToGrid w:val="0"/>
        </w:rPr>
      </w:pPr>
      <w:bookmarkStart w:id="105" w:name="_Toc75528242"/>
      <w:r>
        <w:rPr>
          <w:rStyle w:val="CharSectno"/>
        </w:rPr>
        <w:t>43</w:t>
      </w:r>
      <w:r>
        <w:rPr>
          <w:snapToGrid w:val="0"/>
        </w:rPr>
        <w:t>.</w:t>
      </w:r>
      <w:r>
        <w:rPr>
          <w:snapToGrid w:val="0"/>
        </w:rPr>
        <w:tab/>
        <w:t>No fires or ballasting while tanks are open</w:t>
      </w:r>
      <w:bookmarkEnd w:id="105"/>
    </w:p>
    <w:p w:rsidR="009515FF" w:rsidRDefault="00B14AD4">
      <w:pPr>
        <w:pStyle w:val="Subsection"/>
        <w:rPr>
          <w:snapToGrid w:val="0"/>
        </w:rPr>
      </w:pPr>
      <w:r>
        <w:rPr>
          <w:snapToGrid w:val="0"/>
        </w:rPr>
        <w:tab/>
        <w:t>(1)</w:t>
      </w:r>
      <w:r>
        <w:rPr>
          <w:snapToGrid w:val="0"/>
        </w:rPr>
        <w:tab/>
        <w:t xml:space="preserve">The boiler or galley fires other than those required to produce steam for pumping of an oil vessel carrying inflammable liquid in bulk shall not be alight from the time when the holds or tanks are first opened for the purposes of discharge unless the written authority of the </w:t>
      </w:r>
      <w:r>
        <w:t>harbour master</w:t>
      </w:r>
      <w:r>
        <w:rPr>
          <w:snapToGrid w:val="0"/>
        </w:rPr>
        <w:t xml:space="preserve"> is first obtained.</w:t>
      </w:r>
    </w:p>
    <w:p w:rsidR="009515FF" w:rsidRDefault="00B14AD4">
      <w:pPr>
        <w:pStyle w:val="Subsection"/>
        <w:rPr>
          <w:snapToGrid w:val="0"/>
        </w:rPr>
      </w:pPr>
      <w:r>
        <w:rPr>
          <w:snapToGrid w:val="0"/>
        </w:rPr>
        <w:tab/>
        <w:t>(2)</w:t>
      </w:r>
      <w:r>
        <w:rPr>
          <w:snapToGrid w:val="0"/>
        </w:rPr>
        <w:tab/>
        <w:t xml:space="preserve">The master shall not allow any furnace other than that required to produce steam for pumping or any galley or other fires to be alight on board an oil vessel while the running of water for ballast or other purposes into any tank, receptacle, or enclosure </w:t>
      </w:r>
      <w:r>
        <w:rPr>
          <w:snapToGrid w:val="0"/>
        </w:rPr>
        <w:lastRenderedPageBreak/>
        <w:t>on the oil vessel which has contained inflammable liquids is being carried out.</w:t>
      </w:r>
    </w:p>
    <w:p w:rsidR="009515FF" w:rsidRDefault="00B14AD4">
      <w:pPr>
        <w:pStyle w:val="Subsection"/>
        <w:rPr>
          <w:snapToGrid w:val="0"/>
        </w:rPr>
      </w:pPr>
      <w:r>
        <w:rPr>
          <w:snapToGrid w:val="0"/>
        </w:rPr>
        <w:tab/>
        <w:t>(3)</w:t>
      </w:r>
      <w:r>
        <w:rPr>
          <w:snapToGrid w:val="0"/>
        </w:rPr>
        <w:tab/>
        <w:t xml:space="preserve">No ballasting shall be carried out unless all tanks are sealed down as required by the </w:t>
      </w:r>
      <w:r>
        <w:t>harbour master</w:t>
      </w:r>
      <w:r>
        <w:rPr>
          <w:snapToGrid w:val="0"/>
        </w:rPr>
        <w:t xml:space="preserve"> and the rate of ballasting any tank shall be so reduced as required by the</w:t>
      </w:r>
      <w:r>
        <w:t xml:space="preserve"> harbour master</w:t>
      </w:r>
      <w:r>
        <w:rPr>
          <w:snapToGrid w:val="0"/>
        </w:rPr>
        <w:t>, and any directions given by him or her for other safety measures to be taken while ballasting shall be strictly observed.</w:t>
      </w:r>
    </w:p>
    <w:p w:rsidR="009515FF" w:rsidRDefault="00B14AD4">
      <w:pPr>
        <w:pStyle w:val="Subsection"/>
        <w:rPr>
          <w:snapToGrid w:val="0"/>
        </w:rPr>
      </w:pPr>
      <w:r>
        <w:rPr>
          <w:snapToGrid w:val="0"/>
        </w:rPr>
        <w:tab/>
        <w:t>(4)</w:t>
      </w:r>
      <w:r>
        <w:rPr>
          <w:snapToGrid w:val="0"/>
        </w:rPr>
        <w:tab/>
        <w:t>No ballasting shall be carried out by the master until he or she is so permitted in writing by the</w:t>
      </w:r>
      <w:r>
        <w:t xml:space="preserve"> harbour master</w:t>
      </w:r>
      <w:r>
        <w:rPr>
          <w:snapToGrid w:val="0"/>
        </w:rPr>
        <w:t>, who shall lay down such further conditions under which ballasting may be carried out as he or she may in the circumstances consider necessary.</w:t>
      </w:r>
    </w:p>
    <w:p w:rsidR="009515FF" w:rsidRDefault="00B14AD4">
      <w:pPr>
        <w:pStyle w:val="Footnotesection"/>
      </w:pPr>
      <w:r>
        <w:tab/>
        <w:t>[Regulation 43 amended: Gazette 4 Jun 2010 p. 2464</w:t>
      </w:r>
      <w:r>
        <w:noBreakHyphen/>
        <w:t>7.]</w:t>
      </w:r>
    </w:p>
    <w:p w:rsidR="009515FF" w:rsidRDefault="00B14AD4">
      <w:pPr>
        <w:pStyle w:val="Heading5"/>
        <w:rPr>
          <w:snapToGrid w:val="0"/>
        </w:rPr>
      </w:pPr>
      <w:bookmarkStart w:id="106" w:name="_Toc75528243"/>
      <w:r>
        <w:rPr>
          <w:rStyle w:val="CharSectno"/>
        </w:rPr>
        <w:t>44</w:t>
      </w:r>
      <w:r>
        <w:rPr>
          <w:snapToGrid w:val="0"/>
        </w:rPr>
        <w:t>.</w:t>
      </w:r>
      <w:r>
        <w:rPr>
          <w:snapToGrid w:val="0"/>
        </w:rPr>
        <w:tab/>
        <w:t>Pipelines etc. to be oil and vapour tight</w:t>
      </w:r>
      <w:bookmarkEnd w:id="106"/>
    </w:p>
    <w:p w:rsidR="009515FF" w:rsidRDefault="00B14AD4">
      <w:pPr>
        <w:pStyle w:val="Subsection"/>
        <w:rPr>
          <w:snapToGrid w:val="0"/>
        </w:rPr>
      </w:pPr>
      <w:r>
        <w:rPr>
          <w:snapToGrid w:val="0"/>
        </w:rPr>
        <w:tab/>
        <w:t>(1)</w:t>
      </w:r>
      <w:r>
        <w:rPr>
          <w:snapToGrid w:val="0"/>
        </w:rPr>
        <w:tab/>
        <w:t>All pipelines and connections thereto, flexible or otherwise, used between the oil vessel and the berth, shall at all times be kept in an oil and vapour tight condition and shall not leak.</w:t>
      </w:r>
    </w:p>
    <w:p w:rsidR="009515FF" w:rsidRDefault="00B14AD4">
      <w:pPr>
        <w:pStyle w:val="Subsection"/>
        <w:rPr>
          <w:snapToGrid w:val="0"/>
        </w:rPr>
      </w:pPr>
      <w:r>
        <w:rPr>
          <w:snapToGrid w:val="0"/>
        </w:rPr>
        <w:tab/>
        <w:t>(2)</w:t>
      </w:r>
      <w:r>
        <w:rPr>
          <w:snapToGrid w:val="0"/>
        </w:rPr>
        <w:tab/>
        <w:t>Inflammable liquid shall not be allowed to escape, either directly or indirectly, into any waters of the port.</w:t>
      </w:r>
    </w:p>
    <w:p w:rsidR="009515FF" w:rsidRDefault="00B14AD4">
      <w:pPr>
        <w:pStyle w:val="Heading5"/>
        <w:rPr>
          <w:snapToGrid w:val="0"/>
        </w:rPr>
      </w:pPr>
      <w:bookmarkStart w:id="107" w:name="_Toc75528244"/>
      <w:r>
        <w:rPr>
          <w:rStyle w:val="CharSectno"/>
        </w:rPr>
        <w:t>45</w:t>
      </w:r>
      <w:r>
        <w:rPr>
          <w:snapToGrid w:val="0"/>
        </w:rPr>
        <w:t>.</w:t>
      </w:r>
      <w:r>
        <w:rPr>
          <w:snapToGrid w:val="0"/>
        </w:rPr>
        <w:tab/>
        <w:t>Oil vessel to have steel hawsers to permit towing</w:t>
      </w:r>
      <w:bookmarkEnd w:id="107"/>
    </w:p>
    <w:p w:rsidR="009515FF" w:rsidRDefault="00B14AD4">
      <w:pPr>
        <w:pStyle w:val="Subsection"/>
        <w:rPr>
          <w:snapToGrid w:val="0"/>
        </w:rPr>
      </w:pPr>
      <w:r>
        <w:rPr>
          <w:snapToGrid w:val="0"/>
        </w:rPr>
        <w:tab/>
      </w:r>
      <w:r>
        <w:rPr>
          <w:snapToGrid w:val="0"/>
        </w:rPr>
        <w:tab/>
        <w:t>The master of any oil vessel carrying inflammable liquid in bulk shall, immediately on the berthing of the vessel, have a steel wire hawser sufficiently strong to enable the oil vessel to be hauled away from the berth placed over the fore and aft ends of the oil vessel and made securely fast on board, and the hawser shall remain so placed while any inflammable liquid remains on board and until the oil vessel has been properly cleansed and ventilated.</w:t>
      </w:r>
    </w:p>
    <w:p w:rsidR="009515FF" w:rsidRDefault="00B14AD4">
      <w:pPr>
        <w:pStyle w:val="Heading5"/>
        <w:spacing w:before="180"/>
        <w:rPr>
          <w:snapToGrid w:val="0"/>
        </w:rPr>
      </w:pPr>
      <w:bookmarkStart w:id="108" w:name="_Toc75528245"/>
      <w:r>
        <w:rPr>
          <w:rStyle w:val="CharSectno"/>
        </w:rPr>
        <w:lastRenderedPageBreak/>
        <w:t>46</w:t>
      </w:r>
      <w:r>
        <w:rPr>
          <w:snapToGrid w:val="0"/>
        </w:rPr>
        <w:t>.</w:t>
      </w:r>
      <w:r>
        <w:rPr>
          <w:snapToGrid w:val="0"/>
        </w:rPr>
        <w:tab/>
        <w:t>Preventing fire, master of oil vessel’s duties as to</w:t>
      </w:r>
      <w:bookmarkEnd w:id="108"/>
    </w:p>
    <w:p w:rsidR="009515FF" w:rsidRDefault="00B14AD4">
      <w:pPr>
        <w:pStyle w:val="Subsection"/>
        <w:rPr>
          <w:snapToGrid w:val="0"/>
        </w:rPr>
      </w:pPr>
      <w:r>
        <w:rPr>
          <w:snapToGrid w:val="0"/>
        </w:rPr>
        <w:tab/>
      </w:r>
      <w:r>
        <w:rPr>
          <w:snapToGrid w:val="0"/>
        </w:rPr>
        <w:tab/>
        <w:t>The master of an oil vessel shall take all due precautions for the prevention of accidents by fire in the discharge of inflammable liquids, and shall himself remain, or cause a responsible officer of the vessel to remain, on board the vessel, together with a sufficient crew, during the whole time of discharge, or while any inflammable liquid remains on board.</w:t>
      </w:r>
    </w:p>
    <w:p w:rsidR="009515FF" w:rsidRDefault="00B14AD4">
      <w:pPr>
        <w:pStyle w:val="Heading5"/>
        <w:spacing w:before="240"/>
        <w:rPr>
          <w:snapToGrid w:val="0"/>
        </w:rPr>
      </w:pPr>
      <w:bookmarkStart w:id="109" w:name="_Toc75528246"/>
      <w:r>
        <w:rPr>
          <w:rStyle w:val="CharSectno"/>
        </w:rPr>
        <w:t>47</w:t>
      </w:r>
      <w:r>
        <w:rPr>
          <w:snapToGrid w:val="0"/>
        </w:rPr>
        <w:t>.</w:t>
      </w:r>
      <w:r>
        <w:rPr>
          <w:snapToGrid w:val="0"/>
        </w:rPr>
        <w:tab/>
      </w:r>
      <w:r>
        <w:t>Harbour master</w:t>
      </w:r>
      <w:r>
        <w:rPr>
          <w:snapToGrid w:val="0"/>
        </w:rPr>
        <w:t xml:space="preserve"> may inspect oil vessel</w:t>
      </w:r>
      <w:bookmarkEnd w:id="109"/>
    </w:p>
    <w:p w:rsidR="009515FF" w:rsidRDefault="00B14AD4">
      <w:pPr>
        <w:pStyle w:val="Subsection"/>
        <w:rPr>
          <w:snapToGrid w:val="0"/>
        </w:rPr>
      </w:pPr>
      <w:r>
        <w:rPr>
          <w:snapToGrid w:val="0"/>
        </w:rPr>
        <w:tab/>
      </w:r>
      <w:r>
        <w:rPr>
          <w:snapToGrid w:val="0"/>
        </w:rPr>
        <w:tab/>
        <w:t>The master of the oil vessel shall, when required so to do by the</w:t>
      </w:r>
      <w:r>
        <w:t xml:space="preserve"> harbour master</w:t>
      </w:r>
      <w:r>
        <w:rPr>
          <w:snapToGrid w:val="0"/>
        </w:rPr>
        <w:t xml:space="preserve">, do any act necessary to permit the </w:t>
      </w:r>
      <w:r>
        <w:t>harbour master</w:t>
      </w:r>
      <w:r>
        <w:rPr>
          <w:snapToGrid w:val="0"/>
        </w:rPr>
        <w:t xml:space="preserve"> to inspect and examine the inflammable liquid on board the vessel and any appliances to be used on the vessel for the purpose of ascertaining whether the provisions of these regulations are being observed and whether all other measures necessary for general safety are being taken.</w:t>
      </w:r>
    </w:p>
    <w:p w:rsidR="009515FF" w:rsidRDefault="00B14AD4">
      <w:pPr>
        <w:pStyle w:val="Footnotesection"/>
      </w:pPr>
      <w:r>
        <w:tab/>
        <w:t>[Regulation 47 amended: Gazette 4 Jun 2010 p. 2464</w:t>
      </w:r>
      <w:r>
        <w:noBreakHyphen/>
        <w:t>6.]</w:t>
      </w:r>
    </w:p>
    <w:p w:rsidR="009515FF" w:rsidRDefault="00B14AD4">
      <w:pPr>
        <w:pStyle w:val="Heading5"/>
        <w:spacing w:before="240"/>
        <w:rPr>
          <w:snapToGrid w:val="0"/>
        </w:rPr>
      </w:pPr>
      <w:bookmarkStart w:id="110" w:name="_Toc75528247"/>
      <w:r>
        <w:rPr>
          <w:rStyle w:val="CharSectno"/>
        </w:rPr>
        <w:t>48</w:t>
      </w:r>
      <w:r>
        <w:rPr>
          <w:snapToGrid w:val="0"/>
        </w:rPr>
        <w:t>.</w:t>
      </w:r>
      <w:r>
        <w:rPr>
          <w:snapToGrid w:val="0"/>
        </w:rPr>
        <w:tab/>
        <w:t>Wharf to be barricaded while loading and unloading inflammable liquid</w:t>
      </w:r>
      <w:bookmarkEnd w:id="110"/>
    </w:p>
    <w:p w:rsidR="009515FF" w:rsidRDefault="00B14AD4">
      <w:pPr>
        <w:pStyle w:val="Subsection"/>
        <w:keepNext/>
        <w:rPr>
          <w:snapToGrid w:val="0"/>
        </w:rPr>
      </w:pPr>
      <w:r>
        <w:rPr>
          <w:snapToGrid w:val="0"/>
        </w:rPr>
        <w:tab/>
        <w:t>(1)</w:t>
      </w:r>
      <w:r>
        <w:rPr>
          <w:snapToGrid w:val="0"/>
        </w:rPr>
        <w:tab/>
        <w:t>The loading or unloading of inflammable liquid into or from an oil vessel berthed at a wharf or jetty shall not be commenced unless — </w:t>
      </w:r>
    </w:p>
    <w:p w:rsidR="009515FF" w:rsidRDefault="00B14AD4">
      <w:pPr>
        <w:pStyle w:val="Indenta"/>
        <w:rPr>
          <w:snapToGrid w:val="0"/>
        </w:rPr>
      </w:pPr>
      <w:r>
        <w:rPr>
          <w:snapToGrid w:val="0"/>
        </w:rPr>
        <w:tab/>
        <w:t>(a)</w:t>
      </w:r>
      <w:r>
        <w:rPr>
          <w:snapToGrid w:val="0"/>
        </w:rPr>
        <w:tab/>
        <w:t>a barricade capable of preventing any unauthorised person having access to the vessel and pipe line hose connections has been erected on the wharf or jetty; and</w:t>
      </w:r>
    </w:p>
    <w:p w:rsidR="009515FF" w:rsidRDefault="00B14AD4">
      <w:pPr>
        <w:pStyle w:val="Indenta"/>
        <w:rPr>
          <w:snapToGrid w:val="0"/>
        </w:rPr>
      </w:pPr>
      <w:r>
        <w:rPr>
          <w:snapToGrid w:val="0"/>
        </w:rPr>
        <w:tab/>
        <w:t>(b)</w:t>
      </w:r>
      <w:r>
        <w:rPr>
          <w:snapToGrid w:val="0"/>
        </w:rPr>
        <w:tab/>
        <w:t>satisfactory provision has been made for watchmen to be in attendance to prevent the entrance of any unauthorised person and to take possession of matches from all persons passing through the barricade towards the oil vessel and to assist generally in the enforcement of these regulations.</w:t>
      </w:r>
    </w:p>
    <w:p w:rsidR="009515FF" w:rsidRDefault="00B14AD4">
      <w:pPr>
        <w:pStyle w:val="Subsection"/>
        <w:keepLines/>
        <w:rPr>
          <w:snapToGrid w:val="0"/>
        </w:rPr>
      </w:pPr>
      <w:r>
        <w:rPr>
          <w:snapToGrid w:val="0"/>
        </w:rPr>
        <w:lastRenderedPageBreak/>
        <w:tab/>
        <w:t>(2)</w:t>
      </w:r>
      <w:r>
        <w:rPr>
          <w:snapToGrid w:val="0"/>
        </w:rPr>
        <w:tab/>
        <w:t>The erection and maintenance of the barricade and the employment or engagement of watchmen shall be carried out and arranged by or in accordance with the directions of and to the satisfaction of the</w:t>
      </w:r>
      <w:r>
        <w:t xml:space="preserve"> harbour master</w:t>
      </w:r>
      <w:r>
        <w:rPr>
          <w:snapToGrid w:val="0"/>
        </w:rPr>
        <w:t>.</w:t>
      </w:r>
    </w:p>
    <w:p w:rsidR="009515FF" w:rsidRDefault="00B14AD4">
      <w:pPr>
        <w:pStyle w:val="Subsection"/>
        <w:rPr>
          <w:snapToGrid w:val="0"/>
        </w:rPr>
      </w:pPr>
      <w:r>
        <w:rPr>
          <w:snapToGrid w:val="0"/>
        </w:rPr>
        <w:tab/>
        <w:t>(3)</w:t>
      </w:r>
      <w:r>
        <w:rPr>
          <w:snapToGrid w:val="0"/>
        </w:rPr>
        <w:tab/>
        <w:t>Any barricade erected on a wharf or jetty in pursuance of this regulation shall be so erected as to enclose an area of the wharf or jetty extending to a distance not less than 30 m past each end of the oil vessel and 30 m out from the vessel measured from the point on the side of the vessel closest to the wharf or jetty.</w:t>
      </w:r>
    </w:p>
    <w:p w:rsidR="009515FF" w:rsidRDefault="00B14AD4">
      <w:pPr>
        <w:pStyle w:val="Footnotesection"/>
      </w:pPr>
      <w:r>
        <w:tab/>
        <w:t>[Regulation 48 amended: Gazette 15 Jun 1973 p. 2234; 4 Jun 2010 p. 2464</w:t>
      </w:r>
      <w:r>
        <w:noBreakHyphen/>
        <w:t xml:space="preserve">5.] </w:t>
      </w:r>
    </w:p>
    <w:p w:rsidR="009515FF" w:rsidRDefault="00B14AD4">
      <w:pPr>
        <w:pStyle w:val="Heading2"/>
      </w:pPr>
      <w:bookmarkStart w:id="111" w:name="_Toc75423344"/>
      <w:bookmarkStart w:id="112" w:name="_Toc75426826"/>
      <w:bookmarkStart w:id="113" w:name="_Toc75528248"/>
      <w:r>
        <w:rPr>
          <w:rStyle w:val="CharPartNo"/>
        </w:rPr>
        <w:lastRenderedPageBreak/>
        <w:t>Part 8</w:t>
      </w:r>
      <w:r>
        <w:rPr>
          <w:rStyle w:val="CharDivNo"/>
        </w:rPr>
        <w:t> </w:t>
      </w:r>
      <w:r>
        <w:t>—</w:t>
      </w:r>
      <w:r>
        <w:rPr>
          <w:rStyle w:val="CharDivText"/>
        </w:rPr>
        <w:t> </w:t>
      </w:r>
      <w:r>
        <w:rPr>
          <w:rStyle w:val="CharPartText"/>
        </w:rPr>
        <w:t>Miscellaneous</w:t>
      </w:r>
      <w:bookmarkEnd w:id="111"/>
      <w:bookmarkEnd w:id="112"/>
      <w:bookmarkEnd w:id="113"/>
    </w:p>
    <w:p w:rsidR="009515FF" w:rsidRDefault="00B14AD4">
      <w:pPr>
        <w:pStyle w:val="Footnoteheading"/>
      </w:pPr>
      <w:r>
        <w:tab/>
        <w:t>[Heading inserted: Gazette 4 Jun 2010 p. 2442.]</w:t>
      </w:r>
    </w:p>
    <w:p w:rsidR="009515FF" w:rsidRDefault="00B14AD4">
      <w:pPr>
        <w:pStyle w:val="Heading5"/>
        <w:spacing w:before="180"/>
        <w:rPr>
          <w:snapToGrid w:val="0"/>
        </w:rPr>
      </w:pPr>
      <w:bookmarkStart w:id="114" w:name="_Toc75528249"/>
      <w:r>
        <w:rPr>
          <w:rStyle w:val="CharSectno"/>
        </w:rPr>
        <w:t>49</w:t>
      </w:r>
      <w:r>
        <w:rPr>
          <w:snapToGrid w:val="0"/>
        </w:rPr>
        <w:t>.</w:t>
      </w:r>
      <w:r>
        <w:rPr>
          <w:snapToGrid w:val="0"/>
        </w:rPr>
        <w:tab/>
        <w:t>Police officer’s powers to enforce these regulations</w:t>
      </w:r>
      <w:bookmarkEnd w:id="114"/>
    </w:p>
    <w:p w:rsidR="009515FF" w:rsidRDefault="00B14AD4">
      <w:pPr>
        <w:pStyle w:val="Subsection"/>
        <w:rPr>
          <w:snapToGrid w:val="0"/>
        </w:rPr>
      </w:pPr>
      <w:r>
        <w:rPr>
          <w:snapToGrid w:val="0"/>
        </w:rPr>
        <w:tab/>
        <w:t>(1)</w:t>
      </w:r>
      <w:r>
        <w:rPr>
          <w:snapToGrid w:val="0"/>
        </w:rPr>
        <w:tab/>
        <w:t>A member of the Police Force may, where he or she considers it necessary for the due enforcement of these regulations, board any vessel within a port and search and inspect the vessel and any machinery, equipment, cargo or article in or on board the vessel.</w:t>
      </w:r>
    </w:p>
    <w:p w:rsidR="009515FF" w:rsidRDefault="00B14AD4">
      <w:pPr>
        <w:pStyle w:val="Subsection"/>
        <w:rPr>
          <w:snapToGrid w:val="0"/>
        </w:rPr>
      </w:pPr>
      <w:r>
        <w:rPr>
          <w:snapToGrid w:val="0"/>
        </w:rPr>
        <w:tab/>
        <w:t>(2)</w:t>
      </w:r>
      <w:r>
        <w:rPr>
          <w:snapToGrid w:val="0"/>
        </w:rPr>
        <w:tab/>
        <w:t>A person shall not interfere with or in any way obstruct a member of the Police Force acting in pursuance of subregulation (1).</w:t>
      </w:r>
    </w:p>
    <w:p w:rsidR="009515FF" w:rsidRDefault="00B14AD4">
      <w:pPr>
        <w:pStyle w:val="Footnotesection"/>
      </w:pPr>
      <w:r>
        <w:tab/>
        <w:t>[Regulation 49 amended: Gazette 4 Jun 2010 p. 2466</w:t>
      </w:r>
      <w:r>
        <w:noBreakHyphen/>
        <w:t>7.]</w:t>
      </w:r>
    </w:p>
    <w:p w:rsidR="009515FF" w:rsidRDefault="00B14AD4">
      <w:pPr>
        <w:pStyle w:val="Heading5"/>
        <w:spacing w:before="180"/>
        <w:rPr>
          <w:snapToGrid w:val="0"/>
        </w:rPr>
      </w:pPr>
      <w:bookmarkStart w:id="115" w:name="_Toc75528250"/>
      <w:r>
        <w:rPr>
          <w:rStyle w:val="CharSectno"/>
        </w:rPr>
        <w:t>50</w:t>
      </w:r>
      <w:r>
        <w:rPr>
          <w:snapToGrid w:val="0"/>
        </w:rPr>
        <w:t>.</w:t>
      </w:r>
      <w:r>
        <w:rPr>
          <w:snapToGrid w:val="0"/>
        </w:rPr>
        <w:tab/>
        <w:t>Master responsible for compliance with regulations</w:t>
      </w:r>
      <w:bookmarkEnd w:id="115"/>
    </w:p>
    <w:p w:rsidR="009515FF" w:rsidRDefault="00B14AD4">
      <w:pPr>
        <w:pStyle w:val="Subsection"/>
        <w:rPr>
          <w:snapToGrid w:val="0"/>
        </w:rPr>
      </w:pPr>
      <w:r>
        <w:rPr>
          <w:snapToGrid w:val="0"/>
        </w:rPr>
        <w:tab/>
      </w:r>
      <w:r>
        <w:rPr>
          <w:snapToGrid w:val="0"/>
        </w:rPr>
        <w:tab/>
        <w:t>Where by these regulations an act is required to be done, or forbidden to be done in relation to any vessel, the master of a vessel has, unless the contrary intention appears, the duty of causing to be done the act so required to be done, or of preventing from being done the act so forbidden to be done, as the case may be.</w:t>
      </w:r>
    </w:p>
    <w:p w:rsidR="009515FF" w:rsidRDefault="00B14AD4">
      <w:pPr>
        <w:pStyle w:val="Heading5"/>
        <w:rPr>
          <w:snapToGrid w:val="0"/>
        </w:rPr>
      </w:pPr>
      <w:bookmarkStart w:id="116" w:name="_Toc75528251"/>
      <w:r>
        <w:rPr>
          <w:rStyle w:val="CharSectno"/>
        </w:rPr>
        <w:t>51</w:t>
      </w:r>
      <w:r>
        <w:rPr>
          <w:snapToGrid w:val="0"/>
        </w:rPr>
        <w:t>.</w:t>
      </w:r>
      <w:r>
        <w:rPr>
          <w:snapToGrid w:val="0"/>
        </w:rPr>
        <w:tab/>
        <w:t>General offence and penalty</w:t>
      </w:r>
      <w:bookmarkEnd w:id="116"/>
    </w:p>
    <w:p w:rsidR="009515FF" w:rsidRDefault="00B14AD4">
      <w:pPr>
        <w:pStyle w:val="Subsection"/>
        <w:rPr>
          <w:snapToGrid w:val="0"/>
        </w:rPr>
      </w:pPr>
      <w:r>
        <w:rPr>
          <w:snapToGrid w:val="0"/>
        </w:rPr>
        <w:tab/>
      </w:r>
      <w:r>
        <w:rPr>
          <w:snapToGrid w:val="0"/>
        </w:rPr>
        <w:tab/>
        <w:t xml:space="preserve">Every person who by act or omission contravenes any provision of these regulations </w:t>
      </w:r>
      <w:r>
        <w:t>commits an offence and, unless a penalty is expressly provided in relation to that offence, is liable to a fine of $2 000.</w:t>
      </w:r>
    </w:p>
    <w:p w:rsidR="009515FF" w:rsidRDefault="00B14AD4">
      <w:pPr>
        <w:pStyle w:val="Footnotesection"/>
        <w:spacing w:before="80"/>
        <w:ind w:left="890" w:hanging="890"/>
      </w:pPr>
      <w:r>
        <w:tab/>
        <w:t xml:space="preserve">[Regulation 51 inserted: Gazette 3 Sep 1976 p. 3298; amended: Gazette 4 Jun 2010 p. 2442.] </w:t>
      </w:r>
    </w:p>
    <w:p w:rsidR="009515FF" w:rsidRDefault="00B14AD4">
      <w:pPr>
        <w:pStyle w:val="Heading2"/>
      </w:pPr>
      <w:bookmarkStart w:id="117" w:name="_Toc75423348"/>
      <w:bookmarkStart w:id="118" w:name="_Toc75426830"/>
      <w:bookmarkStart w:id="119" w:name="_Toc75528252"/>
      <w:r>
        <w:rPr>
          <w:rStyle w:val="CharPartNo"/>
        </w:rPr>
        <w:lastRenderedPageBreak/>
        <w:t>Part 9</w:t>
      </w:r>
      <w:r>
        <w:rPr>
          <w:rStyle w:val="CharDivNo"/>
        </w:rPr>
        <w:t> </w:t>
      </w:r>
      <w:r>
        <w:t>—</w:t>
      </w:r>
      <w:r>
        <w:rPr>
          <w:rStyle w:val="CharDivText"/>
        </w:rPr>
        <w:t> </w:t>
      </w:r>
      <w:r>
        <w:rPr>
          <w:rStyle w:val="CharPartText"/>
        </w:rPr>
        <w:t>Transitional provisions</w:t>
      </w:r>
      <w:bookmarkEnd w:id="117"/>
      <w:bookmarkEnd w:id="118"/>
      <w:bookmarkEnd w:id="119"/>
    </w:p>
    <w:p w:rsidR="009515FF" w:rsidRDefault="00B14AD4">
      <w:pPr>
        <w:pStyle w:val="Footnoteheading"/>
      </w:pPr>
      <w:r>
        <w:tab/>
        <w:t>[Heading inserted: Gazette 4 Jun 2010 p. 2442.]</w:t>
      </w:r>
    </w:p>
    <w:p w:rsidR="009515FF" w:rsidRDefault="00B14AD4">
      <w:pPr>
        <w:pStyle w:val="Heading5"/>
      </w:pPr>
      <w:bookmarkStart w:id="120" w:name="_Toc75528253"/>
      <w:r>
        <w:rPr>
          <w:rStyle w:val="CharSectno"/>
        </w:rPr>
        <w:t>52</w:t>
      </w:r>
      <w:r>
        <w:t>.</w:t>
      </w:r>
      <w:r>
        <w:tab/>
      </w:r>
      <w:r>
        <w:rPr>
          <w:i/>
          <w:iCs/>
        </w:rPr>
        <w:t>Shipping and Pilotage Amendment Act 2006</w:t>
      </w:r>
      <w:r>
        <w:rPr>
          <w:iCs/>
        </w:rPr>
        <w:t>,</w:t>
      </w:r>
      <w:r>
        <w:rPr>
          <w:i/>
          <w:iCs/>
        </w:rPr>
        <w:t xml:space="preserve"> </w:t>
      </w:r>
      <w:r>
        <w:rPr>
          <w:iCs/>
        </w:rPr>
        <w:t>provisions for</w:t>
      </w:r>
      <w:bookmarkEnd w:id="120"/>
    </w:p>
    <w:p w:rsidR="009515FF" w:rsidRDefault="00B14AD4">
      <w:pPr>
        <w:pStyle w:val="Subsection"/>
      </w:pPr>
      <w:r>
        <w:tab/>
        <w:t>(1)</w:t>
      </w:r>
      <w:r>
        <w:tab/>
        <w:t xml:space="preserve">In this regulation — </w:t>
      </w:r>
    </w:p>
    <w:p w:rsidR="009515FF" w:rsidRDefault="00B14AD4">
      <w:pPr>
        <w:pStyle w:val="Defstart"/>
      </w:pPr>
      <w:r>
        <w:rPr>
          <w:b/>
        </w:rPr>
        <w:tab/>
      </w:r>
      <w:r>
        <w:rPr>
          <w:rStyle w:val="CharDefText"/>
        </w:rPr>
        <w:t>amending Act</w:t>
      </w:r>
      <w:r>
        <w:t xml:space="preserve"> means the </w:t>
      </w:r>
      <w:r>
        <w:rPr>
          <w:i/>
          <w:iCs/>
        </w:rPr>
        <w:t>Shipping and Pilotage Amendment Act 2006</w:t>
      </w:r>
      <w:r>
        <w:t>;</w:t>
      </w:r>
    </w:p>
    <w:p w:rsidR="009515FF" w:rsidRDefault="00B14AD4">
      <w:pPr>
        <w:pStyle w:val="Defstart"/>
      </w:pPr>
      <w:r>
        <w:rPr>
          <w:b/>
        </w:rPr>
        <w:tab/>
      </w:r>
      <w:r>
        <w:rPr>
          <w:rStyle w:val="CharDefText"/>
        </w:rPr>
        <w:t>commencement day</w:t>
      </w:r>
      <w:r>
        <w:t xml:space="preserve"> means the day on which the amending Act section 10 comes into operation</w:t>
      </w:r>
      <w:r>
        <w:rPr>
          <w:vertAlign w:val="superscript"/>
        </w:rPr>
        <w:t> 2</w:t>
      </w:r>
      <w:r>
        <w:t>;</w:t>
      </w:r>
    </w:p>
    <w:p w:rsidR="009515FF" w:rsidRDefault="00B14AD4">
      <w:pPr>
        <w:pStyle w:val="Defstart"/>
      </w:pPr>
      <w:r>
        <w:rPr>
          <w:b/>
        </w:rPr>
        <w:tab/>
      </w:r>
      <w:r>
        <w:rPr>
          <w:rStyle w:val="CharDefText"/>
        </w:rPr>
        <w:t>existing port</w:t>
      </w:r>
      <w:r>
        <w:t xml:space="preserve"> has the meaning given in section 10(3) of the Act.</w:t>
      </w:r>
    </w:p>
    <w:p w:rsidR="009515FF" w:rsidRDefault="00B14AD4">
      <w:pPr>
        <w:pStyle w:val="Subsection"/>
      </w:pPr>
      <w:r>
        <w:tab/>
        <w:t>(2)</w:t>
      </w:r>
      <w:r>
        <w:tab/>
        <w:t xml:space="preserve">If the appointment of a person to be the harbour master of a port was in effect immediately before the commencement day — </w:t>
      </w:r>
    </w:p>
    <w:p w:rsidR="009515FF" w:rsidRDefault="00B14AD4">
      <w:pPr>
        <w:pStyle w:val="Indenta"/>
      </w:pPr>
      <w:r>
        <w:tab/>
        <w:t>(a)</w:t>
      </w:r>
      <w:r>
        <w:tab/>
        <w:t xml:space="preserve">the appointment continues to have effect for a period of 2 years beginning on the commencement day, unless before then — </w:t>
      </w:r>
    </w:p>
    <w:p w:rsidR="009515FF" w:rsidRDefault="00B14AD4">
      <w:pPr>
        <w:pStyle w:val="Indenti"/>
      </w:pPr>
      <w:r>
        <w:tab/>
        <w:t>(i)</w:t>
      </w:r>
      <w:r>
        <w:tab/>
        <w:t>the appointee resigns by written notice given to the Minister; or</w:t>
      </w:r>
    </w:p>
    <w:p w:rsidR="009515FF" w:rsidRDefault="00B14AD4">
      <w:pPr>
        <w:pStyle w:val="Indenti"/>
      </w:pPr>
      <w:r>
        <w:tab/>
        <w:t>(ii)</w:t>
      </w:r>
      <w:r>
        <w:tab/>
        <w:t>the appointment is revoked by the Minister;</w:t>
      </w:r>
    </w:p>
    <w:p w:rsidR="009515FF" w:rsidRDefault="00B14AD4">
      <w:pPr>
        <w:pStyle w:val="Indenta"/>
      </w:pPr>
      <w:r>
        <w:tab/>
      </w:r>
      <w:r>
        <w:tab/>
        <w:t>and</w:t>
      </w:r>
    </w:p>
    <w:p w:rsidR="009515FF" w:rsidRDefault="00B14AD4">
      <w:pPr>
        <w:pStyle w:val="Indenta"/>
      </w:pPr>
      <w:r>
        <w:tab/>
        <w:t>(b)</w:t>
      </w:r>
      <w:r>
        <w:tab/>
        <w:t>during the period when the appointment continues to have effect under this subregulation, the appointee is to be taken to be a harbour master of the port appointed under section 4 of the Act.</w:t>
      </w:r>
    </w:p>
    <w:p w:rsidR="009515FF" w:rsidRDefault="00B14AD4">
      <w:pPr>
        <w:pStyle w:val="Subsection"/>
      </w:pPr>
      <w:r>
        <w:tab/>
        <w:t>(3)</w:t>
      </w:r>
      <w:r>
        <w:tab/>
        <w:t xml:space="preserve">If the appointment of a person to be a pilot at a port was in effect immediately before the commencement day — </w:t>
      </w:r>
    </w:p>
    <w:p w:rsidR="009515FF" w:rsidRDefault="00B14AD4">
      <w:pPr>
        <w:pStyle w:val="Indenta"/>
      </w:pPr>
      <w:r>
        <w:tab/>
        <w:t>(a)</w:t>
      </w:r>
      <w:r>
        <w:tab/>
        <w:t xml:space="preserve">the appointment continues to have effect for a period of 2 years beginning on the commencement day, unless before then — </w:t>
      </w:r>
    </w:p>
    <w:p w:rsidR="009515FF" w:rsidRDefault="00B14AD4">
      <w:pPr>
        <w:pStyle w:val="Indenti"/>
      </w:pPr>
      <w:r>
        <w:tab/>
        <w:t>(i)</w:t>
      </w:r>
      <w:r>
        <w:tab/>
        <w:t>the appointee resigns by written notice given to the Minister; or</w:t>
      </w:r>
    </w:p>
    <w:p w:rsidR="009515FF" w:rsidRDefault="00B14AD4">
      <w:pPr>
        <w:pStyle w:val="Indenti"/>
        <w:keepNext/>
      </w:pPr>
      <w:r>
        <w:tab/>
        <w:t>(ii)</w:t>
      </w:r>
      <w:r>
        <w:tab/>
        <w:t>the appointment is revoked by the Minister;</w:t>
      </w:r>
    </w:p>
    <w:p w:rsidR="009515FF" w:rsidRDefault="00B14AD4">
      <w:pPr>
        <w:pStyle w:val="Indenta"/>
      </w:pPr>
      <w:r>
        <w:tab/>
      </w:r>
      <w:r>
        <w:tab/>
        <w:t>and</w:t>
      </w:r>
    </w:p>
    <w:p w:rsidR="009515FF" w:rsidRDefault="00B14AD4">
      <w:pPr>
        <w:pStyle w:val="Indenta"/>
      </w:pPr>
      <w:r>
        <w:lastRenderedPageBreak/>
        <w:tab/>
        <w:t>(b)</w:t>
      </w:r>
      <w:r>
        <w:tab/>
        <w:t>during the period when the appointment continues to have effect under this subregulation, the appointee is to be taken to hold a pilot’s licence for the port.</w:t>
      </w:r>
    </w:p>
    <w:p w:rsidR="009515FF" w:rsidRDefault="00B14AD4">
      <w:pPr>
        <w:pStyle w:val="Subsection"/>
      </w:pPr>
      <w:r>
        <w:tab/>
        <w:t>(4)</w:t>
      </w:r>
      <w:r>
        <w:tab/>
        <w:t xml:space="preserve">If, immediately before the commencement day, a certificate was valid for use in respect of an existing port — </w:t>
      </w:r>
    </w:p>
    <w:p w:rsidR="009515FF" w:rsidRDefault="00B14AD4">
      <w:pPr>
        <w:pStyle w:val="Indenta"/>
      </w:pPr>
      <w:r>
        <w:tab/>
        <w:t>(a)</w:t>
      </w:r>
      <w:r>
        <w:tab/>
        <w:t>the certificate is, subject to these regulations, valid for use in respect of a port of the same name; and</w:t>
      </w:r>
    </w:p>
    <w:p w:rsidR="009515FF" w:rsidRDefault="00B14AD4">
      <w:pPr>
        <w:pStyle w:val="Indenta"/>
      </w:pPr>
      <w:r>
        <w:tab/>
        <w:t>(b)</w:t>
      </w:r>
      <w:r>
        <w:tab/>
        <w:t>the port of that name, instead of the existing port, is to be taken to be specified in the certificate.</w:t>
      </w:r>
    </w:p>
    <w:p w:rsidR="009515FF" w:rsidRDefault="00B14AD4">
      <w:pPr>
        <w:pStyle w:val="Footnotesection"/>
      </w:pPr>
      <w:r>
        <w:tab/>
        <w:t>[Regulation 52 inserted: Gazette 4 Jun 2010 p. 2442</w:t>
      </w:r>
      <w:r>
        <w:noBreakHyphen/>
        <w:t>4.]</w:t>
      </w:r>
    </w:p>
    <w:p w:rsidR="009515FF" w:rsidRDefault="009515FF">
      <w:pPr>
        <w:sectPr w:rsidR="009515FF">
          <w:headerReference w:type="even" r:id="rId21"/>
          <w:headerReference w:type="default" r:id="rId22"/>
          <w:headerReference w:type="first" r:id="rId23"/>
          <w:pgSz w:w="11907" w:h="16840" w:code="9"/>
          <w:pgMar w:top="2376" w:right="2405" w:bottom="3542" w:left="2405" w:header="706" w:footer="3380" w:gutter="0"/>
          <w:pgNumType w:start="1"/>
          <w:cols w:space="720"/>
          <w:noEndnote/>
          <w:titlePg/>
          <w:docGrid w:linePitch="326"/>
        </w:sectPr>
      </w:pPr>
    </w:p>
    <w:p w:rsidR="009515FF" w:rsidRDefault="00B14AD4">
      <w:pPr>
        <w:pStyle w:val="yScheduleHeading"/>
      </w:pPr>
      <w:bookmarkStart w:id="121" w:name="_Toc75423350"/>
      <w:bookmarkStart w:id="122" w:name="_Toc75426832"/>
      <w:bookmarkStart w:id="123" w:name="_Toc75528254"/>
      <w:r>
        <w:rPr>
          <w:rStyle w:val="CharSchNo"/>
        </w:rPr>
        <w:lastRenderedPageBreak/>
        <w:t>Schedule 1A</w:t>
      </w:r>
      <w:r>
        <w:t> — </w:t>
      </w:r>
      <w:r>
        <w:rPr>
          <w:rStyle w:val="CharSchText"/>
        </w:rPr>
        <w:t>Declared ports</w:t>
      </w:r>
      <w:bookmarkEnd w:id="121"/>
      <w:bookmarkEnd w:id="122"/>
      <w:bookmarkEnd w:id="123"/>
    </w:p>
    <w:p w:rsidR="009515FF" w:rsidRDefault="00B14AD4">
      <w:pPr>
        <w:pStyle w:val="yShoulderClause"/>
      </w:pPr>
      <w:r>
        <w:t>[r. 5A]</w:t>
      </w:r>
    </w:p>
    <w:p w:rsidR="009515FF" w:rsidRDefault="00B14AD4">
      <w:pPr>
        <w:pStyle w:val="yFootnoteheading"/>
      </w:pPr>
      <w:r>
        <w:tab/>
        <w:t>[Heading inserted: Gazette 4 Jun 2010 p. 2444.]</w:t>
      </w:r>
    </w:p>
    <w:p w:rsidR="009515FF" w:rsidRDefault="00B14AD4">
      <w:pPr>
        <w:pStyle w:val="yHeading3"/>
      </w:pPr>
      <w:bookmarkStart w:id="124" w:name="_Toc75423351"/>
      <w:bookmarkStart w:id="125" w:name="_Toc75426833"/>
      <w:bookmarkStart w:id="126" w:name="_Toc75528255"/>
      <w:r>
        <w:rPr>
          <w:rStyle w:val="CharSDivNo"/>
        </w:rPr>
        <w:t>Division 1</w:t>
      </w:r>
      <w:r>
        <w:t> — </w:t>
      </w:r>
      <w:r>
        <w:rPr>
          <w:rStyle w:val="CharSDivText"/>
        </w:rPr>
        <w:t>Name and limits of port</w:t>
      </w:r>
      <w:bookmarkEnd w:id="124"/>
      <w:bookmarkEnd w:id="125"/>
      <w:bookmarkEnd w:id="126"/>
    </w:p>
    <w:p w:rsidR="009515FF" w:rsidRDefault="00B14AD4">
      <w:pPr>
        <w:pStyle w:val="yFootnoteheading"/>
        <w:spacing w:after="120"/>
      </w:pPr>
      <w:r>
        <w:tab/>
        <w:t>[Heading inserted: Gazette 4 Jun 2010 p. 2444.]</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2552"/>
        <w:gridCol w:w="4408"/>
      </w:tblGrid>
      <w:tr w:rsidR="009515FF">
        <w:trPr>
          <w:cantSplit/>
          <w:tblHeader/>
        </w:trPr>
        <w:tc>
          <w:tcPr>
            <w:tcW w:w="2552" w:type="dxa"/>
          </w:tcPr>
          <w:p w:rsidR="009515FF" w:rsidRDefault="00B14AD4">
            <w:pPr>
              <w:pStyle w:val="yTableNAm"/>
              <w:jc w:val="center"/>
              <w:rPr>
                <w:b/>
                <w:bCs/>
              </w:rPr>
            </w:pPr>
            <w:r>
              <w:rPr>
                <w:b/>
                <w:bCs/>
              </w:rPr>
              <w:t>Name of port</w:t>
            </w:r>
          </w:p>
        </w:tc>
        <w:tc>
          <w:tcPr>
            <w:tcW w:w="4408" w:type="dxa"/>
          </w:tcPr>
          <w:p w:rsidR="009515FF" w:rsidRDefault="00B14AD4">
            <w:pPr>
              <w:pStyle w:val="yTableNAm"/>
              <w:jc w:val="center"/>
              <w:rPr>
                <w:b/>
                <w:bCs/>
              </w:rPr>
            </w:pPr>
            <w:r>
              <w:rPr>
                <w:b/>
                <w:bCs/>
              </w:rPr>
              <w:t>Limits of port</w:t>
            </w:r>
          </w:p>
        </w:tc>
      </w:tr>
      <w:tr w:rsidR="009515FF">
        <w:trPr>
          <w:cantSplit/>
        </w:trPr>
        <w:tc>
          <w:tcPr>
            <w:tcW w:w="2552" w:type="dxa"/>
          </w:tcPr>
          <w:p w:rsidR="009515FF" w:rsidRDefault="00B14AD4">
            <w:pPr>
              <w:pStyle w:val="yTableNAm"/>
            </w:pPr>
            <w:r>
              <w:t>Port of Barrow Island</w:t>
            </w:r>
          </w:p>
        </w:tc>
        <w:tc>
          <w:tcPr>
            <w:tcW w:w="4408" w:type="dxa"/>
          </w:tcPr>
          <w:p w:rsidR="009515FF" w:rsidRDefault="00B14AD4">
            <w:pPr>
              <w:pStyle w:val="yTableNAm"/>
            </w:pPr>
            <w:r>
              <w:t>The area of water and land described on Plan 1396 01 06B held by the Department, a copy of which is included for information purposes in Division 2.</w:t>
            </w:r>
          </w:p>
        </w:tc>
      </w:tr>
      <w:tr w:rsidR="009515FF">
        <w:trPr>
          <w:cantSplit/>
        </w:trPr>
        <w:tc>
          <w:tcPr>
            <w:tcW w:w="2552" w:type="dxa"/>
          </w:tcPr>
          <w:p w:rsidR="009515FF" w:rsidRDefault="00B14AD4">
            <w:pPr>
              <w:pStyle w:val="yTableNAm"/>
            </w:pPr>
            <w:r>
              <w:t>Port of Cape Preston</w:t>
            </w:r>
          </w:p>
        </w:tc>
        <w:tc>
          <w:tcPr>
            <w:tcW w:w="4408" w:type="dxa"/>
          </w:tcPr>
          <w:p w:rsidR="009515FF" w:rsidRDefault="00B14AD4">
            <w:pPr>
              <w:pStyle w:val="yTableNAm"/>
            </w:pPr>
            <w:r>
              <w:t>The area of water and land described on Plan 1396 01 12C held by the Department, a copy of which is included for information purposes in Division 2.</w:t>
            </w:r>
          </w:p>
        </w:tc>
      </w:tr>
      <w:tr w:rsidR="009515FF">
        <w:trPr>
          <w:cantSplit/>
        </w:trPr>
        <w:tc>
          <w:tcPr>
            <w:tcW w:w="2552" w:type="dxa"/>
          </w:tcPr>
          <w:p w:rsidR="009515FF" w:rsidRDefault="00B14AD4">
            <w:pPr>
              <w:pStyle w:val="yTableNAm"/>
            </w:pPr>
            <w:r>
              <w:t>Port of Carnarvon</w:t>
            </w:r>
          </w:p>
        </w:tc>
        <w:tc>
          <w:tcPr>
            <w:tcW w:w="4408" w:type="dxa"/>
          </w:tcPr>
          <w:p w:rsidR="009515FF" w:rsidRDefault="00B14AD4">
            <w:pPr>
              <w:pStyle w:val="yTableNAm"/>
            </w:pPr>
            <w:r>
              <w:t>The area of water and land described on Plan 1396 01 08B held by the Department, a copy of which is included for information purposes in Division 2.</w:t>
            </w:r>
          </w:p>
        </w:tc>
      </w:tr>
      <w:tr w:rsidR="009515FF">
        <w:trPr>
          <w:cantSplit/>
        </w:trPr>
        <w:tc>
          <w:tcPr>
            <w:tcW w:w="2552" w:type="dxa"/>
          </w:tcPr>
          <w:p w:rsidR="009515FF" w:rsidRDefault="00B14AD4">
            <w:pPr>
              <w:pStyle w:val="yTableNAm"/>
            </w:pPr>
            <w:r>
              <w:t>Port of Emu Point</w:t>
            </w:r>
          </w:p>
        </w:tc>
        <w:tc>
          <w:tcPr>
            <w:tcW w:w="4408" w:type="dxa"/>
          </w:tcPr>
          <w:p w:rsidR="009515FF" w:rsidRDefault="00B14AD4">
            <w:pPr>
              <w:pStyle w:val="yTableNAm"/>
            </w:pPr>
            <w:r>
              <w:t>The area of water and land described on Plan 1396 01 11A held by the Department, a copy of which is included for information purposes in Division 2.</w:t>
            </w:r>
          </w:p>
        </w:tc>
      </w:tr>
      <w:tr w:rsidR="009515FF">
        <w:trPr>
          <w:cantSplit/>
        </w:trPr>
        <w:tc>
          <w:tcPr>
            <w:tcW w:w="2552" w:type="dxa"/>
          </w:tcPr>
          <w:p w:rsidR="009515FF" w:rsidRDefault="00B14AD4">
            <w:pPr>
              <w:pStyle w:val="yTableNAm"/>
            </w:pPr>
            <w:r>
              <w:t>Port of Jurien</w:t>
            </w:r>
          </w:p>
        </w:tc>
        <w:tc>
          <w:tcPr>
            <w:tcW w:w="4408" w:type="dxa"/>
          </w:tcPr>
          <w:p w:rsidR="009515FF" w:rsidRDefault="00B14AD4">
            <w:pPr>
              <w:pStyle w:val="yTableNAm"/>
            </w:pPr>
            <w:r>
              <w:t>The area of water and land described on Plan 1396 01 09A held by the Department, a copy of which is included for information purposes in Division 2.</w:t>
            </w:r>
          </w:p>
        </w:tc>
      </w:tr>
      <w:tr w:rsidR="009515FF">
        <w:trPr>
          <w:cantSplit/>
        </w:trPr>
        <w:tc>
          <w:tcPr>
            <w:tcW w:w="2552" w:type="dxa"/>
          </w:tcPr>
          <w:p w:rsidR="009515FF" w:rsidRDefault="00B14AD4">
            <w:pPr>
              <w:pStyle w:val="yTableNAm"/>
            </w:pPr>
            <w:r>
              <w:rPr>
                <w:szCs w:val="22"/>
              </w:rPr>
              <w:t>Port of Onslow</w:t>
            </w:r>
          </w:p>
        </w:tc>
        <w:tc>
          <w:tcPr>
            <w:tcW w:w="4408" w:type="dxa"/>
          </w:tcPr>
          <w:p w:rsidR="009515FF" w:rsidRDefault="00B14AD4">
            <w:pPr>
              <w:pStyle w:val="yTableNAm"/>
            </w:pPr>
            <w:r>
              <w:rPr>
                <w:szCs w:val="22"/>
              </w:rPr>
              <w:t>The area of water and land described on Plan 1396 </w:t>
            </w:r>
            <w:r>
              <w:rPr>
                <w:szCs w:val="22"/>
              </w:rPr>
              <w:noBreakHyphen/>
              <w:t> 01 </w:t>
            </w:r>
            <w:r>
              <w:rPr>
                <w:szCs w:val="22"/>
              </w:rPr>
              <w:noBreakHyphen/>
              <w:t> 07 </w:t>
            </w:r>
            <w:r>
              <w:rPr>
                <w:szCs w:val="22"/>
              </w:rPr>
              <w:noBreakHyphen/>
              <w:t> E held by the Department, a copy of which is included for information purposes in Division 2.</w:t>
            </w:r>
          </w:p>
        </w:tc>
      </w:tr>
      <w:tr w:rsidR="009515FF">
        <w:trPr>
          <w:cantSplit/>
        </w:trPr>
        <w:tc>
          <w:tcPr>
            <w:tcW w:w="2552" w:type="dxa"/>
          </w:tcPr>
          <w:p w:rsidR="009515FF" w:rsidRDefault="00B14AD4">
            <w:pPr>
              <w:pStyle w:val="yTableNAm"/>
            </w:pPr>
            <w:r>
              <w:lastRenderedPageBreak/>
              <w:t>Port of Perth</w:t>
            </w:r>
          </w:p>
        </w:tc>
        <w:tc>
          <w:tcPr>
            <w:tcW w:w="4408" w:type="dxa"/>
          </w:tcPr>
          <w:p w:rsidR="009515FF" w:rsidRDefault="00B14AD4">
            <w:pPr>
              <w:pStyle w:val="yTableNAm"/>
            </w:pPr>
            <w:r>
              <w:t>The area of water and land described on Plan 1396 01 10B held by the Department, a copy of which is included for information purposes in Division 2.</w:t>
            </w:r>
          </w:p>
        </w:tc>
      </w:tr>
      <w:tr w:rsidR="009515FF">
        <w:trPr>
          <w:cantSplit/>
        </w:trPr>
        <w:tc>
          <w:tcPr>
            <w:tcW w:w="2552" w:type="dxa"/>
          </w:tcPr>
          <w:p w:rsidR="009515FF" w:rsidRDefault="00B14AD4">
            <w:pPr>
              <w:pStyle w:val="yTableNAm"/>
            </w:pPr>
            <w:r>
              <w:t>Port Walcott</w:t>
            </w:r>
          </w:p>
        </w:tc>
        <w:tc>
          <w:tcPr>
            <w:tcW w:w="4408" w:type="dxa"/>
          </w:tcPr>
          <w:p w:rsidR="009515FF" w:rsidRDefault="00B14AD4">
            <w:pPr>
              <w:pStyle w:val="yTableNAm"/>
            </w:pPr>
            <w:r>
              <w:t>The area of water and land described on Plan 1396 01 04B held by the Department, a copy of which is included for information purposes in Division 2.</w:t>
            </w:r>
          </w:p>
        </w:tc>
      </w:tr>
    </w:tbl>
    <w:p w:rsidR="009515FF" w:rsidRDefault="00B14AD4">
      <w:pPr>
        <w:pStyle w:val="yFootnotesection"/>
      </w:pPr>
      <w:r>
        <w:tab/>
        <w:t>[Division 1 inserted: Gazette 4 Jun 2010 p. 2444</w:t>
      </w:r>
      <w:r>
        <w:noBreakHyphen/>
        <w:t>6; amended: Gazette 30 Nov 2011 p. 4983; 5 Sep 2014 p. 3216; 4 Jul 2017 p. 3665</w:t>
      </w:r>
      <w:r w:rsidR="00CD1B0E">
        <w:t>;</w:t>
      </w:r>
      <w:r w:rsidR="00CD1B0E" w:rsidRPr="00CD1B0E">
        <w:t xml:space="preserve"> </w:t>
      </w:r>
      <w:r w:rsidR="00CD1B0E">
        <w:t>SL 2021/51 r. 13</w:t>
      </w:r>
      <w:r w:rsidR="00F41AF0">
        <w:t>(1)</w:t>
      </w:r>
      <w:r>
        <w:t>.]</w:t>
      </w:r>
    </w:p>
    <w:p w:rsidR="009515FF" w:rsidRDefault="00B14AD4">
      <w:pPr>
        <w:pStyle w:val="yHeading3"/>
        <w:keepLines/>
      </w:pPr>
      <w:bookmarkStart w:id="127" w:name="_Toc75423352"/>
      <w:bookmarkStart w:id="128" w:name="_Toc75426834"/>
      <w:bookmarkStart w:id="129" w:name="_Toc75528256"/>
      <w:r>
        <w:rPr>
          <w:rStyle w:val="CharSDivNo"/>
        </w:rPr>
        <w:lastRenderedPageBreak/>
        <w:t>Division 2</w:t>
      </w:r>
      <w:r>
        <w:rPr>
          <w:b w:val="0"/>
        </w:rPr>
        <w:t> — </w:t>
      </w:r>
      <w:r>
        <w:rPr>
          <w:rStyle w:val="CharSDivText"/>
        </w:rPr>
        <w:t>Copies of plans</w:t>
      </w:r>
      <w:bookmarkEnd w:id="127"/>
      <w:bookmarkEnd w:id="128"/>
      <w:bookmarkEnd w:id="129"/>
    </w:p>
    <w:p w:rsidR="009515FF" w:rsidRDefault="00B14AD4">
      <w:pPr>
        <w:pStyle w:val="yFootnoteheading"/>
        <w:keepNext/>
        <w:keepLines/>
        <w:spacing w:after="120"/>
      </w:pPr>
      <w:r>
        <w:tab/>
        <w:t>[Heading inserted: Gazette 4 Jun 2010 p. 2447.]</w:t>
      </w:r>
    </w:p>
    <w:p w:rsidR="009515FF" w:rsidRDefault="00B14AD4">
      <w:pPr>
        <w:pStyle w:val="Graphics"/>
      </w:pPr>
      <w:r>
        <w:drawing>
          <wp:inline distT="0" distB="0" distL="0" distR="0">
            <wp:extent cx="4371975" cy="6000750"/>
            <wp:effectExtent l="0" t="0" r="9525" b="0"/>
            <wp:docPr id="2" name="Picture 2" descr="X13960106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13960106B"/>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371975" cy="6000750"/>
                    </a:xfrm>
                    <a:prstGeom prst="rect">
                      <a:avLst/>
                    </a:prstGeom>
                    <a:noFill/>
                    <a:ln>
                      <a:noFill/>
                    </a:ln>
                  </pic:spPr>
                </pic:pic>
              </a:graphicData>
            </a:graphic>
          </wp:inline>
        </w:drawing>
      </w:r>
    </w:p>
    <w:p w:rsidR="009515FF" w:rsidRDefault="00B14AD4">
      <w:pPr>
        <w:pStyle w:val="Graphics"/>
      </w:pPr>
      <w:r>
        <w:lastRenderedPageBreak/>
        <w:drawing>
          <wp:inline distT="0" distB="0" distL="0" distR="0">
            <wp:extent cx="4495800" cy="6372225"/>
            <wp:effectExtent l="0" t="0" r="0" b="9525"/>
            <wp:docPr id="3" name="Picture 3" descr="X1396011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X13960112C"/>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495800" cy="6372225"/>
                    </a:xfrm>
                    <a:prstGeom prst="rect">
                      <a:avLst/>
                    </a:prstGeom>
                    <a:noFill/>
                    <a:ln>
                      <a:noFill/>
                    </a:ln>
                  </pic:spPr>
                </pic:pic>
              </a:graphicData>
            </a:graphic>
          </wp:inline>
        </w:drawing>
      </w:r>
    </w:p>
    <w:p w:rsidR="009515FF" w:rsidRDefault="00B14AD4">
      <w:pPr>
        <w:pStyle w:val="Graphics"/>
      </w:pPr>
      <w:r>
        <w:lastRenderedPageBreak/>
        <w:drawing>
          <wp:inline distT="0" distB="0" distL="0" distR="0">
            <wp:extent cx="4505325" cy="6400800"/>
            <wp:effectExtent l="0" t="0" r="9525" b="0"/>
            <wp:docPr id="4" name="Picture 4" descr="X13960108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X13960108B"/>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505325" cy="6400800"/>
                    </a:xfrm>
                    <a:prstGeom prst="rect">
                      <a:avLst/>
                    </a:prstGeom>
                    <a:noFill/>
                    <a:ln>
                      <a:noFill/>
                    </a:ln>
                  </pic:spPr>
                </pic:pic>
              </a:graphicData>
            </a:graphic>
          </wp:inline>
        </w:drawing>
      </w:r>
    </w:p>
    <w:p w:rsidR="009515FF" w:rsidRDefault="009515FF">
      <w:pPr>
        <w:pStyle w:val="Graphics"/>
      </w:pPr>
    </w:p>
    <w:p w:rsidR="009515FF" w:rsidRDefault="00B14AD4">
      <w:pPr>
        <w:pStyle w:val="Graphics"/>
      </w:pPr>
      <w:r>
        <w:lastRenderedPageBreak/>
        <w:drawing>
          <wp:inline distT="0" distB="0" distL="0" distR="0">
            <wp:extent cx="4505325" cy="6200775"/>
            <wp:effectExtent l="0" t="0" r="9525" b="9525"/>
            <wp:docPr id="6" name="Picture 6" descr="X1396011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X13960111A"/>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505325" cy="6200775"/>
                    </a:xfrm>
                    <a:prstGeom prst="rect">
                      <a:avLst/>
                    </a:prstGeom>
                    <a:noFill/>
                    <a:ln>
                      <a:noFill/>
                    </a:ln>
                  </pic:spPr>
                </pic:pic>
              </a:graphicData>
            </a:graphic>
          </wp:inline>
        </w:drawing>
      </w:r>
    </w:p>
    <w:p w:rsidR="009515FF" w:rsidRDefault="00B14AD4">
      <w:pPr>
        <w:pStyle w:val="Graphics"/>
      </w:pPr>
      <w:r>
        <w:lastRenderedPageBreak/>
        <w:drawing>
          <wp:inline distT="0" distB="0" distL="0" distR="0">
            <wp:extent cx="4505325" cy="6372225"/>
            <wp:effectExtent l="0" t="0" r="9525" b="9525"/>
            <wp:docPr id="7" name="Picture 7" descr="X13960109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X13960109A"/>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505325" cy="6372225"/>
                    </a:xfrm>
                    <a:prstGeom prst="rect">
                      <a:avLst/>
                    </a:prstGeom>
                    <a:noFill/>
                    <a:ln>
                      <a:noFill/>
                    </a:ln>
                  </pic:spPr>
                </pic:pic>
              </a:graphicData>
            </a:graphic>
          </wp:inline>
        </w:drawing>
      </w:r>
    </w:p>
    <w:p w:rsidR="009515FF" w:rsidRDefault="00B14AD4">
      <w:pPr>
        <w:pStyle w:val="Graphics"/>
        <w:jc w:val="center"/>
      </w:pPr>
      <w:r>
        <w:lastRenderedPageBreak/>
        <w:drawing>
          <wp:inline distT="0" distB="0" distL="0" distR="0">
            <wp:extent cx="4398304" cy="6466114"/>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grayscl/>
                      <a:extLst>
                        <a:ext uri="{BEBA8EAE-BF5A-486C-A8C5-ECC9F3942E4B}">
                          <a14:imgProps xmlns:a14="http://schemas.microsoft.com/office/drawing/2010/main">
                            <a14:imgLayer r:embed="rId30">
                              <a14:imgEffect>
                                <a14:saturation sat="400000"/>
                              </a14:imgEffect>
                            </a14:imgLayer>
                          </a14:imgProps>
                        </a:ext>
                      </a:extLst>
                    </a:blip>
                    <a:stretch>
                      <a:fillRect/>
                    </a:stretch>
                  </pic:blipFill>
                  <pic:spPr>
                    <a:xfrm>
                      <a:off x="0" y="0"/>
                      <a:ext cx="4431918" cy="6515531"/>
                    </a:xfrm>
                    <a:prstGeom prst="rect">
                      <a:avLst/>
                    </a:prstGeom>
                  </pic:spPr>
                </pic:pic>
              </a:graphicData>
            </a:graphic>
          </wp:inline>
        </w:drawing>
      </w:r>
    </w:p>
    <w:p w:rsidR="009515FF" w:rsidRDefault="00B14AD4">
      <w:pPr>
        <w:pStyle w:val="Graphics"/>
      </w:pPr>
      <w:r>
        <w:lastRenderedPageBreak/>
        <w:drawing>
          <wp:inline distT="0" distB="0" distL="0" distR="0">
            <wp:extent cx="4505325" cy="6191250"/>
            <wp:effectExtent l="0" t="0" r="9525" b="0"/>
            <wp:docPr id="9" name="Picture 9" descr="X13960110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X13960110B"/>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505325" cy="6191250"/>
                    </a:xfrm>
                    <a:prstGeom prst="rect">
                      <a:avLst/>
                    </a:prstGeom>
                    <a:noFill/>
                    <a:ln>
                      <a:noFill/>
                    </a:ln>
                  </pic:spPr>
                </pic:pic>
              </a:graphicData>
            </a:graphic>
          </wp:inline>
        </w:drawing>
      </w:r>
    </w:p>
    <w:p w:rsidR="009515FF" w:rsidRDefault="009515FF">
      <w:pPr>
        <w:pStyle w:val="Graphics"/>
      </w:pPr>
    </w:p>
    <w:p w:rsidR="009515FF" w:rsidRDefault="00B14AD4">
      <w:pPr>
        <w:pStyle w:val="Graphics"/>
      </w:pPr>
      <w:r>
        <w:lastRenderedPageBreak/>
        <w:drawing>
          <wp:inline distT="0" distB="0" distL="0" distR="0">
            <wp:extent cx="4505325" cy="6172200"/>
            <wp:effectExtent l="0" t="0" r="9525" b="0"/>
            <wp:docPr id="11" name="Picture 11" descr="X13960104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X13960104B"/>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505325" cy="6172200"/>
                    </a:xfrm>
                    <a:prstGeom prst="rect">
                      <a:avLst/>
                    </a:prstGeom>
                    <a:noFill/>
                    <a:ln>
                      <a:noFill/>
                    </a:ln>
                  </pic:spPr>
                </pic:pic>
              </a:graphicData>
            </a:graphic>
          </wp:inline>
        </w:drawing>
      </w:r>
    </w:p>
    <w:p w:rsidR="009515FF" w:rsidRDefault="009515FF">
      <w:pPr>
        <w:pStyle w:val="Graphics"/>
      </w:pPr>
    </w:p>
    <w:p w:rsidR="009515FF" w:rsidRDefault="009515FF">
      <w:pPr>
        <w:pStyle w:val="ySubsection"/>
      </w:pPr>
    </w:p>
    <w:p w:rsidR="009515FF" w:rsidRDefault="009515FF">
      <w:pPr>
        <w:pStyle w:val="Graphics"/>
      </w:pPr>
    </w:p>
    <w:p w:rsidR="009515FF" w:rsidRDefault="00B14AD4">
      <w:pPr>
        <w:pStyle w:val="yFootnotesection"/>
      </w:pPr>
      <w:r>
        <w:tab/>
        <w:t>[Division 2 inserted: Gazette 4 Jun 2010 p. 2447</w:t>
      </w:r>
      <w:r>
        <w:noBreakHyphen/>
        <w:t>58; amended: Gazette 30 Nov 2011 p. 4984; 5 Sep 2014 p. 3217; 4 Jul 2017 p. 3666</w:t>
      </w:r>
      <w:r w:rsidR="00F67414">
        <w:t>;</w:t>
      </w:r>
      <w:r w:rsidR="00F67414" w:rsidRPr="00CD1B0E">
        <w:t xml:space="preserve"> </w:t>
      </w:r>
      <w:r w:rsidR="00F67414">
        <w:t>SL 2021/51 r. 13(2)</w:t>
      </w:r>
      <w:r>
        <w:t>.]</w:t>
      </w:r>
    </w:p>
    <w:p w:rsidR="00F67414" w:rsidRPr="00717266" w:rsidRDefault="00F67414" w:rsidP="00717266">
      <w:pPr>
        <w:pStyle w:val="yEdnoteschedule"/>
      </w:pPr>
      <w:bookmarkStart w:id="130" w:name="_Toc75423353"/>
      <w:r>
        <w:t>[Schedule 1 deleted: SL 2021/51 r. 14.]</w:t>
      </w:r>
    </w:p>
    <w:bookmarkEnd w:id="130"/>
    <w:p w:rsidR="009515FF" w:rsidRPr="00F67414" w:rsidRDefault="009515FF" w:rsidP="00F67414"/>
    <w:p w:rsidR="009515FF" w:rsidRPr="00F67414" w:rsidRDefault="009515FF" w:rsidP="00F67414">
      <w:pPr>
        <w:sectPr w:rsidR="009515FF" w:rsidRPr="00F67414">
          <w:headerReference w:type="even" r:id="rId33"/>
          <w:headerReference w:type="default" r:id="rId34"/>
          <w:headerReference w:type="first" r:id="rId35"/>
          <w:pgSz w:w="11907" w:h="16840" w:code="9"/>
          <w:pgMar w:top="2376" w:right="2405" w:bottom="3542" w:left="2405" w:header="706" w:footer="3380" w:gutter="0"/>
          <w:cols w:space="720"/>
          <w:noEndnote/>
          <w:docGrid w:linePitch="326"/>
        </w:sectPr>
      </w:pPr>
    </w:p>
    <w:p w:rsidR="009515FF" w:rsidRDefault="00B14AD4">
      <w:pPr>
        <w:pStyle w:val="yScheduleHeading"/>
      </w:pPr>
      <w:bookmarkStart w:id="132" w:name="_Toc75423354"/>
      <w:bookmarkStart w:id="133" w:name="_Toc75426835"/>
      <w:bookmarkStart w:id="134" w:name="_Toc75528257"/>
      <w:r>
        <w:rPr>
          <w:rStyle w:val="CharSchNo"/>
        </w:rPr>
        <w:lastRenderedPageBreak/>
        <w:t>Schedule 2</w:t>
      </w:r>
      <w:r>
        <w:t> — </w:t>
      </w:r>
      <w:r>
        <w:rPr>
          <w:rStyle w:val="CharSchText"/>
        </w:rPr>
        <w:t>Signals to be displayed on vessels</w:t>
      </w:r>
      <w:bookmarkEnd w:id="132"/>
      <w:bookmarkEnd w:id="133"/>
      <w:bookmarkEnd w:id="134"/>
    </w:p>
    <w:p w:rsidR="009515FF" w:rsidRDefault="00B14AD4">
      <w:pPr>
        <w:pStyle w:val="yShoulderClause"/>
      </w:pPr>
      <w:r>
        <w:t>[r. 6, 7 and 8]</w:t>
      </w:r>
    </w:p>
    <w:p w:rsidR="009515FF" w:rsidRDefault="00B14AD4">
      <w:pPr>
        <w:pStyle w:val="yFootnoteheading"/>
      </w:pPr>
      <w:r>
        <w:tab/>
        <w:t>[Heading inserted: Gazette 4 Jun 2010 p. 2459.]</w:t>
      </w:r>
    </w:p>
    <w:p w:rsidR="009515FF" w:rsidRDefault="00B14AD4">
      <w:pPr>
        <w:pStyle w:val="yTHeadingNAm"/>
      </w:pPr>
      <w:r>
        <w:t>Table 1 — General port signals</w:t>
      </w:r>
    </w:p>
    <w:tbl>
      <w:tblPr>
        <w:tblW w:w="0" w:type="auto"/>
        <w:tblInd w:w="8" w:type="dxa"/>
        <w:tblLayout w:type="fixed"/>
        <w:tblCellMar>
          <w:left w:w="0" w:type="dxa"/>
          <w:right w:w="0" w:type="dxa"/>
        </w:tblCellMar>
        <w:tblLook w:val="0000" w:firstRow="0" w:lastRow="0" w:firstColumn="0" w:lastColumn="0" w:noHBand="0" w:noVBand="0"/>
      </w:tblPr>
      <w:tblGrid>
        <w:gridCol w:w="2552"/>
        <w:gridCol w:w="4536"/>
      </w:tblGrid>
      <w:tr w:rsidR="009515FF">
        <w:trPr>
          <w:tblHeader/>
        </w:trPr>
        <w:tc>
          <w:tcPr>
            <w:tcW w:w="2552" w:type="dxa"/>
          </w:tcPr>
          <w:p w:rsidR="009515FF" w:rsidRDefault="00B14AD4">
            <w:pPr>
              <w:pStyle w:val="yTableNAm"/>
              <w:rPr>
                <w:b/>
                <w:bCs/>
              </w:rPr>
            </w:pPr>
            <w:r>
              <w:rPr>
                <w:b/>
                <w:bCs/>
              </w:rPr>
              <w:t>Purpose of signal</w:t>
            </w:r>
          </w:p>
        </w:tc>
        <w:tc>
          <w:tcPr>
            <w:tcW w:w="4536" w:type="dxa"/>
            <w:tcMar>
              <w:left w:w="113" w:type="dxa"/>
            </w:tcMar>
          </w:tcPr>
          <w:p w:rsidR="009515FF" w:rsidRDefault="00B14AD4">
            <w:pPr>
              <w:pStyle w:val="yTableNAm"/>
              <w:rPr>
                <w:b/>
                <w:bCs/>
              </w:rPr>
            </w:pPr>
            <w:r>
              <w:rPr>
                <w:b/>
                <w:bCs/>
              </w:rPr>
              <w:t>Signal to be displayed</w:t>
            </w:r>
          </w:p>
        </w:tc>
      </w:tr>
      <w:tr w:rsidR="009515FF">
        <w:tc>
          <w:tcPr>
            <w:tcW w:w="2552" w:type="dxa"/>
          </w:tcPr>
          <w:p w:rsidR="009515FF" w:rsidRDefault="00B14AD4">
            <w:pPr>
              <w:pStyle w:val="yTableNAm"/>
            </w:pPr>
            <w:r>
              <w:t>Pilot required</w:t>
            </w:r>
          </w:p>
        </w:tc>
        <w:tc>
          <w:tcPr>
            <w:tcW w:w="4536" w:type="dxa"/>
            <w:tcMar>
              <w:left w:w="113" w:type="dxa"/>
            </w:tcMar>
          </w:tcPr>
          <w:p w:rsidR="009515FF" w:rsidRDefault="00B14AD4">
            <w:pPr>
              <w:pStyle w:val="yTableNAm"/>
              <w:tabs>
                <w:tab w:val="left" w:pos="1168"/>
              </w:tabs>
            </w:pPr>
            <w:r>
              <w:t>By day </w:t>
            </w:r>
            <w:r>
              <w:rPr>
                <w:snapToGrid w:val="0"/>
              </w:rPr>
              <w:t>—</w:t>
            </w:r>
            <w:r>
              <w:t> </w:t>
            </w:r>
          </w:p>
          <w:p w:rsidR="009515FF" w:rsidRDefault="00B14AD4">
            <w:pPr>
              <w:pStyle w:val="yTableNAm"/>
              <w:tabs>
                <w:tab w:val="left" w:pos="1168"/>
              </w:tabs>
              <w:spacing w:before="20"/>
            </w:pPr>
            <w:r>
              <w:t>(1)</w:t>
            </w:r>
            <w:r>
              <w:tab/>
              <w:t>International Code Flag “G”; or</w:t>
            </w:r>
          </w:p>
          <w:p w:rsidR="009515FF" w:rsidRDefault="00B14AD4">
            <w:pPr>
              <w:pStyle w:val="yTableNAm"/>
              <w:tabs>
                <w:tab w:val="left" w:pos="1168"/>
              </w:tabs>
              <w:spacing w:before="20"/>
            </w:pPr>
            <w:r>
              <w:t>(2)</w:t>
            </w:r>
            <w:r>
              <w:tab/>
              <w:t>The Pilot Jack.</w:t>
            </w:r>
          </w:p>
        </w:tc>
      </w:tr>
      <w:tr w:rsidR="009515FF">
        <w:tc>
          <w:tcPr>
            <w:tcW w:w="2552" w:type="dxa"/>
          </w:tcPr>
          <w:p w:rsidR="009515FF" w:rsidRDefault="009515FF">
            <w:pPr>
              <w:pStyle w:val="yTableNAm"/>
            </w:pPr>
          </w:p>
        </w:tc>
        <w:tc>
          <w:tcPr>
            <w:tcW w:w="4536" w:type="dxa"/>
            <w:tcMar>
              <w:left w:w="113" w:type="dxa"/>
            </w:tcMar>
          </w:tcPr>
          <w:p w:rsidR="009515FF" w:rsidRDefault="00B14AD4">
            <w:pPr>
              <w:pStyle w:val="yTableNAm"/>
            </w:pPr>
            <w:r>
              <w:t>By night </w:t>
            </w:r>
            <w:r>
              <w:rPr>
                <w:snapToGrid w:val="0"/>
              </w:rPr>
              <w:t>—</w:t>
            </w:r>
            <w:r>
              <w:t> </w:t>
            </w:r>
          </w:p>
          <w:p w:rsidR="009515FF" w:rsidRDefault="00B14AD4">
            <w:pPr>
              <w:pStyle w:val="yTableNAm"/>
              <w:spacing w:before="20"/>
              <w:ind w:left="576" w:hanging="576"/>
            </w:pPr>
            <w:r>
              <w:t>(1)</w:t>
            </w:r>
            <w:r>
              <w:tab/>
              <w:t>A Pyrotechnic Light, commonly known as a Blue Light, shown every 15 minutes; or</w:t>
            </w:r>
          </w:p>
          <w:p w:rsidR="009515FF" w:rsidRDefault="00B14AD4">
            <w:pPr>
              <w:pStyle w:val="yTableNAm"/>
              <w:spacing w:before="20"/>
              <w:ind w:left="576" w:hanging="576"/>
            </w:pPr>
            <w:r>
              <w:t>(2)</w:t>
            </w:r>
            <w:r>
              <w:tab/>
              <w:t>A bright white light flashed at short or frequent intervals, just above the bulwarks of the vessel for a minute at a time; or</w:t>
            </w:r>
          </w:p>
          <w:p w:rsidR="009515FF" w:rsidRDefault="00B14AD4">
            <w:pPr>
              <w:pStyle w:val="yTableNAm"/>
              <w:tabs>
                <w:tab w:val="left" w:pos="1168"/>
              </w:tabs>
              <w:spacing w:before="20"/>
              <w:ind w:left="1168" w:hanging="1168"/>
            </w:pPr>
            <w:r>
              <w:t>(3)</w:t>
            </w:r>
            <w:r>
              <w:tab/>
              <w:t>International Code Signal “G” by flashing.</w:t>
            </w:r>
          </w:p>
        </w:tc>
      </w:tr>
      <w:tr w:rsidR="009515FF">
        <w:tc>
          <w:tcPr>
            <w:tcW w:w="2552" w:type="dxa"/>
          </w:tcPr>
          <w:p w:rsidR="009515FF" w:rsidRDefault="00B14AD4">
            <w:pPr>
              <w:pStyle w:val="yTableNAm"/>
            </w:pPr>
            <w:r>
              <w:t>Medical assistance required</w:t>
            </w:r>
          </w:p>
        </w:tc>
        <w:tc>
          <w:tcPr>
            <w:tcW w:w="4536" w:type="dxa"/>
            <w:tcMar>
              <w:left w:w="113" w:type="dxa"/>
            </w:tcMar>
          </w:tcPr>
          <w:p w:rsidR="009515FF" w:rsidRDefault="00B14AD4">
            <w:pPr>
              <w:pStyle w:val="yTableNAm"/>
            </w:pPr>
            <w:r>
              <w:t>By day </w:t>
            </w:r>
            <w:r>
              <w:rPr>
                <w:snapToGrid w:val="0"/>
              </w:rPr>
              <w:t>—</w:t>
            </w:r>
            <w:r>
              <w:t> International Code Flag “W”.</w:t>
            </w:r>
          </w:p>
          <w:p w:rsidR="009515FF" w:rsidRDefault="00B14AD4">
            <w:pPr>
              <w:pStyle w:val="yTableNAm"/>
              <w:spacing w:before="20"/>
            </w:pPr>
            <w:r>
              <w:t>By night </w:t>
            </w:r>
            <w:r>
              <w:rPr>
                <w:snapToGrid w:val="0"/>
              </w:rPr>
              <w:t>—</w:t>
            </w:r>
            <w:r>
              <w:t> International Code Signal “W” by flashing.</w:t>
            </w:r>
          </w:p>
        </w:tc>
      </w:tr>
      <w:tr w:rsidR="009515FF">
        <w:tc>
          <w:tcPr>
            <w:tcW w:w="2552" w:type="dxa"/>
          </w:tcPr>
          <w:p w:rsidR="009515FF" w:rsidRDefault="00B14AD4">
            <w:pPr>
              <w:pStyle w:val="yTableNAm"/>
            </w:pPr>
            <w:r>
              <w:t>Tug required</w:t>
            </w:r>
          </w:p>
        </w:tc>
        <w:tc>
          <w:tcPr>
            <w:tcW w:w="4536" w:type="dxa"/>
            <w:tcMar>
              <w:left w:w="113" w:type="dxa"/>
            </w:tcMar>
          </w:tcPr>
          <w:p w:rsidR="009515FF" w:rsidRDefault="00B14AD4">
            <w:pPr>
              <w:pStyle w:val="yTableNAm"/>
            </w:pPr>
            <w:r>
              <w:t>By day </w:t>
            </w:r>
            <w:r>
              <w:rPr>
                <w:snapToGrid w:val="0"/>
              </w:rPr>
              <w:t>—</w:t>
            </w:r>
            <w:r>
              <w:t> </w:t>
            </w:r>
          </w:p>
          <w:p w:rsidR="009515FF" w:rsidRDefault="00B14AD4">
            <w:pPr>
              <w:pStyle w:val="yTableNAm"/>
              <w:tabs>
                <w:tab w:val="left" w:pos="1168"/>
              </w:tabs>
              <w:spacing w:before="20"/>
              <w:ind w:left="1168" w:hanging="1168"/>
            </w:pPr>
            <w:r>
              <w:t>(1)</w:t>
            </w:r>
            <w:r>
              <w:tab/>
              <w:t>International Code Flag “Z”; or</w:t>
            </w:r>
          </w:p>
          <w:p w:rsidR="009515FF" w:rsidRDefault="00B14AD4">
            <w:pPr>
              <w:pStyle w:val="yTableNAm"/>
              <w:tabs>
                <w:tab w:val="left" w:pos="1168"/>
              </w:tabs>
              <w:spacing w:before="20"/>
              <w:ind w:left="1168" w:hanging="1168"/>
            </w:pPr>
            <w:r>
              <w:t>(2)</w:t>
            </w:r>
            <w:r>
              <w:tab/>
              <w:t>International Code Flags “KF”.</w:t>
            </w:r>
          </w:p>
        </w:tc>
      </w:tr>
      <w:tr w:rsidR="009515FF">
        <w:tc>
          <w:tcPr>
            <w:tcW w:w="2552" w:type="dxa"/>
          </w:tcPr>
          <w:p w:rsidR="009515FF" w:rsidRDefault="009515FF">
            <w:pPr>
              <w:pStyle w:val="yTableNAm"/>
            </w:pPr>
          </w:p>
        </w:tc>
        <w:tc>
          <w:tcPr>
            <w:tcW w:w="4536" w:type="dxa"/>
            <w:tcMar>
              <w:left w:w="113" w:type="dxa"/>
            </w:tcMar>
          </w:tcPr>
          <w:p w:rsidR="009515FF" w:rsidRDefault="00B14AD4">
            <w:pPr>
              <w:pStyle w:val="yTableNAm"/>
            </w:pPr>
            <w:r>
              <w:t>Both day and night </w:t>
            </w:r>
            <w:r>
              <w:rPr>
                <w:snapToGrid w:val="0"/>
              </w:rPr>
              <w:t>—</w:t>
            </w:r>
            <w:r>
              <w:t> Two blasts on whistle, one long and one short.</w:t>
            </w:r>
          </w:p>
        </w:tc>
      </w:tr>
      <w:tr w:rsidR="009515FF">
        <w:tc>
          <w:tcPr>
            <w:tcW w:w="2552" w:type="dxa"/>
          </w:tcPr>
          <w:p w:rsidR="009515FF" w:rsidRDefault="00B14AD4">
            <w:pPr>
              <w:pStyle w:val="yTableNAm"/>
            </w:pPr>
            <w:r>
              <w:t>Explosives, dangerous cargo or inflammable liquids on board vessel not gas free</w:t>
            </w:r>
          </w:p>
        </w:tc>
        <w:tc>
          <w:tcPr>
            <w:tcW w:w="4536" w:type="dxa"/>
            <w:vMerge w:val="restart"/>
            <w:tcMar>
              <w:left w:w="113" w:type="dxa"/>
            </w:tcMar>
          </w:tcPr>
          <w:p w:rsidR="009515FF" w:rsidRDefault="00B14AD4">
            <w:pPr>
              <w:pStyle w:val="yTableNAm"/>
            </w:pPr>
            <w:r>
              <w:t>By day </w:t>
            </w:r>
            <w:r>
              <w:rPr>
                <w:snapToGrid w:val="0"/>
              </w:rPr>
              <w:t>—</w:t>
            </w:r>
            <w:r>
              <w:t> International Code Flag “B” not less than 0.91 m</w:t>
            </w:r>
            <w:r>
              <w:rPr>
                <w:vertAlign w:val="superscript"/>
              </w:rPr>
              <w:t> 2</w:t>
            </w:r>
            <w:r>
              <w:t xml:space="preserve"> flown in a prominent position.</w:t>
            </w:r>
          </w:p>
          <w:p w:rsidR="009515FF" w:rsidRDefault="00B14AD4">
            <w:pPr>
              <w:pStyle w:val="yTableNAm"/>
            </w:pPr>
            <w:r>
              <w:t>By night </w:t>
            </w:r>
            <w:r>
              <w:rPr>
                <w:snapToGrid w:val="0"/>
              </w:rPr>
              <w:t>—</w:t>
            </w:r>
            <w:r>
              <w:t> A red light of such character as to be clearly visible all round the horizon at a distance of 1 nautical mile from the vessel and so positioned as to be clear of all other lights.</w:t>
            </w:r>
          </w:p>
        </w:tc>
      </w:tr>
      <w:tr w:rsidR="009515FF">
        <w:tc>
          <w:tcPr>
            <w:tcW w:w="2552" w:type="dxa"/>
          </w:tcPr>
          <w:p w:rsidR="009515FF" w:rsidRDefault="009515FF">
            <w:pPr>
              <w:pStyle w:val="yTableNAm"/>
            </w:pPr>
          </w:p>
        </w:tc>
        <w:tc>
          <w:tcPr>
            <w:tcW w:w="4536" w:type="dxa"/>
            <w:vMerge/>
            <w:tcMar>
              <w:left w:w="113" w:type="dxa"/>
            </w:tcMar>
          </w:tcPr>
          <w:p w:rsidR="009515FF" w:rsidRDefault="009515FF">
            <w:pPr>
              <w:pStyle w:val="yTableNAm"/>
            </w:pPr>
          </w:p>
        </w:tc>
      </w:tr>
      <w:tr w:rsidR="009515FF">
        <w:trPr>
          <w:trHeight w:val="945"/>
        </w:trPr>
        <w:tc>
          <w:tcPr>
            <w:tcW w:w="2552" w:type="dxa"/>
            <w:tcBorders>
              <w:bottom w:val="nil"/>
            </w:tcBorders>
          </w:tcPr>
          <w:p w:rsidR="009515FF" w:rsidRDefault="00B14AD4">
            <w:pPr>
              <w:pStyle w:val="yTableNAm"/>
              <w:keepNext/>
            </w:pPr>
            <w:r>
              <w:lastRenderedPageBreak/>
              <w:t>To communicate with shore station or port control</w:t>
            </w:r>
          </w:p>
        </w:tc>
        <w:tc>
          <w:tcPr>
            <w:tcW w:w="4536" w:type="dxa"/>
            <w:tcMar>
              <w:left w:w="113" w:type="dxa"/>
            </w:tcMar>
          </w:tcPr>
          <w:p w:rsidR="009515FF" w:rsidRDefault="00B14AD4">
            <w:pPr>
              <w:pStyle w:val="yTableNAm"/>
              <w:keepNext/>
            </w:pPr>
            <w:r>
              <w:t>By day </w:t>
            </w:r>
            <w:r>
              <w:rPr>
                <w:snapToGrid w:val="0"/>
              </w:rPr>
              <w:t>—</w:t>
            </w:r>
            <w:r>
              <w:t> </w:t>
            </w:r>
          </w:p>
          <w:p w:rsidR="009515FF" w:rsidRDefault="00B14AD4">
            <w:pPr>
              <w:pStyle w:val="yTableNAm"/>
              <w:keepNext/>
              <w:tabs>
                <w:tab w:val="clear" w:pos="567"/>
                <w:tab w:val="left" w:pos="291"/>
                <w:tab w:val="left" w:pos="747"/>
              </w:tabs>
              <w:spacing w:before="20"/>
              <w:ind w:left="748" w:hanging="748"/>
            </w:pPr>
            <w:r>
              <w:t>(1)</w:t>
            </w:r>
            <w:r>
              <w:tab/>
              <w:t xml:space="preserve">  International Code Flag “K”; or</w:t>
            </w:r>
          </w:p>
          <w:p w:rsidR="009515FF" w:rsidRDefault="00B14AD4">
            <w:pPr>
              <w:pStyle w:val="yTableNAm"/>
              <w:keepNext/>
              <w:tabs>
                <w:tab w:val="clear" w:pos="567"/>
                <w:tab w:val="left" w:pos="291"/>
                <w:tab w:val="left" w:pos="747"/>
              </w:tabs>
              <w:spacing w:before="20"/>
              <w:ind w:left="748" w:hanging="748"/>
            </w:pPr>
            <w:r>
              <w:t>(2)</w:t>
            </w:r>
            <w:r>
              <w:tab/>
              <w:t xml:space="preserve">  International Code Flags “YP”.</w:t>
            </w:r>
          </w:p>
        </w:tc>
      </w:tr>
      <w:tr w:rsidR="009515FF">
        <w:tc>
          <w:tcPr>
            <w:tcW w:w="2552" w:type="dxa"/>
          </w:tcPr>
          <w:p w:rsidR="009515FF" w:rsidRDefault="009515FF">
            <w:pPr>
              <w:pStyle w:val="yTableNAm"/>
              <w:keepNext/>
            </w:pPr>
          </w:p>
        </w:tc>
        <w:tc>
          <w:tcPr>
            <w:tcW w:w="4536" w:type="dxa"/>
            <w:tcMar>
              <w:left w:w="113" w:type="dxa"/>
            </w:tcMar>
          </w:tcPr>
          <w:p w:rsidR="009515FF" w:rsidRDefault="00B14AD4">
            <w:pPr>
              <w:pStyle w:val="yTableNAm"/>
              <w:keepNext/>
              <w:rPr>
                <w:spacing w:val="-4"/>
              </w:rPr>
            </w:pPr>
            <w:r>
              <w:rPr>
                <w:spacing w:val="-4"/>
              </w:rPr>
              <w:t>Both signals to be followed by appropriate complement number from Table 1 of International Code.</w:t>
            </w:r>
          </w:p>
        </w:tc>
      </w:tr>
      <w:tr w:rsidR="009515FF">
        <w:tc>
          <w:tcPr>
            <w:tcW w:w="2552" w:type="dxa"/>
          </w:tcPr>
          <w:p w:rsidR="009515FF" w:rsidRDefault="009515FF">
            <w:pPr>
              <w:pStyle w:val="yTableNAm"/>
            </w:pPr>
          </w:p>
        </w:tc>
        <w:tc>
          <w:tcPr>
            <w:tcW w:w="4536" w:type="dxa"/>
            <w:tcMar>
              <w:left w:w="113" w:type="dxa"/>
            </w:tcMar>
          </w:tcPr>
          <w:p w:rsidR="009515FF" w:rsidRDefault="00B14AD4">
            <w:pPr>
              <w:pStyle w:val="yTableNAm"/>
            </w:pPr>
            <w:r>
              <w:t>By night </w:t>
            </w:r>
            <w:r>
              <w:rPr>
                <w:snapToGrid w:val="0"/>
              </w:rPr>
              <w:t>—</w:t>
            </w:r>
            <w:r>
              <w:t> Morse flashing general call, i.e., A.A.A.A., etc.</w:t>
            </w:r>
          </w:p>
        </w:tc>
      </w:tr>
    </w:tbl>
    <w:p w:rsidR="009515FF" w:rsidRDefault="00B14AD4">
      <w:pPr>
        <w:pStyle w:val="yFootnotesection"/>
      </w:pPr>
      <w:r>
        <w:tab/>
        <w:t>[Table 1 inserted: Gazette 22 Feb 1972 p. 407</w:t>
      </w:r>
      <w:r>
        <w:noBreakHyphen/>
        <w:t>8; amended: Gazette 15 Jun 1973 p. 2235; 27 Jun 2003 p. 2523.]</w:t>
      </w:r>
    </w:p>
    <w:p w:rsidR="009515FF" w:rsidRDefault="00B14AD4">
      <w:pPr>
        <w:pStyle w:val="yTHeadingNAm"/>
        <w:spacing w:before="300"/>
      </w:pPr>
      <w:r>
        <w:t>Table 2</w:t>
      </w:r>
      <w:r>
        <w:rPr>
          <w:rStyle w:val="CharSDivNo"/>
        </w:rPr>
        <w:t> </w:t>
      </w:r>
      <w:r>
        <w:t>—</w:t>
      </w:r>
      <w:r>
        <w:rPr>
          <w:rStyle w:val="CharSDivText"/>
        </w:rPr>
        <w:t> </w:t>
      </w:r>
      <w:r>
        <w:t>Signals to be used by masters of dredging vessels</w:t>
      </w:r>
    </w:p>
    <w:tbl>
      <w:tblPr>
        <w:tblW w:w="0" w:type="auto"/>
        <w:tblInd w:w="8" w:type="dxa"/>
        <w:tblLayout w:type="fixed"/>
        <w:tblCellMar>
          <w:left w:w="0" w:type="dxa"/>
          <w:right w:w="0" w:type="dxa"/>
        </w:tblCellMar>
        <w:tblLook w:val="0000" w:firstRow="0" w:lastRow="0" w:firstColumn="0" w:lastColumn="0" w:noHBand="0" w:noVBand="0"/>
      </w:tblPr>
      <w:tblGrid>
        <w:gridCol w:w="2977"/>
        <w:gridCol w:w="4196"/>
      </w:tblGrid>
      <w:tr w:rsidR="009515FF">
        <w:trPr>
          <w:tblHeader/>
        </w:trPr>
        <w:tc>
          <w:tcPr>
            <w:tcW w:w="2977" w:type="dxa"/>
            <w:tcMar>
              <w:left w:w="28" w:type="dxa"/>
              <w:right w:w="28" w:type="dxa"/>
            </w:tcMar>
          </w:tcPr>
          <w:p w:rsidR="009515FF" w:rsidRDefault="00B14AD4">
            <w:pPr>
              <w:pStyle w:val="yTableNAm"/>
              <w:rPr>
                <w:b/>
                <w:bCs/>
              </w:rPr>
            </w:pPr>
            <w:r>
              <w:rPr>
                <w:b/>
                <w:bCs/>
              </w:rPr>
              <w:t>Purpose of signal</w:t>
            </w:r>
          </w:p>
        </w:tc>
        <w:tc>
          <w:tcPr>
            <w:tcW w:w="4196" w:type="dxa"/>
            <w:tcMar>
              <w:left w:w="113" w:type="dxa"/>
            </w:tcMar>
          </w:tcPr>
          <w:p w:rsidR="009515FF" w:rsidRDefault="00B14AD4">
            <w:pPr>
              <w:pStyle w:val="yTableNAm"/>
              <w:rPr>
                <w:b/>
                <w:bCs/>
              </w:rPr>
            </w:pPr>
            <w:r>
              <w:rPr>
                <w:b/>
                <w:bCs/>
              </w:rPr>
              <w:t>Signal</w:t>
            </w:r>
          </w:p>
        </w:tc>
      </w:tr>
      <w:tr w:rsidR="009515FF">
        <w:tc>
          <w:tcPr>
            <w:tcW w:w="2977" w:type="dxa"/>
            <w:tcMar>
              <w:left w:w="17" w:type="dxa"/>
              <w:right w:w="40" w:type="dxa"/>
            </w:tcMar>
          </w:tcPr>
          <w:p w:rsidR="009515FF" w:rsidRDefault="00B14AD4">
            <w:pPr>
              <w:pStyle w:val="yTableNAm"/>
            </w:pPr>
            <w:r>
              <w:t>Dredging master requires any vessel approaching from seaward to keep the dredger on the starboard hand of that vessel and requires any vessel proceeding seaward to keep the dredger on the port hand of that vessel</w:t>
            </w:r>
          </w:p>
        </w:tc>
        <w:tc>
          <w:tcPr>
            <w:tcW w:w="4196" w:type="dxa"/>
            <w:tcMar>
              <w:left w:w="113" w:type="dxa"/>
            </w:tcMar>
          </w:tcPr>
          <w:p w:rsidR="009515FF" w:rsidRDefault="00B14AD4">
            <w:pPr>
              <w:pStyle w:val="yTableNAm"/>
            </w:pPr>
            <w:r>
              <w:t>By day </w:t>
            </w:r>
            <w:r>
              <w:rPr>
                <w:snapToGrid w:val="0"/>
              </w:rPr>
              <w:t>—</w:t>
            </w:r>
            <w:r>
              <w:t> a black triangle on the yardarm on the side of the dredger to be passed.</w:t>
            </w:r>
          </w:p>
          <w:p w:rsidR="009515FF" w:rsidRDefault="00B14AD4">
            <w:pPr>
              <w:pStyle w:val="yTableNAm"/>
            </w:pPr>
            <w:r>
              <w:t>By night </w:t>
            </w:r>
            <w:r>
              <w:rPr>
                <w:snapToGrid w:val="0"/>
              </w:rPr>
              <w:t>—</w:t>
            </w:r>
            <w:r>
              <w:t> a green light over a red light on the yardarm on the side of the vessel to be passed.</w:t>
            </w:r>
          </w:p>
          <w:p w:rsidR="009515FF" w:rsidRDefault="00B14AD4">
            <w:pPr>
              <w:pStyle w:val="yTableNAm"/>
            </w:pPr>
            <w:r>
              <w:t>In fog, mist, or heavy rain </w:t>
            </w:r>
            <w:r>
              <w:rPr>
                <w:snapToGrid w:val="0"/>
              </w:rPr>
              <w:t>—</w:t>
            </w:r>
            <w:r>
              <w:t> the Morse sound signal letter “A” given at intervals of not more than 2 minutes on the dredger’s bell.</w:t>
            </w:r>
          </w:p>
        </w:tc>
      </w:tr>
      <w:tr w:rsidR="009515FF">
        <w:tc>
          <w:tcPr>
            <w:tcW w:w="2977" w:type="dxa"/>
            <w:tcMar>
              <w:left w:w="17" w:type="dxa"/>
              <w:right w:w="40" w:type="dxa"/>
            </w:tcMar>
          </w:tcPr>
          <w:p w:rsidR="009515FF" w:rsidRDefault="00B14AD4">
            <w:pPr>
              <w:pStyle w:val="yTableNAm"/>
            </w:pPr>
            <w:r>
              <w:t>Dredging master requires any vessel approaching from seaward to keep the dredger on the port hand of the vessel and requires any vessel proceeding seaward to keep the dredger on the starboard hand of that vessel</w:t>
            </w:r>
          </w:p>
        </w:tc>
        <w:tc>
          <w:tcPr>
            <w:tcW w:w="4196" w:type="dxa"/>
            <w:tcMar>
              <w:left w:w="113" w:type="dxa"/>
            </w:tcMar>
          </w:tcPr>
          <w:p w:rsidR="009515FF" w:rsidRDefault="00B14AD4">
            <w:pPr>
              <w:pStyle w:val="yTableNAm"/>
            </w:pPr>
            <w:r>
              <w:t>By day </w:t>
            </w:r>
            <w:r>
              <w:rPr>
                <w:snapToGrid w:val="0"/>
              </w:rPr>
              <w:t>—</w:t>
            </w:r>
            <w:r>
              <w:t> a red square on the yardarm on the side of the dredger to be passed.</w:t>
            </w:r>
          </w:p>
          <w:p w:rsidR="009515FF" w:rsidRDefault="00B14AD4">
            <w:pPr>
              <w:pStyle w:val="yTableNAm"/>
            </w:pPr>
            <w:r>
              <w:t>By night </w:t>
            </w:r>
            <w:r>
              <w:rPr>
                <w:snapToGrid w:val="0"/>
              </w:rPr>
              <w:t>—</w:t>
            </w:r>
            <w:r>
              <w:t> a red light over a green light on the side of the vessel to be passed.</w:t>
            </w:r>
          </w:p>
          <w:p w:rsidR="009515FF" w:rsidRDefault="00B14AD4">
            <w:pPr>
              <w:pStyle w:val="yTableNAm"/>
            </w:pPr>
            <w:r>
              <w:t>In fog, mist, or heavy rain </w:t>
            </w:r>
            <w:r>
              <w:rPr>
                <w:snapToGrid w:val="0"/>
              </w:rPr>
              <w:t>—</w:t>
            </w:r>
            <w:r>
              <w:t> the Morse sound signal letter “N” given at intervals of not more than 2 minutes on the dredger’s bell.</w:t>
            </w:r>
          </w:p>
        </w:tc>
      </w:tr>
      <w:tr w:rsidR="009515FF">
        <w:trPr>
          <w:cantSplit/>
        </w:trPr>
        <w:tc>
          <w:tcPr>
            <w:tcW w:w="2977" w:type="dxa"/>
            <w:tcBorders>
              <w:bottom w:val="nil"/>
            </w:tcBorders>
            <w:tcMar>
              <w:left w:w="17" w:type="dxa"/>
              <w:right w:w="40" w:type="dxa"/>
            </w:tcMar>
          </w:tcPr>
          <w:p w:rsidR="009515FF" w:rsidRDefault="00B14AD4">
            <w:pPr>
              <w:pStyle w:val="yTableNAm"/>
            </w:pPr>
            <w:r>
              <w:lastRenderedPageBreak/>
              <w:t>Dredger is blocking channel</w:t>
            </w:r>
          </w:p>
        </w:tc>
        <w:tc>
          <w:tcPr>
            <w:tcW w:w="4196" w:type="dxa"/>
            <w:tcMar>
              <w:left w:w="113" w:type="dxa"/>
            </w:tcMar>
          </w:tcPr>
          <w:p w:rsidR="009515FF" w:rsidRDefault="00B14AD4">
            <w:pPr>
              <w:pStyle w:val="yTableNAm"/>
            </w:pPr>
            <w:r>
              <w:t>By day </w:t>
            </w:r>
            <w:r>
              <w:rPr>
                <w:snapToGrid w:val="0"/>
              </w:rPr>
              <w:t>—</w:t>
            </w:r>
            <w:r>
              <w:t> a green cone between 2 red balls, shown vertically at the masthead.</w:t>
            </w:r>
          </w:p>
          <w:p w:rsidR="009515FF" w:rsidRDefault="00B14AD4">
            <w:pPr>
              <w:pStyle w:val="yTableNAm"/>
            </w:pPr>
            <w:r>
              <w:t>By night </w:t>
            </w:r>
            <w:r>
              <w:rPr>
                <w:snapToGrid w:val="0"/>
              </w:rPr>
              <w:t>—</w:t>
            </w:r>
            <w:r>
              <w:t> a green light between 2 red lights shown vertically at the masthead.</w:t>
            </w:r>
          </w:p>
          <w:p w:rsidR="009515FF" w:rsidRDefault="00B14AD4">
            <w:pPr>
              <w:pStyle w:val="yTableNAm"/>
            </w:pPr>
            <w:r>
              <w:t>In fog, mist or rain </w:t>
            </w:r>
            <w:r>
              <w:rPr>
                <w:snapToGrid w:val="0"/>
              </w:rPr>
              <w:t>—</w:t>
            </w:r>
            <w:r>
              <w:t> the Morse sound letter signal “S” given at intervals of not more than 2 minutes on the dredger’s bell.</w:t>
            </w:r>
          </w:p>
        </w:tc>
      </w:tr>
      <w:tr w:rsidR="009515FF">
        <w:tc>
          <w:tcPr>
            <w:tcW w:w="2977" w:type="dxa"/>
            <w:tcMar>
              <w:left w:w="17" w:type="dxa"/>
              <w:right w:w="40" w:type="dxa"/>
            </w:tcMar>
          </w:tcPr>
          <w:p w:rsidR="009515FF" w:rsidRDefault="00B14AD4">
            <w:pPr>
              <w:pStyle w:val="yTableNAm"/>
              <w:keepNext/>
            </w:pPr>
            <w:r>
              <w:t>Vessel may pass on either side of the dredger</w:t>
            </w:r>
          </w:p>
        </w:tc>
        <w:tc>
          <w:tcPr>
            <w:tcW w:w="4196" w:type="dxa"/>
            <w:tcMar>
              <w:left w:w="113" w:type="dxa"/>
            </w:tcMar>
          </w:tcPr>
          <w:p w:rsidR="009515FF" w:rsidRDefault="00B14AD4">
            <w:pPr>
              <w:pStyle w:val="yTableNAm"/>
              <w:keepNext/>
            </w:pPr>
            <w:r>
              <w:t>By day </w:t>
            </w:r>
            <w:r>
              <w:rPr>
                <w:snapToGrid w:val="0"/>
              </w:rPr>
              <w:t>—</w:t>
            </w:r>
            <w:r>
              <w:t> a white flag at the masthead.</w:t>
            </w:r>
          </w:p>
          <w:p w:rsidR="009515FF" w:rsidRDefault="00B14AD4">
            <w:pPr>
              <w:pStyle w:val="yTableNAm"/>
              <w:keepNext/>
            </w:pPr>
            <w:r>
              <w:t>By night </w:t>
            </w:r>
            <w:r>
              <w:rPr>
                <w:snapToGrid w:val="0"/>
              </w:rPr>
              <w:t>—</w:t>
            </w:r>
            <w:r>
              <w:t> a green light on both yardarms.</w:t>
            </w:r>
          </w:p>
        </w:tc>
      </w:tr>
      <w:tr w:rsidR="009515FF">
        <w:trPr>
          <w:cantSplit/>
        </w:trPr>
        <w:tc>
          <w:tcPr>
            <w:tcW w:w="2977" w:type="dxa"/>
            <w:tcMar>
              <w:left w:w="17" w:type="dxa"/>
              <w:right w:w="40" w:type="dxa"/>
            </w:tcMar>
          </w:tcPr>
          <w:p w:rsidR="009515FF" w:rsidRDefault="00B14AD4">
            <w:pPr>
              <w:pStyle w:val="yTableNAm"/>
            </w:pPr>
            <w:r>
              <w:t>Dredger is unable to move, or is out of control</w:t>
            </w:r>
          </w:p>
        </w:tc>
        <w:tc>
          <w:tcPr>
            <w:tcW w:w="4196" w:type="dxa"/>
            <w:tcMar>
              <w:left w:w="113" w:type="dxa"/>
            </w:tcMar>
          </w:tcPr>
          <w:p w:rsidR="009515FF" w:rsidRDefault="00B14AD4">
            <w:pPr>
              <w:pStyle w:val="yTableNAm"/>
            </w:pPr>
            <w:r>
              <w:t>By day </w:t>
            </w:r>
            <w:r>
              <w:rPr>
                <w:snapToGrid w:val="0"/>
              </w:rPr>
              <w:t>—</w:t>
            </w:r>
            <w:r>
              <w:t> a red flag on the masthead.</w:t>
            </w:r>
          </w:p>
          <w:p w:rsidR="009515FF" w:rsidRDefault="00B14AD4">
            <w:pPr>
              <w:pStyle w:val="yTableNAm"/>
            </w:pPr>
            <w:r>
              <w:t>By night </w:t>
            </w:r>
            <w:r>
              <w:rPr>
                <w:snapToGrid w:val="0"/>
              </w:rPr>
              <w:t>—</w:t>
            </w:r>
            <w:r>
              <w:t> a red light on both yardarms.</w:t>
            </w:r>
          </w:p>
        </w:tc>
      </w:tr>
      <w:tr w:rsidR="009515FF">
        <w:trPr>
          <w:cantSplit/>
        </w:trPr>
        <w:tc>
          <w:tcPr>
            <w:tcW w:w="2977" w:type="dxa"/>
            <w:tcBorders>
              <w:bottom w:val="single" w:sz="4" w:space="0" w:color="auto"/>
            </w:tcBorders>
            <w:tcMar>
              <w:left w:w="17" w:type="dxa"/>
              <w:right w:w="40" w:type="dxa"/>
            </w:tcMar>
          </w:tcPr>
          <w:p w:rsidR="009515FF" w:rsidRDefault="00B14AD4">
            <w:pPr>
              <w:pStyle w:val="yTableNAm"/>
            </w:pPr>
            <w:r>
              <w:t>Self</w:t>
            </w:r>
            <w:r>
              <w:noBreakHyphen/>
              <w:t>propelled dredger that is under way, and is unable to manoeuvre so as to give way to or avoid other vessels</w:t>
            </w:r>
          </w:p>
        </w:tc>
        <w:tc>
          <w:tcPr>
            <w:tcW w:w="4196" w:type="dxa"/>
            <w:tcBorders>
              <w:bottom w:val="single" w:sz="4" w:space="0" w:color="auto"/>
            </w:tcBorders>
            <w:tcMar>
              <w:left w:w="113" w:type="dxa"/>
            </w:tcMar>
          </w:tcPr>
          <w:p w:rsidR="009515FF" w:rsidRDefault="00B14AD4">
            <w:pPr>
              <w:pStyle w:val="yTableNAm"/>
            </w:pPr>
            <w:r>
              <w:t>By day </w:t>
            </w:r>
            <w:r>
              <w:rPr>
                <w:snapToGrid w:val="0"/>
              </w:rPr>
              <w:t>—</w:t>
            </w:r>
            <w:r>
              <w:t> one red ball over one white diamond shape over one red ball, mounted vertically.</w:t>
            </w:r>
          </w:p>
          <w:p w:rsidR="009515FF" w:rsidRDefault="00B14AD4">
            <w:pPr>
              <w:pStyle w:val="yTableNAm"/>
            </w:pPr>
            <w:r>
              <w:t>By night </w:t>
            </w:r>
            <w:r>
              <w:rPr>
                <w:snapToGrid w:val="0"/>
              </w:rPr>
              <w:t>—</w:t>
            </w:r>
            <w:r>
              <w:t> one red light over one white light over one red light, the lights being mounted vertically and so positioned as to be clearly visible at a distance of at least 2 nautical miles.</w:t>
            </w:r>
          </w:p>
        </w:tc>
      </w:tr>
    </w:tbl>
    <w:p w:rsidR="009515FF" w:rsidRDefault="00B14AD4">
      <w:pPr>
        <w:pStyle w:val="yMiscellaneousBody"/>
        <w:rPr>
          <w:snapToGrid w:val="0"/>
        </w:rPr>
      </w:pPr>
      <w:r>
        <w:rPr>
          <w:snapToGrid w:val="0"/>
        </w:rPr>
        <w:t>The Morse sound signals referred to in this table shall be given as follows:</w:t>
      </w:r>
    </w:p>
    <w:p w:rsidR="009515FF" w:rsidRDefault="00B14AD4">
      <w:pPr>
        <w:pStyle w:val="yMiscellaneousBody"/>
        <w:tabs>
          <w:tab w:val="left" w:pos="480"/>
          <w:tab w:val="left" w:pos="1080"/>
        </w:tabs>
        <w:spacing w:before="120"/>
        <w:rPr>
          <w:snapToGrid w:val="0"/>
        </w:rPr>
      </w:pPr>
      <w:r>
        <w:rPr>
          <w:snapToGrid w:val="0"/>
        </w:rPr>
        <w:tab/>
        <w:t>(a)</w:t>
      </w:r>
      <w:r>
        <w:rPr>
          <w:snapToGrid w:val="0"/>
        </w:rPr>
        <w:tab/>
        <w:t>a short ring — of 1½ seconds’ duration; and</w:t>
      </w:r>
    </w:p>
    <w:p w:rsidR="009515FF" w:rsidRDefault="00B14AD4">
      <w:pPr>
        <w:pStyle w:val="yMiscellaneousBody"/>
        <w:tabs>
          <w:tab w:val="left" w:pos="480"/>
          <w:tab w:val="left" w:pos="1080"/>
        </w:tabs>
        <w:spacing w:before="120"/>
        <w:rPr>
          <w:snapToGrid w:val="0"/>
        </w:rPr>
      </w:pPr>
      <w:r>
        <w:rPr>
          <w:snapToGrid w:val="0"/>
        </w:rPr>
        <w:tab/>
        <w:t>(b)</w:t>
      </w:r>
      <w:r>
        <w:rPr>
          <w:snapToGrid w:val="0"/>
        </w:rPr>
        <w:tab/>
        <w:t>a long ring — of 4 seconds’ duration; and</w:t>
      </w:r>
    </w:p>
    <w:p w:rsidR="009515FF" w:rsidRDefault="00B14AD4">
      <w:pPr>
        <w:pStyle w:val="yMiscellaneousBody"/>
        <w:tabs>
          <w:tab w:val="left" w:pos="480"/>
          <w:tab w:val="left" w:pos="1080"/>
        </w:tabs>
        <w:spacing w:before="120"/>
        <w:rPr>
          <w:snapToGrid w:val="0"/>
        </w:rPr>
      </w:pPr>
      <w:r>
        <w:rPr>
          <w:snapToGrid w:val="0"/>
        </w:rPr>
        <w:tab/>
        <w:t>(c)</w:t>
      </w:r>
      <w:r>
        <w:rPr>
          <w:snapToGrid w:val="0"/>
        </w:rPr>
        <w:tab/>
        <w:t>intervals between rings — of 1½ seconds’ duration.</w:t>
      </w:r>
    </w:p>
    <w:p w:rsidR="009515FF" w:rsidRDefault="00B14AD4">
      <w:pPr>
        <w:pStyle w:val="yFootnotesection"/>
      </w:pPr>
      <w:r>
        <w:tab/>
        <w:t>[Table 2 inserted: Gazette 22 Feb 1972 p. 407</w:t>
      </w:r>
      <w:r>
        <w:noBreakHyphen/>
        <w:t xml:space="preserve">8; amended: Gazette 27 Jun 2003 p. 2523.] </w:t>
      </w:r>
    </w:p>
    <w:p w:rsidR="009515FF" w:rsidRDefault="009515FF">
      <w:pPr>
        <w:pStyle w:val="yScheduleHeading"/>
        <w:sectPr w:rsidR="009515FF">
          <w:headerReference w:type="even" r:id="rId36"/>
          <w:headerReference w:type="default" r:id="rId37"/>
          <w:pgSz w:w="11907" w:h="16840" w:code="9"/>
          <w:pgMar w:top="2376" w:right="2405" w:bottom="3542" w:left="2405" w:header="706" w:footer="3380" w:gutter="0"/>
          <w:cols w:space="720"/>
          <w:noEndnote/>
          <w:docGrid w:linePitch="326"/>
        </w:sectPr>
      </w:pPr>
    </w:p>
    <w:p w:rsidR="009515FF" w:rsidRDefault="00B14AD4">
      <w:pPr>
        <w:pStyle w:val="yScheduleHeading"/>
      </w:pPr>
      <w:bookmarkStart w:id="135" w:name="_Toc75423355"/>
      <w:bookmarkStart w:id="136" w:name="_Toc75426836"/>
      <w:bookmarkStart w:id="137" w:name="_Toc75528258"/>
      <w:r>
        <w:rPr>
          <w:rStyle w:val="CharSchNo"/>
        </w:rPr>
        <w:lastRenderedPageBreak/>
        <w:t>Schedule 3</w:t>
      </w:r>
      <w:r>
        <w:t> — </w:t>
      </w:r>
      <w:r>
        <w:rPr>
          <w:rStyle w:val="CharSchText"/>
        </w:rPr>
        <w:t>Fees and charges</w:t>
      </w:r>
      <w:bookmarkEnd w:id="135"/>
      <w:bookmarkEnd w:id="136"/>
      <w:bookmarkEnd w:id="137"/>
    </w:p>
    <w:p w:rsidR="009515FF" w:rsidRDefault="00B14AD4">
      <w:pPr>
        <w:pStyle w:val="yFootnoteheading"/>
      </w:pPr>
      <w:r>
        <w:tab/>
        <w:t>[Heading inserted: Gazette 4 Jun 2010 p. 2460.]</w:t>
      </w:r>
    </w:p>
    <w:p w:rsidR="00F67414" w:rsidRPr="00557A34" w:rsidRDefault="00F67414" w:rsidP="00717266">
      <w:pPr>
        <w:pStyle w:val="yEdnotedivision"/>
      </w:pPr>
      <w:bookmarkStart w:id="138" w:name="_Toc75423356"/>
      <w:r>
        <w:t>[Division 1 deleted: SL 2021/51 r. 1</w:t>
      </w:r>
      <w:r w:rsidR="009C1DED">
        <w:t>5</w:t>
      </w:r>
      <w:r>
        <w:t>.]</w:t>
      </w:r>
    </w:p>
    <w:p w:rsidR="009515FF" w:rsidRDefault="00B14AD4">
      <w:pPr>
        <w:pStyle w:val="yHeading3"/>
      </w:pPr>
      <w:bookmarkStart w:id="139" w:name="_Toc75423357"/>
      <w:bookmarkStart w:id="140" w:name="_Toc75426837"/>
      <w:bookmarkStart w:id="141" w:name="_Toc75528259"/>
      <w:bookmarkEnd w:id="138"/>
      <w:r>
        <w:rPr>
          <w:rStyle w:val="CharSDivNo"/>
        </w:rPr>
        <w:t>Division 2</w:t>
      </w:r>
      <w:r>
        <w:rPr>
          <w:b w:val="0"/>
        </w:rPr>
        <w:t> — </w:t>
      </w:r>
      <w:r>
        <w:rPr>
          <w:rStyle w:val="CharSDivText"/>
        </w:rPr>
        <w:t>Conservancy dues</w:t>
      </w:r>
      <w:bookmarkEnd w:id="139"/>
      <w:bookmarkEnd w:id="140"/>
      <w:bookmarkEnd w:id="141"/>
    </w:p>
    <w:p w:rsidR="009515FF" w:rsidRDefault="00B14AD4">
      <w:pPr>
        <w:pStyle w:val="yShoulderClause"/>
      </w:pPr>
      <w:r>
        <w:t>[r. 18]</w:t>
      </w:r>
    </w:p>
    <w:p w:rsidR="009515FF" w:rsidRDefault="00B14AD4">
      <w:pPr>
        <w:pStyle w:val="yFootnoteheading"/>
        <w:spacing w:after="40"/>
      </w:pPr>
      <w:r>
        <w:tab/>
        <w:t>[Heading inserted: Gazette 24 Jun 2005 p. 2776.]</w:t>
      </w:r>
    </w:p>
    <w:tbl>
      <w:tblPr>
        <w:tblW w:w="0" w:type="auto"/>
        <w:tblInd w:w="108" w:type="dxa"/>
        <w:tblLayout w:type="fixed"/>
        <w:tblLook w:val="0000" w:firstRow="0" w:lastRow="0" w:firstColumn="0" w:lastColumn="0" w:noHBand="0" w:noVBand="0"/>
      </w:tblPr>
      <w:tblGrid>
        <w:gridCol w:w="600"/>
        <w:gridCol w:w="5400"/>
        <w:gridCol w:w="946"/>
        <w:gridCol w:w="14"/>
      </w:tblGrid>
      <w:tr w:rsidR="009515FF">
        <w:trPr>
          <w:cantSplit/>
        </w:trPr>
        <w:tc>
          <w:tcPr>
            <w:tcW w:w="600" w:type="dxa"/>
          </w:tcPr>
          <w:p w:rsidR="009515FF" w:rsidRDefault="00B14AD4">
            <w:pPr>
              <w:pStyle w:val="yTableNAm"/>
              <w:spacing w:before="100"/>
            </w:pPr>
            <w:r>
              <w:t>1.</w:t>
            </w:r>
          </w:p>
        </w:tc>
        <w:tc>
          <w:tcPr>
            <w:tcW w:w="5400" w:type="dxa"/>
          </w:tcPr>
          <w:p w:rsidR="009515FF" w:rsidRDefault="00B14AD4">
            <w:pPr>
              <w:pStyle w:val="yTableNAm"/>
              <w:spacing w:before="100"/>
              <w:ind w:left="147"/>
            </w:pPr>
            <w:r>
              <w:t xml:space="preserve">Conservancy dues payable in respect of any vessel, other than a fishing vessel or a vessel referred to in regulation 18(1)(a) to (j), on the day of first entry of that vessel — </w:t>
            </w:r>
          </w:p>
        </w:tc>
        <w:tc>
          <w:tcPr>
            <w:tcW w:w="960" w:type="dxa"/>
            <w:gridSpan w:val="2"/>
          </w:tcPr>
          <w:p w:rsidR="009515FF" w:rsidRDefault="009515FF">
            <w:pPr>
              <w:pStyle w:val="yTableNAm"/>
              <w:spacing w:before="100"/>
            </w:pPr>
          </w:p>
        </w:tc>
      </w:tr>
      <w:tr w:rsidR="009515FF">
        <w:tblPrEx>
          <w:tblCellMar>
            <w:bottom w:w="113" w:type="dxa"/>
          </w:tblCellMar>
        </w:tblPrEx>
        <w:tc>
          <w:tcPr>
            <w:tcW w:w="600" w:type="dxa"/>
          </w:tcPr>
          <w:p w:rsidR="009515FF" w:rsidRDefault="009515FF">
            <w:pPr>
              <w:pStyle w:val="yTableNAm"/>
              <w:spacing w:before="100"/>
            </w:pPr>
          </w:p>
        </w:tc>
        <w:tc>
          <w:tcPr>
            <w:tcW w:w="5400" w:type="dxa"/>
          </w:tcPr>
          <w:p w:rsidR="009515FF" w:rsidRDefault="00B14AD4">
            <w:pPr>
              <w:pStyle w:val="yTableNAm"/>
              <w:tabs>
                <w:tab w:val="clear" w:pos="567"/>
                <w:tab w:val="left" w:pos="318"/>
                <w:tab w:val="left" w:pos="798"/>
              </w:tabs>
              <w:spacing w:before="80"/>
              <w:ind w:left="798" w:hanging="798"/>
            </w:pPr>
            <w:r>
              <w:tab/>
              <w:t>(a)</w:t>
            </w:r>
            <w:r>
              <w:tab/>
              <w:t xml:space="preserve">subject to paragraph (b), where the length overall of the vessel — </w:t>
            </w:r>
          </w:p>
        </w:tc>
        <w:tc>
          <w:tcPr>
            <w:tcW w:w="960" w:type="dxa"/>
            <w:gridSpan w:val="2"/>
          </w:tcPr>
          <w:p w:rsidR="009515FF" w:rsidRDefault="009515FF">
            <w:pPr>
              <w:pStyle w:val="yTableNAm"/>
              <w:spacing w:before="100"/>
            </w:pPr>
          </w:p>
        </w:tc>
      </w:tr>
      <w:tr w:rsidR="009515FF">
        <w:tblPrEx>
          <w:tblCellMar>
            <w:bottom w:w="113" w:type="dxa"/>
          </w:tblCellMar>
        </w:tblPrEx>
        <w:tc>
          <w:tcPr>
            <w:tcW w:w="600" w:type="dxa"/>
          </w:tcPr>
          <w:p w:rsidR="009515FF" w:rsidRDefault="009515FF">
            <w:pPr>
              <w:pStyle w:val="yTableNAm"/>
              <w:spacing w:before="100"/>
            </w:pPr>
          </w:p>
        </w:tc>
        <w:tc>
          <w:tcPr>
            <w:tcW w:w="5400" w:type="dxa"/>
          </w:tcPr>
          <w:p w:rsidR="009515FF" w:rsidRDefault="00B14AD4">
            <w:pPr>
              <w:pStyle w:val="yTableNAm"/>
              <w:tabs>
                <w:tab w:val="clear" w:pos="567"/>
                <w:tab w:val="left" w:pos="798"/>
                <w:tab w:val="left" w:pos="1278"/>
              </w:tabs>
              <w:spacing w:before="80"/>
              <w:ind w:left="1276" w:hanging="1276"/>
            </w:pPr>
            <w:r>
              <w:tab/>
              <w:t>(i)</w:t>
            </w:r>
            <w:r>
              <w:tab/>
              <w:t>does not exceed 6 m</w:t>
            </w:r>
          </w:p>
        </w:tc>
        <w:tc>
          <w:tcPr>
            <w:tcW w:w="960" w:type="dxa"/>
            <w:gridSpan w:val="2"/>
          </w:tcPr>
          <w:p w:rsidR="009515FF" w:rsidRDefault="00B14AD4">
            <w:pPr>
              <w:pStyle w:val="yTableNAm"/>
              <w:spacing w:before="100"/>
            </w:pPr>
            <w:r>
              <w:rPr>
                <w:szCs w:val="22"/>
              </w:rPr>
              <w:t>$136.20</w:t>
            </w:r>
          </w:p>
        </w:tc>
      </w:tr>
      <w:tr w:rsidR="009515FF">
        <w:tblPrEx>
          <w:tblCellMar>
            <w:bottom w:w="113" w:type="dxa"/>
          </w:tblCellMar>
        </w:tblPrEx>
        <w:tc>
          <w:tcPr>
            <w:tcW w:w="600" w:type="dxa"/>
          </w:tcPr>
          <w:p w:rsidR="009515FF" w:rsidRDefault="009515FF">
            <w:pPr>
              <w:pStyle w:val="yTableNAm"/>
              <w:spacing w:before="100"/>
            </w:pPr>
          </w:p>
        </w:tc>
        <w:tc>
          <w:tcPr>
            <w:tcW w:w="5400" w:type="dxa"/>
          </w:tcPr>
          <w:p w:rsidR="009515FF" w:rsidRDefault="00B14AD4">
            <w:pPr>
              <w:pStyle w:val="yTableNAm"/>
              <w:tabs>
                <w:tab w:val="clear" w:pos="567"/>
                <w:tab w:val="left" w:pos="798"/>
                <w:tab w:val="left" w:pos="1278"/>
              </w:tabs>
              <w:spacing w:before="80"/>
              <w:ind w:left="1276" w:hanging="1276"/>
            </w:pPr>
            <w:r>
              <w:tab/>
              <w:t>(ii)</w:t>
            </w:r>
            <w:r>
              <w:tab/>
              <w:t>exceeds 6 m but does not exceed 10 m</w:t>
            </w:r>
          </w:p>
        </w:tc>
        <w:tc>
          <w:tcPr>
            <w:tcW w:w="960" w:type="dxa"/>
            <w:gridSpan w:val="2"/>
          </w:tcPr>
          <w:p w:rsidR="009515FF" w:rsidRDefault="00B14AD4">
            <w:pPr>
              <w:pStyle w:val="yTableNAm"/>
              <w:spacing w:before="100"/>
            </w:pPr>
            <w:r>
              <w:rPr>
                <w:szCs w:val="22"/>
              </w:rPr>
              <w:t>$178.30</w:t>
            </w:r>
          </w:p>
        </w:tc>
      </w:tr>
      <w:tr w:rsidR="009515FF">
        <w:tblPrEx>
          <w:tblCellMar>
            <w:bottom w:w="113" w:type="dxa"/>
          </w:tblCellMar>
        </w:tblPrEx>
        <w:tc>
          <w:tcPr>
            <w:tcW w:w="600" w:type="dxa"/>
          </w:tcPr>
          <w:p w:rsidR="009515FF" w:rsidRDefault="009515FF">
            <w:pPr>
              <w:pStyle w:val="yTableNAm"/>
              <w:spacing w:before="100"/>
            </w:pPr>
          </w:p>
        </w:tc>
        <w:tc>
          <w:tcPr>
            <w:tcW w:w="5400" w:type="dxa"/>
          </w:tcPr>
          <w:p w:rsidR="009515FF" w:rsidRDefault="00B14AD4">
            <w:pPr>
              <w:pStyle w:val="yTableNAm"/>
              <w:tabs>
                <w:tab w:val="clear" w:pos="567"/>
                <w:tab w:val="left" w:pos="798"/>
                <w:tab w:val="left" w:pos="1278"/>
              </w:tabs>
              <w:spacing w:before="80"/>
              <w:ind w:left="1278" w:hanging="1278"/>
            </w:pPr>
            <w:r>
              <w:tab/>
              <w:t>(iii)</w:t>
            </w:r>
            <w:r>
              <w:tab/>
              <w:t>exceeds 10 m but does not exceed 20 m</w:t>
            </w:r>
          </w:p>
        </w:tc>
        <w:tc>
          <w:tcPr>
            <w:tcW w:w="960" w:type="dxa"/>
            <w:gridSpan w:val="2"/>
          </w:tcPr>
          <w:p w:rsidR="009515FF" w:rsidRDefault="00B14AD4">
            <w:pPr>
              <w:pStyle w:val="yTableNAm"/>
              <w:spacing w:before="100"/>
            </w:pPr>
            <w:r>
              <w:rPr>
                <w:szCs w:val="22"/>
              </w:rPr>
              <w:t>$260.90</w:t>
            </w:r>
          </w:p>
        </w:tc>
      </w:tr>
      <w:tr w:rsidR="009515FF">
        <w:tblPrEx>
          <w:tblCellMar>
            <w:bottom w:w="113" w:type="dxa"/>
          </w:tblCellMar>
        </w:tblPrEx>
        <w:tc>
          <w:tcPr>
            <w:tcW w:w="600" w:type="dxa"/>
          </w:tcPr>
          <w:p w:rsidR="009515FF" w:rsidRDefault="009515FF">
            <w:pPr>
              <w:pStyle w:val="yTableNAm"/>
              <w:spacing w:before="100"/>
            </w:pPr>
          </w:p>
        </w:tc>
        <w:tc>
          <w:tcPr>
            <w:tcW w:w="5400" w:type="dxa"/>
          </w:tcPr>
          <w:p w:rsidR="009515FF" w:rsidRDefault="00B14AD4">
            <w:pPr>
              <w:pStyle w:val="yTableNAm"/>
              <w:tabs>
                <w:tab w:val="clear" w:pos="567"/>
                <w:tab w:val="left" w:pos="798"/>
                <w:tab w:val="left" w:pos="1278"/>
              </w:tabs>
              <w:spacing w:before="80"/>
              <w:ind w:left="1276" w:hanging="1276"/>
            </w:pPr>
            <w:r>
              <w:tab/>
              <w:t>(iv)</w:t>
            </w:r>
            <w:r>
              <w:tab/>
              <w:t>exceeds 20 m but does not exceed 30 m</w:t>
            </w:r>
          </w:p>
        </w:tc>
        <w:tc>
          <w:tcPr>
            <w:tcW w:w="960" w:type="dxa"/>
            <w:gridSpan w:val="2"/>
          </w:tcPr>
          <w:p w:rsidR="009515FF" w:rsidRDefault="00B14AD4">
            <w:pPr>
              <w:pStyle w:val="yTableNAm"/>
              <w:spacing w:before="100"/>
            </w:pPr>
            <w:r>
              <w:rPr>
                <w:szCs w:val="22"/>
              </w:rPr>
              <w:t>$400.80</w:t>
            </w:r>
          </w:p>
        </w:tc>
      </w:tr>
      <w:tr w:rsidR="009515FF">
        <w:tblPrEx>
          <w:tblCellMar>
            <w:bottom w:w="113" w:type="dxa"/>
          </w:tblCellMar>
        </w:tblPrEx>
        <w:tc>
          <w:tcPr>
            <w:tcW w:w="600" w:type="dxa"/>
          </w:tcPr>
          <w:p w:rsidR="009515FF" w:rsidRDefault="009515FF">
            <w:pPr>
              <w:pStyle w:val="yTableNAm"/>
              <w:spacing w:before="100"/>
            </w:pPr>
          </w:p>
        </w:tc>
        <w:tc>
          <w:tcPr>
            <w:tcW w:w="5400" w:type="dxa"/>
          </w:tcPr>
          <w:p w:rsidR="009515FF" w:rsidRDefault="00B14AD4">
            <w:pPr>
              <w:pStyle w:val="yTableNAm"/>
              <w:tabs>
                <w:tab w:val="clear" w:pos="567"/>
                <w:tab w:val="left" w:pos="798"/>
                <w:tab w:val="left" w:pos="1278"/>
              </w:tabs>
              <w:spacing w:before="80"/>
              <w:ind w:left="1278" w:hanging="1278"/>
            </w:pPr>
            <w:r>
              <w:tab/>
              <w:t>(v)</w:t>
            </w:r>
            <w:r>
              <w:tab/>
              <w:t>exceeds 30 m but does not exceed 50 m</w:t>
            </w:r>
          </w:p>
        </w:tc>
        <w:tc>
          <w:tcPr>
            <w:tcW w:w="960" w:type="dxa"/>
            <w:gridSpan w:val="2"/>
          </w:tcPr>
          <w:p w:rsidR="009515FF" w:rsidRDefault="00B14AD4">
            <w:pPr>
              <w:pStyle w:val="yTableNAm"/>
              <w:spacing w:before="100"/>
            </w:pPr>
            <w:r>
              <w:rPr>
                <w:szCs w:val="22"/>
              </w:rPr>
              <w:t>$611.60</w:t>
            </w:r>
          </w:p>
        </w:tc>
      </w:tr>
      <w:tr w:rsidR="009515FF">
        <w:tblPrEx>
          <w:tblCellMar>
            <w:bottom w:w="113" w:type="dxa"/>
          </w:tblCellMar>
        </w:tblPrEx>
        <w:tc>
          <w:tcPr>
            <w:tcW w:w="600" w:type="dxa"/>
          </w:tcPr>
          <w:p w:rsidR="009515FF" w:rsidRDefault="009515FF">
            <w:pPr>
              <w:pStyle w:val="yTableNAm"/>
              <w:spacing w:before="100"/>
            </w:pPr>
          </w:p>
        </w:tc>
        <w:tc>
          <w:tcPr>
            <w:tcW w:w="5400" w:type="dxa"/>
          </w:tcPr>
          <w:p w:rsidR="009515FF" w:rsidRDefault="00B14AD4">
            <w:pPr>
              <w:pStyle w:val="yTableNAm"/>
              <w:tabs>
                <w:tab w:val="clear" w:pos="567"/>
                <w:tab w:val="left" w:pos="798"/>
                <w:tab w:val="left" w:pos="1278"/>
              </w:tabs>
              <w:spacing w:before="80"/>
              <w:ind w:left="1278" w:hanging="1278"/>
            </w:pPr>
            <w:r>
              <w:tab/>
              <w:t>(vi)</w:t>
            </w:r>
            <w:r>
              <w:tab/>
              <w:t>exceeds 50 m but does not exceed 70 m</w:t>
            </w:r>
          </w:p>
        </w:tc>
        <w:tc>
          <w:tcPr>
            <w:tcW w:w="960" w:type="dxa"/>
            <w:gridSpan w:val="2"/>
          </w:tcPr>
          <w:p w:rsidR="009515FF" w:rsidRDefault="00B14AD4">
            <w:pPr>
              <w:pStyle w:val="yTableNAm"/>
              <w:spacing w:before="100"/>
            </w:pPr>
            <w:r>
              <w:rPr>
                <w:szCs w:val="22"/>
              </w:rPr>
              <w:t>$955.80</w:t>
            </w:r>
          </w:p>
        </w:tc>
      </w:tr>
      <w:tr w:rsidR="009515FF">
        <w:tblPrEx>
          <w:tblCellMar>
            <w:bottom w:w="113" w:type="dxa"/>
          </w:tblCellMar>
        </w:tblPrEx>
        <w:trPr>
          <w:cantSplit/>
        </w:trPr>
        <w:tc>
          <w:tcPr>
            <w:tcW w:w="600" w:type="dxa"/>
          </w:tcPr>
          <w:p w:rsidR="009515FF" w:rsidRDefault="009515FF">
            <w:pPr>
              <w:pStyle w:val="yTableNAm"/>
              <w:spacing w:before="100"/>
            </w:pPr>
          </w:p>
        </w:tc>
        <w:tc>
          <w:tcPr>
            <w:tcW w:w="5400" w:type="dxa"/>
          </w:tcPr>
          <w:p w:rsidR="009515FF" w:rsidRDefault="00B14AD4">
            <w:pPr>
              <w:pStyle w:val="yTableNAm"/>
              <w:keepLines/>
              <w:tabs>
                <w:tab w:val="clear" w:pos="567"/>
                <w:tab w:val="left" w:pos="318"/>
                <w:tab w:val="left" w:pos="798"/>
              </w:tabs>
              <w:spacing w:before="80"/>
              <w:ind w:left="798" w:hanging="798"/>
            </w:pPr>
            <w:r>
              <w:tab/>
              <w:t>(b)</w:t>
            </w:r>
            <w:r>
              <w:tab/>
              <w:t>where vessel enters port for coal, fuel oil, supplies or orders, and not loading or unloading cargo or taking on more than 10 passengers</w:t>
            </w:r>
          </w:p>
        </w:tc>
        <w:tc>
          <w:tcPr>
            <w:tcW w:w="960" w:type="dxa"/>
            <w:gridSpan w:val="2"/>
          </w:tcPr>
          <w:p w:rsidR="009515FF" w:rsidRDefault="00B14AD4">
            <w:pPr>
              <w:pStyle w:val="yTableNAm"/>
              <w:keepNext/>
              <w:spacing w:before="100"/>
            </w:pPr>
            <w:r>
              <w:br/>
            </w:r>
            <w:r>
              <w:br/>
            </w:r>
            <w:r>
              <w:rPr>
                <w:szCs w:val="22"/>
              </w:rPr>
              <w:t>$121.20</w:t>
            </w:r>
          </w:p>
        </w:tc>
      </w:tr>
      <w:tr w:rsidR="009515FF">
        <w:tblPrEx>
          <w:tblCellMar>
            <w:left w:w="107" w:type="dxa"/>
            <w:right w:w="107" w:type="dxa"/>
          </w:tblCellMar>
        </w:tblPrEx>
        <w:trPr>
          <w:cantSplit/>
        </w:trPr>
        <w:tc>
          <w:tcPr>
            <w:tcW w:w="600" w:type="dxa"/>
          </w:tcPr>
          <w:p w:rsidR="009515FF" w:rsidRDefault="00B14AD4">
            <w:pPr>
              <w:pStyle w:val="yTableNAm"/>
              <w:keepNext/>
              <w:spacing w:before="100"/>
            </w:pPr>
            <w:r>
              <w:t>2.</w:t>
            </w:r>
          </w:p>
        </w:tc>
        <w:tc>
          <w:tcPr>
            <w:tcW w:w="5400" w:type="dxa"/>
          </w:tcPr>
          <w:p w:rsidR="009515FF" w:rsidRDefault="00B14AD4">
            <w:pPr>
              <w:pStyle w:val="yTableNAm"/>
              <w:keepNext/>
              <w:spacing w:before="100"/>
              <w:ind w:left="147"/>
            </w:pPr>
            <w:r>
              <w:t>Conservancy dues payable in advance in respect of vessels engaged in pearl fishing north of North West Cape — </w:t>
            </w:r>
          </w:p>
        </w:tc>
        <w:tc>
          <w:tcPr>
            <w:tcW w:w="960" w:type="dxa"/>
            <w:gridSpan w:val="2"/>
          </w:tcPr>
          <w:p w:rsidR="009515FF" w:rsidRDefault="009515FF">
            <w:pPr>
              <w:pStyle w:val="yTableNAm"/>
              <w:keepNext/>
              <w:spacing w:before="100"/>
            </w:pPr>
          </w:p>
        </w:tc>
      </w:tr>
      <w:tr w:rsidR="009515FF">
        <w:tblPrEx>
          <w:tblCellMar>
            <w:left w:w="107" w:type="dxa"/>
            <w:right w:w="107" w:type="dxa"/>
          </w:tblCellMar>
        </w:tblPrEx>
        <w:trPr>
          <w:cantSplit/>
        </w:trPr>
        <w:tc>
          <w:tcPr>
            <w:tcW w:w="600" w:type="dxa"/>
          </w:tcPr>
          <w:p w:rsidR="009515FF" w:rsidRDefault="009515FF">
            <w:pPr>
              <w:pStyle w:val="yTableNAm"/>
              <w:spacing w:before="100"/>
            </w:pPr>
          </w:p>
        </w:tc>
        <w:tc>
          <w:tcPr>
            <w:tcW w:w="5400" w:type="dxa"/>
          </w:tcPr>
          <w:p w:rsidR="009515FF" w:rsidRDefault="00B14AD4">
            <w:pPr>
              <w:pStyle w:val="yTableNAm"/>
              <w:tabs>
                <w:tab w:val="clear" w:pos="567"/>
                <w:tab w:val="left" w:pos="318"/>
                <w:tab w:val="left" w:pos="798"/>
              </w:tabs>
              <w:spacing w:before="80"/>
              <w:ind w:left="798" w:hanging="798"/>
            </w:pPr>
            <w:r>
              <w:tab/>
              <w:t>(a)</w:t>
            </w:r>
            <w:r>
              <w:tab/>
              <w:t>Storeships, for each period of 12 months ending on 31 December, in any year</w:t>
            </w:r>
          </w:p>
        </w:tc>
        <w:tc>
          <w:tcPr>
            <w:tcW w:w="960" w:type="dxa"/>
            <w:gridSpan w:val="2"/>
          </w:tcPr>
          <w:p w:rsidR="009515FF" w:rsidRDefault="00B14AD4">
            <w:pPr>
              <w:pStyle w:val="yTableNAm"/>
              <w:spacing w:before="100"/>
            </w:pPr>
            <w:r>
              <w:br/>
              <w:t>$13.64</w:t>
            </w:r>
          </w:p>
        </w:tc>
      </w:tr>
      <w:tr w:rsidR="009515FF">
        <w:tblPrEx>
          <w:tblCellMar>
            <w:left w:w="107" w:type="dxa"/>
            <w:right w:w="107" w:type="dxa"/>
          </w:tblCellMar>
        </w:tblPrEx>
        <w:tc>
          <w:tcPr>
            <w:tcW w:w="600" w:type="dxa"/>
          </w:tcPr>
          <w:p w:rsidR="009515FF" w:rsidRDefault="009515FF">
            <w:pPr>
              <w:pStyle w:val="yTableNAm"/>
              <w:spacing w:before="100"/>
            </w:pPr>
          </w:p>
        </w:tc>
        <w:tc>
          <w:tcPr>
            <w:tcW w:w="5400" w:type="dxa"/>
          </w:tcPr>
          <w:p w:rsidR="009515FF" w:rsidRDefault="00B14AD4">
            <w:pPr>
              <w:pStyle w:val="yTableNAm"/>
              <w:tabs>
                <w:tab w:val="clear" w:pos="567"/>
                <w:tab w:val="left" w:pos="318"/>
                <w:tab w:val="left" w:pos="798"/>
              </w:tabs>
              <w:spacing w:before="80"/>
              <w:ind w:left="799" w:hanging="799"/>
            </w:pPr>
            <w:r>
              <w:tab/>
              <w:t>(b)</w:t>
            </w:r>
            <w:r>
              <w:tab/>
              <w:t>Other pearl fishing vessels, for each period of 6 months ending on 30 June and 31 December respectively, in any year</w:t>
            </w:r>
          </w:p>
        </w:tc>
        <w:tc>
          <w:tcPr>
            <w:tcW w:w="960" w:type="dxa"/>
            <w:gridSpan w:val="2"/>
          </w:tcPr>
          <w:p w:rsidR="009515FF" w:rsidRDefault="00B14AD4">
            <w:pPr>
              <w:pStyle w:val="yTableNAm"/>
              <w:spacing w:before="100"/>
            </w:pPr>
            <w:r>
              <w:br/>
            </w:r>
            <w:r>
              <w:br/>
              <w:t>$6.37</w:t>
            </w:r>
          </w:p>
        </w:tc>
      </w:tr>
      <w:tr w:rsidR="009515FF">
        <w:tc>
          <w:tcPr>
            <w:tcW w:w="600" w:type="dxa"/>
          </w:tcPr>
          <w:p w:rsidR="009515FF" w:rsidRDefault="00B14AD4">
            <w:pPr>
              <w:pStyle w:val="yTableNAm"/>
              <w:spacing w:before="100"/>
            </w:pPr>
            <w:r>
              <w:lastRenderedPageBreak/>
              <w:t>3.</w:t>
            </w:r>
          </w:p>
        </w:tc>
        <w:tc>
          <w:tcPr>
            <w:tcW w:w="6360" w:type="dxa"/>
            <w:gridSpan w:val="3"/>
          </w:tcPr>
          <w:p w:rsidR="009515FF" w:rsidRDefault="00B14AD4">
            <w:pPr>
              <w:pStyle w:val="yTableNAm"/>
              <w:spacing w:before="100"/>
              <w:ind w:left="147"/>
            </w:pPr>
            <w:r>
              <w:t xml:space="preserve">Conservancy dues payable in respect of the use by a fishing vessel of — </w:t>
            </w:r>
          </w:p>
        </w:tc>
      </w:tr>
      <w:tr w:rsidR="009515FF">
        <w:tc>
          <w:tcPr>
            <w:tcW w:w="600" w:type="dxa"/>
          </w:tcPr>
          <w:p w:rsidR="009515FF" w:rsidRDefault="009515FF">
            <w:pPr>
              <w:pStyle w:val="yTableNAm"/>
              <w:spacing w:before="60"/>
            </w:pPr>
          </w:p>
        </w:tc>
        <w:tc>
          <w:tcPr>
            <w:tcW w:w="6360" w:type="dxa"/>
            <w:gridSpan w:val="3"/>
          </w:tcPr>
          <w:p w:rsidR="009515FF" w:rsidRDefault="00B14AD4">
            <w:pPr>
              <w:pStyle w:val="yTableNAm"/>
              <w:numPr>
                <w:ilvl w:val="0"/>
                <w:numId w:val="26"/>
              </w:numPr>
              <w:tabs>
                <w:tab w:val="clear" w:pos="567"/>
                <w:tab w:val="clear" w:pos="720"/>
                <w:tab w:val="num" w:pos="546"/>
              </w:tabs>
              <w:spacing w:before="80"/>
              <w:ind w:left="544" w:hanging="397"/>
            </w:pPr>
            <w:r>
              <w:t>the Emu Point Fishing Boat Harbour, Albany; or</w:t>
            </w:r>
          </w:p>
          <w:p w:rsidR="009515FF" w:rsidRDefault="00B14AD4">
            <w:pPr>
              <w:pStyle w:val="yTableNAm"/>
              <w:numPr>
                <w:ilvl w:val="0"/>
                <w:numId w:val="26"/>
              </w:numPr>
              <w:tabs>
                <w:tab w:val="clear" w:pos="567"/>
                <w:tab w:val="clear" w:pos="720"/>
                <w:tab w:val="num" w:pos="546"/>
              </w:tabs>
              <w:spacing w:before="80"/>
              <w:ind w:left="544" w:hanging="397"/>
            </w:pPr>
            <w:r>
              <w:t>the Fishing Boat Harbour, Carnarvon; or</w:t>
            </w:r>
          </w:p>
          <w:p w:rsidR="009515FF" w:rsidRDefault="00B14AD4">
            <w:pPr>
              <w:pStyle w:val="yTableNAm"/>
              <w:numPr>
                <w:ilvl w:val="0"/>
                <w:numId w:val="26"/>
              </w:numPr>
              <w:tabs>
                <w:tab w:val="clear" w:pos="567"/>
                <w:tab w:val="clear" w:pos="720"/>
                <w:tab w:val="num" w:pos="546"/>
              </w:tabs>
              <w:spacing w:before="80"/>
              <w:ind w:left="544" w:hanging="397"/>
            </w:pPr>
            <w:r>
              <w:t>the Bandy Creek Small Boat Harbour, Esperance; or</w:t>
            </w:r>
          </w:p>
          <w:p w:rsidR="009515FF" w:rsidRDefault="00B14AD4">
            <w:pPr>
              <w:pStyle w:val="yTableNAm"/>
              <w:numPr>
                <w:ilvl w:val="0"/>
                <w:numId w:val="26"/>
              </w:numPr>
              <w:tabs>
                <w:tab w:val="clear" w:pos="567"/>
                <w:tab w:val="clear" w:pos="720"/>
                <w:tab w:val="num" w:pos="546"/>
              </w:tabs>
              <w:spacing w:before="80"/>
              <w:ind w:left="544" w:hanging="397"/>
            </w:pPr>
            <w:r>
              <w:t>the Fishing Boat Harbour, Fremantle; or</w:t>
            </w:r>
          </w:p>
          <w:p w:rsidR="009515FF" w:rsidRDefault="00B14AD4">
            <w:pPr>
              <w:pStyle w:val="yTableNAm"/>
              <w:numPr>
                <w:ilvl w:val="0"/>
                <w:numId w:val="26"/>
              </w:numPr>
              <w:tabs>
                <w:tab w:val="clear" w:pos="567"/>
                <w:tab w:val="clear" w:pos="720"/>
                <w:tab w:val="num" w:pos="546"/>
              </w:tabs>
              <w:spacing w:before="80"/>
              <w:ind w:left="544" w:hanging="397"/>
            </w:pPr>
            <w:r>
              <w:t>the Inner Harbour, Geraldton; or</w:t>
            </w:r>
          </w:p>
          <w:p w:rsidR="009515FF" w:rsidRDefault="00B14AD4">
            <w:pPr>
              <w:pStyle w:val="yTableNAm"/>
              <w:numPr>
                <w:ilvl w:val="0"/>
                <w:numId w:val="26"/>
              </w:numPr>
              <w:tabs>
                <w:tab w:val="clear" w:pos="567"/>
                <w:tab w:val="clear" w:pos="720"/>
                <w:tab w:val="num" w:pos="546"/>
              </w:tabs>
              <w:spacing w:before="80"/>
              <w:ind w:left="544" w:hanging="397"/>
            </w:pPr>
            <w:r>
              <w:t>the Fishing Boat Harbour, Port Denison,</w:t>
            </w:r>
          </w:p>
        </w:tc>
      </w:tr>
      <w:tr w:rsidR="009515FF">
        <w:tc>
          <w:tcPr>
            <w:tcW w:w="600" w:type="dxa"/>
          </w:tcPr>
          <w:p w:rsidR="009515FF" w:rsidRDefault="009515FF">
            <w:pPr>
              <w:pStyle w:val="yTableNAm"/>
              <w:spacing w:before="100"/>
            </w:pPr>
          </w:p>
        </w:tc>
        <w:tc>
          <w:tcPr>
            <w:tcW w:w="6360" w:type="dxa"/>
            <w:gridSpan w:val="3"/>
          </w:tcPr>
          <w:p w:rsidR="009515FF" w:rsidRDefault="00B14AD4">
            <w:pPr>
              <w:pStyle w:val="yTableNAm"/>
              <w:spacing w:before="100"/>
              <w:ind w:left="147"/>
            </w:pPr>
            <w:r>
              <w:t xml:space="preserve">for a period of 12 months ending on 30 June, where the length overall of the vessel — </w:t>
            </w:r>
          </w:p>
        </w:tc>
      </w:tr>
      <w:tr w:rsidR="009515FF">
        <w:tblPrEx>
          <w:tblCellMar>
            <w:bottom w:w="113" w:type="dxa"/>
          </w:tblCellMar>
        </w:tblPrEx>
        <w:trPr>
          <w:gridAfter w:val="1"/>
          <w:wAfter w:w="14" w:type="dxa"/>
        </w:trPr>
        <w:tc>
          <w:tcPr>
            <w:tcW w:w="600" w:type="dxa"/>
          </w:tcPr>
          <w:p w:rsidR="009515FF" w:rsidRDefault="009515FF">
            <w:pPr>
              <w:pStyle w:val="yTableNAm"/>
              <w:spacing w:before="100"/>
            </w:pPr>
          </w:p>
        </w:tc>
        <w:tc>
          <w:tcPr>
            <w:tcW w:w="5400" w:type="dxa"/>
          </w:tcPr>
          <w:p w:rsidR="009515FF" w:rsidRDefault="00B14AD4">
            <w:pPr>
              <w:pStyle w:val="yTableNAm"/>
              <w:tabs>
                <w:tab w:val="clear" w:pos="567"/>
                <w:tab w:val="left" w:pos="318"/>
                <w:tab w:val="left" w:pos="798"/>
              </w:tabs>
              <w:spacing w:before="80"/>
              <w:ind w:left="799" w:hanging="799"/>
            </w:pPr>
            <w:r>
              <w:tab/>
              <w:t>(a)</w:t>
            </w:r>
            <w:r>
              <w:tab/>
              <w:t>does not exceed 6 m</w:t>
            </w:r>
          </w:p>
        </w:tc>
        <w:tc>
          <w:tcPr>
            <w:tcW w:w="946" w:type="dxa"/>
          </w:tcPr>
          <w:p w:rsidR="009515FF" w:rsidRDefault="00B14AD4">
            <w:pPr>
              <w:pStyle w:val="yTableNAm"/>
              <w:spacing w:before="80"/>
            </w:pPr>
            <w:r>
              <w:rPr>
                <w:szCs w:val="22"/>
              </w:rPr>
              <w:t>$136.20</w:t>
            </w:r>
          </w:p>
        </w:tc>
      </w:tr>
      <w:tr w:rsidR="009515FF">
        <w:tblPrEx>
          <w:tblCellMar>
            <w:bottom w:w="113" w:type="dxa"/>
          </w:tblCellMar>
        </w:tblPrEx>
        <w:trPr>
          <w:gridAfter w:val="1"/>
          <w:wAfter w:w="14" w:type="dxa"/>
        </w:trPr>
        <w:tc>
          <w:tcPr>
            <w:tcW w:w="600" w:type="dxa"/>
          </w:tcPr>
          <w:p w:rsidR="009515FF" w:rsidRDefault="009515FF">
            <w:pPr>
              <w:pStyle w:val="yTableNAm"/>
              <w:spacing w:before="100"/>
            </w:pPr>
          </w:p>
        </w:tc>
        <w:tc>
          <w:tcPr>
            <w:tcW w:w="5400" w:type="dxa"/>
          </w:tcPr>
          <w:p w:rsidR="009515FF" w:rsidRDefault="00B14AD4">
            <w:pPr>
              <w:pStyle w:val="yTableNAm"/>
              <w:tabs>
                <w:tab w:val="clear" w:pos="567"/>
                <w:tab w:val="left" w:pos="318"/>
                <w:tab w:val="left" w:pos="798"/>
              </w:tabs>
              <w:spacing w:before="80"/>
              <w:ind w:left="798" w:hanging="798"/>
            </w:pPr>
            <w:r>
              <w:tab/>
              <w:t>(b)</w:t>
            </w:r>
            <w:r>
              <w:tab/>
              <w:t>exceeds 6 m but does not exceed 10 m</w:t>
            </w:r>
          </w:p>
        </w:tc>
        <w:tc>
          <w:tcPr>
            <w:tcW w:w="946" w:type="dxa"/>
          </w:tcPr>
          <w:p w:rsidR="009515FF" w:rsidRDefault="00B14AD4">
            <w:pPr>
              <w:pStyle w:val="yTableNAm"/>
              <w:spacing w:before="80"/>
            </w:pPr>
            <w:r>
              <w:rPr>
                <w:szCs w:val="22"/>
              </w:rPr>
              <w:t>$178.30</w:t>
            </w:r>
          </w:p>
        </w:tc>
      </w:tr>
      <w:tr w:rsidR="009515FF">
        <w:tblPrEx>
          <w:tblCellMar>
            <w:bottom w:w="113" w:type="dxa"/>
          </w:tblCellMar>
        </w:tblPrEx>
        <w:trPr>
          <w:gridAfter w:val="1"/>
          <w:wAfter w:w="14" w:type="dxa"/>
        </w:trPr>
        <w:tc>
          <w:tcPr>
            <w:tcW w:w="600" w:type="dxa"/>
          </w:tcPr>
          <w:p w:rsidR="009515FF" w:rsidRDefault="009515FF">
            <w:pPr>
              <w:pStyle w:val="yTableNAm"/>
              <w:spacing w:before="100"/>
            </w:pPr>
          </w:p>
        </w:tc>
        <w:tc>
          <w:tcPr>
            <w:tcW w:w="5400" w:type="dxa"/>
          </w:tcPr>
          <w:p w:rsidR="009515FF" w:rsidRDefault="00B14AD4">
            <w:pPr>
              <w:pStyle w:val="yTableNAm"/>
              <w:tabs>
                <w:tab w:val="clear" w:pos="567"/>
                <w:tab w:val="left" w:pos="318"/>
                <w:tab w:val="left" w:pos="798"/>
              </w:tabs>
              <w:spacing w:before="80"/>
              <w:ind w:left="798" w:hanging="798"/>
            </w:pPr>
            <w:r>
              <w:tab/>
              <w:t>(c)</w:t>
            </w:r>
            <w:r>
              <w:tab/>
              <w:t>exceeds 10 m but does not exceed 20 m</w:t>
            </w:r>
          </w:p>
        </w:tc>
        <w:tc>
          <w:tcPr>
            <w:tcW w:w="946" w:type="dxa"/>
          </w:tcPr>
          <w:p w:rsidR="009515FF" w:rsidRDefault="00B14AD4">
            <w:pPr>
              <w:pStyle w:val="yTableNAm"/>
              <w:spacing w:before="80"/>
            </w:pPr>
            <w:r>
              <w:rPr>
                <w:szCs w:val="22"/>
              </w:rPr>
              <w:t>$260.90</w:t>
            </w:r>
          </w:p>
        </w:tc>
      </w:tr>
      <w:tr w:rsidR="009515FF">
        <w:tblPrEx>
          <w:tblCellMar>
            <w:bottom w:w="113" w:type="dxa"/>
          </w:tblCellMar>
        </w:tblPrEx>
        <w:trPr>
          <w:gridAfter w:val="1"/>
          <w:wAfter w:w="14" w:type="dxa"/>
        </w:trPr>
        <w:tc>
          <w:tcPr>
            <w:tcW w:w="600" w:type="dxa"/>
          </w:tcPr>
          <w:p w:rsidR="009515FF" w:rsidRDefault="009515FF">
            <w:pPr>
              <w:pStyle w:val="yTableNAm"/>
              <w:spacing w:before="100"/>
            </w:pPr>
          </w:p>
        </w:tc>
        <w:tc>
          <w:tcPr>
            <w:tcW w:w="5400" w:type="dxa"/>
          </w:tcPr>
          <w:p w:rsidR="009515FF" w:rsidRDefault="00B14AD4">
            <w:pPr>
              <w:pStyle w:val="yTableNAm"/>
              <w:tabs>
                <w:tab w:val="clear" w:pos="567"/>
                <w:tab w:val="left" w:pos="318"/>
                <w:tab w:val="left" w:pos="798"/>
              </w:tabs>
              <w:spacing w:before="80"/>
              <w:ind w:left="798" w:hanging="798"/>
            </w:pPr>
            <w:r>
              <w:tab/>
              <w:t>(d)</w:t>
            </w:r>
            <w:r>
              <w:tab/>
              <w:t>exceeds 20 m but does not exceed 30 m</w:t>
            </w:r>
          </w:p>
        </w:tc>
        <w:tc>
          <w:tcPr>
            <w:tcW w:w="946" w:type="dxa"/>
          </w:tcPr>
          <w:p w:rsidR="009515FF" w:rsidRDefault="00B14AD4">
            <w:pPr>
              <w:pStyle w:val="yTableNAm"/>
              <w:spacing w:before="80"/>
            </w:pPr>
            <w:r>
              <w:rPr>
                <w:szCs w:val="22"/>
              </w:rPr>
              <w:t>$400.80</w:t>
            </w:r>
          </w:p>
        </w:tc>
      </w:tr>
      <w:tr w:rsidR="009515FF">
        <w:tblPrEx>
          <w:tblCellMar>
            <w:bottom w:w="113" w:type="dxa"/>
          </w:tblCellMar>
        </w:tblPrEx>
        <w:trPr>
          <w:gridAfter w:val="1"/>
          <w:wAfter w:w="14" w:type="dxa"/>
        </w:trPr>
        <w:tc>
          <w:tcPr>
            <w:tcW w:w="600" w:type="dxa"/>
          </w:tcPr>
          <w:p w:rsidR="009515FF" w:rsidRDefault="009515FF">
            <w:pPr>
              <w:pStyle w:val="yTableNAm"/>
              <w:spacing w:before="100"/>
            </w:pPr>
          </w:p>
        </w:tc>
        <w:tc>
          <w:tcPr>
            <w:tcW w:w="5400" w:type="dxa"/>
          </w:tcPr>
          <w:p w:rsidR="009515FF" w:rsidRDefault="00B14AD4">
            <w:pPr>
              <w:pStyle w:val="yTableNAm"/>
              <w:tabs>
                <w:tab w:val="clear" w:pos="567"/>
                <w:tab w:val="left" w:pos="318"/>
                <w:tab w:val="left" w:pos="798"/>
              </w:tabs>
              <w:spacing w:before="80"/>
              <w:ind w:left="798" w:hanging="798"/>
            </w:pPr>
            <w:r>
              <w:tab/>
              <w:t>(e)</w:t>
            </w:r>
            <w:r>
              <w:tab/>
              <w:t>exceeds 30 m but does not exceed 50 m</w:t>
            </w:r>
          </w:p>
        </w:tc>
        <w:tc>
          <w:tcPr>
            <w:tcW w:w="946" w:type="dxa"/>
          </w:tcPr>
          <w:p w:rsidR="009515FF" w:rsidRDefault="00B14AD4">
            <w:pPr>
              <w:pStyle w:val="yTableNAm"/>
              <w:spacing w:before="80"/>
            </w:pPr>
            <w:r>
              <w:rPr>
                <w:szCs w:val="22"/>
              </w:rPr>
              <w:t>$611.60</w:t>
            </w:r>
          </w:p>
        </w:tc>
      </w:tr>
      <w:tr w:rsidR="009515FF">
        <w:tblPrEx>
          <w:tblCellMar>
            <w:bottom w:w="113" w:type="dxa"/>
          </w:tblCellMar>
        </w:tblPrEx>
        <w:trPr>
          <w:gridAfter w:val="1"/>
          <w:wAfter w:w="14" w:type="dxa"/>
        </w:trPr>
        <w:tc>
          <w:tcPr>
            <w:tcW w:w="600" w:type="dxa"/>
          </w:tcPr>
          <w:p w:rsidR="009515FF" w:rsidRDefault="009515FF">
            <w:pPr>
              <w:pStyle w:val="yTableNAm"/>
              <w:spacing w:before="100"/>
            </w:pPr>
          </w:p>
        </w:tc>
        <w:tc>
          <w:tcPr>
            <w:tcW w:w="5400" w:type="dxa"/>
          </w:tcPr>
          <w:p w:rsidR="009515FF" w:rsidRDefault="00B14AD4">
            <w:pPr>
              <w:pStyle w:val="yTableNAm"/>
              <w:tabs>
                <w:tab w:val="clear" w:pos="567"/>
                <w:tab w:val="left" w:pos="318"/>
                <w:tab w:val="left" w:pos="798"/>
              </w:tabs>
              <w:spacing w:before="80"/>
              <w:ind w:left="799" w:hanging="799"/>
            </w:pPr>
            <w:r>
              <w:tab/>
              <w:t>(f)</w:t>
            </w:r>
            <w:r>
              <w:tab/>
              <w:t>exceeds 50 m</w:t>
            </w:r>
          </w:p>
        </w:tc>
        <w:tc>
          <w:tcPr>
            <w:tcW w:w="946" w:type="dxa"/>
          </w:tcPr>
          <w:p w:rsidR="009515FF" w:rsidRDefault="00B14AD4">
            <w:pPr>
              <w:pStyle w:val="yTableNAm"/>
              <w:spacing w:before="80"/>
            </w:pPr>
            <w:r>
              <w:rPr>
                <w:szCs w:val="22"/>
              </w:rPr>
              <w:t>$955.80</w:t>
            </w:r>
          </w:p>
        </w:tc>
      </w:tr>
    </w:tbl>
    <w:p w:rsidR="009515FF" w:rsidRDefault="00B14AD4">
      <w:pPr>
        <w:pStyle w:val="yFootnotesection"/>
      </w:pPr>
      <w:r>
        <w:tab/>
        <w:t>[Division 2 inserted: Gazette 24 Jun 2005 p. 2776</w:t>
      </w:r>
      <w:r>
        <w:noBreakHyphen/>
        <w:t>7; amended: Gazette 23 Jun 2006 p. 2210</w:t>
      </w:r>
      <w:r>
        <w:noBreakHyphen/>
        <w:t>11; 12 Jun 2007 p. 2722; 1 Jul 2008 p. 3158</w:t>
      </w:r>
      <w:r>
        <w:noBreakHyphen/>
        <w:t>9; 12 Jun 2009 p. 2118; 14 May 2010 p. 2017</w:t>
      </w:r>
      <w:r>
        <w:noBreakHyphen/>
        <w:t>18; 30 Jun 2010 p. 3172</w:t>
      </w:r>
      <w:r>
        <w:noBreakHyphen/>
        <w:t>3; 21 Jun 2011 p. 2243; 15 Jun 2012 p. 2527; 28 Jun 2013 p. 2769; 16 Sep 2016 p. 3945.]</w:t>
      </w:r>
    </w:p>
    <w:p w:rsidR="009515FF" w:rsidRDefault="009515FF">
      <w:pPr>
        <w:pStyle w:val="yScheduleHeading"/>
        <w:tabs>
          <w:tab w:val="left" w:pos="798"/>
          <w:tab w:val="left" w:pos="1278"/>
        </w:tabs>
        <w:ind w:left="1278" w:hanging="1278"/>
        <w:sectPr w:rsidR="009515FF">
          <w:headerReference w:type="even" r:id="rId38"/>
          <w:headerReference w:type="default" r:id="rId39"/>
          <w:pgSz w:w="11907" w:h="16840" w:code="9"/>
          <w:pgMar w:top="2376" w:right="2405" w:bottom="3542" w:left="2405" w:header="706" w:footer="3380" w:gutter="0"/>
          <w:cols w:space="720"/>
          <w:noEndnote/>
          <w:docGrid w:linePitch="326"/>
        </w:sectPr>
      </w:pPr>
    </w:p>
    <w:p w:rsidR="009515FF" w:rsidRDefault="00B14AD4">
      <w:pPr>
        <w:pStyle w:val="yScheduleHeading"/>
      </w:pPr>
      <w:bookmarkStart w:id="142" w:name="_Toc75423358"/>
      <w:bookmarkStart w:id="143" w:name="_Toc75426838"/>
      <w:bookmarkStart w:id="144" w:name="_Toc75528260"/>
      <w:r>
        <w:rPr>
          <w:rStyle w:val="CharSchNo"/>
        </w:rPr>
        <w:lastRenderedPageBreak/>
        <w:t>Schedule 4</w:t>
      </w:r>
      <w:r>
        <w:t> — </w:t>
      </w:r>
      <w:r>
        <w:rPr>
          <w:rStyle w:val="CharSchText"/>
        </w:rPr>
        <w:t>Specified countries</w:t>
      </w:r>
      <w:bookmarkEnd w:id="142"/>
      <w:bookmarkEnd w:id="143"/>
      <w:bookmarkEnd w:id="144"/>
    </w:p>
    <w:p w:rsidR="009515FF" w:rsidRDefault="00B14AD4">
      <w:pPr>
        <w:pStyle w:val="yShoulderClause"/>
      </w:pPr>
      <w:r>
        <w:t>[r. 18A(1)(a)]</w:t>
      </w:r>
    </w:p>
    <w:p w:rsidR="009515FF" w:rsidRDefault="00B14AD4">
      <w:pPr>
        <w:pStyle w:val="yFootnoteheading"/>
      </w:pPr>
      <w:r>
        <w:tab/>
        <w:t>[Heading inserted: Gazette 4 Jun 2010 p. 2460.]</w:t>
      </w:r>
    </w:p>
    <w:p w:rsidR="009515FF" w:rsidRDefault="00B14AD4">
      <w:pPr>
        <w:pStyle w:val="yMiscellaneousBody"/>
        <w:tabs>
          <w:tab w:val="left" w:pos="600"/>
        </w:tabs>
      </w:pPr>
      <w:r>
        <w:t>A country within the Commonwealth of Nations</w:t>
      </w:r>
    </w:p>
    <w:p w:rsidR="009515FF" w:rsidRDefault="00B14AD4">
      <w:pPr>
        <w:pStyle w:val="yMiscellaneousBody"/>
        <w:tabs>
          <w:tab w:val="left" w:pos="600"/>
        </w:tabs>
      </w:pPr>
      <w:r>
        <w:t>Belgium</w:t>
      </w:r>
    </w:p>
    <w:p w:rsidR="009515FF" w:rsidRDefault="00B14AD4">
      <w:pPr>
        <w:pStyle w:val="yMiscellaneousBody"/>
        <w:tabs>
          <w:tab w:val="left" w:pos="600"/>
        </w:tabs>
      </w:pPr>
      <w:r>
        <w:t>Burma</w:t>
      </w:r>
    </w:p>
    <w:p w:rsidR="009515FF" w:rsidRDefault="00B14AD4">
      <w:pPr>
        <w:pStyle w:val="yMiscellaneousBody"/>
        <w:tabs>
          <w:tab w:val="left" w:pos="600"/>
        </w:tabs>
      </w:pPr>
      <w:r>
        <w:t>Denmark</w:t>
      </w:r>
    </w:p>
    <w:p w:rsidR="009515FF" w:rsidRDefault="00B14AD4">
      <w:pPr>
        <w:pStyle w:val="yMiscellaneousBody"/>
        <w:tabs>
          <w:tab w:val="left" w:pos="600"/>
        </w:tabs>
      </w:pPr>
      <w:r>
        <w:t>Finland</w:t>
      </w:r>
    </w:p>
    <w:p w:rsidR="009515FF" w:rsidRDefault="00B14AD4">
      <w:pPr>
        <w:pStyle w:val="yMiscellaneousBody"/>
        <w:tabs>
          <w:tab w:val="left" w:pos="600"/>
        </w:tabs>
      </w:pPr>
      <w:r>
        <w:t>Federal Republic of Germany</w:t>
      </w:r>
    </w:p>
    <w:p w:rsidR="009515FF" w:rsidRDefault="00B14AD4">
      <w:pPr>
        <w:pStyle w:val="yMiscellaneousBody"/>
        <w:tabs>
          <w:tab w:val="left" w:pos="600"/>
        </w:tabs>
      </w:pPr>
      <w:r>
        <w:t>Greece</w:t>
      </w:r>
    </w:p>
    <w:p w:rsidR="009515FF" w:rsidRDefault="00B14AD4">
      <w:pPr>
        <w:pStyle w:val="yMiscellaneousBody"/>
        <w:tabs>
          <w:tab w:val="left" w:pos="600"/>
        </w:tabs>
      </w:pPr>
      <w:r>
        <w:t>Iceland</w:t>
      </w:r>
    </w:p>
    <w:p w:rsidR="009515FF" w:rsidRDefault="00B14AD4">
      <w:pPr>
        <w:pStyle w:val="yMiscellaneousBody"/>
        <w:tabs>
          <w:tab w:val="left" w:pos="600"/>
        </w:tabs>
      </w:pPr>
      <w:r>
        <w:t>Israel</w:t>
      </w:r>
    </w:p>
    <w:p w:rsidR="009515FF" w:rsidRDefault="00B14AD4">
      <w:pPr>
        <w:pStyle w:val="yMiscellaneousBody"/>
        <w:tabs>
          <w:tab w:val="left" w:pos="600"/>
        </w:tabs>
      </w:pPr>
      <w:r>
        <w:t>Netherlands</w:t>
      </w:r>
    </w:p>
    <w:p w:rsidR="009515FF" w:rsidRDefault="00B14AD4">
      <w:pPr>
        <w:pStyle w:val="yMiscellaneousBody"/>
        <w:tabs>
          <w:tab w:val="left" w:pos="600"/>
        </w:tabs>
      </w:pPr>
      <w:r>
        <w:t>Norway</w:t>
      </w:r>
    </w:p>
    <w:p w:rsidR="009515FF" w:rsidRDefault="00B14AD4">
      <w:pPr>
        <w:pStyle w:val="yMiscellaneousBody"/>
        <w:tabs>
          <w:tab w:val="left" w:pos="600"/>
        </w:tabs>
      </w:pPr>
      <w:r>
        <w:t>Portugal</w:t>
      </w:r>
    </w:p>
    <w:p w:rsidR="009515FF" w:rsidRDefault="00B14AD4">
      <w:pPr>
        <w:pStyle w:val="yMiscellaneousBody"/>
        <w:tabs>
          <w:tab w:val="left" w:pos="600"/>
        </w:tabs>
      </w:pPr>
      <w:r>
        <w:t>Poland</w:t>
      </w:r>
    </w:p>
    <w:p w:rsidR="009515FF" w:rsidRDefault="00B14AD4">
      <w:pPr>
        <w:pStyle w:val="yMiscellaneousBody"/>
        <w:tabs>
          <w:tab w:val="left" w:pos="600"/>
        </w:tabs>
      </w:pPr>
      <w:r>
        <w:t>Spain</w:t>
      </w:r>
    </w:p>
    <w:p w:rsidR="009515FF" w:rsidRDefault="00B14AD4">
      <w:pPr>
        <w:pStyle w:val="yMiscellaneousBody"/>
        <w:tabs>
          <w:tab w:val="left" w:pos="600"/>
        </w:tabs>
      </w:pPr>
      <w:r>
        <w:t>Sweden</w:t>
      </w:r>
    </w:p>
    <w:p w:rsidR="009515FF" w:rsidRDefault="00B14AD4">
      <w:pPr>
        <w:pStyle w:val="yMiscellaneousBody"/>
        <w:tabs>
          <w:tab w:val="left" w:pos="600"/>
        </w:tabs>
      </w:pPr>
      <w:r>
        <w:t>United States of America</w:t>
      </w:r>
    </w:p>
    <w:p w:rsidR="009515FF" w:rsidRDefault="00B14AD4">
      <w:pPr>
        <w:pStyle w:val="yMiscellaneousBody"/>
        <w:tabs>
          <w:tab w:val="left" w:pos="600"/>
        </w:tabs>
      </w:pPr>
      <w:r>
        <w:t>Union of Soviet Socialist Republics</w:t>
      </w:r>
    </w:p>
    <w:p w:rsidR="009515FF" w:rsidRDefault="00B14AD4">
      <w:pPr>
        <w:pStyle w:val="yMiscellaneousBody"/>
        <w:tabs>
          <w:tab w:val="left" w:pos="600"/>
        </w:tabs>
      </w:pPr>
      <w:r>
        <w:t>Yugoslavia.</w:t>
      </w:r>
    </w:p>
    <w:p w:rsidR="009515FF" w:rsidRDefault="00B14AD4">
      <w:pPr>
        <w:pStyle w:val="yFootnotesection"/>
      </w:pPr>
      <w:r>
        <w:tab/>
        <w:t>[Fourth Schedule inserted: Gazette 28 Aug 1981 p. 3575.]</w:t>
      </w:r>
    </w:p>
    <w:p w:rsidR="009515FF" w:rsidRDefault="00B14AD4">
      <w:pPr>
        <w:pStyle w:val="yScheduleHeading"/>
      </w:pPr>
      <w:bookmarkStart w:id="145" w:name="_Toc75423359"/>
      <w:bookmarkStart w:id="146" w:name="_Toc75426839"/>
      <w:bookmarkStart w:id="147" w:name="_Toc75528261"/>
      <w:r>
        <w:rPr>
          <w:rStyle w:val="CharSchNo"/>
        </w:rPr>
        <w:lastRenderedPageBreak/>
        <w:t>Schedule 5</w:t>
      </w:r>
      <w:r>
        <w:t> — </w:t>
      </w:r>
      <w:r>
        <w:rPr>
          <w:rStyle w:val="CharSchText"/>
        </w:rPr>
        <w:t>Specified documents</w:t>
      </w:r>
      <w:bookmarkEnd w:id="145"/>
      <w:bookmarkEnd w:id="146"/>
      <w:bookmarkEnd w:id="147"/>
    </w:p>
    <w:p w:rsidR="009515FF" w:rsidRDefault="00B14AD4">
      <w:pPr>
        <w:pStyle w:val="yShoulderClause"/>
      </w:pPr>
      <w:r>
        <w:t>[r. 18A(1)(b)(ii)]</w:t>
      </w:r>
    </w:p>
    <w:p w:rsidR="009515FF" w:rsidRDefault="00B14AD4">
      <w:pPr>
        <w:pStyle w:val="yFootnoteheading"/>
      </w:pPr>
      <w:r>
        <w:tab/>
        <w:t>[Heading inserted: Gazette 4 Jun 2010 p. 2460.]</w:t>
      </w:r>
    </w:p>
    <w:tbl>
      <w:tblPr>
        <w:tblW w:w="0" w:type="auto"/>
        <w:tblLook w:val="0000" w:firstRow="0" w:lastRow="0" w:firstColumn="0" w:lastColumn="0" w:noHBand="0" w:noVBand="0"/>
      </w:tblPr>
      <w:tblGrid>
        <w:gridCol w:w="1646"/>
        <w:gridCol w:w="5451"/>
      </w:tblGrid>
      <w:tr w:rsidR="009515FF">
        <w:tc>
          <w:tcPr>
            <w:tcW w:w="1668" w:type="dxa"/>
          </w:tcPr>
          <w:p w:rsidR="009515FF" w:rsidRDefault="00B14AD4">
            <w:pPr>
              <w:pStyle w:val="yTableNAm"/>
              <w:rPr>
                <w:b/>
                <w:bCs/>
              </w:rPr>
            </w:pPr>
            <w:r>
              <w:rPr>
                <w:b/>
                <w:bCs/>
              </w:rPr>
              <w:t>Country</w:t>
            </w:r>
          </w:p>
        </w:tc>
        <w:tc>
          <w:tcPr>
            <w:tcW w:w="5644" w:type="dxa"/>
          </w:tcPr>
          <w:p w:rsidR="009515FF" w:rsidRDefault="00B14AD4">
            <w:pPr>
              <w:pStyle w:val="yTableNAm"/>
              <w:rPr>
                <w:b/>
                <w:bCs/>
              </w:rPr>
            </w:pPr>
            <w:r>
              <w:rPr>
                <w:b/>
                <w:bCs/>
              </w:rPr>
              <w:t>Record</w:t>
            </w:r>
          </w:p>
        </w:tc>
      </w:tr>
      <w:tr w:rsidR="009515FF">
        <w:tc>
          <w:tcPr>
            <w:tcW w:w="1668" w:type="dxa"/>
          </w:tcPr>
          <w:p w:rsidR="009515FF" w:rsidRDefault="00B14AD4">
            <w:pPr>
              <w:pStyle w:val="yTableNAm"/>
            </w:pPr>
            <w:r>
              <w:t>Britain</w:t>
            </w:r>
          </w:p>
        </w:tc>
        <w:tc>
          <w:tcPr>
            <w:tcW w:w="5644" w:type="dxa"/>
          </w:tcPr>
          <w:p w:rsidR="009515FF" w:rsidRDefault="00B14AD4">
            <w:pPr>
              <w:pStyle w:val="yTableNAm"/>
            </w:pPr>
            <w:r>
              <w:t>Certificate of British Registry.</w:t>
            </w:r>
          </w:p>
          <w:p w:rsidR="009515FF" w:rsidRDefault="00B14AD4">
            <w:pPr>
              <w:pStyle w:val="yTableNAm"/>
              <w:spacing w:before="0"/>
            </w:pPr>
            <w:r>
              <w:t>British Tonnage Certificate.</w:t>
            </w:r>
          </w:p>
        </w:tc>
      </w:tr>
      <w:tr w:rsidR="009515FF">
        <w:tc>
          <w:tcPr>
            <w:tcW w:w="1668" w:type="dxa"/>
          </w:tcPr>
          <w:p w:rsidR="009515FF" w:rsidRDefault="00B14AD4">
            <w:pPr>
              <w:pStyle w:val="yTableNAm"/>
              <w:spacing w:before="0"/>
            </w:pPr>
            <w:r>
              <w:t>Panama</w:t>
            </w:r>
          </w:p>
        </w:tc>
        <w:tc>
          <w:tcPr>
            <w:tcW w:w="5644" w:type="dxa"/>
          </w:tcPr>
          <w:p w:rsidR="009515FF" w:rsidRDefault="00B14AD4">
            <w:pPr>
              <w:pStyle w:val="yTableNAm"/>
              <w:spacing w:before="0"/>
            </w:pPr>
            <w:r>
              <w:t>Ship’s Register.</w:t>
            </w:r>
          </w:p>
          <w:p w:rsidR="009515FF" w:rsidRDefault="00B14AD4">
            <w:pPr>
              <w:pStyle w:val="yTableNAm"/>
              <w:spacing w:before="0"/>
            </w:pPr>
            <w:r>
              <w:t>Certificado de Arqueo.</w:t>
            </w:r>
          </w:p>
        </w:tc>
      </w:tr>
      <w:tr w:rsidR="009515FF">
        <w:tc>
          <w:tcPr>
            <w:tcW w:w="1668" w:type="dxa"/>
          </w:tcPr>
          <w:p w:rsidR="009515FF" w:rsidRDefault="00B14AD4">
            <w:pPr>
              <w:pStyle w:val="yTableNAm"/>
              <w:spacing w:before="0"/>
            </w:pPr>
            <w:r>
              <w:t>Liberia</w:t>
            </w:r>
          </w:p>
        </w:tc>
        <w:tc>
          <w:tcPr>
            <w:tcW w:w="5644" w:type="dxa"/>
          </w:tcPr>
          <w:p w:rsidR="009515FF" w:rsidRDefault="00B14AD4">
            <w:pPr>
              <w:pStyle w:val="yTableNAm"/>
              <w:spacing w:before="0"/>
            </w:pPr>
            <w:r>
              <w:t>Ship’s Register.</w:t>
            </w:r>
          </w:p>
          <w:p w:rsidR="009515FF" w:rsidRDefault="00B14AD4">
            <w:pPr>
              <w:pStyle w:val="yTableNAm"/>
              <w:spacing w:before="0"/>
            </w:pPr>
            <w:r>
              <w:t>Certificate of Measurement.</w:t>
            </w:r>
          </w:p>
        </w:tc>
      </w:tr>
      <w:tr w:rsidR="009515FF">
        <w:tc>
          <w:tcPr>
            <w:tcW w:w="1668" w:type="dxa"/>
          </w:tcPr>
          <w:p w:rsidR="009515FF" w:rsidRDefault="00B14AD4">
            <w:pPr>
              <w:pStyle w:val="yTableNAm"/>
              <w:spacing w:before="0"/>
            </w:pPr>
            <w:r>
              <w:t>Belgium</w:t>
            </w:r>
          </w:p>
        </w:tc>
        <w:tc>
          <w:tcPr>
            <w:tcW w:w="5644" w:type="dxa"/>
          </w:tcPr>
          <w:p w:rsidR="009515FF" w:rsidRDefault="00B14AD4">
            <w:pPr>
              <w:pStyle w:val="yTableNAm"/>
              <w:spacing w:before="0"/>
            </w:pPr>
            <w:r>
              <w:t>Ship’s Register.</w:t>
            </w:r>
          </w:p>
          <w:p w:rsidR="009515FF" w:rsidRDefault="00B14AD4">
            <w:pPr>
              <w:pStyle w:val="yTableNAm"/>
              <w:spacing w:before="0"/>
            </w:pPr>
            <w:r>
              <w:t>Certificat de Jaugeage. (Tonnage Certificate)</w:t>
            </w:r>
          </w:p>
        </w:tc>
      </w:tr>
      <w:tr w:rsidR="009515FF">
        <w:tc>
          <w:tcPr>
            <w:tcW w:w="1668" w:type="dxa"/>
          </w:tcPr>
          <w:p w:rsidR="009515FF" w:rsidRDefault="00B14AD4">
            <w:pPr>
              <w:pStyle w:val="yTableNAm"/>
              <w:spacing w:before="0"/>
            </w:pPr>
            <w:r>
              <w:t>Sweden</w:t>
            </w:r>
          </w:p>
        </w:tc>
        <w:tc>
          <w:tcPr>
            <w:tcW w:w="5644" w:type="dxa"/>
          </w:tcPr>
          <w:p w:rsidR="009515FF" w:rsidRDefault="00B14AD4">
            <w:pPr>
              <w:pStyle w:val="yTableNAm"/>
              <w:spacing w:before="0"/>
            </w:pPr>
            <w:r>
              <w:t>Ship’s Register.</w:t>
            </w:r>
          </w:p>
          <w:p w:rsidR="009515FF" w:rsidRDefault="00B14AD4">
            <w:pPr>
              <w:pStyle w:val="yTableNAm"/>
              <w:spacing w:before="0"/>
            </w:pPr>
            <w:r>
              <w:t>Internationelt Matbriv.  (International Tonnage Certificate)</w:t>
            </w:r>
          </w:p>
        </w:tc>
      </w:tr>
      <w:tr w:rsidR="009515FF">
        <w:tc>
          <w:tcPr>
            <w:tcW w:w="1668" w:type="dxa"/>
          </w:tcPr>
          <w:p w:rsidR="009515FF" w:rsidRDefault="00B14AD4">
            <w:pPr>
              <w:pStyle w:val="yTableNAm"/>
              <w:spacing w:before="0"/>
            </w:pPr>
            <w:r>
              <w:t>Netherlands</w:t>
            </w:r>
          </w:p>
        </w:tc>
        <w:tc>
          <w:tcPr>
            <w:tcW w:w="5644" w:type="dxa"/>
          </w:tcPr>
          <w:p w:rsidR="009515FF" w:rsidRDefault="00B14AD4">
            <w:pPr>
              <w:pStyle w:val="yTableNAm"/>
              <w:spacing w:before="0"/>
            </w:pPr>
            <w:r>
              <w:t>Ship’s Register.</w:t>
            </w:r>
          </w:p>
          <w:p w:rsidR="009515FF" w:rsidRDefault="00B14AD4">
            <w:pPr>
              <w:pStyle w:val="yTableNAm"/>
              <w:spacing w:before="0"/>
            </w:pPr>
            <w:r>
              <w:t>Internationale Meetbreef. (International Tonnage Certificate)</w:t>
            </w:r>
          </w:p>
        </w:tc>
      </w:tr>
      <w:tr w:rsidR="009515FF">
        <w:tc>
          <w:tcPr>
            <w:tcW w:w="1668" w:type="dxa"/>
          </w:tcPr>
          <w:p w:rsidR="009515FF" w:rsidRDefault="00B14AD4">
            <w:pPr>
              <w:pStyle w:val="yTableNAm"/>
              <w:spacing w:before="0"/>
            </w:pPr>
            <w:r>
              <w:t>Italy</w:t>
            </w:r>
          </w:p>
        </w:tc>
        <w:tc>
          <w:tcPr>
            <w:tcW w:w="5644" w:type="dxa"/>
          </w:tcPr>
          <w:p w:rsidR="009515FF" w:rsidRDefault="00B14AD4">
            <w:pPr>
              <w:pStyle w:val="yTableNAm"/>
              <w:spacing w:before="0"/>
            </w:pPr>
            <w:r>
              <w:t>Ship’s Register.</w:t>
            </w:r>
          </w:p>
          <w:p w:rsidR="009515FF" w:rsidRDefault="00B14AD4">
            <w:pPr>
              <w:pStyle w:val="yTableNAm"/>
              <w:spacing w:before="0"/>
            </w:pPr>
            <w:r>
              <w:t>Certificato di Stazza.</w:t>
            </w:r>
          </w:p>
        </w:tc>
      </w:tr>
      <w:tr w:rsidR="009515FF">
        <w:tc>
          <w:tcPr>
            <w:tcW w:w="1668" w:type="dxa"/>
          </w:tcPr>
          <w:p w:rsidR="009515FF" w:rsidRDefault="00B14AD4">
            <w:pPr>
              <w:pStyle w:val="yTableNAm"/>
              <w:spacing w:before="0"/>
            </w:pPr>
            <w:r>
              <w:t>India</w:t>
            </w:r>
          </w:p>
        </w:tc>
        <w:tc>
          <w:tcPr>
            <w:tcW w:w="5644" w:type="dxa"/>
          </w:tcPr>
          <w:p w:rsidR="009515FF" w:rsidRDefault="00B14AD4">
            <w:pPr>
              <w:pStyle w:val="yTableNAm"/>
              <w:spacing w:before="0"/>
            </w:pPr>
            <w:r>
              <w:t>Certificate of Indian Registry.</w:t>
            </w:r>
          </w:p>
        </w:tc>
      </w:tr>
      <w:tr w:rsidR="009515FF">
        <w:tc>
          <w:tcPr>
            <w:tcW w:w="1668" w:type="dxa"/>
          </w:tcPr>
          <w:p w:rsidR="009515FF" w:rsidRDefault="00B14AD4">
            <w:pPr>
              <w:pStyle w:val="yTableNAm"/>
              <w:spacing w:before="0"/>
            </w:pPr>
            <w:r>
              <w:t>Singapore</w:t>
            </w:r>
          </w:p>
        </w:tc>
        <w:tc>
          <w:tcPr>
            <w:tcW w:w="5644" w:type="dxa"/>
          </w:tcPr>
          <w:p w:rsidR="009515FF" w:rsidRDefault="00B14AD4">
            <w:pPr>
              <w:pStyle w:val="yTableNAm"/>
              <w:spacing w:before="0"/>
            </w:pPr>
            <w:r>
              <w:t>Certificate of Singapore Registry.</w:t>
            </w:r>
          </w:p>
        </w:tc>
      </w:tr>
      <w:tr w:rsidR="009515FF">
        <w:tc>
          <w:tcPr>
            <w:tcW w:w="1668" w:type="dxa"/>
          </w:tcPr>
          <w:p w:rsidR="009515FF" w:rsidRDefault="00B14AD4">
            <w:pPr>
              <w:pStyle w:val="yTableNAm"/>
              <w:spacing w:before="0"/>
            </w:pPr>
            <w:r>
              <w:t>Germany</w:t>
            </w:r>
          </w:p>
        </w:tc>
        <w:tc>
          <w:tcPr>
            <w:tcW w:w="5644" w:type="dxa"/>
          </w:tcPr>
          <w:p w:rsidR="009515FF" w:rsidRDefault="00B14AD4">
            <w:pPr>
              <w:pStyle w:val="yTableNAm"/>
              <w:spacing w:before="0"/>
            </w:pPr>
            <w:r>
              <w:t>Amtlich Belaubigter.</w:t>
            </w:r>
          </w:p>
          <w:p w:rsidR="009515FF" w:rsidRDefault="00B14AD4">
            <w:pPr>
              <w:pStyle w:val="yTableNAm"/>
              <w:spacing w:before="0"/>
            </w:pPr>
            <w:r>
              <w:t>Internationaler Schiffsmessbreef.</w:t>
            </w:r>
          </w:p>
        </w:tc>
      </w:tr>
      <w:tr w:rsidR="009515FF">
        <w:tc>
          <w:tcPr>
            <w:tcW w:w="1668" w:type="dxa"/>
          </w:tcPr>
          <w:p w:rsidR="009515FF" w:rsidRDefault="00B14AD4">
            <w:pPr>
              <w:pStyle w:val="yTableNAm"/>
              <w:spacing w:before="0"/>
            </w:pPr>
            <w:r>
              <w:t>Indonesia</w:t>
            </w:r>
          </w:p>
        </w:tc>
        <w:tc>
          <w:tcPr>
            <w:tcW w:w="5644" w:type="dxa"/>
          </w:tcPr>
          <w:p w:rsidR="009515FF" w:rsidRDefault="00B14AD4">
            <w:pPr>
              <w:pStyle w:val="yTableNAm"/>
              <w:spacing w:before="0"/>
            </w:pPr>
            <w:r>
              <w:t>Ship’s Register </w:t>
            </w:r>
            <w:r>
              <w:rPr>
                <w:snapToGrid w:val="0"/>
              </w:rPr>
              <w:t>—</w:t>
            </w:r>
            <w:r>
              <w:t> Certificate of Nationality.</w:t>
            </w:r>
          </w:p>
        </w:tc>
      </w:tr>
      <w:tr w:rsidR="009515FF">
        <w:tc>
          <w:tcPr>
            <w:tcW w:w="1668" w:type="dxa"/>
          </w:tcPr>
          <w:p w:rsidR="009515FF" w:rsidRDefault="00B14AD4">
            <w:pPr>
              <w:pStyle w:val="yTableNAm"/>
              <w:spacing w:before="0"/>
            </w:pPr>
            <w:r>
              <w:t>Korea</w:t>
            </w:r>
          </w:p>
        </w:tc>
        <w:tc>
          <w:tcPr>
            <w:tcW w:w="5644" w:type="dxa"/>
          </w:tcPr>
          <w:p w:rsidR="009515FF" w:rsidRDefault="00B14AD4">
            <w:pPr>
              <w:pStyle w:val="yTableNAm"/>
              <w:spacing w:before="0"/>
            </w:pPr>
            <w:r>
              <w:t>Certificate of Vessel’s Nationality.</w:t>
            </w:r>
          </w:p>
        </w:tc>
      </w:tr>
      <w:tr w:rsidR="009515FF">
        <w:tc>
          <w:tcPr>
            <w:tcW w:w="1668" w:type="dxa"/>
          </w:tcPr>
          <w:p w:rsidR="009515FF" w:rsidRDefault="00B14AD4">
            <w:pPr>
              <w:pStyle w:val="yTableNAm"/>
              <w:spacing w:before="0"/>
            </w:pPr>
            <w:r>
              <w:t>Japan</w:t>
            </w:r>
          </w:p>
        </w:tc>
        <w:tc>
          <w:tcPr>
            <w:tcW w:w="5644" w:type="dxa"/>
          </w:tcPr>
          <w:p w:rsidR="009515FF" w:rsidRDefault="00B14AD4">
            <w:pPr>
              <w:pStyle w:val="yTableNAm"/>
              <w:spacing w:before="0"/>
            </w:pPr>
            <w:r>
              <w:t>Certificate of Vessel’s Nationality.</w:t>
            </w:r>
          </w:p>
        </w:tc>
      </w:tr>
      <w:tr w:rsidR="009515FF">
        <w:tc>
          <w:tcPr>
            <w:tcW w:w="1668" w:type="dxa"/>
          </w:tcPr>
          <w:p w:rsidR="009515FF" w:rsidRDefault="00B14AD4">
            <w:pPr>
              <w:pStyle w:val="yTableNAm"/>
              <w:spacing w:before="0"/>
            </w:pPr>
            <w:r>
              <w:t>Yugoslavia</w:t>
            </w:r>
          </w:p>
        </w:tc>
        <w:tc>
          <w:tcPr>
            <w:tcW w:w="5644" w:type="dxa"/>
          </w:tcPr>
          <w:p w:rsidR="009515FF" w:rsidRDefault="00B14AD4">
            <w:pPr>
              <w:pStyle w:val="yTableNAm"/>
              <w:spacing w:before="0"/>
            </w:pPr>
            <w:r>
              <w:t>Upisni List.</w:t>
            </w:r>
          </w:p>
        </w:tc>
      </w:tr>
      <w:tr w:rsidR="009515FF">
        <w:tc>
          <w:tcPr>
            <w:tcW w:w="1668" w:type="dxa"/>
          </w:tcPr>
          <w:p w:rsidR="009515FF" w:rsidRDefault="00B14AD4">
            <w:pPr>
              <w:pStyle w:val="yTableNAm"/>
              <w:spacing w:before="0"/>
            </w:pPr>
            <w:r>
              <w:t>Argentina</w:t>
            </w:r>
          </w:p>
        </w:tc>
        <w:tc>
          <w:tcPr>
            <w:tcW w:w="5644" w:type="dxa"/>
          </w:tcPr>
          <w:p w:rsidR="009515FF" w:rsidRDefault="00B14AD4">
            <w:pPr>
              <w:pStyle w:val="yTableNAm"/>
              <w:spacing w:before="0"/>
            </w:pPr>
            <w:r>
              <w:t>Certificado de Matricula.</w:t>
            </w:r>
          </w:p>
        </w:tc>
      </w:tr>
      <w:tr w:rsidR="009515FF">
        <w:tc>
          <w:tcPr>
            <w:tcW w:w="1668" w:type="dxa"/>
          </w:tcPr>
          <w:p w:rsidR="009515FF" w:rsidRDefault="00B14AD4">
            <w:pPr>
              <w:pStyle w:val="yTableNAm"/>
              <w:spacing w:before="0"/>
            </w:pPr>
            <w:r>
              <w:t>Greece</w:t>
            </w:r>
          </w:p>
        </w:tc>
        <w:tc>
          <w:tcPr>
            <w:tcW w:w="5644" w:type="dxa"/>
          </w:tcPr>
          <w:p w:rsidR="009515FF" w:rsidRDefault="00B14AD4">
            <w:pPr>
              <w:pStyle w:val="yTableNAm"/>
              <w:spacing w:before="0"/>
            </w:pPr>
            <w:r>
              <w:t>Certificate of Nationality.</w:t>
            </w:r>
          </w:p>
          <w:p w:rsidR="009515FF" w:rsidRDefault="00B14AD4">
            <w:pPr>
              <w:pStyle w:val="yTableNAm"/>
              <w:spacing w:before="0"/>
            </w:pPr>
            <w:r>
              <w:t>Certificate of Measurement.</w:t>
            </w:r>
          </w:p>
        </w:tc>
      </w:tr>
      <w:tr w:rsidR="009515FF">
        <w:tc>
          <w:tcPr>
            <w:tcW w:w="1668" w:type="dxa"/>
          </w:tcPr>
          <w:p w:rsidR="009515FF" w:rsidRDefault="00B14AD4">
            <w:pPr>
              <w:pStyle w:val="yTableNAm"/>
              <w:spacing w:before="0"/>
            </w:pPr>
            <w:r>
              <w:t>China</w:t>
            </w:r>
          </w:p>
        </w:tc>
        <w:tc>
          <w:tcPr>
            <w:tcW w:w="5644" w:type="dxa"/>
          </w:tcPr>
          <w:p w:rsidR="009515FF" w:rsidRDefault="00B14AD4">
            <w:pPr>
              <w:pStyle w:val="yTableNAm"/>
              <w:spacing w:before="0"/>
            </w:pPr>
            <w:r>
              <w:t>Certificate of Vessel’s Nationality.</w:t>
            </w:r>
          </w:p>
          <w:p w:rsidR="009515FF" w:rsidRDefault="00B14AD4">
            <w:pPr>
              <w:pStyle w:val="yTableNAm"/>
              <w:spacing w:before="0"/>
            </w:pPr>
            <w:r>
              <w:t>Tonnage Certificate.</w:t>
            </w:r>
          </w:p>
        </w:tc>
      </w:tr>
      <w:tr w:rsidR="009515FF">
        <w:tc>
          <w:tcPr>
            <w:tcW w:w="1668" w:type="dxa"/>
          </w:tcPr>
          <w:p w:rsidR="009515FF" w:rsidRDefault="00B14AD4">
            <w:pPr>
              <w:pStyle w:val="yTableNAm"/>
              <w:spacing w:before="0"/>
            </w:pPr>
            <w:r>
              <w:t>Russia</w:t>
            </w:r>
          </w:p>
        </w:tc>
        <w:tc>
          <w:tcPr>
            <w:tcW w:w="5644" w:type="dxa"/>
          </w:tcPr>
          <w:p w:rsidR="009515FF" w:rsidRDefault="00B14AD4">
            <w:pPr>
              <w:pStyle w:val="yTableNAm"/>
              <w:spacing w:before="0"/>
            </w:pPr>
            <w:r>
              <w:t>Ship’s Register.</w:t>
            </w:r>
          </w:p>
        </w:tc>
      </w:tr>
    </w:tbl>
    <w:p w:rsidR="009515FF" w:rsidRDefault="00B14AD4">
      <w:pPr>
        <w:pStyle w:val="yFootnotesection"/>
      </w:pPr>
      <w:r>
        <w:tab/>
        <w:t>[Fifth Schedule inserted: Gazette 28 Aug 1981 p. 3575.]</w:t>
      </w:r>
    </w:p>
    <w:p w:rsidR="009515FF" w:rsidRDefault="009515FF">
      <w:pPr>
        <w:pStyle w:val="yScheduleHeading"/>
        <w:rPr>
          <w:rStyle w:val="CharSchNo"/>
        </w:rPr>
        <w:sectPr w:rsidR="009515FF">
          <w:headerReference w:type="even" r:id="rId40"/>
          <w:headerReference w:type="default" r:id="rId41"/>
          <w:pgSz w:w="11907" w:h="16840" w:code="9"/>
          <w:pgMar w:top="2376" w:right="2405" w:bottom="3542" w:left="2405" w:header="706" w:footer="3380" w:gutter="0"/>
          <w:cols w:space="720"/>
          <w:noEndnote/>
          <w:docGrid w:linePitch="326"/>
        </w:sectPr>
      </w:pPr>
    </w:p>
    <w:p w:rsidR="009515FF" w:rsidRDefault="00B14AD4">
      <w:pPr>
        <w:pStyle w:val="yScheduleHeading"/>
      </w:pPr>
      <w:bookmarkStart w:id="148" w:name="_Toc75423360"/>
      <w:bookmarkStart w:id="149" w:name="_Toc75426840"/>
      <w:bookmarkStart w:id="150" w:name="_Toc75528262"/>
      <w:r>
        <w:rPr>
          <w:rStyle w:val="CharSchNo"/>
        </w:rPr>
        <w:lastRenderedPageBreak/>
        <w:t>Schedule 6</w:t>
      </w:r>
      <w:r>
        <w:t> — </w:t>
      </w:r>
      <w:r>
        <w:rPr>
          <w:rStyle w:val="CharSchText"/>
        </w:rPr>
        <w:t>Forms</w:t>
      </w:r>
      <w:bookmarkEnd w:id="148"/>
      <w:bookmarkEnd w:id="149"/>
      <w:bookmarkEnd w:id="150"/>
    </w:p>
    <w:p w:rsidR="009515FF" w:rsidRDefault="00B14AD4">
      <w:pPr>
        <w:pStyle w:val="yFootnoteheading"/>
      </w:pPr>
      <w:r>
        <w:tab/>
        <w:t>[Heading inserted: Gazette 4 Jun 2010 p. 2461.]</w:t>
      </w:r>
    </w:p>
    <w:p w:rsidR="009515FF" w:rsidRDefault="00B14AD4">
      <w:pPr>
        <w:pStyle w:val="yMiscellaneousHeading"/>
        <w:rPr>
          <w:b/>
          <w:bCs/>
        </w:rPr>
      </w:pPr>
      <w:r>
        <w:rPr>
          <w:b/>
          <w:bCs/>
        </w:rPr>
        <w:t>FORM</w:t>
      </w:r>
      <w:r>
        <w:rPr>
          <w:rStyle w:val="CharSClsNo"/>
          <w:b/>
        </w:rPr>
        <w:t xml:space="preserve"> 1</w:t>
      </w:r>
    </w:p>
    <w:p w:rsidR="009515FF" w:rsidRDefault="00B14AD4">
      <w:pPr>
        <w:pStyle w:val="yShoulderClause"/>
      </w:pPr>
      <w:r>
        <w:t>[r. 16H(1)]</w:t>
      </w:r>
    </w:p>
    <w:p w:rsidR="009515FF" w:rsidRDefault="00B14AD4">
      <w:pPr>
        <w:pStyle w:val="yMiscellaneousHeading"/>
      </w:pPr>
      <w:r>
        <w:t>PILOTAGE EXEMPTION CERTIFICATE</w:t>
      </w:r>
    </w:p>
    <w:p w:rsidR="009515FF" w:rsidRDefault="00B14AD4">
      <w:pPr>
        <w:pStyle w:val="yMiscellaneousBody"/>
      </w:pPr>
      <w:r>
        <w:t>THIS IS TO CERTIFY THAT...............................................................................</w:t>
      </w:r>
    </w:p>
    <w:p w:rsidR="009515FF" w:rsidRDefault="00B14AD4">
      <w:pPr>
        <w:pStyle w:val="yMiscellaneousBody"/>
        <w:spacing w:before="0"/>
      </w:pPr>
      <w:r>
        <w:t xml:space="preserve">whose signature appears below, has, in accordance with the provisions of the </w:t>
      </w:r>
      <w:r>
        <w:rPr>
          <w:i/>
          <w:iCs/>
        </w:rPr>
        <w:t>Shipping and Pilotage (Ports and Harbours) Regulations 1966</w:t>
      </w:r>
      <w:r>
        <w:t>, become entitled to navigate a vessel into and out of the pilotage areas specified in this Form without the services of a pilot and is EXEMPTED accordingly from the requirement to take on board a pilot.</w:t>
      </w:r>
    </w:p>
    <w:p w:rsidR="009515FF" w:rsidRDefault="00B14AD4">
      <w:pPr>
        <w:pStyle w:val="yMiscellaneousBody"/>
      </w:pPr>
      <w:r>
        <w:t>This certificate is subject to the conditions specified in it.</w:t>
      </w:r>
    </w:p>
    <w:p w:rsidR="009515FF" w:rsidRDefault="00B14AD4">
      <w:pPr>
        <w:pStyle w:val="yMiscellaneousBody"/>
      </w:pPr>
      <w:r>
        <w:t>Dated........................................................20........</w:t>
      </w:r>
    </w:p>
    <w:p w:rsidR="009515FF" w:rsidRDefault="00B14AD4">
      <w:pPr>
        <w:pStyle w:val="yMiscellaneousBody"/>
        <w:tabs>
          <w:tab w:val="left" w:pos="3960"/>
        </w:tabs>
      </w:pPr>
      <w:r>
        <w:t>...............................................</w:t>
      </w:r>
      <w:r>
        <w:tab/>
        <w:t>..............................................</w:t>
      </w:r>
    </w:p>
    <w:p w:rsidR="009515FF" w:rsidRDefault="00B14AD4">
      <w:pPr>
        <w:pStyle w:val="yMiscellaneousBody"/>
        <w:tabs>
          <w:tab w:val="left" w:pos="3960"/>
        </w:tabs>
        <w:spacing w:before="0" w:after="120"/>
      </w:pPr>
      <w:r>
        <w:t>EXECUTIVE DIRECTOR</w:t>
      </w:r>
      <w:r>
        <w:tab/>
        <w:t>SIGNATURE OF HOLDER</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
        <w:gridCol w:w="1701"/>
        <w:gridCol w:w="283"/>
        <w:gridCol w:w="4678"/>
      </w:tblGrid>
      <w:tr w:rsidR="009515FF">
        <w:trPr>
          <w:cantSplit/>
          <w:trHeight w:val="257"/>
        </w:trPr>
        <w:tc>
          <w:tcPr>
            <w:tcW w:w="426" w:type="dxa"/>
            <w:tcBorders>
              <w:bottom w:val="nil"/>
              <w:right w:val="nil"/>
            </w:tcBorders>
          </w:tcPr>
          <w:p w:rsidR="009515FF" w:rsidRDefault="009515FF">
            <w:pPr>
              <w:pStyle w:val="yTableNAm"/>
              <w:rPr>
                <w:sz w:val="20"/>
              </w:rPr>
            </w:pPr>
          </w:p>
        </w:tc>
        <w:tc>
          <w:tcPr>
            <w:tcW w:w="1701" w:type="dxa"/>
            <w:tcBorders>
              <w:left w:val="nil"/>
              <w:bottom w:val="nil"/>
              <w:right w:val="nil"/>
            </w:tcBorders>
          </w:tcPr>
          <w:p w:rsidR="009515FF" w:rsidRDefault="009515FF">
            <w:pPr>
              <w:pStyle w:val="yTableNAm"/>
              <w:rPr>
                <w:sz w:val="20"/>
              </w:rPr>
            </w:pPr>
          </w:p>
        </w:tc>
        <w:tc>
          <w:tcPr>
            <w:tcW w:w="283" w:type="dxa"/>
            <w:tcBorders>
              <w:left w:val="nil"/>
              <w:bottom w:val="nil"/>
              <w:right w:val="nil"/>
            </w:tcBorders>
          </w:tcPr>
          <w:p w:rsidR="009515FF" w:rsidRDefault="009515FF">
            <w:pPr>
              <w:pStyle w:val="yTableNAm"/>
              <w:rPr>
                <w:sz w:val="20"/>
              </w:rPr>
            </w:pPr>
          </w:p>
        </w:tc>
        <w:tc>
          <w:tcPr>
            <w:tcW w:w="4678" w:type="dxa"/>
            <w:vMerge w:val="restart"/>
            <w:tcBorders>
              <w:left w:val="nil"/>
              <w:bottom w:val="nil"/>
            </w:tcBorders>
          </w:tcPr>
          <w:p w:rsidR="009515FF" w:rsidRDefault="009515FF">
            <w:pPr>
              <w:pStyle w:val="yTableNAm"/>
              <w:rPr>
                <w:sz w:val="20"/>
              </w:rPr>
            </w:pPr>
          </w:p>
          <w:p w:rsidR="009515FF" w:rsidRDefault="009515FF">
            <w:pPr>
              <w:pStyle w:val="yTableNAm"/>
              <w:rPr>
                <w:sz w:val="20"/>
              </w:rPr>
            </w:pPr>
          </w:p>
          <w:p w:rsidR="009515FF" w:rsidRDefault="009515FF">
            <w:pPr>
              <w:pStyle w:val="yTableNAm"/>
              <w:rPr>
                <w:sz w:val="20"/>
              </w:rPr>
            </w:pPr>
          </w:p>
          <w:p w:rsidR="009515FF" w:rsidRDefault="00B14AD4">
            <w:pPr>
              <w:pStyle w:val="yTableNAm"/>
              <w:rPr>
                <w:sz w:val="20"/>
              </w:rPr>
            </w:pPr>
            <w:r>
              <w:rPr>
                <w:sz w:val="20"/>
              </w:rPr>
              <w:t>PERSONAL PARTICULARS</w:t>
            </w:r>
          </w:p>
        </w:tc>
      </w:tr>
      <w:tr w:rsidR="009515FF">
        <w:trPr>
          <w:cantSplit/>
          <w:trHeight w:val="630"/>
        </w:trPr>
        <w:tc>
          <w:tcPr>
            <w:tcW w:w="426" w:type="dxa"/>
            <w:tcBorders>
              <w:top w:val="nil"/>
              <w:bottom w:val="nil"/>
            </w:tcBorders>
          </w:tcPr>
          <w:p w:rsidR="009515FF" w:rsidRDefault="009515FF">
            <w:pPr>
              <w:pStyle w:val="yTableNAm"/>
              <w:rPr>
                <w:sz w:val="20"/>
              </w:rPr>
            </w:pPr>
          </w:p>
        </w:tc>
        <w:tc>
          <w:tcPr>
            <w:tcW w:w="1701" w:type="dxa"/>
            <w:tcBorders>
              <w:top w:val="single" w:sz="4" w:space="0" w:color="auto"/>
              <w:bottom w:val="single" w:sz="4" w:space="0" w:color="auto"/>
            </w:tcBorders>
          </w:tcPr>
          <w:p w:rsidR="009515FF" w:rsidRDefault="009515FF">
            <w:pPr>
              <w:pStyle w:val="yTableNAm"/>
              <w:rPr>
                <w:sz w:val="20"/>
              </w:rPr>
            </w:pPr>
          </w:p>
          <w:p w:rsidR="009515FF" w:rsidRDefault="009515FF">
            <w:pPr>
              <w:pStyle w:val="yTableNAm"/>
              <w:rPr>
                <w:sz w:val="20"/>
              </w:rPr>
            </w:pPr>
          </w:p>
          <w:p w:rsidR="009515FF" w:rsidRDefault="00B14AD4">
            <w:pPr>
              <w:pStyle w:val="yTableNAm"/>
              <w:rPr>
                <w:sz w:val="20"/>
              </w:rPr>
            </w:pPr>
            <w:r>
              <w:rPr>
                <w:sz w:val="20"/>
              </w:rPr>
              <w:t>PASSPORT SIZE</w:t>
            </w:r>
            <w:r>
              <w:rPr>
                <w:sz w:val="20"/>
              </w:rPr>
              <w:br/>
              <w:t>PHOTOGRAPH</w:t>
            </w:r>
          </w:p>
          <w:p w:rsidR="009515FF" w:rsidRDefault="009515FF">
            <w:pPr>
              <w:pStyle w:val="yTableNAm"/>
              <w:rPr>
                <w:sz w:val="20"/>
              </w:rPr>
            </w:pPr>
          </w:p>
          <w:p w:rsidR="009515FF" w:rsidRDefault="009515FF">
            <w:pPr>
              <w:pStyle w:val="yTableNAm"/>
              <w:rPr>
                <w:sz w:val="20"/>
              </w:rPr>
            </w:pPr>
          </w:p>
        </w:tc>
        <w:tc>
          <w:tcPr>
            <w:tcW w:w="283" w:type="dxa"/>
            <w:tcBorders>
              <w:top w:val="nil"/>
              <w:bottom w:val="nil"/>
              <w:right w:val="nil"/>
            </w:tcBorders>
          </w:tcPr>
          <w:p w:rsidR="009515FF" w:rsidRDefault="009515FF">
            <w:pPr>
              <w:pStyle w:val="yTableNAm"/>
              <w:rPr>
                <w:sz w:val="20"/>
              </w:rPr>
            </w:pPr>
          </w:p>
        </w:tc>
        <w:tc>
          <w:tcPr>
            <w:tcW w:w="4678" w:type="dxa"/>
            <w:vMerge/>
            <w:tcBorders>
              <w:left w:val="nil"/>
              <w:bottom w:val="nil"/>
            </w:tcBorders>
          </w:tcPr>
          <w:p w:rsidR="009515FF" w:rsidRDefault="009515FF">
            <w:pPr>
              <w:pStyle w:val="yTableNAm"/>
              <w:rPr>
                <w:sz w:val="20"/>
              </w:rPr>
            </w:pPr>
          </w:p>
        </w:tc>
      </w:tr>
      <w:tr w:rsidR="009515FF">
        <w:trPr>
          <w:cantSplit/>
          <w:trHeight w:val="243"/>
        </w:trPr>
        <w:tc>
          <w:tcPr>
            <w:tcW w:w="426" w:type="dxa"/>
            <w:tcBorders>
              <w:top w:val="nil"/>
              <w:bottom w:val="nil"/>
              <w:right w:val="nil"/>
            </w:tcBorders>
          </w:tcPr>
          <w:p w:rsidR="009515FF" w:rsidRDefault="009515FF">
            <w:pPr>
              <w:pStyle w:val="yTableNAm"/>
              <w:rPr>
                <w:sz w:val="20"/>
              </w:rPr>
            </w:pPr>
          </w:p>
        </w:tc>
        <w:tc>
          <w:tcPr>
            <w:tcW w:w="1701" w:type="dxa"/>
            <w:tcBorders>
              <w:top w:val="nil"/>
              <w:left w:val="nil"/>
              <w:bottom w:val="nil"/>
              <w:right w:val="nil"/>
            </w:tcBorders>
          </w:tcPr>
          <w:p w:rsidR="009515FF" w:rsidRDefault="009515FF">
            <w:pPr>
              <w:pStyle w:val="yTableNAm"/>
              <w:rPr>
                <w:sz w:val="20"/>
              </w:rPr>
            </w:pPr>
          </w:p>
        </w:tc>
        <w:tc>
          <w:tcPr>
            <w:tcW w:w="283" w:type="dxa"/>
            <w:tcBorders>
              <w:top w:val="nil"/>
              <w:left w:val="nil"/>
              <w:bottom w:val="nil"/>
              <w:right w:val="nil"/>
            </w:tcBorders>
          </w:tcPr>
          <w:p w:rsidR="009515FF" w:rsidRDefault="009515FF">
            <w:pPr>
              <w:pStyle w:val="yTableNAm"/>
              <w:rPr>
                <w:sz w:val="20"/>
              </w:rPr>
            </w:pPr>
          </w:p>
        </w:tc>
        <w:tc>
          <w:tcPr>
            <w:tcW w:w="4678" w:type="dxa"/>
            <w:vMerge/>
            <w:tcBorders>
              <w:left w:val="nil"/>
              <w:bottom w:val="nil"/>
            </w:tcBorders>
          </w:tcPr>
          <w:p w:rsidR="009515FF" w:rsidRDefault="009515FF">
            <w:pPr>
              <w:pStyle w:val="yTableNAm"/>
              <w:rPr>
                <w:sz w:val="20"/>
              </w:rPr>
            </w:pPr>
          </w:p>
        </w:tc>
      </w:tr>
      <w:tr w:rsidR="009515FF">
        <w:tc>
          <w:tcPr>
            <w:tcW w:w="2410" w:type="dxa"/>
            <w:gridSpan w:val="3"/>
            <w:tcBorders>
              <w:top w:val="nil"/>
              <w:right w:val="nil"/>
            </w:tcBorders>
          </w:tcPr>
          <w:p w:rsidR="009515FF" w:rsidRDefault="00B14AD4">
            <w:pPr>
              <w:pStyle w:val="yTableNAm"/>
              <w:rPr>
                <w:sz w:val="20"/>
              </w:rPr>
            </w:pPr>
            <w:r>
              <w:rPr>
                <w:sz w:val="20"/>
              </w:rPr>
              <w:t>NAME IN FULL</w:t>
            </w:r>
          </w:p>
          <w:p w:rsidR="009515FF" w:rsidRDefault="00B14AD4">
            <w:pPr>
              <w:pStyle w:val="yTableNAm"/>
              <w:rPr>
                <w:sz w:val="20"/>
              </w:rPr>
            </w:pPr>
            <w:r>
              <w:rPr>
                <w:sz w:val="20"/>
              </w:rPr>
              <w:t>ADDRESS</w:t>
            </w:r>
          </w:p>
          <w:p w:rsidR="009515FF" w:rsidRDefault="009515FF">
            <w:pPr>
              <w:pStyle w:val="yTableNAm"/>
              <w:rPr>
                <w:sz w:val="20"/>
              </w:rPr>
            </w:pPr>
          </w:p>
          <w:p w:rsidR="009515FF" w:rsidRDefault="009515FF">
            <w:pPr>
              <w:pStyle w:val="yTableNAm"/>
              <w:rPr>
                <w:sz w:val="20"/>
              </w:rPr>
            </w:pPr>
          </w:p>
          <w:p w:rsidR="009515FF" w:rsidRDefault="00B14AD4">
            <w:pPr>
              <w:pStyle w:val="yTableNAm"/>
              <w:rPr>
                <w:sz w:val="20"/>
              </w:rPr>
            </w:pPr>
            <w:r>
              <w:rPr>
                <w:sz w:val="20"/>
              </w:rPr>
              <w:t>DATE OF BIRTH</w:t>
            </w:r>
          </w:p>
          <w:p w:rsidR="009515FF" w:rsidRDefault="00B14AD4">
            <w:pPr>
              <w:pStyle w:val="yTableNAm"/>
              <w:rPr>
                <w:sz w:val="20"/>
              </w:rPr>
            </w:pPr>
            <w:r>
              <w:rPr>
                <w:sz w:val="20"/>
              </w:rPr>
              <w:t>PLACE</w:t>
            </w:r>
          </w:p>
        </w:tc>
        <w:tc>
          <w:tcPr>
            <w:tcW w:w="4678" w:type="dxa"/>
            <w:tcBorders>
              <w:top w:val="nil"/>
              <w:left w:val="nil"/>
            </w:tcBorders>
          </w:tcPr>
          <w:p w:rsidR="009515FF" w:rsidRDefault="00B14AD4">
            <w:pPr>
              <w:pStyle w:val="yTableNAm"/>
              <w:rPr>
                <w:sz w:val="20"/>
              </w:rPr>
            </w:pPr>
            <w:r>
              <w:rPr>
                <w:sz w:val="20"/>
              </w:rPr>
              <w:t>.........................................................................................</w:t>
            </w:r>
          </w:p>
          <w:p w:rsidR="009515FF" w:rsidRDefault="00B14AD4">
            <w:pPr>
              <w:pStyle w:val="yTableNAm"/>
              <w:rPr>
                <w:sz w:val="20"/>
              </w:rPr>
            </w:pPr>
            <w:r>
              <w:rPr>
                <w:sz w:val="20"/>
              </w:rPr>
              <w:t>.........................................................................................</w:t>
            </w:r>
          </w:p>
          <w:p w:rsidR="009515FF" w:rsidRDefault="00B14AD4">
            <w:pPr>
              <w:pStyle w:val="yTableNAm"/>
              <w:rPr>
                <w:sz w:val="20"/>
              </w:rPr>
            </w:pPr>
            <w:r>
              <w:rPr>
                <w:sz w:val="20"/>
              </w:rPr>
              <w:t>.........................................................................................</w:t>
            </w:r>
          </w:p>
          <w:p w:rsidR="009515FF" w:rsidRDefault="00B14AD4">
            <w:pPr>
              <w:pStyle w:val="yTableNAm"/>
              <w:rPr>
                <w:sz w:val="20"/>
              </w:rPr>
            </w:pPr>
            <w:r>
              <w:rPr>
                <w:sz w:val="20"/>
              </w:rPr>
              <w:t>.........................................................................................</w:t>
            </w:r>
          </w:p>
          <w:p w:rsidR="009515FF" w:rsidRDefault="00B14AD4">
            <w:pPr>
              <w:pStyle w:val="yTableNAm"/>
              <w:rPr>
                <w:sz w:val="20"/>
              </w:rPr>
            </w:pPr>
            <w:r>
              <w:rPr>
                <w:sz w:val="20"/>
              </w:rPr>
              <w:t>.........................................................................................</w:t>
            </w:r>
          </w:p>
          <w:p w:rsidR="009515FF" w:rsidRDefault="00B14AD4">
            <w:pPr>
              <w:pStyle w:val="yTableNAm"/>
              <w:rPr>
                <w:sz w:val="20"/>
              </w:rPr>
            </w:pPr>
            <w:r>
              <w:rPr>
                <w:sz w:val="20"/>
              </w:rPr>
              <w:t>.......................................... COUNTRY..........................</w:t>
            </w:r>
          </w:p>
        </w:tc>
      </w:tr>
      <w:tr w:rsidR="009515FF">
        <w:trPr>
          <w:cantSplit/>
        </w:trPr>
        <w:tc>
          <w:tcPr>
            <w:tcW w:w="7088" w:type="dxa"/>
            <w:gridSpan w:val="4"/>
          </w:tcPr>
          <w:p w:rsidR="009515FF" w:rsidRDefault="00B14AD4">
            <w:pPr>
              <w:pStyle w:val="yTableNAm"/>
              <w:rPr>
                <w:sz w:val="20"/>
              </w:rPr>
            </w:pPr>
            <w:r>
              <w:rPr>
                <w:sz w:val="20"/>
              </w:rPr>
              <w:lastRenderedPageBreak/>
              <w:t>If found this certificate should be returned to:</w:t>
            </w:r>
          </w:p>
          <w:p w:rsidR="009515FF" w:rsidRDefault="00B14AD4">
            <w:pPr>
              <w:pStyle w:val="yTableNAm"/>
              <w:tabs>
                <w:tab w:val="clear" w:pos="567"/>
                <w:tab w:val="left" w:pos="1932"/>
              </w:tabs>
              <w:rPr>
                <w:sz w:val="20"/>
              </w:rPr>
            </w:pPr>
            <w:r>
              <w:rPr>
                <w:sz w:val="20"/>
              </w:rPr>
              <w:tab/>
              <w:t>Department of Transport</w:t>
            </w:r>
            <w:r>
              <w:rPr>
                <w:sz w:val="20"/>
              </w:rPr>
              <w:br/>
            </w:r>
            <w:r>
              <w:rPr>
                <w:sz w:val="20"/>
              </w:rPr>
              <w:tab/>
              <w:t>Marine House</w:t>
            </w:r>
            <w:r>
              <w:rPr>
                <w:sz w:val="20"/>
              </w:rPr>
              <w:br/>
            </w:r>
            <w:r>
              <w:rPr>
                <w:sz w:val="20"/>
              </w:rPr>
              <w:tab/>
              <w:t>1 Essex Street</w:t>
            </w:r>
            <w:r>
              <w:rPr>
                <w:sz w:val="20"/>
              </w:rPr>
              <w:br/>
            </w:r>
            <w:r>
              <w:rPr>
                <w:sz w:val="20"/>
              </w:rPr>
              <w:tab/>
              <w:t>FREMANTLE  WA  6160</w:t>
            </w:r>
          </w:p>
        </w:tc>
      </w:tr>
    </w:tbl>
    <w:p w:rsidR="009515FF" w:rsidRDefault="00B14AD4">
      <w:pPr>
        <w:pStyle w:val="yMiscellaneousHeading"/>
      </w:pPr>
      <w:r>
        <w:t>PILOTAGE AREAS TO WHICH CERTIFICATE APPLIES</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418"/>
        <w:gridCol w:w="1984"/>
        <w:gridCol w:w="2694"/>
        <w:gridCol w:w="992"/>
      </w:tblGrid>
      <w:tr w:rsidR="009515FF">
        <w:tc>
          <w:tcPr>
            <w:tcW w:w="1418" w:type="dxa"/>
            <w:tcBorders>
              <w:bottom w:val="nil"/>
            </w:tcBorders>
          </w:tcPr>
          <w:p w:rsidR="009515FF" w:rsidRDefault="00B14AD4">
            <w:pPr>
              <w:pStyle w:val="yTableNAm"/>
              <w:jc w:val="center"/>
              <w:rPr>
                <w:sz w:val="20"/>
              </w:rPr>
            </w:pPr>
            <w:r>
              <w:rPr>
                <w:sz w:val="20"/>
              </w:rPr>
              <w:t>PILOTAGE AREA</w:t>
            </w:r>
          </w:p>
        </w:tc>
        <w:tc>
          <w:tcPr>
            <w:tcW w:w="1984" w:type="dxa"/>
            <w:tcBorders>
              <w:bottom w:val="nil"/>
            </w:tcBorders>
          </w:tcPr>
          <w:p w:rsidR="009515FF" w:rsidRDefault="00B14AD4">
            <w:pPr>
              <w:pStyle w:val="yTableNAm"/>
              <w:jc w:val="center"/>
              <w:rPr>
                <w:sz w:val="20"/>
              </w:rPr>
            </w:pPr>
            <w:r>
              <w:rPr>
                <w:sz w:val="20"/>
              </w:rPr>
              <w:t>CONDITIONS</w:t>
            </w:r>
          </w:p>
        </w:tc>
        <w:tc>
          <w:tcPr>
            <w:tcW w:w="2694" w:type="dxa"/>
            <w:tcBorders>
              <w:bottom w:val="nil"/>
            </w:tcBorders>
          </w:tcPr>
          <w:p w:rsidR="009515FF" w:rsidRDefault="00B14AD4">
            <w:pPr>
              <w:pStyle w:val="yTableNAm"/>
              <w:jc w:val="center"/>
              <w:rPr>
                <w:sz w:val="20"/>
              </w:rPr>
            </w:pPr>
            <w:r>
              <w:rPr>
                <w:sz w:val="20"/>
              </w:rPr>
              <w:t>NAME AND SIGNATURE</w:t>
            </w:r>
          </w:p>
          <w:p w:rsidR="009515FF" w:rsidRDefault="00B14AD4">
            <w:pPr>
              <w:pStyle w:val="yTableNAm"/>
              <w:spacing w:before="0"/>
              <w:jc w:val="center"/>
              <w:rPr>
                <w:sz w:val="20"/>
              </w:rPr>
            </w:pPr>
            <w:r>
              <w:rPr>
                <w:sz w:val="20"/>
              </w:rPr>
              <w:t>OF OFFICER</w:t>
            </w:r>
          </w:p>
        </w:tc>
        <w:tc>
          <w:tcPr>
            <w:tcW w:w="992" w:type="dxa"/>
            <w:tcBorders>
              <w:bottom w:val="nil"/>
            </w:tcBorders>
          </w:tcPr>
          <w:p w:rsidR="009515FF" w:rsidRDefault="00B14AD4">
            <w:pPr>
              <w:pStyle w:val="yTableNAm"/>
              <w:jc w:val="center"/>
              <w:rPr>
                <w:sz w:val="20"/>
              </w:rPr>
            </w:pPr>
            <w:r>
              <w:rPr>
                <w:sz w:val="20"/>
              </w:rPr>
              <w:t>DATE</w:t>
            </w:r>
          </w:p>
        </w:tc>
      </w:tr>
      <w:tr w:rsidR="009515FF">
        <w:tc>
          <w:tcPr>
            <w:tcW w:w="1418" w:type="dxa"/>
            <w:tcBorders>
              <w:bottom w:val="nil"/>
            </w:tcBorders>
          </w:tcPr>
          <w:p w:rsidR="009515FF" w:rsidRDefault="00B14AD4">
            <w:pPr>
              <w:pStyle w:val="yTableNAm"/>
              <w:rPr>
                <w:sz w:val="20"/>
              </w:rPr>
            </w:pPr>
            <w:r>
              <w:rPr>
                <w:sz w:val="20"/>
              </w:rPr>
              <w:t>............................</w:t>
            </w:r>
          </w:p>
        </w:tc>
        <w:tc>
          <w:tcPr>
            <w:tcW w:w="1984" w:type="dxa"/>
            <w:tcBorders>
              <w:bottom w:val="nil"/>
            </w:tcBorders>
          </w:tcPr>
          <w:p w:rsidR="009515FF" w:rsidRDefault="00B14AD4">
            <w:pPr>
              <w:pStyle w:val="yTableNAm"/>
              <w:rPr>
                <w:sz w:val="20"/>
              </w:rPr>
            </w:pPr>
            <w:r>
              <w:rPr>
                <w:sz w:val="20"/>
              </w:rPr>
              <w:t>.......................................</w:t>
            </w:r>
          </w:p>
        </w:tc>
        <w:tc>
          <w:tcPr>
            <w:tcW w:w="2694" w:type="dxa"/>
            <w:tcBorders>
              <w:bottom w:val="nil"/>
            </w:tcBorders>
          </w:tcPr>
          <w:p w:rsidR="009515FF" w:rsidRDefault="00B14AD4">
            <w:pPr>
              <w:pStyle w:val="yTableNAm"/>
              <w:rPr>
                <w:sz w:val="20"/>
              </w:rPr>
            </w:pPr>
            <w:r>
              <w:rPr>
                <w:sz w:val="20"/>
              </w:rPr>
              <w:t>.....................................................</w:t>
            </w:r>
          </w:p>
        </w:tc>
        <w:tc>
          <w:tcPr>
            <w:tcW w:w="992" w:type="dxa"/>
            <w:tcBorders>
              <w:bottom w:val="nil"/>
            </w:tcBorders>
          </w:tcPr>
          <w:p w:rsidR="009515FF" w:rsidRDefault="00B14AD4">
            <w:pPr>
              <w:pStyle w:val="yTableNAm"/>
              <w:rPr>
                <w:sz w:val="20"/>
              </w:rPr>
            </w:pPr>
            <w:r>
              <w:rPr>
                <w:sz w:val="20"/>
              </w:rPr>
              <w:t>...................</w:t>
            </w:r>
          </w:p>
        </w:tc>
      </w:tr>
      <w:tr w:rsidR="009515FF">
        <w:tc>
          <w:tcPr>
            <w:tcW w:w="1418" w:type="dxa"/>
            <w:tcBorders>
              <w:top w:val="nil"/>
              <w:bottom w:val="nil"/>
            </w:tcBorders>
          </w:tcPr>
          <w:p w:rsidR="009515FF" w:rsidRDefault="00B14AD4">
            <w:pPr>
              <w:pStyle w:val="yTableNAm"/>
              <w:rPr>
                <w:sz w:val="20"/>
              </w:rPr>
            </w:pPr>
            <w:r>
              <w:rPr>
                <w:sz w:val="20"/>
              </w:rPr>
              <w:t>............................</w:t>
            </w:r>
          </w:p>
        </w:tc>
        <w:tc>
          <w:tcPr>
            <w:tcW w:w="1984" w:type="dxa"/>
            <w:tcBorders>
              <w:top w:val="nil"/>
              <w:bottom w:val="nil"/>
            </w:tcBorders>
          </w:tcPr>
          <w:p w:rsidR="009515FF" w:rsidRDefault="00B14AD4">
            <w:pPr>
              <w:pStyle w:val="yTableNAm"/>
              <w:rPr>
                <w:sz w:val="20"/>
              </w:rPr>
            </w:pPr>
            <w:r>
              <w:rPr>
                <w:sz w:val="20"/>
              </w:rPr>
              <w:t>.......................................</w:t>
            </w:r>
          </w:p>
        </w:tc>
        <w:tc>
          <w:tcPr>
            <w:tcW w:w="2694" w:type="dxa"/>
            <w:tcBorders>
              <w:top w:val="nil"/>
              <w:bottom w:val="nil"/>
            </w:tcBorders>
          </w:tcPr>
          <w:p w:rsidR="009515FF" w:rsidRDefault="00B14AD4">
            <w:pPr>
              <w:pStyle w:val="yTableNAm"/>
              <w:rPr>
                <w:sz w:val="20"/>
              </w:rPr>
            </w:pPr>
            <w:r>
              <w:rPr>
                <w:sz w:val="20"/>
              </w:rPr>
              <w:t>.....................................................</w:t>
            </w:r>
          </w:p>
        </w:tc>
        <w:tc>
          <w:tcPr>
            <w:tcW w:w="992" w:type="dxa"/>
            <w:tcBorders>
              <w:top w:val="nil"/>
              <w:bottom w:val="nil"/>
            </w:tcBorders>
          </w:tcPr>
          <w:p w:rsidR="009515FF" w:rsidRDefault="00B14AD4">
            <w:pPr>
              <w:pStyle w:val="yTableNAm"/>
              <w:rPr>
                <w:sz w:val="20"/>
              </w:rPr>
            </w:pPr>
            <w:r>
              <w:rPr>
                <w:sz w:val="20"/>
              </w:rPr>
              <w:t>...................</w:t>
            </w:r>
          </w:p>
        </w:tc>
      </w:tr>
      <w:tr w:rsidR="009515FF">
        <w:tc>
          <w:tcPr>
            <w:tcW w:w="1418" w:type="dxa"/>
            <w:tcBorders>
              <w:top w:val="nil"/>
              <w:bottom w:val="nil"/>
            </w:tcBorders>
          </w:tcPr>
          <w:p w:rsidR="009515FF" w:rsidRDefault="00B14AD4">
            <w:pPr>
              <w:pStyle w:val="yTableNAm"/>
              <w:rPr>
                <w:sz w:val="20"/>
              </w:rPr>
            </w:pPr>
            <w:r>
              <w:rPr>
                <w:sz w:val="20"/>
              </w:rPr>
              <w:t>............................</w:t>
            </w:r>
          </w:p>
        </w:tc>
        <w:tc>
          <w:tcPr>
            <w:tcW w:w="1984" w:type="dxa"/>
            <w:tcBorders>
              <w:top w:val="nil"/>
              <w:bottom w:val="nil"/>
            </w:tcBorders>
          </w:tcPr>
          <w:p w:rsidR="009515FF" w:rsidRDefault="00B14AD4">
            <w:pPr>
              <w:pStyle w:val="yTableNAm"/>
              <w:rPr>
                <w:sz w:val="20"/>
              </w:rPr>
            </w:pPr>
            <w:r>
              <w:rPr>
                <w:sz w:val="20"/>
              </w:rPr>
              <w:t>.......................................</w:t>
            </w:r>
          </w:p>
        </w:tc>
        <w:tc>
          <w:tcPr>
            <w:tcW w:w="2694" w:type="dxa"/>
            <w:tcBorders>
              <w:top w:val="nil"/>
              <w:bottom w:val="nil"/>
            </w:tcBorders>
          </w:tcPr>
          <w:p w:rsidR="009515FF" w:rsidRDefault="00B14AD4">
            <w:pPr>
              <w:pStyle w:val="yTableNAm"/>
              <w:rPr>
                <w:sz w:val="20"/>
              </w:rPr>
            </w:pPr>
            <w:r>
              <w:rPr>
                <w:sz w:val="20"/>
              </w:rPr>
              <w:t>.....................................................</w:t>
            </w:r>
          </w:p>
        </w:tc>
        <w:tc>
          <w:tcPr>
            <w:tcW w:w="992" w:type="dxa"/>
            <w:tcBorders>
              <w:top w:val="nil"/>
              <w:bottom w:val="nil"/>
            </w:tcBorders>
          </w:tcPr>
          <w:p w:rsidR="009515FF" w:rsidRDefault="00B14AD4">
            <w:pPr>
              <w:pStyle w:val="yTableNAm"/>
              <w:rPr>
                <w:sz w:val="20"/>
              </w:rPr>
            </w:pPr>
            <w:r>
              <w:rPr>
                <w:sz w:val="20"/>
              </w:rPr>
              <w:t>...................</w:t>
            </w:r>
          </w:p>
        </w:tc>
      </w:tr>
      <w:tr w:rsidR="009515FF">
        <w:tc>
          <w:tcPr>
            <w:tcW w:w="1418" w:type="dxa"/>
            <w:tcBorders>
              <w:top w:val="nil"/>
              <w:bottom w:val="nil"/>
            </w:tcBorders>
          </w:tcPr>
          <w:p w:rsidR="009515FF" w:rsidRDefault="00B14AD4">
            <w:pPr>
              <w:pStyle w:val="yTableNAm"/>
              <w:rPr>
                <w:sz w:val="20"/>
              </w:rPr>
            </w:pPr>
            <w:r>
              <w:rPr>
                <w:sz w:val="20"/>
              </w:rPr>
              <w:t>............................</w:t>
            </w:r>
          </w:p>
        </w:tc>
        <w:tc>
          <w:tcPr>
            <w:tcW w:w="1984" w:type="dxa"/>
            <w:tcBorders>
              <w:top w:val="nil"/>
              <w:bottom w:val="nil"/>
            </w:tcBorders>
          </w:tcPr>
          <w:p w:rsidR="009515FF" w:rsidRDefault="00B14AD4">
            <w:pPr>
              <w:pStyle w:val="yTableNAm"/>
              <w:rPr>
                <w:sz w:val="20"/>
              </w:rPr>
            </w:pPr>
            <w:r>
              <w:rPr>
                <w:sz w:val="20"/>
              </w:rPr>
              <w:t>.......................................</w:t>
            </w:r>
          </w:p>
        </w:tc>
        <w:tc>
          <w:tcPr>
            <w:tcW w:w="2694" w:type="dxa"/>
            <w:tcBorders>
              <w:top w:val="nil"/>
              <w:bottom w:val="nil"/>
            </w:tcBorders>
          </w:tcPr>
          <w:p w:rsidR="009515FF" w:rsidRDefault="00B14AD4">
            <w:pPr>
              <w:pStyle w:val="yTableNAm"/>
              <w:rPr>
                <w:sz w:val="20"/>
              </w:rPr>
            </w:pPr>
            <w:r>
              <w:rPr>
                <w:sz w:val="20"/>
              </w:rPr>
              <w:t>.....................................................</w:t>
            </w:r>
          </w:p>
        </w:tc>
        <w:tc>
          <w:tcPr>
            <w:tcW w:w="992" w:type="dxa"/>
            <w:tcBorders>
              <w:top w:val="nil"/>
              <w:bottom w:val="nil"/>
            </w:tcBorders>
          </w:tcPr>
          <w:p w:rsidR="009515FF" w:rsidRDefault="00B14AD4">
            <w:pPr>
              <w:pStyle w:val="yTableNAm"/>
              <w:rPr>
                <w:sz w:val="20"/>
              </w:rPr>
            </w:pPr>
            <w:r>
              <w:rPr>
                <w:sz w:val="20"/>
              </w:rPr>
              <w:t>...................</w:t>
            </w:r>
          </w:p>
        </w:tc>
      </w:tr>
      <w:tr w:rsidR="009515FF">
        <w:tc>
          <w:tcPr>
            <w:tcW w:w="1418" w:type="dxa"/>
            <w:tcBorders>
              <w:top w:val="nil"/>
              <w:bottom w:val="nil"/>
            </w:tcBorders>
          </w:tcPr>
          <w:p w:rsidR="009515FF" w:rsidRDefault="00B14AD4">
            <w:pPr>
              <w:pStyle w:val="yTableNAm"/>
              <w:rPr>
                <w:sz w:val="20"/>
              </w:rPr>
            </w:pPr>
            <w:r>
              <w:rPr>
                <w:sz w:val="20"/>
              </w:rPr>
              <w:t>............................</w:t>
            </w:r>
          </w:p>
        </w:tc>
        <w:tc>
          <w:tcPr>
            <w:tcW w:w="1984" w:type="dxa"/>
            <w:tcBorders>
              <w:top w:val="nil"/>
              <w:bottom w:val="nil"/>
            </w:tcBorders>
          </w:tcPr>
          <w:p w:rsidR="009515FF" w:rsidRDefault="00B14AD4">
            <w:pPr>
              <w:pStyle w:val="yTableNAm"/>
              <w:rPr>
                <w:sz w:val="20"/>
              </w:rPr>
            </w:pPr>
            <w:r>
              <w:rPr>
                <w:sz w:val="20"/>
              </w:rPr>
              <w:t>.......................................</w:t>
            </w:r>
          </w:p>
        </w:tc>
        <w:tc>
          <w:tcPr>
            <w:tcW w:w="2694" w:type="dxa"/>
            <w:tcBorders>
              <w:top w:val="nil"/>
              <w:bottom w:val="nil"/>
            </w:tcBorders>
          </w:tcPr>
          <w:p w:rsidR="009515FF" w:rsidRDefault="00B14AD4">
            <w:pPr>
              <w:pStyle w:val="yTableNAm"/>
              <w:rPr>
                <w:sz w:val="20"/>
              </w:rPr>
            </w:pPr>
            <w:r>
              <w:rPr>
                <w:sz w:val="20"/>
              </w:rPr>
              <w:t>.....................................................</w:t>
            </w:r>
          </w:p>
        </w:tc>
        <w:tc>
          <w:tcPr>
            <w:tcW w:w="992" w:type="dxa"/>
            <w:tcBorders>
              <w:top w:val="nil"/>
              <w:bottom w:val="nil"/>
            </w:tcBorders>
          </w:tcPr>
          <w:p w:rsidR="009515FF" w:rsidRDefault="00B14AD4">
            <w:pPr>
              <w:pStyle w:val="yTableNAm"/>
              <w:rPr>
                <w:sz w:val="20"/>
              </w:rPr>
            </w:pPr>
            <w:r>
              <w:rPr>
                <w:sz w:val="20"/>
              </w:rPr>
              <w:t>...................</w:t>
            </w:r>
          </w:p>
        </w:tc>
      </w:tr>
      <w:tr w:rsidR="009515FF">
        <w:tc>
          <w:tcPr>
            <w:tcW w:w="1418" w:type="dxa"/>
            <w:tcBorders>
              <w:top w:val="nil"/>
              <w:bottom w:val="nil"/>
            </w:tcBorders>
          </w:tcPr>
          <w:p w:rsidR="009515FF" w:rsidRDefault="00B14AD4">
            <w:pPr>
              <w:pStyle w:val="yTableNAm"/>
              <w:rPr>
                <w:sz w:val="20"/>
              </w:rPr>
            </w:pPr>
            <w:r>
              <w:rPr>
                <w:sz w:val="20"/>
              </w:rPr>
              <w:t>............................</w:t>
            </w:r>
          </w:p>
        </w:tc>
        <w:tc>
          <w:tcPr>
            <w:tcW w:w="1984" w:type="dxa"/>
            <w:tcBorders>
              <w:top w:val="nil"/>
              <w:bottom w:val="nil"/>
            </w:tcBorders>
          </w:tcPr>
          <w:p w:rsidR="009515FF" w:rsidRDefault="00B14AD4">
            <w:pPr>
              <w:pStyle w:val="yTableNAm"/>
              <w:rPr>
                <w:sz w:val="20"/>
              </w:rPr>
            </w:pPr>
            <w:r>
              <w:rPr>
                <w:sz w:val="20"/>
              </w:rPr>
              <w:t>.......................................</w:t>
            </w:r>
          </w:p>
        </w:tc>
        <w:tc>
          <w:tcPr>
            <w:tcW w:w="2694" w:type="dxa"/>
            <w:tcBorders>
              <w:top w:val="nil"/>
              <w:bottom w:val="nil"/>
            </w:tcBorders>
          </w:tcPr>
          <w:p w:rsidR="009515FF" w:rsidRDefault="00B14AD4">
            <w:pPr>
              <w:pStyle w:val="yTableNAm"/>
              <w:rPr>
                <w:sz w:val="20"/>
              </w:rPr>
            </w:pPr>
            <w:r>
              <w:rPr>
                <w:sz w:val="20"/>
              </w:rPr>
              <w:t>.....................................................</w:t>
            </w:r>
          </w:p>
        </w:tc>
        <w:tc>
          <w:tcPr>
            <w:tcW w:w="992" w:type="dxa"/>
            <w:tcBorders>
              <w:top w:val="nil"/>
              <w:bottom w:val="nil"/>
            </w:tcBorders>
          </w:tcPr>
          <w:p w:rsidR="009515FF" w:rsidRDefault="00B14AD4">
            <w:pPr>
              <w:pStyle w:val="yTableNAm"/>
              <w:rPr>
                <w:sz w:val="20"/>
              </w:rPr>
            </w:pPr>
            <w:r>
              <w:rPr>
                <w:sz w:val="20"/>
              </w:rPr>
              <w:t>...................</w:t>
            </w:r>
          </w:p>
        </w:tc>
      </w:tr>
      <w:tr w:rsidR="009515FF">
        <w:tc>
          <w:tcPr>
            <w:tcW w:w="1418" w:type="dxa"/>
            <w:tcBorders>
              <w:top w:val="nil"/>
              <w:bottom w:val="nil"/>
            </w:tcBorders>
          </w:tcPr>
          <w:p w:rsidR="009515FF" w:rsidRDefault="00B14AD4">
            <w:pPr>
              <w:pStyle w:val="yTableNAm"/>
              <w:rPr>
                <w:sz w:val="20"/>
              </w:rPr>
            </w:pPr>
            <w:r>
              <w:rPr>
                <w:sz w:val="20"/>
              </w:rPr>
              <w:t>............................</w:t>
            </w:r>
          </w:p>
        </w:tc>
        <w:tc>
          <w:tcPr>
            <w:tcW w:w="1984" w:type="dxa"/>
            <w:tcBorders>
              <w:top w:val="nil"/>
              <w:bottom w:val="nil"/>
            </w:tcBorders>
          </w:tcPr>
          <w:p w:rsidR="009515FF" w:rsidRDefault="00B14AD4">
            <w:pPr>
              <w:pStyle w:val="yTableNAm"/>
              <w:rPr>
                <w:sz w:val="20"/>
              </w:rPr>
            </w:pPr>
            <w:r>
              <w:rPr>
                <w:sz w:val="20"/>
              </w:rPr>
              <w:t>.......................................</w:t>
            </w:r>
          </w:p>
        </w:tc>
        <w:tc>
          <w:tcPr>
            <w:tcW w:w="2694" w:type="dxa"/>
            <w:tcBorders>
              <w:top w:val="nil"/>
              <w:bottom w:val="nil"/>
            </w:tcBorders>
          </w:tcPr>
          <w:p w:rsidR="009515FF" w:rsidRDefault="00B14AD4">
            <w:pPr>
              <w:pStyle w:val="yTableNAm"/>
              <w:rPr>
                <w:sz w:val="20"/>
              </w:rPr>
            </w:pPr>
            <w:r>
              <w:rPr>
                <w:sz w:val="20"/>
              </w:rPr>
              <w:t>.....................................................</w:t>
            </w:r>
          </w:p>
        </w:tc>
        <w:tc>
          <w:tcPr>
            <w:tcW w:w="992" w:type="dxa"/>
            <w:tcBorders>
              <w:top w:val="nil"/>
              <w:bottom w:val="nil"/>
            </w:tcBorders>
          </w:tcPr>
          <w:p w:rsidR="009515FF" w:rsidRDefault="00B14AD4">
            <w:pPr>
              <w:pStyle w:val="yTableNAm"/>
              <w:rPr>
                <w:sz w:val="20"/>
              </w:rPr>
            </w:pPr>
            <w:r>
              <w:rPr>
                <w:sz w:val="20"/>
              </w:rPr>
              <w:t>...................</w:t>
            </w:r>
          </w:p>
        </w:tc>
      </w:tr>
      <w:tr w:rsidR="009515FF">
        <w:tc>
          <w:tcPr>
            <w:tcW w:w="1418" w:type="dxa"/>
            <w:tcBorders>
              <w:top w:val="nil"/>
              <w:bottom w:val="nil"/>
            </w:tcBorders>
          </w:tcPr>
          <w:p w:rsidR="009515FF" w:rsidRDefault="00B14AD4">
            <w:pPr>
              <w:pStyle w:val="yTableNAm"/>
              <w:rPr>
                <w:sz w:val="20"/>
              </w:rPr>
            </w:pPr>
            <w:r>
              <w:rPr>
                <w:sz w:val="20"/>
              </w:rPr>
              <w:t>............................</w:t>
            </w:r>
          </w:p>
        </w:tc>
        <w:tc>
          <w:tcPr>
            <w:tcW w:w="1984" w:type="dxa"/>
            <w:tcBorders>
              <w:top w:val="nil"/>
              <w:bottom w:val="nil"/>
            </w:tcBorders>
          </w:tcPr>
          <w:p w:rsidR="009515FF" w:rsidRDefault="00B14AD4">
            <w:pPr>
              <w:pStyle w:val="yTableNAm"/>
              <w:rPr>
                <w:sz w:val="20"/>
              </w:rPr>
            </w:pPr>
            <w:r>
              <w:rPr>
                <w:sz w:val="20"/>
              </w:rPr>
              <w:t>.......................................</w:t>
            </w:r>
          </w:p>
        </w:tc>
        <w:tc>
          <w:tcPr>
            <w:tcW w:w="2694" w:type="dxa"/>
            <w:tcBorders>
              <w:top w:val="nil"/>
              <w:bottom w:val="nil"/>
            </w:tcBorders>
          </w:tcPr>
          <w:p w:rsidR="009515FF" w:rsidRDefault="00B14AD4">
            <w:pPr>
              <w:pStyle w:val="yTableNAm"/>
              <w:rPr>
                <w:sz w:val="20"/>
              </w:rPr>
            </w:pPr>
            <w:r>
              <w:rPr>
                <w:sz w:val="20"/>
              </w:rPr>
              <w:t>.....................................................</w:t>
            </w:r>
          </w:p>
        </w:tc>
        <w:tc>
          <w:tcPr>
            <w:tcW w:w="992" w:type="dxa"/>
            <w:tcBorders>
              <w:top w:val="nil"/>
              <w:bottom w:val="nil"/>
            </w:tcBorders>
          </w:tcPr>
          <w:p w:rsidR="009515FF" w:rsidRDefault="00B14AD4">
            <w:pPr>
              <w:pStyle w:val="yTableNAm"/>
              <w:rPr>
                <w:sz w:val="20"/>
              </w:rPr>
            </w:pPr>
            <w:r>
              <w:rPr>
                <w:sz w:val="20"/>
              </w:rPr>
              <w:t>...................</w:t>
            </w:r>
          </w:p>
        </w:tc>
      </w:tr>
      <w:tr w:rsidR="009515FF">
        <w:tc>
          <w:tcPr>
            <w:tcW w:w="1418" w:type="dxa"/>
            <w:tcBorders>
              <w:top w:val="nil"/>
              <w:bottom w:val="nil"/>
            </w:tcBorders>
          </w:tcPr>
          <w:p w:rsidR="009515FF" w:rsidRDefault="00B14AD4">
            <w:pPr>
              <w:pStyle w:val="yTableNAm"/>
              <w:rPr>
                <w:sz w:val="20"/>
              </w:rPr>
            </w:pPr>
            <w:r>
              <w:rPr>
                <w:sz w:val="20"/>
              </w:rPr>
              <w:t>............................</w:t>
            </w:r>
          </w:p>
        </w:tc>
        <w:tc>
          <w:tcPr>
            <w:tcW w:w="1984" w:type="dxa"/>
            <w:tcBorders>
              <w:top w:val="nil"/>
              <w:bottom w:val="nil"/>
            </w:tcBorders>
          </w:tcPr>
          <w:p w:rsidR="009515FF" w:rsidRDefault="00B14AD4">
            <w:pPr>
              <w:pStyle w:val="yTableNAm"/>
              <w:rPr>
                <w:sz w:val="20"/>
              </w:rPr>
            </w:pPr>
            <w:r>
              <w:rPr>
                <w:sz w:val="20"/>
              </w:rPr>
              <w:t>.......................................</w:t>
            </w:r>
          </w:p>
        </w:tc>
        <w:tc>
          <w:tcPr>
            <w:tcW w:w="2694" w:type="dxa"/>
            <w:tcBorders>
              <w:top w:val="nil"/>
              <w:bottom w:val="nil"/>
            </w:tcBorders>
          </w:tcPr>
          <w:p w:rsidR="009515FF" w:rsidRDefault="00B14AD4">
            <w:pPr>
              <w:pStyle w:val="yTableNAm"/>
              <w:rPr>
                <w:sz w:val="20"/>
              </w:rPr>
            </w:pPr>
            <w:r>
              <w:rPr>
                <w:sz w:val="20"/>
              </w:rPr>
              <w:t>.....................................................</w:t>
            </w:r>
          </w:p>
        </w:tc>
        <w:tc>
          <w:tcPr>
            <w:tcW w:w="992" w:type="dxa"/>
            <w:tcBorders>
              <w:top w:val="nil"/>
              <w:bottom w:val="nil"/>
            </w:tcBorders>
          </w:tcPr>
          <w:p w:rsidR="009515FF" w:rsidRDefault="00B14AD4">
            <w:pPr>
              <w:pStyle w:val="yTableNAm"/>
              <w:rPr>
                <w:sz w:val="20"/>
              </w:rPr>
            </w:pPr>
            <w:r>
              <w:rPr>
                <w:sz w:val="20"/>
              </w:rPr>
              <w:t>...................</w:t>
            </w:r>
          </w:p>
        </w:tc>
      </w:tr>
      <w:tr w:rsidR="009515FF">
        <w:tc>
          <w:tcPr>
            <w:tcW w:w="1418" w:type="dxa"/>
            <w:tcBorders>
              <w:top w:val="nil"/>
              <w:bottom w:val="nil"/>
            </w:tcBorders>
          </w:tcPr>
          <w:p w:rsidR="009515FF" w:rsidRDefault="00B14AD4">
            <w:pPr>
              <w:pStyle w:val="yTableNAm"/>
              <w:rPr>
                <w:sz w:val="20"/>
              </w:rPr>
            </w:pPr>
            <w:r>
              <w:rPr>
                <w:sz w:val="20"/>
              </w:rPr>
              <w:t>............................</w:t>
            </w:r>
          </w:p>
        </w:tc>
        <w:tc>
          <w:tcPr>
            <w:tcW w:w="1984" w:type="dxa"/>
            <w:tcBorders>
              <w:top w:val="nil"/>
              <w:bottom w:val="nil"/>
            </w:tcBorders>
          </w:tcPr>
          <w:p w:rsidR="009515FF" w:rsidRDefault="00B14AD4">
            <w:pPr>
              <w:pStyle w:val="yTableNAm"/>
              <w:rPr>
                <w:sz w:val="20"/>
              </w:rPr>
            </w:pPr>
            <w:r>
              <w:rPr>
                <w:sz w:val="20"/>
              </w:rPr>
              <w:t>.......................................</w:t>
            </w:r>
          </w:p>
        </w:tc>
        <w:tc>
          <w:tcPr>
            <w:tcW w:w="2694" w:type="dxa"/>
            <w:tcBorders>
              <w:top w:val="nil"/>
              <w:bottom w:val="nil"/>
            </w:tcBorders>
          </w:tcPr>
          <w:p w:rsidR="009515FF" w:rsidRDefault="00B14AD4">
            <w:pPr>
              <w:pStyle w:val="yTableNAm"/>
              <w:rPr>
                <w:sz w:val="20"/>
              </w:rPr>
            </w:pPr>
            <w:r>
              <w:rPr>
                <w:sz w:val="20"/>
              </w:rPr>
              <w:t>.....................................................</w:t>
            </w:r>
          </w:p>
        </w:tc>
        <w:tc>
          <w:tcPr>
            <w:tcW w:w="992" w:type="dxa"/>
            <w:tcBorders>
              <w:top w:val="nil"/>
              <w:bottom w:val="nil"/>
            </w:tcBorders>
          </w:tcPr>
          <w:p w:rsidR="009515FF" w:rsidRDefault="00B14AD4">
            <w:pPr>
              <w:pStyle w:val="yTableNAm"/>
              <w:rPr>
                <w:sz w:val="20"/>
              </w:rPr>
            </w:pPr>
            <w:r>
              <w:rPr>
                <w:sz w:val="20"/>
              </w:rPr>
              <w:t>...................</w:t>
            </w:r>
          </w:p>
        </w:tc>
      </w:tr>
      <w:tr w:rsidR="009515FF">
        <w:tc>
          <w:tcPr>
            <w:tcW w:w="1418" w:type="dxa"/>
            <w:tcBorders>
              <w:top w:val="nil"/>
              <w:bottom w:val="nil"/>
            </w:tcBorders>
          </w:tcPr>
          <w:p w:rsidR="009515FF" w:rsidRDefault="00B14AD4">
            <w:pPr>
              <w:pStyle w:val="yTableNAm"/>
              <w:rPr>
                <w:sz w:val="20"/>
              </w:rPr>
            </w:pPr>
            <w:r>
              <w:rPr>
                <w:sz w:val="20"/>
              </w:rPr>
              <w:t>............................</w:t>
            </w:r>
          </w:p>
        </w:tc>
        <w:tc>
          <w:tcPr>
            <w:tcW w:w="1984" w:type="dxa"/>
            <w:tcBorders>
              <w:top w:val="nil"/>
              <w:bottom w:val="nil"/>
            </w:tcBorders>
          </w:tcPr>
          <w:p w:rsidR="009515FF" w:rsidRDefault="00B14AD4">
            <w:pPr>
              <w:pStyle w:val="yTableNAm"/>
              <w:rPr>
                <w:sz w:val="20"/>
              </w:rPr>
            </w:pPr>
            <w:r>
              <w:rPr>
                <w:sz w:val="20"/>
              </w:rPr>
              <w:t>.......................................</w:t>
            </w:r>
          </w:p>
        </w:tc>
        <w:tc>
          <w:tcPr>
            <w:tcW w:w="2694" w:type="dxa"/>
            <w:tcBorders>
              <w:top w:val="nil"/>
              <w:bottom w:val="nil"/>
            </w:tcBorders>
          </w:tcPr>
          <w:p w:rsidR="009515FF" w:rsidRDefault="00B14AD4">
            <w:pPr>
              <w:pStyle w:val="yTableNAm"/>
              <w:rPr>
                <w:sz w:val="20"/>
              </w:rPr>
            </w:pPr>
            <w:r>
              <w:rPr>
                <w:sz w:val="20"/>
              </w:rPr>
              <w:t>.....................................................</w:t>
            </w:r>
          </w:p>
        </w:tc>
        <w:tc>
          <w:tcPr>
            <w:tcW w:w="992" w:type="dxa"/>
            <w:tcBorders>
              <w:top w:val="nil"/>
              <w:bottom w:val="nil"/>
            </w:tcBorders>
          </w:tcPr>
          <w:p w:rsidR="009515FF" w:rsidRDefault="00B14AD4">
            <w:pPr>
              <w:pStyle w:val="yTableNAm"/>
              <w:rPr>
                <w:sz w:val="20"/>
              </w:rPr>
            </w:pPr>
            <w:r>
              <w:rPr>
                <w:sz w:val="20"/>
              </w:rPr>
              <w:t>...................</w:t>
            </w:r>
          </w:p>
        </w:tc>
      </w:tr>
      <w:tr w:rsidR="009515FF">
        <w:tc>
          <w:tcPr>
            <w:tcW w:w="1418" w:type="dxa"/>
            <w:tcBorders>
              <w:top w:val="nil"/>
              <w:bottom w:val="nil"/>
            </w:tcBorders>
          </w:tcPr>
          <w:p w:rsidR="009515FF" w:rsidRDefault="00B14AD4">
            <w:pPr>
              <w:pStyle w:val="yTableNAm"/>
              <w:rPr>
                <w:sz w:val="20"/>
              </w:rPr>
            </w:pPr>
            <w:r>
              <w:rPr>
                <w:sz w:val="20"/>
              </w:rPr>
              <w:t>............................</w:t>
            </w:r>
          </w:p>
        </w:tc>
        <w:tc>
          <w:tcPr>
            <w:tcW w:w="1984" w:type="dxa"/>
            <w:tcBorders>
              <w:top w:val="nil"/>
              <w:bottom w:val="nil"/>
            </w:tcBorders>
          </w:tcPr>
          <w:p w:rsidR="009515FF" w:rsidRDefault="00B14AD4">
            <w:pPr>
              <w:pStyle w:val="yTableNAm"/>
              <w:rPr>
                <w:sz w:val="20"/>
              </w:rPr>
            </w:pPr>
            <w:r>
              <w:rPr>
                <w:sz w:val="20"/>
              </w:rPr>
              <w:t>.......................................</w:t>
            </w:r>
          </w:p>
        </w:tc>
        <w:tc>
          <w:tcPr>
            <w:tcW w:w="2694" w:type="dxa"/>
            <w:tcBorders>
              <w:top w:val="nil"/>
              <w:bottom w:val="nil"/>
            </w:tcBorders>
          </w:tcPr>
          <w:p w:rsidR="009515FF" w:rsidRDefault="00B14AD4">
            <w:pPr>
              <w:pStyle w:val="yTableNAm"/>
              <w:rPr>
                <w:sz w:val="20"/>
              </w:rPr>
            </w:pPr>
            <w:r>
              <w:rPr>
                <w:sz w:val="20"/>
              </w:rPr>
              <w:t>.....................................................</w:t>
            </w:r>
          </w:p>
        </w:tc>
        <w:tc>
          <w:tcPr>
            <w:tcW w:w="992" w:type="dxa"/>
            <w:tcBorders>
              <w:top w:val="nil"/>
              <w:bottom w:val="nil"/>
            </w:tcBorders>
          </w:tcPr>
          <w:p w:rsidR="009515FF" w:rsidRDefault="00B14AD4">
            <w:pPr>
              <w:pStyle w:val="yTableNAm"/>
              <w:rPr>
                <w:sz w:val="20"/>
              </w:rPr>
            </w:pPr>
            <w:r>
              <w:rPr>
                <w:sz w:val="20"/>
              </w:rPr>
              <w:t>...................</w:t>
            </w:r>
          </w:p>
        </w:tc>
      </w:tr>
      <w:tr w:rsidR="009515FF">
        <w:tc>
          <w:tcPr>
            <w:tcW w:w="1418" w:type="dxa"/>
            <w:tcBorders>
              <w:top w:val="nil"/>
              <w:bottom w:val="nil"/>
            </w:tcBorders>
          </w:tcPr>
          <w:p w:rsidR="009515FF" w:rsidRDefault="00B14AD4">
            <w:pPr>
              <w:pStyle w:val="yTableNAm"/>
              <w:rPr>
                <w:sz w:val="20"/>
              </w:rPr>
            </w:pPr>
            <w:r>
              <w:rPr>
                <w:sz w:val="20"/>
              </w:rPr>
              <w:t>............................</w:t>
            </w:r>
          </w:p>
        </w:tc>
        <w:tc>
          <w:tcPr>
            <w:tcW w:w="1984" w:type="dxa"/>
            <w:tcBorders>
              <w:top w:val="nil"/>
              <w:bottom w:val="nil"/>
            </w:tcBorders>
          </w:tcPr>
          <w:p w:rsidR="009515FF" w:rsidRDefault="00B14AD4">
            <w:pPr>
              <w:pStyle w:val="yTableNAm"/>
              <w:rPr>
                <w:sz w:val="20"/>
              </w:rPr>
            </w:pPr>
            <w:r>
              <w:rPr>
                <w:sz w:val="20"/>
              </w:rPr>
              <w:t>.......................................</w:t>
            </w:r>
          </w:p>
        </w:tc>
        <w:tc>
          <w:tcPr>
            <w:tcW w:w="2694" w:type="dxa"/>
            <w:tcBorders>
              <w:top w:val="nil"/>
              <w:bottom w:val="nil"/>
            </w:tcBorders>
          </w:tcPr>
          <w:p w:rsidR="009515FF" w:rsidRDefault="00B14AD4">
            <w:pPr>
              <w:pStyle w:val="yTableNAm"/>
              <w:rPr>
                <w:sz w:val="20"/>
              </w:rPr>
            </w:pPr>
            <w:r>
              <w:rPr>
                <w:sz w:val="20"/>
              </w:rPr>
              <w:t>.....................................................</w:t>
            </w:r>
          </w:p>
        </w:tc>
        <w:tc>
          <w:tcPr>
            <w:tcW w:w="992" w:type="dxa"/>
            <w:tcBorders>
              <w:top w:val="nil"/>
              <w:bottom w:val="nil"/>
            </w:tcBorders>
          </w:tcPr>
          <w:p w:rsidR="009515FF" w:rsidRDefault="00B14AD4">
            <w:pPr>
              <w:pStyle w:val="yTableNAm"/>
              <w:rPr>
                <w:sz w:val="20"/>
              </w:rPr>
            </w:pPr>
            <w:r>
              <w:rPr>
                <w:sz w:val="20"/>
              </w:rPr>
              <w:t>...................</w:t>
            </w:r>
          </w:p>
        </w:tc>
      </w:tr>
      <w:tr w:rsidR="009515FF">
        <w:tc>
          <w:tcPr>
            <w:tcW w:w="1418" w:type="dxa"/>
            <w:tcBorders>
              <w:top w:val="nil"/>
              <w:bottom w:val="nil"/>
            </w:tcBorders>
          </w:tcPr>
          <w:p w:rsidR="009515FF" w:rsidRDefault="00B14AD4">
            <w:pPr>
              <w:pStyle w:val="yTableNAm"/>
              <w:rPr>
                <w:sz w:val="20"/>
              </w:rPr>
            </w:pPr>
            <w:r>
              <w:rPr>
                <w:sz w:val="20"/>
              </w:rPr>
              <w:t>............................</w:t>
            </w:r>
          </w:p>
        </w:tc>
        <w:tc>
          <w:tcPr>
            <w:tcW w:w="1984" w:type="dxa"/>
            <w:tcBorders>
              <w:top w:val="nil"/>
              <w:bottom w:val="nil"/>
            </w:tcBorders>
          </w:tcPr>
          <w:p w:rsidR="009515FF" w:rsidRDefault="00B14AD4">
            <w:pPr>
              <w:pStyle w:val="yTableNAm"/>
              <w:rPr>
                <w:sz w:val="20"/>
              </w:rPr>
            </w:pPr>
            <w:r>
              <w:rPr>
                <w:sz w:val="20"/>
              </w:rPr>
              <w:t>.......................................</w:t>
            </w:r>
          </w:p>
        </w:tc>
        <w:tc>
          <w:tcPr>
            <w:tcW w:w="2694" w:type="dxa"/>
            <w:tcBorders>
              <w:top w:val="nil"/>
              <w:bottom w:val="nil"/>
            </w:tcBorders>
          </w:tcPr>
          <w:p w:rsidR="009515FF" w:rsidRDefault="00B14AD4">
            <w:pPr>
              <w:pStyle w:val="yTableNAm"/>
              <w:rPr>
                <w:sz w:val="20"/>
              </w:rPr>
            </w:pPr>
            <w:r>
              <w:rPr>
                <w:sz w:val="20"/>
              </w:rPr>
              <w:t>.....................................................</w:t>
            </w:r>
          </w:p>
        </w:tc>
        <w:tc>
          <w:tcPr>
            <w:tcW w:w="992" w:type="dxa"/>
            <w:tcBorders>
              <w:top w:val="nil"/>
              <w:bottom w:val="nil"/>
            </w:tcBorders>
          </w:tcPr>
          <w:p w:rsidR="009515FF" w:rsidRDefault="00B14AD4">
            <w:pPr>
              <w:pStyle w:val="yTableNAm"/>
              <w:rPr>
                <w:sz w:val="20"/>
              </w:rPr>
            </w:pPr>
            <w:r>
              <w:rPr>
                <w:sz w:val="20"/>
              </w:rPr>
              <w:t>...................</w:t>
            </w:r>
          </w:p>
        </w:tc>
      </w:tr>
      <w:tr w:rsidR="009515FF">
        <w:tc>
          <w:tcPr>
            <w:tcW w:w="1418" w:type="dxa"/>
            <w:tcBorders>
              <w:top w:val="nil"/>
              <w:bottom w:val="nil"/>
            </w:tcBorders>
          </w:tcPr>
          <w:p w:rsidR="009515FF" w:rsidRDefault="00B14AD4">
            <w:pPr>
              <w:pStyle w:val="yTableNAm"/>
              <w:rPr>
                <w:sz w:val="20"/>
              </w:rPr>
            </w:pPr>
            <w:r>
              <w:rPr>
                <w:sz w:val="20"/>
              </w:rPr>
              <w:t>............................</w:t>
            </w:r>
          </w:p>
        </w:tc>
        <w:tc>
          <w:tcPr>
            <w:tcW w:w="1984" w:type="dxa"/>
            <w:tcBorders>
              <w:top w:val="nil"/>
              <w:bottom w:val="nil"/>
            </w:tcBorders>
          </w:tcPr>
          <w:p w:rsidR="009515FF" w:rsidRDefault="00B14AD4">
            <w:pPr>
              <w:pStyle w:val="yTableNAm"/>
              <w:rPr>
                <w:sz w:val="20"/>
              </w:rPr>
            </w:pPr>
            <w:r>
              <w:rPr>
                <w:sz w:val="20"/>
              </w:rPr>
              <w:t>.......................................</w:t>
            </w:r>
          </w:p>
        </w:tc>
        <w:tc>
          <w:tcPr>
            <w:tcW w:w="2694" w:type="dxa"/>
            <w:tcBorders>
              <w:top w:val="nil"/>
              <w:bottom w:val="nil"/>
            </w:tcBorders>
          </w:tcPr>
          <w:p w:rsidR="009515FF" w:rsidRDefault="00B14AD4">
            <w:pPr>
              <w:pStyle w:val="yTableNAm"/>
              <w:rPr>
                <w:sz w:val="20"/>
              </w:rPr>
            </w:pPr>
            <w:r>
              <w:rPr>
                <w:sz w:val="20"/>
              </w:rPr>
              <w:t>.....................................................</w:t>
            </w:r>
          </w:p>
        </w:tc>
        <w:tc>
          <w:tcPr>
            <w:tcW w:w="992" w:type="dxa"/>
            <w:tcBorders>
              <w:top w:val="nil"/>
              <w:bottom w:val="nil"/>
            </w:tcBorders>
          </w:tcPr>
          <w:p w:rsidR="009515FF" w:rsidRDefault="00B14AD4">
            <w:pPr>
              <w:pStyle w:val="yTableNAm"/>
              <w:rPr>
                <w:sz w:val="20"/>
              </w:rPr>
            </w:pPr>
            <w:r>
              <w:rPr>
                <w:sz w:val="20"/>
              </w:rPr>
              <w:t>...................</w:t>
            </w:r>
          </w:p>
        </w:tc>
      </w:tr>
      <w:tr w:rsidR="009515FF">
        <w:tc>
          <w:tcPr>
            <w:tcW w:w="1418" w:type="dxa"/>
            <w:tcBorders>
              <w:top w:val="nil"/>
              <w:bottom w:val="nil"/>
            </w:tcBorders>
          </w:tcPr>
          <w:p w:rsidR="009515FF" w:rsidRDefault="00B14AD4">
            <w:pPr>
              <w:pStyle w:val="yTableNAm"/>
              <w:rPr>
                <w:sz w:val="20"/>
              </w:rPr>
            </w:pPr>
            <w:r>
              <w:rPr>
                <w:sz w:val="20"/>
              </w:rPr>
              <w:t>............................</w:t>
            </w:r>
          </w:p>
        </w:tc>
        <w:tc>
          <w:tcPr>
            <w:tcW w:w="1984" w:type="dxa"/>
            <w:tcBorders>
              <w:top w:val="nil"/>
              <w:bottom w:val="nil"/>
            </w:tcBorders>
          </w:tcPr>
          <w:p w:rsidR="009515FF" w:rsidRDefault="00B14AD4">
            <w:pPr>
              <w:pStyle w:val="yTableNAm"/>
              <w:rPr>
                <w:sz w:val="20"/>
              </w:rPr>
            </w:pPr>
            <w:r>
              <w:rPr>
                <w:sz w:val="20"/>
              </w:rPr>
              <w:t>.......................................</w:t>
            </w:r>
          </w:p>
        </w:tc>
        <w:tc>
          <w:tcPr>
            <w:tcW w:w="2694" w:type="dxa"/>
            <w:tcBorders>
              <w:top w:val="nil"/>
              <w:bottom w:val="nil"/>
            </w:tcBorders>
          </w:tcPr>
          <w:p w:rsidR="009515FF" w:rsidRDefault="00B14AD4">
            <w:pPr>
              <w:pStyle w:val="yTableNAm"/>
              <w:rPr>
                <w:sz w:val="20"/>
              </w:rPr>
            </w:pPr>
            <w:r>
              <w:rPr>
                <w:sz w:val="20"/>
              </w:rPr>
              <w:t>.....................................................</w:t>
            </w:r>
          </w:p>
        </w:tc>
        <w:tc>
          <w:tcPr>
            <w:tcW w:w="992" w:type="dxa"/>
            <w:tcBorders>
              <w:top w:val="nil"/>
              <w:bottom w:val="nil"/>
            </w:tcBorders>
          </w:tcPr>
          <w:p w:rsidR="009515FF" w:rsidRDefault="00B14AD4">
            <w:pPr>
              <w:pStyle w:val="yTableNAm"/>
              <w:rPr>
                <w:sz w:val="20"/>
              </w:rPr>
            </w:pPr>
            <w:r>
              <w:rPr>
                <w:sz w:val="20"/>
              </w:rPr>
              <w:t>...................</w:t>
            </w:r>
          </w:p>
        </w:tc>
      </w:tr>
      <w:tr w:rsidR="009515FF">
        <w:tc>
          <w:tcPr>
            <w:tcW w:w="1418" w:type="dxa"/>
            <w:tcBorders>
              <w:top w:val="nil"/>
              <w:bottom w:val="nil"/>
            </w:tcBorders>
          </w:tcPr>
          <w:p w:rsidR="009515FF" w:rsidRDefault="00B14AD4">
            <w:pPr>
              <w:pStyle w:val="yTableNAm"/>
              <w:rPr>
                <w:sz w:val="20"/>
              </w:rPr>
            </w:pPr>
            <w:r>
              <w:rPr>
                <w:sz w:val="20"/>
              </w:rPr>
              <w:t>............................</w:t>
            </w:r>
          </w:p>
        </w:tc>
        <w:tc>
          <w:tcPr>
            <w:tcW w:w="1984" w:type="dxa"/>
            <w:tcBorders>
              <w:top w:val="nil"/>
              <w:bottom w:val="nil"/>
            </w:tcBorders>
          </w:tcPr>
          <w:p w:rsidR="009515FF" w:rsidRDefault="00B14AD4">
            <w:pPr>
              <w:pStyle w:val="yTableNAm"/>
              <w:rPr>
                <w:sz w:val="20"/>
              </w:rPr>
            </w:pPr>
            <w:r>
              <w:rPr>
                <w:sz w:val="20"/>
              </w:rPr>
              <w:t>.......................................</w:t>
            </w:r>
          </w:p>
        </w:tc>
        <w:tc>
          <w:tcPr>
            <w:tcW w:w="2694" w:type="dxa"/>
            <w:tcBorders>
              <w:top w:val="nil"/>
              <w:bottom w:val="nil"/>
            </w:tcBorders>
          </w:tcPr>
          <w:p w:rsidR="009515FF" w:rsidRDefault="00B14AD4">
            <w:pPr>
              <w:pStyle w:val="yTableNAm"/>
              <w:rPr>
                <w:sz w:val="20"/>
              </w:rPr>
            </w:pPr>
            <w:r>
              <w:rPr>
                <w:sz w:val="20"/>
              </w:rPr>
              <w:t>.....................................................</w:t>
            </w:r>
          </w:p>
        </w:tc>
        <w:tc>
          <w:tcPr>
            <w:tcW w:w="992" w:type="dxa"/>
            <w:tcBorders>
              <w:top w:val="nil"/>
              <w:bottom w:val="nil"/>
            </w:tcBorders>
          </w:tcPr>
          <w:p w:rsidR="009515FF" w:rsidRDefault="00B14AD4">
            <w:pPr>
              <w:pStyle w:val="yTableNAm"/>
              <w:rPr>
                <w:sz w:val="20"/>
              </w:rPr>
            </w:pPr>
            <w:r>
              <w:rPr>
                <w:sz w:val="20"/>
              </w:rPr>
              <w:t>...................</w:t>
            </w:r>
          </w:p>
        </w:tc>
      </w:tr>
      <w:tr w:rsidR="009515FF">
        <w:tc>
          <w:tcPr>
            <w:tcW w:w="1418" w:type="dxa"/>
            <w:tcBorders>
              <w:top w:val="nil"/>
              <w:bottom w:val="nil"/>
            </w:tcBorders>
          </w:tcPr>
          <w:p w:rsidR="009515FF" w:rsidRDefault="00B14AD4">
            <w:pPr>
              <w:pStyle w:val="yTableNAm"/>
              <w:rPr>
                <w:sz w:val="20"/>
              </w:rPr>
            </w:pPr>
            <w:r>
              <w:rPr>
                <w:sz w:val="20"/>
              </w:rPr>
              <w:t>............................</w:t>
            </w:r>
          </w:p>
        </w:tc>
        <w:tc>
          <w:tcPr>
            <w:tcW w:w="1984" w:type="dxa"/>
            <w:tcBorders>
              <w:top w:val="nil"/>
              <w:bottom w:val="nil"/>
            </w:tcBorders>
          </w:tcPr>
          <w:p w:rsidR="009515FF" w:rsidRDefault="00B14AD4">
            <w:pPr>
              <w:pStyle w:val="yTableNAm"/>
              <w:rPr>
                <w:sz w:val="20"/>
              </w:rPr>
            </w:pPr>
            <w:r>
              <w:rPr>
                <w:sz w:val="20"/>
              </w:rPr>
              <w:t>.......................................</w:t>
            </w:r>
          </w:p>
        </w:tc>
        <w:tc>
          <w:tcPr>
            <w:tcW w:w="2694" w:type="dxa"/>
            <w:tcBorders>
              <w:top w:val="nil"/>
              <w:bottom w:val="nil"/>
            </w:tcBorders>
          </w:tcPr>
          <w:p w:rsidR="009515FF" w:rsidRDefault="00B14AD4">
            <w:pPr>
              <w:pStyle w:val="yTableNAm"/>
              <w:rPr>
                <w:sz w:val="20"/>
              </w:rPr>
            </w:pPr>
            <w:r>
              <w:rPr>
                <w:sz w:val="20"/>
              </w:rPr>
              <w:t>.....................................................</w:t>
            </w:r>
          </w:p>
        </w:tc>
        <w:tc>
          <w:tcPr>
            <w:tcW w:w="992" w:type="dxa"/>
            <w:tcBorders>
              <w:top w:val="nil"/>
              <w:bottom w:val="nil"/>
            </w:tcBorders>
          </w:tcPr>
          <w:p w:rsidR="009515FF" w:rsidRDefault="00B14AD4">
            <w:pPr>
              <w:pStyle w:val="yTableNAm"/>
              <w:rPr>
                <w:sz w:val="20"/>
              </w:rPr>
            </w:pPr>
            <w:r>
              <w:rPr>
                <w:sz w:val="20"/>
              </w:rPr>
              <w:t>...................</w:t>
            </w:r>
          </w:p>
        </w:tc>
      </w:tr>
      <w:tr w:rsidR="009515FF">
        <w:tc>
          <w:tcPr>
            <w:tcW w:w="1418" w:type="dxa"/>
            <w:tcBorders>
              <w:top w:val="nil"/>
              <w:bottom w:val="nil"/>
            </w:tcBorders>
          </w:tcPr>
          <w:p w:rsidR="009515FF" w:rsidRDefault="00B14AD4">
            <w:pPr>
              <w:pStyle w:val="yTableNAm"/>
              <w:rPr>
                <w:sz w:val="20"/>
              </w:rPr>
            </w:pPr>
            <w:r>
              <w:rPr>
                <w:sz w:val="20"/>
              </w:rPr>
              <w:t>............................</w:t>
            </w:r>
          </w:p>
        </w:tc>
        <w:tc>
          <w:tcPr>
            <w:tcW w:w="1984" w:type="dxa"/>
            <w:tcBorders>
              <w:top w:val="nil"/>
              <w:bottom w:val="nil"/>
            </w:tcBorders>
          </w:tcPr>
          <w:p w:rsidR="009515FF" w:rsidRDefault="00B14AD4">
            <w:pPr>
              <w:pStyle w:val="yTableNAm"/>
              <w:rPr>
                <w:sz w:val="20"/>
              </w:rPr>
            </w:pPr>
            <w:r>
              <w:rPr>
                <w:sz w:val="20"/>
              </w:rPr>
              <w:t>.......................................</w:t>
            </w:r>
          </w:p>
        </w:tc>
        <w:tc>
          <w:tcPr>
            <w:tcW w:w="2694" w:type="dxa"/>
            <w:tcBorders>
              <w:top w:val="nil"/>
              <w:bottom w:val="nil"/>
            </w:tcBorders>
          </w:tcPr>
          <w:p w:rsidR="009515FF" w:rsidRDefault="00B14AD4">
            <w:pPr>
              <w:pStyle w:val="yTableNAm"/>
              <w:rPr>
                <w:sz w:val="20"/>
              </w:rPr>
            </w:pPr>
            <w:r>
              <w:rPr>
                <w:sz w:val="20"/>
              </w:rPr>
              <w:t>.....................................................</w:t>
            </w:r>
          </w:p>
        </w:tc>
        <w:tc>
          <w:tcPr>
            <w:tcW w:w="992" w:type="dxa"/>
            <w:tcBorders>
              <w:top w:val="nil"/>
              <w:bottom w:val="nil"/>
            </w:tcBorders>
          </w:tcPr>
          <w:p w:rsidR="009515FF" w:rsidRDefault="00B14AD4">
            <w:pPr>
              <w:pStyle w:val="yTableNAm"/>
              <w:rPr>
                <w:sz w:val="20"/>
              </w:rPr>
            </w:pPr>
            <w:r>
              <w:rPr>
                <w:sz w:val="20"/>
              </w:rPr>
              <w:t>...................</w:t>
            </w:r>
          </w:p>
        </w:tc>
      </w:tr>
      <w:tr w:rsidR="009515FF">
        <w:tc>
          <w:tcPr>
            <w:tcW w:w="1418" w:type="dxa"/>
            <w:tcBorders>
              <w:top w:val="nil"/>
              <w:bottom w:val="nil"/>
            </w:tcBorders>
          </w:tcPr>
          <w:p w:rsidR="009515FF" w:rsidRDefault="00B14AD4">
            <w:pPr>
              <w:pStyle w:val="yTableNAm"/>
              <w:rPr>
                <w:sz w:val="20"/>
              </w:rPr>
            </w:pPr>
            <w:r>
              <w:rPr>
                <w:sz w:val="20"/>
              </w:rPr>
              <w:t>............................</w:t>
            </w:r>
          </w:p>
        </w:tc>
        <w:tc>
          <w:tcPr>
            <w:tcW w:w="1984" w:type="dxa"/>
            <w:tcBorders>
              <w:top w:val="nil"/>
              <w:bottom w:val="nil"/>
            </w:tcBorders>
          </w:tcPr>
          <w:p w:rsidR="009515FF" w:rsidRDefault="00B14AD4">
            <w:pPr>
              <w:pStyle w:val="yTableNAm"/>
              <w:rPr>
                <w:sz w:val="20"/>
              </w:rPr>
            </w:pPr>
            <w:r>
              <w:rPr>
                <w:sz w:val="20"/>
              </w:rPr>
              <w:t>.......................................</w:t>
            </w:r>
          </w:p>
        </w:tc>
        <w:tc>
          <w:tcPr>
            <w:tcW w:w="2694" w:type="dxa"/>
            <w:tcBorders>
              <w:top w:val="nil"/>
              <w:bottom w:val="nil"/>
            </w:tcBorders>
          </w:tcPr>
          <w:p w:rsidR="009515FF" w:rsidRDefault="00B14AD4">
            <w:pPr>
              <w:pStyle w:val="yTableNAm"/>
              <w:rPr>
                <w:sz w:val="20"/>
              </w:rPr>
            </w:pPr>
            <w:r>
              <w:rPr>
                <w:sz w:val="20"/>
              </w:rPr>
              <w:t>.....................................................</w:t>
            </w:r>
          </w:p>
        </w:tc>
        <w:tc>
          <w:tcPr>
            <w:tcW w:w="992" w:type="dxa"/>
            <w:tcBorders>
              <w:top w:val="nil"/>
              <w:bottom w:val="nil"/>
            </w:tcBorders>
          </w:tcPr>
          <w:p w:rsidR="009515FF" w:rsidRDefault="00B14AD4">
            <w:pPr>
              <w:pStyle w:val="yTableNAm"/>
              <w:rPr>
                <w:sz w:val="20"/>
              </w:rPr>
            </w:pPr>
            <w:r>
              <w:rPr>
                <w:sz w:val="20"/>
              </w:rPr>
              <w:t>...................</w:t>
            </w:r>
          </w:p>
        </w:tc>
      </w:tr>
      <w:tr w:rsidR="009515FF">
        <w:tc>
          <w:tcPr>
            <w:tcW w:w="1418" w:type="dxa"/>
            <w:tcBorders>
              <w:top w:val="nil"/>
              <w:bottom w:val="single" w:sz="4" w:space="0" w:color="auto"/>
            </w:tcBorders>
          </w:tcPr>
          <w:p w:rsidR="009515FF" w:rsidRDefault="00B14AD4">
            <w:pPr>
              <w:pStyle w:val="yTableNAm"/>
              <w:rPr>
                <w:sz w:val="20"/>
              </w:rPr>
            </w:pPr>
            <w:r>
              <w:rPr>
                <w:sz w:val="20"/>
              </w:rPr>
              <w:t>............................</w:t>
            </w:r>
          </w:p>
        </w:tc>
        <w:tc>
          <w:tcPr>
            <w:tcW w:w="1984" w:type="dxa"/>
            <w:tcBorders>
              <w:top w:val="nil"/>
              <w:bottom w:val="single" w:sz="4" w:space="0" w:color="auto"/>
            </w:tcBorders>
          </w:tcPr>
          <w:p w:rsidR="009515FF" w:rsidRDefault="00B14AD4">
            <w:pPr>
              <w:pStyle w:val="yTableNAm"/>
              <w:rPr>
                <w:sz w:val="20"/>
              </w:rPr>
            </w:pPr>
            <w:r>
              <w:rPr>
                <w:sz w:val="20"/>
              </w:rPr>
              <w:t>.......................................</w:t>
            </w:r>
          </w:p>
        </w:tc>
        <w:tc>
          <w:tcPr>
            <w:tcW w:w="2694" w:type="dxa"/>
            <w:tcBorders>
              <w:top w:val="nil"/>
              <w:bottom w:val="single" w:sz="4" w:space="0" w:color="auto"/>
            </w:tcBorders>
          </w:tcPr>
          <w:p w:rsidR="009515FF" w:rsidRDefault="00B14AD4">
            <w:pPr>
              <w:pStyle w:val="yTableNAm"/>
              <w:rPr>
                <w:sz w:val="20"/>
              </w:rPr>
            </w:pPr>
            <w:r>
              <w:rPr>
                <w:sz w:val="20"/>
              </w:rPr>
              <w:t>.....................................................</w:t>
            </w:r>
          </w:p>
        </w:tc>
        <w:tc>
          <w:tcPr>
            <w:tcW w:w="992" w:type="dxa"/>
            <w:tcBorders>
              <w:top w:val="nil"/>
              <w:bottom w:val="single" w:sz="4" w:space="0" w:color="auto"/>
            </w:tcBorders>
          </w:tcPr>
          <w:p w:rsidR="009515FF" w:rsidRDefault="00B14AD4">
            <w:pPr>
              <w:pStyle w:val="yTableNAm"/>
              <w:rPr>
                <w:sz w:val="20"/>
              </w:rPr>
            </w:pPr>
            <w:r>
              <w:rPr>
                <w:sz w:val="20"/>
              </w:rPr>
              <w:t>...................</w:t>
            </w:r>
          </w:p>
        </w:tc>
      </w:tr>
    </w:tbl>
    <w:p w:rsidR="009515FF" w:rsidRDefault="00B14AD4">
      <w:pPr>
        <w:pStyle w:val="yFootnotesection"/>
        <w:spacing w:before="80"/>
      </w:pPr>
      <w:r>
        <w:tab/>
        <w:t>[Form 1 inserted: Gazette 19 Jul 1991 p. 3648</w:t>
      </w:r>
      <w:r>
        <w:noBreakHyphen/>
        <w:t>9; amended: Gazette 4 Jun 2010 p. 2461.]</w:t>
      </w:r>
    </w:p>
    <w:p w:rsidR="009515FF" w:rsidRDefault="00B14AD4">
      <w:pPr>
        <w:pStyle w:val="yMiscellaneousHeading"/>
        <w:rPr>
          <w:b/>
          <w:bCs/>
        </w:rPr>
      </w:pPr>
      <w:r>
        <w:rPr>
          <w:b/>
          <w:bCs/>
        </w:rPr>
        <w:lastRenderedPageBreak/>
        <w:t xml:space="preserve">FORM </w:t>
      </w:r>
      <w:r>
        <w:rPr>
          <w:rStyle w:val="CharSClsNo"/>
          <w:b/>
        </w:rPr>
        <w:t>2</w:t>
      </w:r>
    </w:p>
    <w:p w:rsidR="009515FF" w:rsidRDefault="00B14AD4">
      <w:pPr>
        <w:pStyle w:val="yShoulderClause"/>
      </w:pPr>
      <w:r>
        <w:t>[r. 16J(1)]</w:t>
      </w:r>
    </w:p>
    <w:p w:rsidR="009515FF" w:rsidRDefault="00B14AD4">
      <w:pPr>
        <w:pStyle w:val="yMiscellaneousHeading"/>
        <w:spacing w:after="120"/>
      </w:pPr>
      <w:r>
        <w:t>PILOTAGE EXEMPTION RECORD BOOK</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93"/>
        <w:gridCol w:w="992"/>
        <w:gridCol w:w="992"/>
        <w:gridCol w:w="1134"/>
        <w:gridCol w:w="1276"/>
        <w:gridCol w:w="850"/>
        <w:gridCol w:w="851"/>
      </w:tblGrid>
      <w:tr w:rsidR="009515FF">
        <w:tc>
          <w:tcPr>
            <w:tcW w:w="5387" w:type="dxa"/>
            <w:gridSpan w:val="5"/>
          </w:tcPr>
          <w:p w:rsidR="009515FF" w:rsidRDefault="00B14AD4">
            <w:pPr>
              <w:pStyle w:val="yTableNAm"/>
              <w:jc w:val="center"/>
              <w:rPr>
                <w:sz w:val="18"/>
              </w:rPr>
            </w:pPr>
            <w:r>
              <w:rPr>
                <w:sz w:val="18"/>
              </w:rPr>
              <w:t>Pilotage Area Visits</w:t>
            </w:r>
          </w:p>
        </w:tc>
        <w:tc>
          <w:tcPr>
            <w:tcW w:w="1701" w:type="dxa"/>
            <w:gridSpan w:val="2"/>
          </w:tcPr>
          <w:p w:rsidR="009515FF" w:rsidRDefault="00B14AD4">
            <w:pPr>
              <w:pStyle w:val="yTableNAm"/>
              <w:jc w:val="center"/>
              <w:rPr>
                <w:sz w:val="18"/>
              </w:rPr>
            </w:pPr>
            <w:r>
              <w:rPr>
                <w:sz w:val="18"/>
              </w:rPr>
              <w:t>Medical Certificates</w:t>
            </w:r>
          </w:p>
        </w:tc>
      </w:tr>
      <w:tr w:rsidR="009515FF">
        <w:tc>
          <w:tcPr>
            <w:tcW w:w="993" w:type="dxa"/>
          </w:tcPr>
          <w:p w:rsidR="009515FF" w:rsidRDefault="00B14AD4">
            <w:pPr>
              <w:pStyle w:val="yTableNAm"/>
              <w:jc w:val="center"/>
              <w:rPr>
                <w:sz w:val="18"/>
              </w:rPr>
            </w:pPr>
            <w:r>
              <w:rPr>
                <w:sz w:val="18"/>
              </w:rPr>
              <w:t>Pilotage Area</w:t>
            </w:r>
          </w:p>
        </w:tc>
        <w:tc>
          <w:tcPr>
            <w:tcW w:w="992" w:type="dxa"/>
          </w:tcPr>
          <w:p w:rsidR="009515FF" w:rsidRDefault="00B14AD4">
            <w:pPr>
              <w:pStyle w:val="yTableNAm"/>
              <w:jc w:val="center"/>
              <w:rPr>
                <w:sz w:val="18"/>
              </w:rPr>
            </w:pPr>
            <w:r>
              <w:rPr>
                <w:sz w:val="18"/>
              </w:rPr>
              <w:t>Date &amp;</w:t>
            </w:r>
            <w:r>
              <w:rPr>
                <w:sz w:val="18"/>
              </w:rPr>
              <w:br/>
              <w:t>Time In</w:t>
            </w:r>
          </w:p>
        </w:tc>
        <w:tc>
          <w:tcPr>
            <w:tcW w:w="992" w:type="dxa"/>
          </w:tcPr>
          <w:p w:rsidR="009515FF" w:rsidRDefault="00B14AD4">
            <w:pPr>
              <w:pStyle w:val="yTableNAm"/>
              <w:jc w:val="center"/>
              <w:rPr>
                <w:sz w:val="18"/>
              </w:rPr>
            </w:pPr>
            <w:r>
              <w:rPr>
                <w:sz w:val="18"/>
              </w:rPr>
              <w:t>Date &amp;</w:t>
            </w:r>
            <w:r>
              <w:rPr>
                <w:sz w:val="18"/>
              </w:rPr>
              <w:br/>
              <w:t>Time Out</w:t>
            </w:r>
          </w:p>
        </w:tc>
        <w:tc>
          <w:tcPr>
            <w:tcW w:w="1134" w:type="dxa"/>
          </w:tcPr>
          <w:p w:rsidR="009515FF" w:rsidRDefault="00B14AD4">
            <w:pPr>
              <w:pStyle w:val="yTableNAm"/>
              <w:jc w:val="center"/>
              <w:rPr>
                <w:sz w:val="18"/>
              </w:rPr>
            </w:pPr>
            <w:r>
              <w:rPr>
                <w:sz w:val="18"/>
              </w:rPr>
              <w:t>Name of Vessel</w:t>
            </w:r>
          </w:p>
        </w:tc>
        <w:tc>
          <w:tcPr>
            <w:tcW w:w="1276" w:type="dxa"/>
          </w:tcPr>
          <w:p w:rsidR="009515FF" w:rsidRDefault="00B14AD4">
            <w:pPr>
              <w:pStyle w:val="yTableNAm"/>
              <w:jc w:val="center"/>
              <w:rPr>
                <w:sz w:val="18"/>
              </w:rPr>
            </w:pPr>
            <w:r>
              <w:rPr>
                <w:sz w:val="18"/>
              </w:rPr>
              <w:t>Pilot/Harbour Master Initials</w:t>
            </w:r>
          </w:p>
        </w:tc>
        <w:tc>
          <w:tcPr>
            <w:tcW w:w="850" w:type="dxa"/>
          </w:tcPr>
          <w:p w:rsidR="009515FF" w:rsidRDefault="00B14AD4">
            <w:pPr>
              <w:pStyle w:val="yTableNAm"/>
              <w:jc w:val="center"/>
              <w:rPr>
                <w:sz w:val="18"/>
              </w:rPr>
            </w:pPr>
            <w:r>
              <w:rPr>
                <w:sz w:val="18"/>
              </w:rPr>
              <w:t>Received</w:t>
            </w:r>
          </w:p>
        </w:tc>
        <w:tc>
          <w:tcPr>
            <w:tcW w:w="851" w:type="dxa"/>
          </w:tcPr>
          <w:p w:rsidR="009515FF" w:rsidRDefault="00B14AD4">
            <w:pPr>
              <w:pStyle w:val="yTableNAm"/>
              <w:jc w:val="center"/>
              <w:rPr>
                <w:sz w:val="18"/>
              </w:rPr>
            </w:pPr>
            <w:r>
              <w:rPr>
                <w:sz w:val="18"/>
              </w:rPr>
              <w:t>Next Due</w:t>
            </w:r>
          </w:p>
        </w:tc>
      </w:tr>
      <w:tr w:rsidR="009515FF">
        <w:tc>
          <w:tcPr>
            <w:tcW w:w="993" w:type="dxa"/>
          </w:tcPr>
          <w:p w:rsidR="009515FF" w:rsidRDefault="009515FF">
            <w:pPr>
              <w:pStyle w:val="yTableNAm"/>
              <w:rPr>
                <w:sz w:val="18"/>
              </w:rPr>
            </w:pPr>
          </w:p>
          <w:p w:rsidR="009515FF" w:rsidRDefault="009515FF">
            <w:pPr>
              <w:pStyle w:val="yTableNAm"/>
              <w:rPr>
                <w:sz w:val="18"/>
              </w:rPr>
            </w:pPr>
          </w:p>
          <w:p w:rsidR="009515FF" w:rsidRDefault="009515FF">
            <w:pPr>
              <w:pStyle w:val="yTableNAm"/>
              <w:rPr>
                <w:sz w:val="18"/>
              </w:rPr>
            </w:pPr>
          </w:p>
          <w:p w:rsidR="009515FF" w:rsidRDefault="009515FF">
            <w:pPr>
              <w:pStyle w:val="yTableNAm"/>
              <w:rPr>
                <w:sz w:val="18"/>
              </w:rPr>
            </w:pPr>
          </w:p>
          <w:p w:rsidR="009515FF" w:rsidRDefault="009515FF">
            <w:pPr>
              <w:pStyle w:val="yTableNAm"/>
              <w:rPr>
                <w:sz w:val="18"/>
              </w:rPr>
            </w:pPr>
          </w:p>
          <w:p w:rsidR="009515FF" w:rsidRDefault="009515FF">
            <w:pPr>
              <w:pStyle w:val="yTableNAm"/>
              <w:rPr>
                <w:sz w:val="18"/>
              </w:rPr>
            </w:pPr>
          </w:p>
          <w:p w:rsidR="009515FF" w:rsidRDefault="009515FF">
            <w:pPr>
              <w:pStyle w:val="yTableNAm"/>
              <w:rPr>
                <w:sz w:val="18"/>
              </w:rPr>
            </w:pPr>
          </w:p>
          <w:p w:rsidR="009515FF" w:rsidRDefault="009515FF">
            <w:pPr>
              <w:pStyle w:val="yTableNAm"/>
              <w:rPr>
                <w:sz w:val="18"/>
              </w:rPr>
            </w:pPr>
          </w:p>
          <w:p w:rsidR="009515FF" w:rsidRDefault="009515FF">
            <w:pPr>
              <w:pStyle w:val="yTableNAm"/>
              <w:rPr>
                <w:sz w:val="18"/>
              </w:rPr>
            </w:pPr>
          </w:p>
          <w:p w:rsidR="009515FF" w:rsidRDefault="009515FF">
            <w:pPr>
              <w:pStyle w:val="yTableNAm"/>
              <w:rPr>
                <w:sz w:val="18"/>
              </w:rPr>
            </w:pPr>
          </w:p>
          <w:p w:rsidR="009515FF" w:rsidRDefault="009515FF">
            <w:pPr>
              <w:pStyle w:val="yTableNAm"/>
              <w:rPr>
                <w:sz w:val="18"/>
              </w:rPr>
            </w:pPr>
          </w:p>
          <w:p w:rsidR="009515FF" w:rsidRDefault="009515FF">
            <w:pPr>
              <w:pStyle w:val="yTableNAm"/>
              <w:rPr>
                <w:sz w:val="18"/>
              </w:rPr>
            </w:pPr>
          </w:p>
          <w:p w:rsidR="009515FF" w:rsidRDefault="009515FF">
            <w:pPr>
              <w:pStyle w:val="yTableNAm"/>
              <w:rPr>
                <w:sz w:val="18"/>
              </w:rPr>
            </w:pPr>
          </w:p>
          <w:p w:rsidR="009515FF" w:rsidRDefault="009515FF">
            <w:pPr>
              <w:pStyle w:val="yTableNAm"/>
              <w:rPr>
                <w:sz w:val="18"/>
              </w:rPr>
            </w:pPr>
          </w:p>
          <w:p w:rsidR="009515FF" w:rsidRDefault="009515FF">
            <w:pPr>
              <w:pStyle w:val="yTableNAm"/>
              <w:rPr>
                <w:sz w:val="18"/>
              </w:rPr>
            </w:pPr>
          </w:p>
          <w:p w:rsidR="009515FF" w:rsidRDefault="009515FF">
            <w:pPr>
              <w:pStyle w:val="yTableNAm"/>
              <w:rPr>
                <w:sz w:val="18"/>
              </w:rPr>
            </w:pPr>
          </w:p>
          <w:p w:rsidR="009515FF" w:rsidRDefault="009515FF">
            <w:pPr>
              <w:pStyle w:val="yTableNAm"/>
              <w:rPr>
                <w:sz w:val="18"/>
              </w:rPr>
            </w:pPr>
          </w:p>
        </w:tc>
        <w:tc>
          <w:tcPr>
            <w:tcW w:w="992" w:type="dxa"/>
          </w:tcPr>
          <w:p w:rsidR="009515FF" w:rsidRDefault="009515FF">
            <w:pPr>
              <w:pStyle w:val="yTableNAm"/>
              <w:rPr>
                <w:sz w:val="18"/>
              </w:rPr>
            </w:pPr>
          </w:p>
        </w:tc>
        <w:tc>
          <w:tcPr>
            <w:tcW w:w="992" w:type="dxa"/>
          </w:tcPr>
          <w:p w:rsidR="009515FF" w:rsidRDefault="009515FF">
            <w:pPr>
              <w:pStyle w:val="yTableNAm"/>
              <w:rPr>
                <w:sz w:val="18"/>
              </w:rPr>
            </w:pPr>
          </w:p>
        </w:tc>
        <w:tc>
          <w:tcPr>
            <w:tcW w:w="1134" w:type="dxa"/>
          </w:tcPr>
          <w:p w:rsidR="009515FF" w:rsidRDefault="009515FF">
            <w:pPr>
              <w:pStyle w:val="yTableNAm"/>
              <w:rPr>
                <w:sz w:val="18"/>
              </w:rPr>
            </w:pPr>
          </w:p>
        </w:tc>
        <w:tc>
          <w:tcPr>
            <w:tcW w:w="1276" w:type="dxa"/>
          </w:tcPr>
          <w:p w:rsidR="009515FF" w:rsidRDefault="009515FF">
            <w:pPr>
              <w:pStyle w:val="yTableNAm"/>
              <w:rPr>
                <w:sz w:val="18"/>
              </w:rPr>
            </w:pPr>
          </w:p>
        </w:tc>
        <w:tc>
          <w:tcPr>
            <w:tcW w:w="850" w:type="dxa"/>
          </w:tcPr>
          <w:p w:rsidR="009515FF" w:rsidRDefault="009515FF">
            <w:pPr>
              <w:pStyle w:val="yTableNAm"/>
              <w:rPr>
                <w:sz w:val="18"/>
              </w:rPr>
            </w:pPr>
          </w:p>
        </w:tc>
        <w:tc>
          <w:tcPr>
            <w:tcW w:w="851" w:type="dxa"/>
          </w:tcPr>
          <w:p w:rsidR="009515FF" w:rsidRDefault="009515FF">
            <w:pPr>
              <w:pStyle w:val="yTableNAm"/>
              <w:rPr>
                <w:sz w:val="18"/>
              </w:rPr>
            </w:pPr>
          </w:p>
        </w:tc>
      </w:tr>
    </w:tbl>
    <w:p w:rsidR="009515FF" w:rsidRDefault="00B14AD4">
      <w:pPr>
        <w:pStyle w:val="yFootnotesection"/>
      </w:pPr>
      <w:r>
        <w:tab/>
        <w:t>[Form 2 inserted: Gazette 19 Jul 1991 p. 3648</w:t>
      </w:r>
      <w:r>
        <w:noBreakHyphen/>
        <w:t>9; amended: Gazette 4 Jun 2010 p. 2462.]</w:t>
      </w:r>
    </w:p>
    <w:p w:rsidR="009515FF" w:rsidRDefault="00B14AD4">
      <w:pPr>
        <w:pStyle w:val="CentredBaseLine"/>
        <w:jc w:val="center"/>
      </w:pPr>
      <w:r>
        <w:rPr>
          <w:noProof/>
        </w:rPr>
        <w:drawing>
          <wp:inline distT="0" distB="0" distL="0" distR="0">
            <wp:extent cx="933450" cy="171450"/>
            <wp:effectExtent l="0" t="0" r="0" b="0"/>
            <wp:docPr id="14" name="Picture 14" descr="d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line"/>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33450" cy="171450"/>
                    </a:xfrm>
                    <a:prstGeom prst="rect">
                      <a:avLst/>
                    </a:prstGeom>
                    <a:noFill/>
                    <a:ln>
                      <a:noFill/>
                    </a:ln>
                  </pic:spPr>
                </pic:pic>
              </a:graphicData>
            </a:graphic>
          </wp:inline>
        </w:drawing>
      </w:r>
    </w:p>
    <w:p w:rsidR="009515FF" w:rsidRDefault="009515FF">
      <w:pPr>
        <w:tabs>
          <w:tab w:val="left" w:pos="721"/>
        </w:tabs>
        <w:ind w:left="749" w:hanging="828"/>
      </w:pPr>
    </w:p>
    <w:p w:rsidR="009515FF" w:rsidRDefault="009515FF">
      <w:pPr>
        <w:tabs>
          <w:tab w:val="left" w:pos="721"/>
        </w:tabs>
        <w:ind w:left="749" w:hanging="828"/>
        <w:sectPr w:rsidR="009515FF">
          <w:headerReference w:type="even" r:id="rId43"/>
          <w:headerReference w:type="default" r:id="rId44"/>
          <w:pgSz w:w="11907" w:h="16840" w:code="9"/>
          <w:pgMar w:top="2376" w:right="2405" w:bottom="3542" w:left="2405" w:header="706" w:footer="3380" w:gutter="0"/>
          <w:cols w:space="720"/>
          <w:noEndnote/>
          <w:docGrid w:linePitch="326"/>
        </w:sectPr>
      </w:pPr>
    </w:p>
    <w:p w:rsidR="009515FF" w:rsidRDefault="00B14AD4">
      <w:pPr>
        <w:pStyle w:val="nHeading2"/>
      </w:pPr>
      <w:bookmarkStart w:id="151" w:name="_Toc75423361"/>
      <w:bookmarkStart w:id="152" w:name="_Toc75426841"/>
      <w:bookmarkStart w:id="153" w:name="_Toc75528263"/>
      <w:r>
        <w:lastRenderedPageBreak/>
        <w:t>Notes</w:t>
      </w:r>
      <w:bookmarkEnd w:id="151"/>
      <w:bookmarkEnd w:id="152"/>
      <w:bookmarkEnd w:id="153"/>
    </w:p>
    <w:p w:rsidR="009515FF" w:rsidRDefault="00B14AD4">
      <w:pPr>
        <w:pStyle w:val="nStatement"/>
      </w:pPr>
      <w:r>
        <w:t xml:space="preserve">This is a compilation of the </w:t>
      </w:r>
      <w:r>
        <w:rPr>
          <w:i/>
          <w:noProof/>
        </w:rPr>
        <w:t>Shipping and Pilotage (Ports and Harbours) Regulations 1966</w:t>
      </w:r>
      <w:r>
        <w:t xml:space="preserve"> and includes amendments made by other written laws. For provisions that have come into operation, and for information about any reprints, see the compilation table.</w:t>
      </w:r>
    </w:p>
    <w:p w:rsidR="009515FF" w:rsidRDefault="00B14AD4">
      <w:pPr>
        <w:pStyle w:val="nHeading3"/>
      </w:pPr>
      <w:bookmarkStart w:id="154" w:name="_Toc75528264"/>
      <w:r>
        <w:t>Compilation table</w:t>
      </w:r>
      <w:bookmarkEnd w:id="154"/>
    </w:p>
    <w:tbl>
      <w:tblPr>
        <w:tblW w:w="0" w:type="auto"/>
        <w:tblInd w:w="28" w:type="dxa"/>
        <w:tblLayout w:type="fixed"/>
        <w:tblCellMar>
          <w:left w:w="56" w:type="dxa"/>
          <w:right w:w="56" w:type="dxa"/>
        </w:tblCellMar>
        <w:tblLook w:val="0000" w:firstRow="0" w:lastRow="0" w:firstColumn="0" w:lastColumn="0" w:noHBand="0" w:noVBand="0"/>
      </w:tblPr>
      <w:tblGrid>
        <w:gridCol w:w="3119"/>
        <w:gridCol w:w="28"/>
        <w:gridCol w:w="1248"/>
        <w:gridCol w:w="28"/>
        <w:gridCol w:w="2665"/>
      </w:tblGrid>
      <w:tr w:rsidR="009515FF">
        <w:trPr>
          <w:cantSplit/>
          <w:tblHeader/>
        </w:trPr>
        <w:tc>
          <w:tcPr>
            <w:tcW w:w="3119" w:type="dxa"/>
            <w:tcBorders>
              <w:top w:val="single" w:sz="8" w:space="0" w:color="auto"/>
              <w:bottom w:val="single" w:sz="8" w:space="0" w:color="auto"/>
            </w:tcBorders>
            <w:shd w:val="clear" w:color="auto" w:fill="auto"/>
          </w:tcPr>
          <w:p w:rsidR="009515FF" w:rsidRDefault="00B14AD4">
            <w:pPr>
              <w:pStyle w:val="nTable"/>
              <w:spacing w:after="40"/>
              <w:rPr>
                <w:b/>
              </w:rPr>
            </w:pPr>
            <w:r>
              <w:rPr>
                <w:b/>
              </w:rPr>
              <w:t>Citation</w:t>
            </w:r>
          </w:p>
        </w:tc>
        <w:tc>
          <w:tcPr>
            <w:tcW w:w="1276" w:type="dxa"/>
            <w:gridSpan w:val="2"/>
            <w:tcBorders>
              <w:top w:val="single" w:sz="8" w:space="0" w:color="auto"/>
              <w:bottom w:val="single" w:sz="8" w:space="0" w:color="auto"/>
            </w:tcBorders>
            <w:shd w:val="clear" w:color="auto" w:fill="auto"/>
          </w:tcPr>
          <w:p w:rsidR="009515FF" w:rsidRDefault="00B14AD4">
            <w:pPr>
              <w:pStyle w:val="nTable"/>
              <w:spacing w:after="40"/>
              <w:rPr>
                <w:b/>
              </w:rPr>
            </w:pPr>
            <w:r>
              <w:rPr>
                <w:b/>
              </w:rPr>
              <w:t>Gazettal</w:t>
            </w:r>
          </w:p>
        </w:tc>
        <w:tc>
          <w:tcPr>
            <w:tcW w:w="2693" w:type="dxa"/>
            <w:gridSpan w:val="2"/>
            <w:tcBorders>
              <w:top w:val="single" w:sz="8" w:space="0" w:color="auto"/>
              <w:bottom w:val="single" w:sz="8" w:space="0" w:color="auto"/>
            </w:tcBorders>
            <w:shd w:val="clear" w:color="auto" w:fill="auto"/>
          </w:tcPr>
          <w:p w:rsidR="009515FF" w:rsidRDefault="00B14AD4">
            <w:pPr>
              <w:pStyle w:val="nTable"/>
              <w:spacing w:after="40"/>
              <w:rPr>
                <w:b/>
              </w:rPr>
            </w:pPr>
            <w:r>
              <w:rPr>
                <w:b/>
              </w:rPr>
              <w:t>Commencement</w:t>
            </w:r>
          </w:p>
        </w:tc>
      </w:tr>
      <w:tr w:rsidR="009515FF">
        <w:trPr>
          <w:cantSplit/>
        </w:trPr>
        <w:tc>
          <w:tcPr>
            <w:tcW w:w="3119" w:type="dxa"/>
          </w:tcPr>
          <w:p w:rsidR="009515FF" w:rsidRDefault="00B14AD4">
            <w:pPr>
              <w:pStyle w:val="nTable"/>
              <w:spacing w:after="40"/>
            </w:pPr>
            <w:r>
              <w:rPr>
                <w:i/>
              </w:rPr>
              <w:t xml:space="preserve">Ports and Harbours Regulations </w:t>
            </w:r>
            <w:r>
              <w:rPr>
                <w:iCs/>
                <w:vertAlign w:val="superscript"/>
              </w:rPr>
              <w:t>3</w:t>
            </w:r>
          </w:p>
        </w:tc>
        <w:tc>
          <w:tcPr>
            <w:tcW w:w="1276" w:type="dxa"/>
            <w:gridSpan w:val="2"/>
          </w:tcPr>
          <w:p w:rsidR="009515FF" w:rsidRDefault="00B14AD4">
            <w:pPr>
              <w:pStyle w:val="nTable"/>
              <w:spacing w:after="40"/>
            </w:pPr>
            <w:r>
              <w:t>3 Feb 1966 p. 277</w:t>
            </w:r>
            <w:r>
              <w:noBreakHyphen/>
              <w:t>92</w:t>
            </w:r>
          </w:p>
        </w:tc>
        <w:tc>
          <w:tcPr>
            <w:tcW w:w="2693" w:type="dxa"/>
            <w:gridSpan w:val="2"/>
          </w:tcPr>
          <w:p w:rsidR="009515FF" w:rsidRDefault="00B14AD4">
            <w:pPr>
              <w:pStyle w:val="nTable"/>
              <w:spacing w:after="40"/>
            </w:pPr>
            <w:r>
              <w:t>3 Feb 1966</w:t>
            </w:r>
          </w:p>
        </w:tc>
      </w:tr>
      <w:tr w:rsidR="009515FF">
        <w:trPr>
          <w:cantSplit/>
        </w:trPr>
        <w:tc>
          <w:tcPr>
            <w:tcW w:w="3119" w:type="dxa"/>
          </w:tcPr>
          <w:p w:rsidR="009515FF" w:rsidRDefault="00B14AD4">
            <w:pPr>
              <w:pStyle w:val="nTable"/>
              <w:spacing w:after="40"/>
            </w:pPr>
            <w:r>
              <w:t>Untitled regulations</w:t>
            </w:r>
          </w:p>
        </w:tc>
        <w:tc>
          <w:tcPr>
            <w:tcW w:w="1276" w:type="dxa"/>
            <w:gridSpan w:val="2"/>
          </w:tcPr>
          <w:p w:rsidR="009515FF" w:rsidRDefault="00B14AD4">
            <w:pPr>
              <w:pStyle w:val="nTable"/>
              <w:spacing w:after="40"/>
            </w:pPr>
            <w:r>
              <w:t>3 Oct 1967 p. 2592</w:t>
            </w:r>
          </w:p>
        </w:tc>
        <w:tc>
          <w:tcPr>
            <w:tcW w:w="2693" w:type="dxa"/>
            <w:gridSpan w:val="2"/>
          </w:tcPr>
          <w:p w:rsidR="009515FF" w:rsidRDefault="00B14AD4">
            <w:pPr>
              <w:pStyle w:val="nTable"/>
              <w:spacing w:after="40"/>
            </w:pPr>
            <w:r>
              <w:t>3 Oct 1967</w:t>
            </w:r>
          </w:p>
        </w:tc>
      </w:tr>
      <w:tr w:rsidR="009515FF">
        <w:trPr>
          <w:cantSplit/>
        </w:trPr>
        <w:tc>
          <w:tcPr>
            <w:tcW w:w="3119" w:type="dxa"/>
          </w:tcPr>
          <w:p w:rsidR="009515FF" w:rsidRDefault="00B14AD4">
            <w:pPr>
              <w:pStyle w:val="nTable"/>
              <w:spacing w:after="40"/>
            </w:pPr>
            <w:r>
              <w:t>Untitled regulations</w:t>
            </w:r>
          </w:p>
        </w:tc>
        <w:tc>
          <w:tcPr>
            <w:tcW w:w="1276" w:type="dxa"/>
            <w:gridSpan w:val="2"/>
          </w:tcPr>
          <w:p w:rsidR="009515FF" w:rsidRDefault="00B14AD4">
            <w:pPr>
              <w:pStyle w:val="nTable"/>
              <w:spacing w:after="40"/>
            </w:pPr>
            <w:r>
              <w:t>14 Jun 1971 p. 2146</w:t>
            </w:r>
          </w:p>
        </w:tc>
        <w:tc>
          <w:tcPr>
            <w:tcW w:w="2693" w:type="dxa"/>
            <w:gridSpan w:val="2"/>
          </w:tcPr>
          <w:p w:rsidR="009515FF" w:rsidRDefault="00B14AD4">
            <w:pPr>
              <w:pStyle w:val="nTable"/>
              <w:spacing w:after="40"/>
            </w:pPr>
            <w:r>
              <w:t xml:space="preserve">15 Jun 1971 (see </w:t>
            </w:r>
            <w:r>
              <w:rPr>
                <w:i/>
              </w:rPr>
              <w:t xml:space="preserve">Gazette </w:t>
            </w:r>
            <w:r>
              <w:t>14 Jun 1971 p. 2146)</w:t>
            </w:r>
          </w:p>
        </w:tc>
      </w:tr>
      <w:tr w:rsidR="009515FF">
        <w:trPr>
          <w:cantSplit/>
        </w:trPr>
        <w:tc>
          <w:tcPr>
            <w:tcW w:w="3119" w:type="dxa"/>
          </w:tcPr>
          <w:p w:rsidR="009515FF" w:rsidRDefault="00B14AD4">
            <w:pPr>
              <w:pStyle w:val="nTable"/>
              <w:spacing w:after="40"/>
            </w:pPr>
            <w:r>
              <w:t>Untitled regulations</w:t>
            </w:r>
          </w:p>
        </w:tc>
        <w:tc>
          <w:tcPr>
            <w:tcW w:w="1276" w:type="dxa"/>
            <w:gridSpan w:val="2"/>
          </w:tcPr>
          <w:p w:rsidR="009515FF" w:rsidRDefault="00B14AD4">
            <w:pPr>
              <w:pStyle w:val="nTable"/>
              <w:spacing w:after="40"/>
            </w:pPr>
            <w:r>
              <w:t>24 Sep 1971 p. 3580</w:t>
            </w:r>
            <w:r>
              <w:noBreakHyphen/>
              <w:t>1</w:t>
            </w:r>
          </w:p>
        </w:tc>
        <w:tc>
          <w:tcPr>
            <w:tcW w:w="2693" w:type="dxa"/>
            <w:gridSpan w:val="2"/>
          </w:tcPr>
          <w:p w:rsidR="009515FF" w:rsidRDefault="00B14AD4">
            <w:pPr>
              <w:pStyle w:val="nTable"/>
              <w:spacing w:after="40"/>
            </w:pPr>
            <w:r>
              <w:t>1 Oct 1971</w:t>
            </w:r>
          </w:p>
        </w:tc>
      </w:tr>
      <w:tr w:rsidR="009515FF">
        <w:trPr>
          <w:cantSplit/>
        </w:trPr>
        <w:tc>
          <w:tcPr>
            <w:tcW w:w="3119" w:type="dxa"/>
          </w:tcPr>
          <w:p w:rsidR="009515FF" w:rsidRDefault="00B14AD4">
            <w:pPr>
              <w:pStyle w:val="nTable"/>
              <w:spacing w:after="40"/>
            </w:pPr>
            <w:r>
              <w:t>Untitled regulations</w:t>
            </w:r>
          </w:p>
        </w:tc>
        <w:tc>
          <w:tcPr>
            <w:tcW w:w="1276" w:type="dxa"/>
            <w:gridSpan w:val="2"/>
          </w:tcPr>
          <w:p w:rsidR="009515FF" w:rsidRDefault="00B14AD4">
            <w:pPr>
              <w:pStyle w:val="nTable"/>
              <w:spacing w:after="40"/>
            </w:pPr>
            <w:r>
              <w:t>27 Oct 1971 p. 4155</w:t>
            </w:r>
          </w:p>
        </w:tc>
        <w:tc>
          <w:tcPr>
            <w:tcW w:w="2693" w:type="dxa"/>
            <w:gridSpan w:val="2"/>
          </w:tcPr>
          <w:p w:rsidR="009515FF" w:rsidRDefault="00B14AD4">
            <w:pPr>
              <w:pStyle w:val="nTable"/>
              <w:spacing w:after="40"/>
            </w:pPr>
            <w:r>
              <w:t>27 Oct 1971</w:t>
            </w:r>
          </w:p>
        </w:tc>
      </w:tr>
      <w:tr w:rsidR="009515FF">
        <w:trPr>
          <w:cantSplit/>
        </w:trPr>
        <w:tc>
          <w:tcPr>
            <w:tcW w:w="3119" w:type="dxa"/>
          </w:tcPr>
          <w:p w:rsidR="009515FF" w:rsidRDefault="00B14AD4">
            <w:pPr>
              <w:pStyle w:val="nTable"/>
              <w:spacing w:after="40"/>
            </w:pPr>
            <w:r>
              <w:t>Untitled regulations</w:t>
            </w:r>
          </w:p>
        </w:tc>
        <w:tc>
          <w:tcPr>
            <w:tcW w:w="1276" w:type="dxa"/>
            <w:gridSpan w:val="2"/>
          </w:tcPr>
          <w:p w:rsidR="009515FF" w:rsidRDefault="00B14AD4">
            <w:pPr>
              <w:pStyle w:val="nTable"/>
              <w:spacing w:after="40"/>
            </w:pPr>
            <w:r>
              <w:t>26 Nov 1971 p. 4915</w:t>
            </w:r>
          </w:p>
        </w:tc>
        <w:tc>
          <w:tcPr>
            <w:tcW w:w="2693" w:type="dxa"/>
            <w:gridSpan w:val="2"/>
          </w:tcPr>
          <w:p w:rsidR="009515FF" w:rsidRDefault="00B14AD4">
            <w:pPr>
              <w:pStyle w:val="nTable"/>
              <w:spacing w:after="40"/>
            </w:pPr>
            <w:r>
              <w:t>26 Nov 1971</w:t>
            </w:r>
          </w:p>
        </w:tc>
      </w:tr>
      <w:tr w:rsidR="009515FF">
        <w:trPr>
          <w:cantSplit/>
        </w:trPr>
        <w:tc>
          <w:tcPr>
            <w:tcW w:w="3119" w:type="dxa"/>
          </w:tcPr>
          <w:p w:rsidR="009515FF" w:rsidRDefault="00B14AD4">
            <w:pPr>
              <w:pStyle w:val="nTable"/>
              <w:spacing w:after="40"/>
            </w:pPr>
            <w:r>
              <w:t>Untitled regulations</w:t>
            </w:r>
          </w:p>
        </w:tc>
        <w:tc>
          <w:tcPr>
            <w:tcW w:w="1276" w:type="dxa"/>
            <w:gridSpan w:val="2"/>
          </w:tcPr>
          <w:p w:rsidR="009515FF" w:rsidRDefault="00B14AD4">
            <w:pPr>
              <w:pStyle w:val="nTable"/>
              <w:spacing w:after="40"/>
            </w:pPr>
            <w:r>
              <w:t>22 Feb 1972 p. 407</w:t>
            </w:r>
            <w:r>
              <w:noBreakHyphen/>
              <w:t>8</w:t>
            </w:r>
          </w:p>
        </w:tc>
        <w:tc>
          <w:tcPr>
            <w:tcW w:w="2693" w:type="dxa"/>
            <w:gridSpan w:val="2"/>
          </w:tcPr>
          <w:p w:rsidR="009515FF" w:rsidRDefault="00B14AD4">
            <w:pPr>
              <w:pStyle w:val="nTable"/>
              <w:spacing w:after="40"/>
            </w:pPr>
            <w:r>
              <w:t>22 Feb 1972</w:t>
            </w:r>
          </w:p>
        </w:tc>
      </w:tr>
      <w:tr w:rsidR="009515FF">
        <w:trPr>
          <w:cantSplit/>
        </w:trPr>
        <w:tc>
          <w:tcPr>
            <w:tcW w:w="3119" w:type="dxa"/>
          </w:tcPr>
          <w:p w:rsidR="009515FF" w:rsidRDefault="00B14AD4">
            <w:pPr>
              <w:pStyle w:val="nTable"/>
              <w:spacing w:after="40"/>
            </w:pPr>
            <w:r>
              <w:t xml:space="preserve">Untitled notice under the </w:t>
            </w:r>
            <w:r>
              <w:rPr>
                <w:i/>
              </w:rPr>
              <w:t>Metric Conversion Act 1972</w:t>
            </w:r>
            <w:r>
              <w:t xml:space="preserve"> s. 6</w:t>
            </w:r>
          </w:p>
        </w:tc>
        <w:tc>
          <w:tcPr>
            <w:tcW w:w="1276" w:type="dxa"/>
            <w:gridSpan w:val="2"/>
          </w:tcPr>
          <w:p w:rsidR="009515FF" w:rsidRDefault="00B14AD4">
            <w:pPr>
              <w:pStyle w:val="nTable"/>
              <w:spacing w:after="40"/>
            </w:pPr>
            <w:r>
              <w:t>15 Jun 1973 p. 2234</w:t>
            </w:r>
            <w:r>
              <w:noBreakHyphen/>
              <w:t>5</w:t>
            </w:r>
          </w:p>
        </w:tc>
        <w:tc>
          <w:tcPr>
            <w:tcW w:w="2693" w:type="dxa"/>
            <w:gridSpan w:val="2"/>
          </w:tcPr>
          <w:p w:rsidR="009515FF" w:rsidRDefault="00B14AD4">
            <w:pPr>
              <w:pStyle w:val="nTable"/>
              <w:spacing w:after="40"/>
            </w:pPr>
            <w:r>
              <w:t>1 Jul 1973</w:t>
            </w:r>
          </w:p>
        </w:tc>
      </w:tr>
      <w:tr w:rsidR="009515FF">
        <w:trPr>
          <w:cantSplit/>
        </w:trPr>
        <w:tc>
          <w:tcPr>
            <w:tcW w:w="3119" w:type="dxa"/>
          </w:tcPr>
          <w:p w:rsidR="009515FF" w:rsidRDefault="00B14AD4">
            <w:pPr>
              <w:pStyle w:val="nTable"/>
              <w:spacing w:after="40"/>
            </w:pPr>
            <w:r>
              <w:t>Untitled regulations</w:t>
            </w:r>
          </w:p>
        </w:tc>
        <w:tc>
          <w:tcPr>
            <w:tcW w:w="1276" w:type="dxa"/>
            <w:gridSpan w:val="2"/>
          </w:tcPr>
          <w:p w:rsidR="009515FF" w:rsidRDefault="00B14AD4">
            <w:pPr>
              <w:pStyle w:val="nTable"/>
              <w:spacing w:after="40"/>
            </w:pPr>
            <w:r>
              <w:t>14 Jun 1974 p. 1911</w:t>
            </w:r>
          </w:p>
        </w:tc>
        <w:tc>
          <w:tcPr>
            <w:tcW w:w="2693" w:type="dxa"/>
            <w:gridSpan w:val="2"/>
          </w:tcPr>
          <w:p w:rsidR="009515FF" w:rsidRDefault="00B14AD4">
            <w:pPr>
              <w:pStyle w:val="nTable"/>
              <w:spacing w:after="40"/>
            </w:pPr>
            <w:r>
              <w:t>14 Jun 1974</w:t>
            </w:r>
          </w:p>
        </w:tc>
      </w:tr>
      <w:tr w:rsidR="009515FF">
        <w:trPr>
          <w:cantSplit/>
        </w:trPr>
        <w:tc>
          <w:tcPr>
            <w:tcW w:w="3119" w:type="dxa"/>
          </w:tcPr>
          <w:p w:rsidR="009515FF" w:rsidRDefault="00B14AD4">
            <w:pPr>
              <w:pStyle w:val="nTable"/>
              <w:spacing w:after="40"/>
            </w:pPr>
            <w:r>
              <w:t>Untitled regulations</w:t>
            </w:r>
          </w:p>
        </w:tc>
        <w:tc>
          <w:tcPr>
            <w:tcW w:w="1276" w:type="dxa"/>
            <w:gridSpan w:val="2"/>
          </w:tcPr>
          <w:p w:rsidR="009515FF" w:rsidRDefault="00B14AD4">
            <w:pPr>
              <w:pStyle w:val="nTable"/>
              <w:spacing w:after="40"/>
            </w:pPr>
            <w:r>
              <w:t>14 Feb 1975 p. 571</w:t>
            </w:r>
          </w:p>
        </w:tc>
        <w:tc>
          <w:tcPr>
            <w:tcW w:w="2693" w:type="dxa"/>
            <w:gridSpan w:val="2"/>
          </w:tcPr>
          <w:p w:rsidR="009515FF" w:rsidRDefault="00B14AD4">
            <w:pPr>
              <w:pStyle w:val="nTable"/>
              <w:spacing w:after="40"/>
            </w:pPr>
            <w:r>
              <w:t>14 Feb 1975</w:t>
            </w:r>
          </w:p>
        </w:tc>
      </w:tr>
      <w:tr w:rsidR="009515FF">
        <w:trPr>
          <w:cantSplit/>
        </w:trPr>
        <w:tc>
          <w:tcPr>
            <w:tcW w:w="3119" w:type="dxa"/>
          </w:tcPr>
          <w:p w:rsidR="009515FF" w:rsidRDefault="00B14AD4">
            <w:pPr>
              <w:pStyle w:val="nTable"/>
              <w:spacing w:after="40"/>
            </w:pPr>
            <w:r>
              <w:t>Untitled regulations</w:t>
            </w:r>
          </w:p>
        </w:tc>
        <w:tc>
          <w:tcPr>
            <w:tcW w:w="1276" w:type="dxa"/>
            <w:gridSpan w:val="2"/>
          </w:tcPr>
          <w:p w:rsidR="009515FF" w:rsidRDefault="00B14AD4">
            <w:pPr>
              <w:pStyle w:val="nTable"/>
              <w:spacing w:after="40"/>
            </w:pPr>
            <w:r>
              <w:t>28 Feb 1975 p. 752</w:t>
            </w:r>
            <w:r>
              <w:noBreakHyphen/>
              <w:t>3</w:t>
            </w:r>
          </w:p>
        </w:tc>
        <w:tc>
          <w:tcPr>
            <w:tcW w:w="2693" w:type="dxa"/>
            <w:gridSpan w:val="2"/>
          </w:tcPr>
          <w:p w:rsidR="009515FF" w:rsidRDefault="00B14AD4">
            <w:pPr>
              <w:pStyle w:val="nTable"/>
              <w:spacing w:after="40"/>
            </w:pPr>
            <w:r>
              <w:t xml:space="preserve">28 Mar 1975 (see </w:t>
            </w:r>
            <w:r>
              <w:rPr>
                <w:i/>
              </w:rPr>
              <w:t xml:space="preserve">Gazette </w:t>
            </w:r>
            <w:r>
              <w:t>28 Feb 1975 p. 752)</w:t>
            </w:r>
          </w:p>
        </w:tc>
      </w:tr>
      <w:tr w:rsidR="009515FF">
        <w:trPr>
          <w:cantSplit/>
        </w:trPr>
        <w:tc>
          <w:tcPr>
            <w:tcW w:w="3119" w:type="dxa"/>
          </w:tcPr>
          <w:p w:rsidR="009515FF" w:rsidRDefault="00B14AD4">
            <w:pPr>
              <w:pStyle w:val="nTable"/>
              <w:spacing w:after="40"/>
            </w:pPr>
            <w:r>
              <w:t>Untitled regulations</w:t>
            </w:r>
          </w:p>
        </w:tc>
        <w:tc>
          <w:tcPr>
            <w:tcW w:w="1276" w:type="dxa"/>
            <w:gridSpan w:val="2"/>
          </w:tcPr>
          <w:p w:rsidR="009515FF" w:rsidRDefault="00B14AD4">
            <w:pPr>
              <w:pStyle w:val="nTable"/>
              <w:spacing w:after="40"/>
            </w:pPr>
            <w:r>
              <w:t>3 Sep 1976 p. 3298</w:t>
            </w:r>
          </w:p>
        </w:tc>
        <w:tc>
          <w:tcPr>
            <w:tcW w:w="2693" w:type="dxa"/>
            <w:gridSpan w:val="2"/>
          </w:tcPr>
          <w:p w:rsidR="009515FF" w:rsidRDefault="00B14AD4">
            <w:pPr>
              <w:pStyle w:val="nTable"/>
              <w:spacing w:after="40"/>
            </w:pPr>
            <w:r>
              <w:t>3 Sep 1976</w:t>
            </w:r>
          </w:p>
        </w:tc>
      </w:tr>
      <w:tr w:rsidR="009515FF">
        <w:trPr>
          <w:cantSplit/>
        </w:trPr>
        <w:tc>
          <w:tcPr>
            <w:tcW w:w="3119" w:type="dxa"/>
          </w:tcPr>
          <w:p w:rsidR="009515FF" w:rsidRDefault="00B14AD4">
            <w:pPr>
              <w:pStyle w:val="nTable"/>
              <w:spacing w:after="40"/>
            </w:pPr>
            <w:r>
              <w:t>Untitled regulations</w:t>
            </w:r>
          </w:p>
        </w:tc>
        <w:tc>
          <w:tcPr>
            <w:tcW w:w="1276" w:type="dxa"/>
            <w:gridSpan w:val="2"/>
          </w:tcPr>
          <w:p w:rsidR="009515FF" w:rsidRDefault="00B14AD4">
            <w:pPr>
              <w:pStyle w:val="nTable"/>
              <w:spacing w:after="40"/>
            </w:pPr>
            <w:r>
              <w:t>14 Oct 1977 p. 3704</w:t>
            </w:r>
            <w:r>
              <w:noBreakHyphen/>
              <w:t>5</w:t>
            </w:r>
          </w:p>
        </w:tc>
        <w:tc>
          <w:tcPr>
            <w:tcW w:w="2693" w:type="dxa"/>
            <w:gridSpan w:val="2"/>
          </w:tcPr>
          <w:p w:rsidR="009515FF" w:rsidRDefault="00B14AD4">
            <w:pPr>
              <w:pStyle w:val="nTable"/>
              <w:spacing w:after="40"/>
            </w:pPr>
            <w:r>
              <w:t>14 Nov 1977</w:t>
            </w:r>
          </w:p>
        </w:tc>
      </w:tr>
      <w:tr w:rsidR="009515FF">
        <w:trPr>
          <w:cantSplit/>
        </w:trPr>
        <w:tc>
          <w:tcPr>
            <w:tcW w:w="3119" w:type="dxa"/>
          </w:tcPr>
          <w:p w:rsidR="009515FF" w:rsidRDefault="00B14AD4">
            <w:pPr>
              <w:pStyle w:val="nTable"/>
              <w:spacing w:after="40"/>
            </w:pPr>
            <w:r>
              <w:t>Untitled regulations</w:t>
            </w:r>
          </w:p>
        </w:tc>
        <w:tc>
          <w:tcPr>
            <w:tcW w:w="1276" w:type="dxa"/>
            <w:gridSpan w:val="2"/>
          </w:tcPr>
          <w:p w:rsidR="009515FF" w:rsidRDefault="00B14AD4">
            <w:pPr>
              <w:pStyle w:val="nTable"/>
              <w:spacing w:after="40"/>
            </w:pPr>
            <w:r>
              <w:t>2 Dec 1977 p. 4442</w:t>
            </w:r>
          </w:p>
        </w:tc>
        <w:tc>
          <w:tcPr>
            <w:tcW w:w="2693" w:type="dxa"/>
            <w:gridSpan w:val="2"/>
          </w:tcPr>
          <w:p w:rsidR="009515FF" w:rsidRDefault="00B14AD4">
            <w:pPr>
              <w:pStyle w:val="nTable"/>
              <w:spacing w:after="40"/>
            </w:pPr>
            <w:r>
              <w:t>1 Jan 1978</w:t>
            </w:r>
          </w:p>
        </w:tc>
      </w:tr>
      <w:tr w:rsidR="009515FF">
        <w:trPr>
          <w:cantSplit/>
        </w:trPr>
        <w:tc>
          <w:tcPr>
            <w:tcW w:w="3119" w:type="dxa"/>
          </w:tcPr>
          <w:p w:rsidR="009515FF" w:rsidRDefault="00B14AD4">
            <w:pPr>
              <w:pStyle w:val="nTable"/>
              <w:spacing w:after="40"/>
            </w:pPr>
            <w:r>
              <w:t>Untitled regulations</w:t>
            </w:r>
          </w:p>
        </w:tc>
        <w:tc>
          <w:tcPr>
            <w:tcW w:w="1276" w:type="dxa"/>
            <w:gridSpan w:val="2"/>
          </w:tcPr>
          <w:p w:rsidR="009515FF" w:rsidRDefault="00B14AD4">
            <w:pPr>
              <w:pStyle w:val="nTable"/>
              <w:spacing w:after="40"/>
            </w:pPr>
            <w:r>
              <w:t>10 Nov 1978 p. 4252</w:t>
            </w:r>
          </w:p>
        </w:tc>
        <w:tc>
          <w:tcPr>
            <w:tcW w:w="2693" w:type="dxa"/>
            <w:gridSpan w:val="2"/>
          </w:tcPr>
          <w:p w:rsidR="009515FF" w:rsidRDefault="00B14AD4">
            <w:pPr>
              <w:pStyle w:val="nTable"/>
              <w:spacing w:after="40"/>
            </w:pPr>
            <w:r>
              <w:t>1 Dec 1978</w:t>
            </w:r>
          </w:p>
        </w:tc>
      </w:tr>
      <w:tr w:rsidR="009515FF">
        <w:trPr>
          <w:cantSplit/>
        </w:trPr>
        <w:tc>
          <w:tcPr>
            <w:tcW w:w="3119" w:type="dxa"/>
          </w:tcPr>
          <w:p w:rsidR="009515FF" w:rsidRDefault="00B14AD4">
            <w:pPr>
              <w:pStyle w:val="nTable"/>
              <w:spacing w:after="40"/>
            </w:pPr>
            <w:r>
              <w:t>Untitled regulations</w:t>
            </w:r>
          </w:p>
        </w:tc>
        <w:tc>
          <w:tcPr>
            <w:tcW w:w="1276" w:type="dxa"/>
            <w:gridSpan w:val="2"/>
          </w:tcPr>
          <w:p w:rsidR="009515FF" w:rsidRDefault="00B14AD4">
            <w:pPr>
              <w:pStyle w:val="nTable"/>
              <w:spacing w:after="40"/>
            </w:pPr>
            <w:r>
              <w:t>10 Aug 1979 p. 2433</w:t>
            </w:r>
          </w:p>
        </w:tc>
        <w:tc>
          <w:tcPr>
            <w:tcW w:w="2693" w:type="dxa"/>
            <w:gridSpan w:val="2"/>
          </w:tcPr>
          <w:p w:rsidR="009515FF" w:rsidRDefault="00B14AD4">
            <w:pPr>
              <w:pStyle w:val="nTable"/>
              <w:spacing w:after="40"/>
            </w:pPr>
            <w:r>
              <w:t>10 Aug 1979</w:t>
            </w:r>
          </w:p>
        </w:tc>
      </w:tr>
      <w:tr w:rsidR="009515FF">
        <w:trPr>
          <w:cantSplit/>
        </w:trPr>
        <w:tc>
          <w:tcPr>
            <w:tcW w:w="3119" w:type="dxa"/>
          </w:tcPr>
          <w:p w:rsidR="009515FF" w:rsidRDefault="00B14AD4">
            <w:pPr>
              <w:pStyle w:val="nTable"/>
              <w:spacing w:after="40"/>
            </w:pPr>
            <w:r>
              <w:lastRenderedPageBreak/>
              <w:t>Untitled regulations</w:t>
            </w:r>
          </w:p>
        </w:tc>
        <w:tc>
          <w:tcPr>
            <w:tcW w:w="1276" w:type="dxa"/>
            <w:gridSpan w:val="2"/>
          </w:tcPr>
          <w:p w:rsidR="009515FF" w:rsidRDefault="00B14AD4">
            <w:pPr>
              <w:pStyle w:val="nTable"/>
              <w:spacing w:after="40"/>
            </w:pPr>
            <w:r>
              <w:t>20 Jun 1980 p. 1832</w:t>
            </w:r>
            <w:r>
              <w:noBreakHyphen/>
              <w:t>4</w:t>
            </w:r>
          </w:p>
        </w:tc>
        <w:tc>
          <w:tcPr>
            <w:tcW w:w="2693" w:type="dxa"/>
            <w:gridSpan w:val="2"/>
          </w:tcPr>
          <w:p w:rsidR="009515FF" w:rsidRDefault="00B14AD4">
            <w:pPr>
              <w:pStyle w:val="nTable"/>
              <w:spacing w:after="40"/>
            </w:pPr>
            <w:r>
              <w:t>1 Jul 1980 (see r. 2)</w:t>
            </w:r>
          </w:p>
        </w:tc>
      </w:tr>
      <w:tr w:rsidR="009515FF">
        <w:trPr>
          <w:cantSplit/>
        </w:trPr>
        <w:tc>
          <w:tcPr>
            <w:tcW w:w="3119" w:type="dxa"/>
          </w:tcPr>
          <w:p w:rsidR="009515FF" w:rsidRDefault="00B14AD4">
            <w:pPr>
              <w:pStyle w:val="nTable"/>
              <w:spacing w:after="40"/>
            </w:pPr>
            <w:r>
              <w:rPr>
                <w:i/>
              </w:rPr>
              <w:t>Ports and Harbours Amendment Regulations 1980</w:t>
            </w:r>
          </w:p>
        </w:tc>
        <w:tc>
          <w:tcPr>
            <w:tcW w:w="1276" w:type="dxa"/>
            <w:gridSpan w:val="2"/>
          </w:tcPr>
          <w:p w:rsidR="009515FF" w:rsidRDefault="00B14AD4">
            <w:pPr>
              <w:pStyle w:val="nTable"/>
              <w:spacing w:after="40"/>
            </w:pPr>
            <w:r>
              <w:t>31 Dec 1980 p. 4437</w:t>
            </w:r>
          </w:p>
        </w:tc>
        <w:tc>
          <w:tcPr>
            <w:tcW w:w="2693" w:type="dxa"/>
            <w:gridSpan w:val="2"/>
          </w:tcPr>
          <w:p w:rsidR="009515FF" w:rsidRDefault="00B14AD4">
            <w:pPr>
              <w:pStyle w:val="nTable"/>
              <w:spacing w:after="40"/>
            </w:pPr>
            <w:r>
              <w:t>1 Jan 1981 (see r. 2)</w:t>
            </w:r>
          </w:p>
        </w:tc>
      </w:tr>
      <w:tr w:rsidR="009515FF">
        <w:trPr>
          <w:cantSplit/>
        </w:trPr>
        <w:tc>
          <w:tcPr>
            <w:tcW w:w="3119" w:type="dxa"/>
          </w:tcPr>
          <w:p w:rsidR="009515FF" w:rsidRDefault="00B14AD4">
            <w:pPr>
              <w:pStyle w:val="nTable"/>
              <w:spacing w:after="40"/>
            </w:pPr>
            <w:r>
              <w:rPr>
                <w:i/>
              </w:rPr>
              <w:t>Ports and Harbours Amendment Regulations 1981</w:t>
            </w:r>
          </w:p>
        </w:tc>
        <w:tc>
          <w:tcPr>
            <w:tcW w:w="1276" w:type="dxa"/>
            <w:gridSpan w:val="2"/>
          </w:tcPr>
          <w:p w:rsidR="009515FF" w:rsidRDefault="00B14AD4">
            <w:pPr>
              <w:pStyle w:val="nTable"/>
              <w:spacing w:after="40"/>
            </w:pPr>
            <w:r>
              <w:t>27 Mar 1981 p. 1077</w:t>
            </w:r>
          </w:p>
        </w:tc>
        <w:tc>
          <w:tcPr>
            <w:tcW w:w="2693" w:type="dxa"/>
            <w:gridSpan w:val="2"/>
          </w:tcPr>
          <w:p w:rsidR="009515FF" w:rsidRDefault="00B14AD4">
            <w:pPr>
              <w:pStyle w:val="nTable"/>
              <w:spacing w:after="40"/>
            </w:pPr>
            <w:r>
              <w:t>27 Mar 1981</w:t>
            </w:r>
          </w:p>
        </w:tc>
      </w:tr>
      <w:tr w:rsidR="009515FF">
        <w:trPr>
          <w:cantSplit/>
        </w:trPr>
        <w:tc>
          <w:tcPr>
            <w:tcW w:w="3119" w:type="dxa"/>
          </w:tcPr>
          <w:p w:rsidR="009515FF" w:rsidRDefault="00B14AD4">
            <w:pPr>
              <w:pStyle w:val="nTable"/>
              <w:spacing w:after="40"/>
              <w:rPr>
                <w:i/>
              </w:rPr>
            </w:pPr>
            <w:r>
              <w:rPr>
                <w:i/>
              </w:rPr>
              <w:t>Ports and Harbours Amendment Regulations (No. 3) 1981</w:t>
            </w:r>
          </w:p>
        </w:tc>
        <w:tc>
          <w:tcPr>
            <w:tcW w:w="1276" w:type="dxa"/>
            <w:gridSpan w:val="2"/>
          </w:tcPr>
          <w:p w:rsidR="009515FF" w:rsidRDefault="00B14AD4">
            <w:pPr>
              <w:pStyle w:val="nTable"/>
              <w:keepNext/>
              <w:keepLines/>
              <w:spacing w:after="40"/>
            </w:pPr>
            <w:r>
              <w:t>26 Jun 1981 p. 2417</w:t>
            </w:r>
          </w:p>
        </w:tc>
        <w:tc>
          <w:tcPr>
            <w:tcW w:w="2693" w:type="dxa"/>
            <w:gridSpan w:val="2"/>
          </w:tcPr>
          <w:p w:rsidR="009515FF" w:rsidRDefault="00B14AD4">
            <w:pPr>
              <w:pStyle w:val="nTable"/>
              <w:keepNext/>
              <w:keepLines/>
              <w:spacing w:after="40"/>
            </w:pPr>
            <w:r>
              <w:t>1 Jul 1981 (see r. 2)</w:t>
            </w:r>
          </w:p>
        </w:tc>
      </w:tr>
      <w:tr w:rsidR="009515FF">
        <w:trPr>
          <w:cantSplit/>
        </w:trPr>
        <w:tc>
          <w:tcPr>
            <w:tcW w:w="3119" w:type="dxa"/>
          </w:tcPr>
          <w:p w:rsidR="009515FF" w:rsidRDefault="00B14AD4">
            <w:pPr>
              <w:pStyle w:val="nTable"/>
              <w:spacing w:after="40"/>
              <w:rPr>
                <w:i/>
              </w:rPr>
            </w:pPr>
            <w:r>
              <w:rPr>
                <w:i/>
              </w:rPr>
              <w:t>Ports and Harbours Amendment Regulations (No. 2) 1981</w:t>
            </w:r>
          </w:p>
        </w:tc>
        <w:tc>
          <w:tcPr>
            <w:tcW w:w="1276" w:type="dxa"/>
            <w:gridSpan w:val="2"/>
          </w:tcPr>
          <w:p w:rsidR="009515FF" w:rsidRDefault="00B14AD4">
            <w:pPr>
              <w:pStyle w:val="nTable"/>
              <w:keepNext/>
              <w:keepLines/>
              <w:spacing w:after="40"/>
            </w:pPr>
            <w:r>
              <w:t>26 Jun 1981 p. 2417</w:t>
            </w:r>
            <w:r>
              <w:noBreakHyphen/>
              <w:t>19</w:t>
            </w:r>
          </w:p>
        </w:tc>
        <w:tc>
          <w:tcPr>
            <w:tcW w:w="2693" w:type="dxa"/>
            <w:gridSpan w:val="2"/>
          </w:tcPr>
          <w:p w:rsidR="009515FF" w:rsidRDefault="00B14AD4">
            <w:pPr>
              <w:pStyle w:val="nTable"/>
              <w:keepNext/>
              <w:keepLines/>
              <w:spacing w:after="40"/>
            </w:pPr>
            <w:r>
              <w:t>1 Jul 1981 (see r. 2)</w:t>
            </w:r>
          </w:p>
        </w:tc>
      </w:tr>
      <w:tr w:rsidR="009515FF">
        <w:trPr>
          <w:cantSplit/>
        </w:trPr>
        <w:tc>
          <w:tcPr>
            <w:tcW w:w="3119" w:type="dxa"/>
          </w:tcPr>
          <w:p w:rsidR="009515FF" w:rsidRDefault="00B14AD4">
            <w:pPr>
              <w:pStyle w:val="nTable"/>
              <w:spacing w:after="40"/>
            </w:pPr>
            <w:r>
              <w:rPr>
                <w:i/>
              </w:rPr>
              <w:t>Ports and Harbours Amendment Regulations (No. 4) 1981</w:t>
            </w:r>
          </w:p>
        </w:tc>
        <w:tc>
          <w:tcPr>
            <w:tcW w:w="1276" w:type="dxa"/>
            <w:gridSpan w:val="2"/>
          </w:tcPr>
          <w:p w:rsidR="009515FF" w:rsidRDefault="00B14AD4">
            <w:pPr>
              <w:pStyle w:val="nTable"/>
              <w:spacing w:after="40"/>
            </w:pPr>
            <w:r>
              <w:t>28 Aug 1981 p. 3574</w:t>
            </w:r>
            <w:r>
              <w:noBreakHyphen/>
              <w:t>5</w:t>
            </w:r>
          </w:p>
        </w:tc>
        <w:tc>
          <w:tcPr>
            <w:tcW w:w="2693" w:type="dxa"/>
            <w:gridSpan w:val="2"/>
          </w:tcPr>
          <w:p w:rsidR="009515FF" w:rsidRDefault="00B14AD4">
            <w:pPr>
              <w:pStyle w:val="nTable"/>
              <w:spacing w:after="40"/>
            </w:pPr>
            <w:r>
              <w:t>1 Sep 1981 (see r. 2)</w:t>
            </w:r>
          </w:p>
        </w:tc>
      </w:tr>
      <w:tr w:rsidR="009515FF">
        <w:trPr>
          <w:cantSplit/>
        </w:trPr>
        <w:tc>
          <w:tcPr>
            <w:tcW w:w="3119" w:type="dxa"/>
          </w:tcPr>
          <w:p w:rsidR="009515FF" w:rsidRDefault="00B14AD4">
            <w:pPr>
              <w:pStyle w:val="nTable"/>
              <w:spacing w:after="40"/>
            </w:pPr>
            <w:r>
              <w:rPr>
                <w:i/>
              </w:rPr>
              <w:t>Ports and Harbours Amendment Regulations (No. 6) 1981</w:t>
            </w:r>
          </w:p>
        </w:tc>
        <w:tc>
          <w:tcPr>
            <w:tcW w:w="1276" w:type="dxa"/>
            <w:gridSpan w:val="2"/>
          </w:tcPr>
          <w:p w:rsidR="009515FF" w:rsidRDefault="00B14AD4">
            <w:pPr>
              <w:pStyle w:val="nTable"/>
              <w:spacing w:after="40"/>
            </w:pPr>
            <w:r>
              <w:t>4 Sep 1981 p. 3859</w:t>
            </w:r>
          </w:p>
        </w:tc>
        <w:tc>
          <w:tcPr>
            <w:tcW w:w="2693" w:type="dxa"/>
            <w:gridSpan w:val="2"/>
          </w:tcPr>
          <w:p w:rsidR="009515FF" w:rsidRDefault="00B14AD4">
            <w:pPr>
              <w:pStyle w:val="nTable"/>
              <w:spacing w:after="40"/>
            </w:pPr>
            <w:r>
              <w:t>4 Sep 1981</w:t>
            </w:r>
          </w:p>
        </w:tc>
      </w:tr>
      <w:tr w:rsidR="009515FF">
        <w:trPr>
          <w:cantSplit/>
        </w:trPr>
        <w:tc>
          <w:tcPr>
            <w:tcW w:w="3119" w:type="dxa"/>
          </w:tcPr>
          <w:p w:rsidR="009515FF" w:rsidRDefault="00B14AD4">
            <w:pPr>
              <w:pStyle w:val="nTable"/>
              <w:spacing w:after="40"/>
            </w:pPr>
            <w:r>
              <w:rPr>
                <w:i/>
              </w:rPr>
              <w:t>Ports and Harbours Amendment Regulations 1982</w:t>
            </w:r>
          </w:p>
        </w:tc>
        <w:tc>
          <w:tcPr>
            <w:tcW w:w="1276" w:type="dxa"/>
            <w:gridSpan w:val="2"/>
          </w:tcPr>
          <w:p w:rsidR="009515FF" w:rsidRDefault="00B14AD4">
            <w:pPr>
              <w:pStyle w:val="nTable"/>
              <w:spacing w:after="40"/>
            </w:pPr>
            <w:r>
              <w:t>21 May 1982 p. 1579</w:t>
            </w:r>
          </w:p>
        </w:tc>
        <w:tc>
          <w:tcPr>
            <w:tcW w:w="2693" w:type="dxa"/>
            <w:gridSpan w:val="2"/>
          </w:tcPr>
          <w:p w:rsidR="009515FF" w:rsidRDefault="00B14AD4">
            <w:pPr>
              <w:pStyle w:val="nTable"/>
              <w:spacing w:after="40"/>
            </w:pPr>
            <w:r>
              <w:t>21 May 1982</w:t>
            </w:r>
          </w:p>
        </w:tc>
      </w:tr>
      <w:tr w:rsidR="009515FF">
        <w:trPr>
          <w:cantSplit/>
        </w:trPr>
        <w:tc>
          <w:tcPr>
            <w:tcW w:w="3119" w:type="dxa"/>
          </w:tcPr>
          <w:p w:rsidR="009515FF" w:rsidRDefault="00B14AD4">
            <w:pPr>
              <w:pStyle w:val="nTable"/>
              <w:spacing w:after="40"/>
            </w:pPr>
            <w:r>
              <w:rPr>
                <w:i/>
              </w:rPr>
              <w:t>Ports and Harbours Amendment Regulations (No. 2) 1982</w:t>
            </w:r>
          </w:p>
        </w:tc>
        <w:tc>
          <w:tcPr>
            <w:tcW w:w="1276" w:type="dxa"/>
            <w:gridSpan w:val="2"/>
          </w:tcPr>
          <w:p w:rsidR="009515FF" w:rsidRDefault="00B14AD4">
            <w:pPr>
              <w:pStyle w:val="nTable"/>
              <w:spacing w:after="40"/>
            </w:pPr>
            <w:r>
              <w:t>2 Jul 1982 p. 2361</w:t>
            </w:r>
          </w:p>
        </w:tc>
        <w:tc>
          <w:tcPr>
            <w:tcW w:w="2693" w:type="dxa"/>
            <w:gridSpan w:val="2"/>
          </w:tcPr>
          <w:p w:rsidR="009515FF" w:rsidRDefault="00B14AD4">
            <w:pPr>
              <w:pStyle w:val="nTable"/>
              <w:spacing w:after="40"/>
            </w:pPr>
            <w:r>
              <w:t>2 Jul 1982</w:t>
            </w:r>
          </w:p>
        </w:tc>
      </w:tr>
      <w:tr w:rsidR="009515FF">
        <w:trPr>
          <w:cantSplit/>
        </w:trPr>
        <w:tc>
          <w:tcPr>
            <w:tcW w:w="3119" w:type="dxa"/>
          </w:tcPr>
          <w:p w:rsidR="009515FF" w:rsidRDefault="00B14AD4">
            <w:pPr>
              <w:pStyle w:val="nTable"/>
              <w:spacing w:after="40"/>
            </w:pPr>
            <w:r>
              <w:rPr>
                <w:i/>
              </w:rPr>
              <w:t>Ports and Harbours Amendment Regulations (No. 4) 1982</w:t>
            </w:r>
          </w:p>
        </w:tc>
        <w:tc>
          <w:tcPr>
            <w:tcW w:w="1276" w:type="dxa"/>
            <w:gridSpan w:val="2"/>
          </w:tcPr>
          <w:p w:rsidR="009515FF" w:rsidRDefault="00B14AD4">
            <w:pPr>
              <w:pStyle w:val="nTable"/>
              <w:spacing w:after="40"/>
            </w:pPr>
            <w:r>
              <w:t>9 Jul 1982 p. 2512</w:t>
            </w:r>
            <w:r>
              <w:noBreakHyphen/>
              <w:t>13</w:t>
            </w:r>
          </w:p>
        </w:tc>
        <w:tc>
          <w:tcPr>
            <w:tcW w:w="2693" w:type="dxa"/>
            <w:gridSpan w:val="2"/>
          </w:tcPr>
          <w:p w:rsidR="009515FF" w:rsidRDefault="00B14AD4">
            <w:pPr>
              <w:pStyle w:val="nTable"/>
              <w:spacing w:after="40"/>
            </w:pPr>
            <w:r>
              <w:t>9 Jul 1982</w:t>
            </w:r>
          </w:p>
        </w:tc>
      </w:tr>
      <w:tr w:rsidR="009515FF">
        <w:trPr>
          <w:cantSplit/>
        </w:trPr>
        <w:tc>
          <w:tcPr>
            <w:tcW w:w="3119" w:type="dxa"/>
          </w:tcPr>
          <w:p w:rsidR="009515FF" w:rsidRDefault="00B14AD4">
            <w:pPr>
              <w:pStyle w:val="nTable"/>
              <w:spacing w:after="40"/>
            </w:pPr>
            <w:r>
              <w:rPr>
                <w:i/>
              </w:rPr>
              <w:t>Ports and Harbours Amendment Regulations (No. 3) 1982</w:t>
            </w:r>
          </w:p>
        </w:tc>
        <w:tc>
          <w:tcPr>
            <w:tcW w:w="1276" w:type="dxa"/>
            <w:gridSpan w:val="2"/>
          </w:tcPr>
          <w:p w:rsidR="009515FF" w:rsidRDefault="00B14AD4">
            <w:pPr>
              <w:pStyle w:val="nTable"/>
              <w:spacing w:after="40"/>
            </w:pPr>
            <w:r>
              <w:t>13 Aug 1982 p. 3141</w:t>
            </w:r>
          </w:p>
        </w:tc>
        <w:tc>
          <w:tcPr>
            <w:tcW w:w="2693" w:type="dxa"/>
            <w:gridSpan w:val="2"/>
          </w:tcPr>
          <w:p w:rsidR="009515FF" w:rsidRDefault="00B14AD4">
            <w:pPr>
              <w:pStyle w:val="nTable"/>
              <w:spacing w:after="40"/>
            </w:pPr>
            <w:r>
              <w:t>13 Aug 1982</w:t>
            </w:r>
          </w:p>
        </w:tc>
      </w:tr>
      <w:tr w:rsidR="009515FF">
        <w:trPr>
          <w:cantSplit/>
        </w:trPr>
        <w:tc>
          <w:tcPr>
            <w:tcW w:w="3119" w:type="dxa"/>
          </w:tcPr>
          <w:p w:rsidR="009515FF" w:rsidRDefault="00B14AD4">
            <w:pPr>
              <w:pStyle w:val="nTable"/>
              <w:spacing w:after="40"/>
            </w:pPr>
            <w:r>
              <w:rPr>
                <w:i/>
              </w:rPr>
              <w:t>Ports and Harbours Amendment Regulations (No. 5) 1982</w:t>
            </w:r>
          </w:p>
        </w:tc>
        <w:tc>
          <w:tcPr>
            <w:tcW w:w="1276" w:type="dxa"/>
            <w:gridSpan w:val="2"/>
          </w:tcPr>
          <w:p w:rsidR="009515FF" w:rsidRDefault="00B14AD4">
            <w:pPr>
              <w:pStyle w:val="nTable"/>
              <w:spacing w:after="40"/>
            </w:pPr>
            <w:r>
              <w:t>10 Dec 1982 p. 4799</w:t>
            </w:r>
          </w:p>
        </w:tc>
        <w:tc>
          <w:tcPr>
            <w:tcW w:w="2693" w:type="dxa"/>
            <w:gridSpan w:val="2"/>
          </w:tcPr>
          <w:p w:rsidR="009515FF" w:rsidRDefault="00B14AD4">
            <w:pPr>
              <w:pStyle w:val="nTable"/>
              <w:spacing w:after="40"/>
            </w:pPr>
            <w:r>
              <w:t>10 Dec 1982</w:t>
            </w:r>
          </w:p>
        </w:tc>
      </w:tr>
      <w:tr w:rsidR="009515FF">
        <w:trPr>
          <w:cantSplit/>
        </w:trPr>
        <w:tc>
          <w:tcPr>
            <w:tcW w:w="3119" w:type="dxa"/>
          </w:tcPr>
          <w:p w:rsidR="009515FF" w:rsidRDefault="00B14AD4">
            <w:pPr>
              <w:pStyle w:val="nTable"/>
              <w:spacing w:after="40"/>
            </w:pPr>
            <w:r>
              <w:rPr>
                <w:i/>
              </w:rPr>
              <w:t>Ports and Harbours Amendment Regulations 1983</w:t>
            </w:r>
          </w:p>
        </w:tc>
        <w:tc>
          <w:tcPr>
            <w:tcW w:w="1276" w:type="dxa"/>
            <w:gridSpan w:val="2"/>
          </w:tcPr>
          <w:p w:rsidR="009515FF" w:rsidRDefault="00B14AD4">
            <w:pPr>
              <w:pStyle w:val="nTable"/>
              <w:spacing w:after="40"/>
            </w:pPr>
            <w:r>
              <w:t>5 Aug 1983 p. 2837</w:t>
            </w:r>
            <w:r>
              <w:noBreakHyphen/>
              <w:t>9</w:t>
            </w:r>
          </w:p>
        </w:tc>
        <w:tc>
          <w:tcPr>
            <w:tcW w:w="2693" w:type="dxa"/>
            <w:gridSpan w:val="2"/>
          </w:tcPr>
          <w:p w:rsidR="009515FF" w:rsidRDefault="00B14AD4">
            <w:pPr>
              <w:pStyle w:val="nTable"/>
              <w:spacing w:after="40"/>
            </w:pPr>
            <w:r>
              <w:t>5 Aug 1983</w:t>
            </w:r>
          </w:p>
        </w:tc>
      </w:tr>
      <w:tr w:rsidR="009515FF">
        <w:trPr>
          <w:cantSplit/>
        </w:trPr>
        <w:tc>
          <w:tcPr>
            <w:tcW w:w="3119" w:type="dxa"/>
          </w:tcPr>
          <w:p w:rsidR="009515FF" w:rsidRDefault="00B14AD4">
            <w:pPr>
              <w:pStyle w:val="nTable"/>
              <w:spacing w:after="40"/>
            </w:pPr>
            <w:r>
              <w:rPr>
                <w:i/>
              </w:rPr>
              <w:t>Ports and Harbours Amendment Regulations 1984</w:t>
            </w:r>
          </w:p>
        </w:tc>
        <w:tc>
          <w:tcPr>
            <w:tcW w:w="1276" w:type="dxa"/>
            <w:gridSpan w:val="2"/>
          </w:tcPr>
          <w:p w:rsidR="009515FF" w:rsidRDefault="00B14AD4">
            <w:pPr>
              <w:pStyle w:val="nTable"/>
              <w:spacing w:after="40"/>
            </w:pPr>
            <w:r>
              <w:t>17 Feb 1984 p. 434</w:t>
            </w:r>
            <w:r>
              <w:noBreakHyphen/>
              <w:t>5</w:t>
            </w:r>
          </w:p>
        </w:tc>
        <w:tc>
          <w:tcPr>
            <w:tcW w:w="2693" w:type="dxa"/>
            <w:gridSpan w:val="2"/>
          </w:tcPr>
          <w:p w:rsidR="009515FF" w:rsidRDefault="00B14AD4">
            <w:pPr>
              <w:pStyle w:val="nTable"/>
              <w:spacing w:after="40"/>
            </w:pPr>
            <w:r>
              <w:t>17 Feb 1984</w:t>
            </w:r>
          </w:p>
        </w:tc>
      </w:tr>
      <w:tr w:rsidR="009515FF">
        <w:trPr>
          <w:cantSplit/>
        </w:trPr>
        <w:tc>
          <w:tcPr>
            <w:tcW w:w="3119" w:type="dxa"/>
          </w:tcPr>
          <w:p w:rsidR="009515FF" w:rsidRDefault="00B14AD4">
            <w:pPr>
              <w:pStyle w:val="nTable"/>
              <w:spacing w:after="40"/>
            </w:pPr>
            <w:r>
              <w:rPr>
                <w:i/>
              </w:rPr>
              <w:t>Ports and Harbours Amendment Regulations (No. 2) 1984</w:t>
            </w:r>
          </w:p>
        </w:tc>
        <w:tc>
          <w:tcPr>
            <w:tcW w:w="1276" w:type="dxa"/>
            <w:gridSpan w:val="2"/>
          </w:tcPr>
          <w:p w:rsidR="009515FF" w:rsidRDefault="00B14AD4">
            <w:pPr>
              <w:pStyle w:val="nTable"/>
              <w:spacing w:after="40"/>
            </w:pPr>
            <w:r>
              <w:t>29 Jun 1984 p. 1760</w:t>
            </w:r>
          </w:p>
        </w:tc>
        <w:tc>
          <w:tcPr>
            <w:tcW w:w="2693" w:type="dxa"/>
            <w:gridSpan w:val="2"/>
          </w:tcPr>
          <w:p w:rsidR="009515FF" w:rsidRDefault="00B14AD4">
            <w:pPr>
              <w:pStyle w:val="nTable"/>
              <w:spacing w:after="40"/>
            </w:pPr>
            <w:r>
              <w:t>29 Jun 1984</w:t>
            </w:r>
          </w:p>
        </w:tc>
      </w:tr>
      <w:tr w:rsidR="009515FF">
        <w:trPr>
          <w:cantSplit/>
        </w:trPr>
        <w:tc>
          <w:tcPr>
            <w:tcW w:w="3119" w:type="dxa"/>
          </w:tcPr>
          <w:p w:rsidR="009515FF" w:rsidRDefault="00B14AD4">
            <w:pPr>
              <w:pStyle w:val="nTable"/>
              <w:spacing w:after="40"/>
            </w:pPr>
            <w:r>
              <w:rPr>
                <w:i/>
              </w:rPr>
              <w:t>Ports and Harbours Amendment Regulations (No. 3) 1984</w:t>
            </w:r>
          </w:p>
        </w:tc>
        <w:tc>
          <w:tcPr>
            <w:tcW w:w="1276" w:type="dxa"/>
            <w:gridSpan w:val="2"/>
          </w:tcPr>
          <w:p w:rsidR="009515FF" w:rsidRDefault="00B14AD4">
            <w:pPr>
              <w:pStyle w:val="nTable"/>
              <w:spacing w:after="40"/>
            </w:pPr>
            <w:r>
              <w:t>12 Oct 1984 p. 3270</w:t>
            </w:r>
            <w:r>
              <w:noBreakHyphen/>
              <w:t>3</w:t>
            </w:r>
            <w:r>
              <w:br/>
              <w:t>(erratum 26 Oct 1984 p. 3459)</w:t>
            </w:r>
          </w:p>
        </w:tc>
        <w:tc>
          <w:tcPr>
            <w:tcW w:w="2693" w:type="dxa"/>
            <w:gridSpan w:val="2"/>
          </w:tcPr>
          <w:p w:rsidR="009515FF" w:rsidRDefault="00B14AD4">
            <w:pPr>
              <w:pStyle w:val="nTable"/>
              <w:spacing w:after="40"/>
            </w:pPr>
            <w:r>
              <w:t>12 Oct 1984</w:t>
            </w:r>
          </w:p>
        </w:tc>
      </w:tr>
      <w:tr w:rsidR="009515FF">
        <w:trPr>
          <w:cantSplit/>
        </w:trPr>
        <w:tc>
          <w:tcPr>
            <w:tcW w:w="3119" w:type="dxa"/>
          </w:tcPr>
          <w:p w:rsidR="009515FF" w:rsidRDefault="00B14AD4">
            <w:pPr>
              <w:pStyle w:val="nTable"/>
              <w:spacing w:after="40"/>
            </w:pPr>
            <w:r>
              <w:rPr>
                <w:i/>
              </w:rPr>
              <w:t>Ports and Harbours Amendment Regulations 1985</w:t>
            </w:r>
          </w:p>
        </w:tc>
        <w:tc>
          <w:tcPr>
            <w:tcW w:w="1276" w:type="dxa"/>
            <w:gridSpan w:val="2"/>
          </w:tcPr>
          <w:p w:rsidR="009515FF" w:rsidRDefault="00B14AD4">
            <w:pPr>
              <w:pStyle w:val="nTable"/>
              <w:spacing w:after="40"/>
            </w:pPr>
            <w:r>
              <w:t>28 Jun 1985 p. 2318</w:t>
            </w:r>
            <w:r>
              <w:noBreakHyphen/>
              <w:t>19</w:t>
            </w:r>
          </w:p>
        </w:tc>
        <w:tc>
          <w:tcPr>
            <w:tcW w:w="2693" w:type="dxa"/>
            <w:gridSpan w:val="2"/>
          </w:tcPr>
          <w:p w:rsidR="009515FF" w:rsidRDefault="00B14AD4">
            <w:pPr>
              <w:pStyle w:val="nTable"/>
              <w:spacing w:after="40"/>
            </w:pPr>
            <w:r>
              <w:t>1 Jul 1985 (see r. 2)</w:t>
            </w:r>
          </w:p>
        </w:tc>
      </w:tr>
      <w:tr w:rsidR="009515FF">
        <w:trPr>
          <w:cantSplit/>
        </w:trPr>
        <w:tc>
          <w:tcPr>
            <w:tcW w:w="3119" w:type="dxa"/>
          </w:tcPr>
          <w:p w:rsidR="009515FF" w:rsidRDefault="00B14AD4">
            <w:pPr>
              <w:pStyle w:val="nTable"/>
              <w:spacing w:after="40"/>
            </w:pPr>
            <w:r>
              <w:rPr>
                <w:i/>
              </w:rPr>
              <w:t>Ports and Harbours Amendment Regulations (No. 2) 1985</w:t>
            </w:r>
          </w:p>
        </w:tc>
        <w:tc>
          <w:tcPr>
            <w:tcW w:w="1276" w:type="dxa"/>
            <w:gridSpan w:val="2"/>
          </w:tcPr>
          <w:p w:rsidR="009515FF" w:rsidRDefault="00B14AD4">
            <w:pPr>
              <w:pStyle w:val="nTable"/>
              <w:spacing w:after="40"/>
            </w:pPr>
            <w:r>
              <w:t>30 Aug 1985 p. 3079</w:t>
            </w:r>
            <w:r>
              <w:noBreakHyphen/>
              <w:t>80</w:t>
            </w:r>
          </w:p>
        </w:tc>
        <w:tc>
          <w:tcPr>
            <w:tcW w:w="2693" w:type="dxa"/>
            <w:gridSpan w:val="2"/>
          </w:tcPr>
          <w:p w:rsidR="009515FF" w:rsidRDefault="00B14AD4">
            <w:pPr>
              <w:pStyle w:val="nTable"/>
              <w:spacing w:after="40"/>
            </w:pPr>
            <w:r>
              <w:t>2 Sep 1985 (see r. 2)</w:t>
            </w:r>
          </w:p>
        </w:tc>
      </w:tr>
      <w:tr w:rsidR="009515FF">
        <w:trPr>
          <w:cantSplit/>
        </w:trPr>
        <w:tc>
          <w:tcPr>
            <w:tcW w:w="3119" w:type="dxa"/>
          </w:tcPr>
          <w:p w:rsidR="009515FF" w:rsidRDefault="00B14AD4">
            <w:pPr>
              <w:pStyle w:val="nTable"/>
              <w:spacing w:after="40"/>
            </w:pPr>
            <w:r>
              <w:rPr>
                <w:i/>
              </w:rPr>
              <w:lastRenderedPageBreak/>
              <w:t>Ports and Harbours Amendment Regulations (No. 3) 1985</w:t>
            </w:r>
          </w:p>
        </w:tc>
        <w:tc>
          <w:tcPr>
            <w:tcW w:w="1276" w:type="dxa"/>
            <w:gridSpan w:val="2"/>
          </w:tcPr>
          <w:p w:rsidR="009515FF" w:rsidRDefault="00B14AD4">
            <w:pPr>
              <w:pStyle w:val="nTable"/>
              <w:spacing w:after="40"/>
            </w:pPr>
            <w:r>
              <w:t>10 Jan 1986 p. 88</w:t>
            </w:r>
          </w:p>
        </w:tc>
        <w:tc>
          <w:tcPr>
            <w:tcW w:w="2693" w:type="dxa"/>
            <w:gridSpan w:val="2"/>
          </w:tcPr>
          <w:p w:rsidR="009515FF" w:rsidRDefault="00B14AD4">
            <w:pPr>
              <w:pStyle w:val="nTable"/>
              <w:spacing w:after="40"/>
            </w:pPr>
            <w:r>
              <w:t>10 Jan 1986</w:t>
            </w:r>
          </w:p>
        </w:tc>
      </w:tr>
      <w:tr w:rsidR="009515FF">
        <w:trPr>
          <w:cantSplit/>
        </w:trPr>
        <w:tc>
          <w:tcPr>
            <w:tcW w:w="3119" w:type="dxa"/>
          </w:tcPr>
          <w:p w:rsidR="009515FF" w:rsidRDefault="00B14AD4">
            <w:pPr>
              <w:pStyle w:val="nTable"/>
              <w:spacing w:after="40"/>
            </w:pPr>
            <w:r>
              <w:rPr>
                <w:i/>
              </w:rPr>
              <w:t>Ports and Harbours Amendment Regulations 1986</w:t>
            </w:r>
          </w:p>
        </w:tc>
        <w:tc>
          <w:tcPr>
            <w:tcW w:w="1276" w:type="dxa"/>
            <w:gridSpan w:val="2"/>
          </w:tcPr>
          <w:p w:rsidR="009515FF" w:rsidRDefault="00B14AD4">
            <w:pPr>
              <w:pStyle w:val="nTable"/>
              <w:spacing w:after="40"/>
            </w:pPr>
            <w:r>
              <w:t>8 Aug 1986 p. 2831</w:t>
            </w:r>
            <w:r>
              <w:noBreakHyphen/>
              <w:t>3</w:t>
            </w:r>
          </w:p>
        </w:tc>
        <w:tc>
          <w:tcPr>
            <w:tcW w:w="2693" w:type="dxa"/>
            <w:gridSpan w:val="2"/>
          </w:tcPr>
          <w:p w:rsidR="009515FF" w:rsidRDefault="00B14AD4">
            <w:pPr>
              <w:pStyle w:val="nTable"/>
              <w:spacing w:after="40"/>
            </w:pPr>
            <w:r>
              <w:t>8 Aug 1986</w:t>
            </w:r>
          </w:p>
        </w:tc>
      </w:tr>
      <w:tr w:rsidR="009515FF">
        <w:trPr>
          <w:cantSplit/>
        </w:trPr>
        <w:tc>
          <w:tcPr>
            <w:tcW w:w="3119" w:type="dxa"/>
          </w:tcPr>
          <w:p w:rsidR="009515FF" w:rsidRDefault="00B14AD4">
            <w:pPr>
              <w:pStyle w:val="nTable"/>
              <w:spacing w:after="40"/>
            </w:pPr>
            <w:r>
              <w:rPr>
                <w:i/>
              </w:rPr>
              <w:t>Ports and Harbours Amendment Regulations (No. 2) 1987</w:t>
            </w:r>
          </w:p>
        </w:tc>
        <w:tc>
          <w:tcPr>
            <w:tcW w:w="1276" w:type="dxa"/>
            <w:gridSpan w:val="2"/>
          </w:tcPr>
          <w:p w:rsidR="009515FF" w:rsidRDefault="00B14AD4">
            <w:pPr>
              <w:pStyle w:val="nTable"/>
              <w:spacing w:after="40"/>
            </w:pPr>
            <w:r>
              <w:t>16 Oct 1987 p. 3896</w:t>
            </w:r>
            <w:r>
              <w:noBreakHyphen/>
              <w:t>8</w:t>
            </w:r>
          </w:p>
        </w:tc>
        <w:tc>
          <w:tcPr>
            <w:tcW w:w="2693" w:type="dxa"/>
            <w:gridSpan w:val="2"/>
          </w:tcPr>
          <w:p w:rsidR="009515FF" w:rsidRDefault="00B14AD4">
            <w:pPr>
              <w:pStyle w:val="nTable"/>
              <w:spacing w:after="40"/>
            </w:pPr>
            <w:r>
              <w:t>16 Oct 1987</w:t>
            </w:r>
          </w:p>
        </w:tc>
      </w:tr>
      <w:tr w:rsidR="009515FF">
        <w:trPr>
          <w:cantSplit/>
        </w:trPr>
        <w:tc>
          <w:tcPr>
            <w:tcW w:w="3119" w:type="dxa"/>
          </w:tcPr>
          <w:p w:rsidR="009515FF" w:rsidRDefault="00B14AD4">
            <w:pPr>
              <w:pStyle w:val="nTable"/>
              <w:spacing w:after="40"/>
            </w:pPr>
            <w:r>
              <w:rPr>
                <w:i/>
              </w:rPr>
              <w:t>Ports and Harbours Amendment Regulations 1987</w:t>
            </w:r>
          </w:p>
        </w:tc>
        <w:tc>
          <w:tcPr>
            <w:tcW w:w="1276" w:type="dxa"/>
            <w:gridSpan w:val="2"/>
          </w:tcPr>
          <w:p w:rsidR="009515FF" w:rsidRDefault="00B14AD4">
            <w:pPr>
              <w:pStyle w:val="nTable"/>
              <w:spacing w:after="40"/>
            </w:pPr>
            <w:r>
              <w:t>23 Oct 1987 p. 3942</w:t>
            </w:r>
            <w:r>
              <w:noBreakHyphen/>
              <w:t>3</w:t>
            </w:r>
            <w:r>
              <w:br/>
              <w:t>(erratum 13 Nov 1987 p. 4146)</w:t>
            </w:r>
          </w:p>
        </w:tc>
        <w:tc>
          <w:tcPr>
            <w:tcW w:w="2693" w:type="dxa"/>
            <w:gridSpan w:val="2"/>
          </w:tcPr>
          <w:p w:rsidR="009515FF" w:rsidRDefault="00B14AD4">
            <w:pPr>
              <w:pStyle w:val="nTable"/>
              <w:spacing w:after="40"/>
            </w:pPr>
            <w:r>
              <w:t>23 Oct 1987</w:t>
            </w:r>
          </w:p>
        </w:tc>
      </w:tr>
      <w:tr w:rsidR="009515FF">
        <w:trPr>
          <w:cantSplit/>
        </w:trPr>
        <w:tc>
          <w:tcPr>
            <w:tcW w:w="3119" w:type="dxa"/>
          </w:tcPr>
          <w:p w:rsidR="009515FF" w:rsidRDefault="00B14AD4">
            <w:pPr>
              <w:pStyle w:val="nTable"/>
              <w:spacing w:after="40"/>
            </w:pPr>
            <w:r>
              <w:rPr>
                <w:i/>
              </w:rPr>
              <w:t>Ports and Harbours Amendment Regulations 1988</w:t>
            </w:r>
          </w:p>
        </w:tc>
        <w:tc>
          <w:tcPr>
            <w:tcW w:w="1276" w:type="dxa"/>
            <w:gridSpan w:val="2"/>
          </w:tcPr>
          <w:p w:rsidR="009515FF" w:rsidRDefault="00B14AD4">
            <w:pPr>
              <w:pStyle w:val="nTable"/>
              <w:spacing w:after="40"/>
            </w:pPr>
            <w:r>
              <w:t>12 Aug 1988 p. 2711</w:t>
            </w:r>
            <w:r>
              <w:noBreakHyphen/>
              <w:t>12</w:t>
            </w:r>
          </w:p>
        </w:tc>
        <w:tc>
          <w:tcPr>
            <w:tcW w:w="2693" w:type="dxa"/>
            <w:gridSpan w:val="2"/>
          </w:tcPr>
          <w:p w:rsidR="009515FF" w:rsidRDefault="00B14AD4">
            <w:pPr>
              <w:pStyle w:val="nTable"/>
              <w:spacing w:after="40"/>
            </w:pPr>
            <w:r>
              <w:t>12 Aug 1988</w:t>
            </w:r>
          </w:p>
        </w:tc>
      </w:tr>
      <w:tr w:rsidR="009515FF">
        <w:trPr>
          <w:cantSplit/>
        </w:trPr>
        <w:tc>
          <w:tcPr>
            <w:tcW w:w="3119" w:type="dxa"/>
          </w:tcPr>
          <w:p w:rsidR="009515FF" w:rsidRDefault="00B14AD4">
            <w:pPr>
              <w:pStyle w:val="nTable"/>
              <w:spacing w:after="40"/>
            </w:pPr>
            <w:r>
              <w:rPr>
                <w:i/>
              </w:rPr>
              <w:t>Ports and Harbours Amendment Regulations 1989</w:t>
            </w:r>
          </w:p>
        </w:tc>
        <w:tc>
          <w:tcPr>
            <w:tcW w:w="1276" w:type="dxa"/>
            <w:gridSpan w:val="2"/>
          </w:tcPr>
          <w:p w:rsidR="009515FF" w:rsidRDefault="00B14AD4">
            <w:pPr>
              <w:pStyle w:val="nTable"/>
              <w:spacing w:after="40"/>
            </w:pPr>
            <w:r>
              <w:t>30 Jun 1989 p. 1920</w:t>
            </w:r>
            <w:r>
              <w:noBreakHyphen/>
              <w:t>4</w:t>
            </w:r>
          </w:p>
        </w:tc>
        <w:tc>
          <w:tcPr>
            <w:tcW w:w="2693" w:type="dxa"/>
            <w:gridSpan w:val="2"/>
          </w:tcPr>
          <w:p w:rsidR="009515FF" w:rsidRDefault="00B14AD4">
            <w:pPr>
              <w:pStyle w:val="nTable"/>
              <w:spacing w:after="40"/>
            </w:pPr>
            <w:r>
              <w:t>1 Jul 1989 (see r. 2)</w:t>
            </w:r>
          </w:p>
        </w:tc>
      </w:tr>
      <w:tr w:rsidR="009515FF">
        <w:trPr>
          <w:cantSplit/>
        </w:trPr>
        <w:tc>
          <w:tcPr>
            <w:tcW w:w="3119" w:type="dxa"/>
          </w:tcPr>
          <w:p w:rsidR="009515FF" w:rsidRDefault="00B14AD4">
            <w:pPr>
              <w:pStyle w:val="nTable"/>
              <w:spacing w:after="40"/>
            </w:pPr>
            <w:r>
              <w:rPr>
                <w:i/>
              </w:rPr>
              <w:t>Ports and Harbours Amendment Regulations (No. 2) 1989</w:t>
            </w:r>
          </w:p>
        </w:tc>
        <w:tc>
          <w:tcPr>
            <w:tcW w:w="1276" w:type="dxa"/>
            <w:gridSpan w:val="2"/>
          </w:tcPr>
          <w:p w:rsidR="009515FF" w:rsidRDefault="00B14AD4">
            <w:pPr>
              <w:pStyle w:val="nTable"/>
              <w:spacing w:after="40"/>
            </w:pPr>
            <w:r>
              <w:t>27 Oct 1989 p. 3890</w:t>
            </w:r>
          </w:p>
        </w:tc>
        <w:tc>
          <w:tcPr>
            <w:tcW w:w="2693" w:type="dxa"/>
            <w:gridSpan w:val="2"/>
          </w:tcPr>
          <w:p w:rsidR="009515FF" w:rsidRDefault="00B14AD4">
            <w:pPr>
              <w:pStyle w:val="nTable"/>
              <w:spacing w:after="40"/>
            </w:pPr>
            <w:r>
              <w:t>27 Oct 1989</w:t>
            </w:r>
          </w:p>
        </w:tc>
      </w:tr>
      <w:tr w:rsidR="009515FF">
        <w:trPr>
          <w:cantSplit/>
        </w:trPr>
        <w:tc>
          <w:tcPr>
            <w:tcW w:w="3119" w:type="dxa"/>
          </w:tcPr>
          <w:p w:rsidR="009515FF" w:rsidRDefault="00B14AD4">
            <w:pPr>
              <w:pStyle w:val="nTable"/>
              <w:spacing w:after="40"/>
            </w:pPr>
            <w:r>
              <w:rPr>
                <w:i/>
              </w:rPr>
              <w:t>Ports and Harbours Amendment Regulations (No. 2) 1990</w:t>
            </w:r>
          </w:p>
        </w:tc>
        <w:tc>
          <w:tcPr>
            <w:tcW w:w="1276" w:type="dxa"/>
            <w:gridSpan w:val="2"/>
          </w:tcPr>
          <w:p w:rsidR="009515FF" w:rsidRDefault="00B14AD4">
            <w:pPr>
              <w:pStyle w:val="nTable"/>
              <w:spacing w:after="40"/>
            </w:pPr>
            <w:r>
              <w:t>1 Aug 1990 p. 3641</w:t>
            </w:r>
            <w:r>
              <w:noBreakHyphen/>
              <w:t>3</w:t>
            </w:r>
          </w:p>
        </w:tc>
        <w:tc>
          <w:tcPr>
            <w:tcW w:w="2693" w:type="dxa"/>
            <w:gridSpan w:val="2"/>
          </w:tcPr>
          <w:p w:rsidR="009515FF" w:rsidRDefault="00B14AD4">
            <w:pPr>
              <w:pStyle w:val="nTable"/>
              <w:spacing w:after="40"/>
            </w:pPr>
            <w:r>
              <w:t>1 Aug 1990 (see r. 2)</w:t>
            </w:r>
          </w:p>
        </w:tc>
      </w:tr>
      <w:tr w:rsidR="009515FF">
        <w:trPr>
          <w:cantSplit/>
        </w:trPr>
        <w:tc>
          <w:tcPr>
            <w:tcW w:w="3119" w:type="dxa"/>
          </w:tcPr>
          <w:p w:rsidR="009515FF" w:rsidRDefault="00B14AD4">
            <w:pPr>
              <w:pStyle w:val="nTable"/>
              <w:spacing w:after="40"/>
            </w:pPr>
            <w:r>
              <w:rPr>
                <w:i/>
              </w:rPr>
              <w:t>Ports and Harbours Amendment Regulations 1991</w:t>
            </w:r>
          </w:p>
        </w:tc>
        <w:tc>
          <w:tcPr>
            <w:tcW w:w="1276" w:type="dxa"/>
            <w:gridSpan w:val="2"/>
          </w:tcPr>
          <w:p w:rsidR="009515FF" w:rsidRDefault="00B14AD4">
            <w:pPr>
              <w:pStyle w:val="nTable"/>
              <w:spacing w:after="40"/>
            </w:pPr>
            <w:r>
              <w:t>19 Jul 1991 p. 3644</w:t>
            </w:r>
            <w:r>
              <w:noBreakHyphen/>
              <w:t>9</w:t>
            </w:r>
          </w:p>
        </w:tc>
        <w:tc>
          <w:tcPr>
            <w:tcW w:w="2693" w:type="dxa"/>
            <w:gridSpan w:val="2"/>
          </w:tcPr>
          <w:p w:rsidR="009515FF" w:rsidRDefault="00B14AD4">
            <w:pPr>
              <w:pStyle w:val="nTable"/>
              <w:spacing w:after="40"/>
            </w:pPr>
            <w:r>
              <w:t>19 Jul 1991</w:t>
            </w:r>
          </w:p>
        </w:tc>
      </w:tr>
      <w:tr w:rsidR="009515FF">
        <w:trPr>
          <w:cantSplit/>
        </w:trPr>
        <w:tc>
          <w:tcPr>
            <w:tcW w:w="3119" w:type="dxa"/>
          </w:tcPr>
          <w:p w:rsidR="009515FF" w:rsidRDefault="00B14AD4">
            <w:pPr>
              <w:pStyle w:val="nTable"/>
              <w:spacing w:after="40"/>
            </w:pPr>
            <w:r>
              <w:rPr>
                <w:i/>
              </w:rPr>
              <w:t>Ports and Harbours Amendment Regulations (No. 2) 1991</w:t>
            </w:r>
          </w:p>
        </w:tc>
        <w:tc>
          <w:tcPr>
            <w:tcW w:w="1276" w:type="dxa"/>
            <w:gridSpan w:val="2"/>
          </w:tcPr>
          <w:p w:rsidR="009515FF" w:rsidRDefault="00B14AD4">
            <w:pPr>
              <w:pStyle w:val="nTable"/>
              <w:spacing w:after="40"/>
            </w:pPr>
            <w:r>
              <w:t>26 Jul 1991 p. 3925</w:t>
            </w:r>
            <w:r>
              <w:noBreakHyphen/>
              <w:t>8</w:t>
            </w:r>
          </w:p>
        </w:tc>
        <w:tc>
          <w:tcPr>
            <w:tcW w:w="2693" w:type="dxa"/>
            <w:gridSpan w:val="2"/>
          </w:tcPr>
          <w:p w:rsidR="009515FF" w:rsidRDefault="00B14AD4">
            <w:pPr>
              <w:pStyle w:val="nTable"/>
              <w:spacing w:after="40"/>
            </w:pPr>
            <w:r>
              <w:t>1 Aug 1991 (see r. 2)</w:t>
            </w:r>
          </w:p>
        </w:tc>
      </w:tr>
      <w:tr w:rsidR="009515FF">
        <w:trPr>
          <w:cantSplit/>
        </w:trPr>
        <w:tc>
          <w:tcPr>
            <w:tcW w:w="3119" w:type="dxa"/>
          </w:tcPr>
          <w:p w:rsidR="009515FF" w:rsidRDefault="00B14AD4">
            <w:pPr>
              <w:pStyle w:val="nTable"/>
              <w:spacing w:after="40"/>
            </w:pPr>
            <w:r>
              <w:rPr>
                <w:i/>
              </w:rPr>
              <w:t>Ports and Harbours Amendment Regulations 1992</w:t>
            </w:r>
          </w:p>
        </w:tc>
        <w:tc>
          <w:tcPr>
            <w:tcW w:w="1276" w:type="dxa"/>
            <w:gridSpan w:val="2"/>
          </w:tcPr>
          <w:p w:rsidR="009515FF" w:rsidRDefault="00B14AD4">
            <w:pPr>
              <w:pStyle w:val="nTable"/>
              <w:spacing w:after="40"/>
            </w:pPr>
            <w:r>
              <w:t>9 Jun 1992 p. 2380</w:t>
            </w:r>
          </w:p>
        </w:tc>
        <w:tc>
          <w:tcPr>
            <w:tcW w:w="2693" w:type="dxa"/>
            <w:gridSpan w:val="2"/>
          </w:tcPr>
          <w:p w:rsidR="009515FF" w:rsidRDefault="00B14AD4">
            <w:pPr>
              <w:pStyle w:val="nTable"/>
              <w:spacing w:after="40"/>
            </w:pPr>
            <w:r>
              <w:t>9 Jun 1992</w:t>
            </w:r>
          </w:p>
        </w:tc>
      </w:tr>
      <w:tr w:rsidR="009515FF">
        <w:trPr>
          <w:cantSplit/>
        </w:trPr>
        <w:tc>
          <w:tcPr>
            <w:tcW w:w="3119" w:type="dxa"/>
          </w:tcPr>
          <w:p w:rsidR="009515FF" w:rsidRDefault="00B14AD4">
            <w:pPr>
              <w:pStyle w:val="nTable"/>
              <w:spacing w:after="40"/>
            </w:pPr>
            <w:r>
              <w:rPr>
                <w:i/>
              </w:rPr>
              <w:t>Ports and Harbours Amendment Regulations (No. 3) 1992</w:t>
            </w:r>
          </w:p>
        </w:tc>
        <w:tc>
          <w:tcPr>
            <w:tcW w:w="1276" w:type="dxa"/>
            <w:gridSpan w:val="2"/>
          </w:tcPr>
          <w:p w:rsidR="009515FF" w:rsidRDefault="00B14AD4">
            <w:pPr>
              <w:pStyle w:val="nTable"/>
              <w:spacing w:after="40"/>
            </w:pPr>
            <w:r>
              <w:t>30 Jun 1992 p. 2901</w:t>
            </w:r>
            <w:r>
              <w:noBreakHyphen/>
              <w:t>4</w:t>
            </w:r>
          </w:p>
        </w:tc>
        <w:tc>
          <w:tcPr>
            <w:tcW w:w="2693" w:type="dxa"/>
            <w:gridSpan w:val="2"/>
          </w:tcPr>
          <w:p w:rsidR="009515FF" w:rsidRDefault="00B14AD4">
            <w:pPr>
              <w:pStyle w:val="nTable"/>
              <w:spacing w:after="40"/>
            </w:pPr>
            <w:r>
              <w:t>1 Jul 1992 (see r. 2)</w:t>
            </w:r>
          </w:p>
        </w:tc>
      </w:tr>
      <w:tr w:rsidR="009515FF">
        <w:trPr>
          <w:cantSplit/>
        </w:trPr>
        <w:tc>
          <w:tcPr>
            <w:tcW w:w="3119" w:type="dxa"/>
          </w:tcPr>
          <w:p w:rsidR="009515FF" w:rsidRDefault="00B14AD4">
            <w:pPr>
              <w:pStyle w:val="nTable"/>
              <w:spacing w:after="40"/>
            </w:pPr>
            <w:r>
              <w:rPr>
                <w:i/>
              </w:rPr>
              <w:t>Ports and Harbours Amendment Regulations (No. 2) 1992</w:t>
            </w:r>
          </w:p>
        </w:tc>
        <w:tc>
          <w:tcPr>
            <w:tcW w:w="1276" w:type="dxa"/>
            <w:gridSpan w:val="2"/>
          </w:tcPr>
          <w:p w:rsidR="009515FF" w:rsidRDefault="00B14AD4">
            <w:pPr>
              <w:pStyle w:val="nTable"/>
              <w:spacing w:after="40"/>
            </w:pPr>
            <w:r>
              <w:t>11 Aug 1992 p. 3974</w:t>
            </w:r>
            <w:r>
              <w:noBreakHyphen/>
              <w:t>5</w:t>
            </w:r>
          </w:p>
        </w:tc>
        <w:tc>
          <w:tcPr>
            <w:tcW w:w="2693" w:type="dxa"/>
            <w:gridSpan w:val="2"/>
          </w:tcPr>
          <w:p w:rsidR="009515FF" w:rsidRDefault="00B14AD4">
            <w:pPr>
              <w:pStyle w:val="nTable"/>
              <w:spacing w:after="40"/>
            </w:pPr>
            <w:r>
              <w:t>11 Aug 1992</w:t>
            </w:r>
          </w:p>
        </w:tc>
      </w:tr>
      <w:tr w:rsidR="009515FF">
        <w:trPr>
          <w:cantSplit/>
        </w:trPr>
        <w:tc>
          <w:tcPr>
            <w:tcW w:w="3119" w:type="dxa"/>
          </w:tcPr>
          <w:p w:rsidR="009515FF" w:rsidRDefault="00B14AD4">
            <w:pPr>
              <w:pStyle w:val="nTable"/>
              <w:spacing w:after="40"/>
            </w:pPr>
            <w:r>
              <w:rPr>
                <w:i/>
              </w:rPr>
              <w:t>Ports and Harbours Amendment Regulations 1993</w:t>
            </w:r>
          </w:p>
        </w:tc>
        <w:tc>
          <w:tcPr>
            <w:tcW w:w="1276" w:type="dxa"/>
            <w:gridSpan w:val="2"/>
          </w:tcPr>
          <w:p w:rsidR="009515FF" w:rsidRDefault="00B14AD4">
            <w:pPr>
              <w:pStyle w:val="nTable"/>
              <w:spacing w:after="40"/>
            </w:pPr>
            <w:r>
              <w:t>29 Jun 1993 p. 3181</w:t>
            </w:r>
            <w:r>
              <w:noBreakHyphen/>
              <w:t>4</w:t>
            </w:r>
          </w:p>
        </w:tc>
        <w:tc>
          <w:tcPr>
            <w:tcW w:w="2693" w:type="dxa"/>
            <w:gridSpan w:val="2"/>
          </w:tcPr>
          <w:p w:rsidR="009515FF" w:rsidRDefault="00B14AD4">
            <w:pPr>
              <w:pStyle w:val="nTable"/>
              <w:spacing w:after="40"/>
            </w:pPr>
            <w:r>
              <w:t>1 Jul 1993 (see r. 2)</w:t>
            </w:r>
          </w:p>
        </w:tc>
      </w:tr>
      <w:tr w:rsidR="009515FF">
        <w:trPr>
          <w:cantSplit/>
        </w:trPr>
        <w:tc>
          <w:tcPr>
            <w:tcW w:w="3119" w:type="dxa"/>
          </w:tcPr>
          <w:p w:rsidR="009515FF" w:rsidRDefault="00B14AD4">
            <w:pPr>
              <w:pStyle w:val="nTable"/>
              <w:spacing w:after="40"/>
            </w:pPr>
            <w:r>
              <w:rPr>
                <w:i/>
              </w:rPr>
              <w:t>Ports and Harbours Amendment Regulations (No. 2) 1993</w:t>
            </w:r>
          </w:p>
        </w:tc>
        <w:tc>
          <w:tcPr>
            <w:tcW w:w="1276" w:type="dxa"/>
            <w:gridSpan w:val="2"/>
          </w:tcPr>
          <w:p w:rsidR="009515FF" w:rsidRDefault="00B14AD4">
            <w:pPr>
              <w:pStyle w:val="nTable"/>
              <w:spacing w:after="40"/>
            </w:pPr>
            <w:r>
              <w:t>6 Aug 1993 p. 4276</w:t>
            </w:r>
          </w:p>
        </w:tc>
        <w:tc>
          <w:tcPr>
            <w:tcW w:w="2693" w:type="dxa"/>
            <w:gridSpan w:val="2"/>
          </w:tcPr>
          <w:p w:rsidR="009515FF" w:rsidRDefault="00B14AD4">
            <w:pPr>
              <w:pStyle w:val="nTable"/>
              <w:spacing w:after="40"/>
            </w:pPr>
            <w:r>
              <w:t>6 Aug 1993</w:t>
            </w:r>
          </w:p>
        </w:tc>
      </w:tr>
      <w:tr w:rsidR="009515FF">
        <w:trPr>
          <w:cantSplit/>
        </w:trPr>
        <w:tc>
          <w:tcPr>
            <w:tcW w:w="3119" w:type="dxa"/>
          </w:tcPr>
          <w:p w:rsidR="009515FF" w:rsidRDefault="00B14AD4">
            <w:pPr>
              <w:pStyle w:val="nTable"/>
              <w:spacing w:after="40"/>
            </w:pPr>
            <w:r>
              <w:rPr>
                <w:i/>
              </w:rPr>
              <w:t>Ports and Harbours Amendment Regulations (No. 3) 1993</w:t>
            </w:r>
          </w:p>
        </w:tc>
        <w:tc>
          <w:tcPr>
            <w:tcW w:w="1276" w:type="dxa"/>
            <w:gridSpan w:val="2"/>
          </w:tcPr>
          <w:p w:rsidR="009515FF" w:rsidRDefault="00B14AD4">
            <w:pPr>
              <w:pStyle w:val="nTable"/>
              <w:spacing w:after="40"/>
            </w:pPr>
            <w:r>
              <w:t>31 Dec 1993 p. 6915</w:t>
            </w:r>
          </w:p>
        </w:tc>
        <w:tc>
          <w:tcPr>
            <w:tcW w:w="2693" w:type="dxa"/>
            <w:gridSpan w:val="2"/>
          </w:tcPr>
          <w:p w:rsidR="009515FF" w:rsidRDefault="00B14AD4">
            <w:pPr>
              <w:pStyle w:val="nTable"/>
              <w:spacing w:after="40"/>
            </w:pPr>
            <w:r>
              <w:t>1 Jan 1994 (see r. 2)</w:t>
            </w:r>
          </w:p>
        </w:tc>
      </w:tr>
      <w:tr w:rsidR="009515FF">
        <w:trPr>
          <w:cantSplit/>
        </w:trPr>
        <w:tc>
          <w:tcPr>
            <w:tcW w:w="3119" w:type="dxa"/>
          </w:tcPr>
          <w:p w:rsidR="009515FF" w:rsidRDefault="00B14AD4">
            <w:pPr>
              <w:pStyle w:val="nTable"/>
              <w:spacing w:after="40"/>
            </w:pPr>
            <w:r>
              <w:rPr>
                <w:i/>
              </w:rPr>
              <w:t>Ports and Harbours Amendment Regulations 1994</w:t>
            </w:r>
          </w:p>
        </w:tc>
        <w:tc>
          <w:tcPr>
            <w:tcW w:w="1276" w:type="dxa"/>
            <w:gridSpan w:val="2"/>
          </w:tcPr>
          <w:p w:rsidR="009515FF" w:rsidRDefault="00B14AD4">
            <w:pPr>
              <w:pStyle w:val="nTable"/>
              <w:spacing w:after="40"/>
            </w:pPr>
            <w:r>
              <w:t>14 Jun 1994 p. 2483</w:t>
            </w:r>
            <w:r>
              <w:noBreakHyphen/>
              <w:t>5</w:t>
            </w:r>
          </w:p>
        </w:tc>
        <w:tc>
          <w:tcPr>
            <w:tcW w:w="2693" w:type="dxa"/>
            <w:gridSpan w:val="2"/>
          </w:tcPr>
          <w:p w:rsidR="009515FF" w:rsidRDefault="00B14AD4">
            <w:pPr>
              <w:pStyle w:val="nTable"/>
              <w:spacing w:after="40"/>
            </w:pPr>
            <w:r>
              <w:t>1 Jul 1994 (see r. 2)</w:t>
            </w:r>
          </w:p>
        </w:tc>
      </w:tr>
      <w:tr w:rsidR="009515FF">
        <w:trPr>
          <w:cantSplit/>
        </w:trPr>
        <w:tc>
          <w:tcPr>
            <w:tcW w:w="3119" w:type="dxa"/>
          </w:tcPr>
          <w:p w:rsidR="009515FF" w:rsidRDefault="00B14AD4">
            <w:pPr>
              <w:pStyle w:val="nTable"/>
              <w:spacing w:after="40"/>
            </w:pPr>
            <w:r>
              <w:rPr>
                <w:i/>
              </w:rPr>
              <w:t>Ports and Harbours Amendment Regulations 1995</w:t>
            </w:r>
          </w:p>
        </w:tc>
        <w:tc>
          <w:tcPr>
            <w:tcW w:w="1276" w:type="dxa"/>
            <w:gridSpan w:val="2"/>
          </w:tcPr>
          <w:p w:rsidR="009515FF" w:rsidRDefault="00B14AD4">
            <w:pPr>
              <w:pStyle w:val="nTable"/>
              <w:spacing w:after="40"/>
            </w:pPr>
            <w:r>
              <w:t>31 Mar 1995 p. 1175</w:t>
            </w:r>
          </w:p>
        </w:tc>
        <w:tc>
          <w:tcPr>
            <w:tcW w:w="2693" w:type="dxa"/>
            <w:gridSpan w:val="2"/>
          </w:tcPr>
          <w:p w:rsidR="009515FF" w:rsidRDefault="00B14AD4">
            <w:pPr>
              <w:pStyle w:val="nTable"/>
              <w:spacing w:after="40"/>
            </w:pPr>
            <w:r>
              <w:t xml:space="preserve">1 Apr 1995 (see r. 2 and </w:t>
            </w:r>
            <w:r>
              <w:rPr>
                <w:i/>
              </w:rPr>
              <w:t>Gazette</w:t>
            </w:r>
            <w:r>
              <w:t xml:space="preserve"> 31 Mar 1995 p. 1173</w:t>
            </w:r>
            <w:r>
              <w:noBreakHyphen/>
              <w:t>4)</w:t>
            </w:r>
          </w:p>
        </w:tc>
      </w:tr>
      <w:tr w:rsidR="009515FF">
        <w:trPr>
          <w:cantSplit/>
        </w:trPr>
        <w:tc>
          <w:tcPr>
            <w:tcW w:w="3119" w:type="dxa"/>
          </w:tcPr>
          <w:p w:rsidR="009515FF" w:rsidRDefault="00B14AD4">
            <w:pPr>
              <w:pStyle w:val="nTable"/>
              <w:spacing w:after="40"/>
            </w:pPr>
            <w:r>
              <w:rPr>
                <w:i/>
              </w:rPr>
              <w:lastRenderedPageBreak/>
              <w:t>Ports and Harbours Amendment Regulations (No. 2) 1995</w:t>
            </w:r>
          </w:p>
        </w:tc>
        <w:tc>
          <w:tcPr>
            <w:tcW w:w="1276" w:type="dxa"/>
            <w:gridSpan w:val="2"/>
          </w:tcPr>
          <w:p w:rsidR="009515FF" w:rsidRDefault="00B14AD4">
            <w:pPr>
              <w:pStyle w:val="nTable"/>
              <w:spacing w:after="40"/>
            </w:pPr>
            <w:r>
              <w:t>30 Jun 1995 p. 2692</w:t>
            </w:r>
            <w:r>
              <w:noBreakHyphen/>
              <w:t>4</w:t>
            </w:r>
          </w:p>
        </w:tc>
        <w:tc>
          <w:tcPr>
            <w:tcW w:w="2693" w:type="dxa"/>
            <w:gridSpan w:val="2"/>
          </w:tcPr>
          <w:p w:rsidR="009515FF" w:rsidRDefault="00B14AD4">
            <w:pPr>
              <w:pStyle w:val="nTable"/>
              <w:spacing w:after="40"/>
            </w:pPr>
            <w:r>
              <w:t>1 Jul 1995 (see r. 2)</w:t>
            </w:r>
          </w:p>
        </w:tc>
      </w:tr>
      <w:tr w:rsidR="009515FF">
        <w:trPr>
          <w:cantSplit/>
        </w:trPr>
        <w:tc>
          <w:tcPr>
            <w:tcW w:w="3119" w:type="dxa"/>
          </w:tcPr>
          <w:p w:rsidR="009515FF" w:rsidRDefault="00B14AD4">
            <w:pPr>
              <w:pStyle w:val="nTable"/>
              <w:spacing w:after="40"/>
            </w:pPr>
            <w:r>
              <w:rPr>
                <w:i/>
              </w:rPr>
              <w:t>Ports and Harbours Amendment Regulations 1996</w:t>
            </w:r>
          </w:p>
        </w:tc>
        <w:tc>
          <w:tcPr>
            <w:tcW w:w="1276" w:type="dxa"/>
            <w:gridSpan w:val="2"/>
          </w:tcPr>
          <w:p w:rsidR="009515FF" w:rsidRDefault="00B14AD4">
            <w:pPr>
              <w:pStyle w:val="nTable"/>
              <w:spacing w:after="40"/>
            </w:pPr>
            <w:r>
              <w:t>25 Jun 1996 p. 2993</w:t>
            </w:r>
            <w:r>
              <w:noBreakHyphen/>
              <w:t>5</w:t>
            </w:r>
          </w:p>
        </w:tc>
        <w:tc>
          <w:tcPr>
            <w:tcW w:w="2693" w:type="dxa"/>
            <w:gridSpan w:val="2"/>
          </w:tcPr>
          <w:p w:rsidR="009515FF" w:rsidRDefault="00B14AD4">
            <w:pPr>
              <w:pStyle w:val="nTable"/>
              <w:spacing w:after="40"/>
            </w:pPr>
            <w:r>
              <w:t>1 Jul 1996 (see r. 2)</w:t>
            </w:r>
          </w:p>
        </w:tc>
      </w:tr>
      <w:tr w:rsidR="009515FF">
        <w:trPr>
          <w:cantSplit/>
        </w:trPr>
        <w:tc>
          <w:tcPr>
            <w:tcW w:w="3119" w:type="dxa"/>
          </w:tcPr>
          <w:p w:rsidR="009515FF" w:rsidRDefault="00B14AD4">
            <w:pPr>
              <w:pStyle w:val="nTable"/>
              <w:spacing w:after="40"/>
            </w:pPr>
            <w:r>
              <w:rPr>
                <w:i/>
              </w:rPr>
              <w:t>Ports and Harbours Amendment Regulations 1997</w:t>
            </w:r>
          </w:p>
        </w:tc>
        <w:tc>
          <w:tcPr>
            <w:tcW w:w="1276" w:type="dxa"/>
            <w:gridSpan w:val="2"/>
          </w:tcPr>
          <w:p w:rsidR="009515FF" w:rsidRDefault="00B14AD4">
            <w:pPr>
              <w:pStyle w:val="nTable"/>
              <w:spacing w:after="40"/>
            </w:pPr>
            <w:r>
              <w:t>27 Jun 1997 p. 3148</w:t>
            </w:r>
            <w:r>
              <w:noBreakHyphen/>
              <w:t>50</w:t>
            </w:r>
          </w:p>
        </w:tc>
        <w:tc>
          <w:tcPr>
            <w:tcW w:w="2693" w:type="dxa"/>
            <w:gridSpan w:val="2"/>
          </w:tcPr>
          <w:p w:rsidR="009515FF" w:rsidRDefault="00B14AD4">
            <w:pPr>
              <w:pStyle w:val="nTable"/>
              <w:spacing w:after="40"/>
            </w:pPr>
            <w:r>
              <w:t>1 Jul 1997 (see r. 2)</w:t>
            </w:r>
          </w:p>
        </w:tc>
      </w:tr>
      <w:tr w:rsidR="009515FF">
        <w:trPr>
          <w:cantSplit/>
        </w:trPr>
        <w:tc>
          <w:tcPr>
            <w:tcW w:w="3119" w:type="dxa"/>
          </w:tcPr>
          <w:p w:rsidR="009515FF" w:rsidRDefault="00B14AD4">
            <w:pPr>
              <w:pStyle w:val="nTable"/>
              <w:spacing w:after="40"/>
              <w:rPr>
                <w:i/>
              </w:rPr>
            </w:pPr>
            <w:r>
              <w:rPr>
                <w:i/>
              </w:rPr>
              <w:t>Ports and Harbours Amendment Regulations 1998</w:t>
            </w:r>
          </w:p>
        </w:tc>
        <w:tc>
          <w:tcPr>
            <w:tcW w:w="1276" w:type="dxa"/>
            <w:gridSpan w:val="2"/>
          </w:tcPr>
          <w:p w:rsidR="009515FF" w:rsidRDefault="00B14AD4">
            <w:pPr>
              <w:pStyle w:val="nTable"/>
              <w:spacing w:after="40"/>
            </w:pPr>
            <w:r>
              <w:t>12 May 1998 p. 2772</w:t>
            </w:r>
            <w:r>
              <w:noBreakHyphen/>
              <w:t>4</w:t>
            </w:r>
          </w:p>
        </w:tc>
        <w:tc>
          <w:tcPr>
            <w:tcW w:w="2693" w:type="dxa"/>
            <w:gridSpan w:val="2"/>
          </w:tcPr>
          <w:p w:rsidR="009515FF" w:rsidRDefault="00B14AD4">
            <w:pPr>
              <w:pStyle w:val="nTable"/>
              <w:spacing w:after="40"/>
            </w:pPr>
            <w:r>
              <w:t>1 Jul 1998 (see r. 2)</w:t>
            </w:r>
          </w:p>
        </w:tc>
      </w:tr>
      <w:tr w:rsidR="009515FF">
        <w:trPr>
          <w:cantSplit/>
        </w:trPr>
        <w:tc>
          <w:tcPr>
            <w:tcW w:w="3119" w:type="dxa"/>
          </w:tcPr>
          <w:p w:rsidR="009515FF" w:rsidRDefault="00B14AD4">
            <w:pPr>
              <w:pStyle w:val="nTable"/>
              <w:spacing w:after="40"/>
              <w:rPr>
                <w:i/>
              </w:rPr>
            </w:pPr>
            <w:r>
              <w:rPr>
                <w:i/>
              </w:rPr>
              <w:t>Ports and Harbours Amendment Regulations (No. 2) 1998</w:t>
            </w:r>
          </w:p>
        </w:tc>
        <w:tc>
          <w:tcPr>
            <w:tcW w:w="1276" w:type="dxa"/>
            <w:gridSpan w:val="2"/>
          </w:tcPr>
          <w:p w:rsidR="009515FF" w:rsidRDefault="00B14AD4">
            <w:pPr>
              <w:pStyle w:val="nTable"/>
              <w:spacing w:after="40"/>
            </w:pPr>
            <w:r>
              <w:t>20 Oct 1998 p. 5792</w:t>
            </w:r>
            <w:r>
              <w:noBreakHyphen/>
              <w:t>3</w:t>
            </w:r>
          </w:p>
        </w:tc>
        <w:tc>
          <w:tcPr>
            <w:tcW w:w="2693" w:type="dxa"/>
            <w:gridSpan w:val="2"/>
          </w:tcPr>
          <w:p w:rsidR="009515FF" w:rsidRDefault="00B14AD4">
            <w:pPr>
              <w:pStyle w:val="nTable"/>
              <w:spacing w:after="40"/>
            </w:pPr>
            <w:r>
              <w:t>20 Oct 1998</w:t>
            </w:r>
          </w:p>
        </w:tc>
      </w:tr>
      <w:tr w:rsidR="009515FF">
        <w:trPr>
          <w:cantSplit/>
        </w:trPr>
        <w:tc>
          <w:tcPr>
            <w:tcW w:w="3119" w:type="dxa"/>
          </w:tcPr>
          <w:p w:rsidR="009515FF" w:rsidRDefault="00B14AD4">
            <w:pPr>
              <w:pStyle w:val="nTable"/>
              <w:spacing w:after="40"/>
              <w:rPr>
                <w:i/>
              </w:rPr>
            </w:pPr>
            <w:r>
              <w:rPr>
                <w:i/>
              </w:rPr>
              <w:t>Ports and Harbours Amendment Regulations 1999</w:t>
            </w:r>
          </w:p>
        </w:tc>
        <w:tc>
          <w:tcPr>
            <w:tcW w:w="1276" w:type="dxa"/>
            <w:gridSpan w:val="2"/>
          </w:tcPr>
          <w:p w:rsidR="009515FF" w:rsidRDefault="00B14AD4">
            <w:pPr>
              <w:pStyle w:val="nTable"/>
              <w:spacing w:after="40"/>
            </w:pPr>
            <w:r>
              <w:t>22 Jun 1999 p. 2689</w:t>
            </w:r>
            <w:r>
              <w:noBreakHyphen/>
              <w:t>90</w:t>
            </w:r>
          </w:p>
        </w:tc>
        <w:tc>
          <w:tcPr>
            <w:tcW w:w="2693" w:type="dxa"/>
            <w:gridSpan w:val="2"/>
          </w:tcPr>
          <w:p w:rsidR="009515FF" w:rsidRDefault="00B14AD4">
            <w:pPr>
              <w:pStyle w:val="nTable"/>
              <w:spacing w:after="40"/>
            </w:pPr>
            <w:r>
              <w:t>1 Jul 1999 (see r. 2)</w:t>
            </w:r>
          </w:p>
        </w:tc>
      </w:tr>
      <w:tr w:rsidR="009515FF">
        <w:trPr>
          <w:cantSplit/>
        </w:trPr>
        <w:tc>
          <w:tcPr>
            <w:tcW w:w="3119" w:type="dxa"/>
          </w:tcPr>
          <w:p w:rsidR="009515FF" w:rsidRDefault="00B14AD4">
            <w:pPr>
              <w:pStyle w:val="nTable"/>
              <w:spacing w:after="40"/>
              <w:rPr>
                <w:i/>
              </w:rPr>
            </w:pPr>
            <w:r>
              <w:rPr>
                <w:i/>
              </w:rPr>
              <w:t>Ports and Harbours Amendment Regulations (No. 2) 1999</w:t>
            </w:r>
          </w:p>
        </w:tc>
        <w:tc>
          <w:tcPr>
            <w:tcW w:w="1276" w:type="dxa"/>
            <w:gridSpan w:val="2"/>
          </w:tcPr>
          <w:p w:rsidR="009515FF" w:rsidRDefault="00B14AD4">
            <w:pPr>
              <w:pStyle w:val="nTable"/>
              <w:spacing w:after="40"/>
            </w:pPr>
            <w:r>
              <w:t>6 Aug 1999 p. 3732</w:t>
            </w:r>
            <w:r>
              <w:noBreakHyphen/>
              <w:t>3</w:t>
            </w:r>
          </w:p>
        </w:tc>
        <w:tc>
          <w:tcPr>
            <w:tcW w:w="2693" w:type="dxa"/>
            <w:gridSpan w:val="2"/>
          </w:tcPr>
          <w:p w:rsidR="009515FF" w:rsidRDefault="00B14AD4">
            <w:pPr>
              <w:pStyle w:val="nTable"/>
              <w:spacing w:after="40"/>
            </w:pPr>
            <w:r>
              <w:t>30 Sep 1999 (see r. 2)</w:t>
            </w:r>
          </w:p>
        </w:tc>
      </w:tr>
      <w:tr w:rsidR="009515FF">
        <w:trPr>
          <w:cantSplit/>
        </w:trPr>
        <w:tc>
          <w:tcPr>
            <w:tcW w:w="3119" w:type="dxa"/>
          </w:tcPr>
          <w:p w:rsidR="009515FF" w:rsidRDefault="00B14AD4">
            <w:pPr>
              <w:pStyle w:val="nTable"/>
              <w:spacing w:after="40"/>
              <w:rPr>
                <w:i/>
              </w:rPr>
            </w:pPr>
            <w:r>
              <w:rPr>
                <w:i/>
              </w:rPr>
              <w:t>Ports and Harbours Amendment Regulations 2000</w:t>
            </w:r>
          </w:p>
        </w:tc>
        <w:tc>
          <w:tcPr>
            <w:tcW w:w="1276" w:type="dxa"/>
            <w:gridSpan w:val="2"/>
          </w:tcPr>
          <w:p w:rsidR="009515FF" w:rsidRDefault="00B14AD4">
            <w:pPr>
              <w:pStyle w:val="nTable"/>
              <w:spacing w:after="40"/>
            </w:pPr>
            <w:r>
              <w:t>20 Jun 2000 p. 3040</w:t>
            </w:r>
            <w:r>
              <w:noBreakHyphen/>
              <w:t>3</w:t>
            </w:r>
          </w:p>
        </w:tc>
        <w:tc>
          <w:tcPr>
            <w:tcW w:w="2693" w:type="dxa"/>
            <w:gridSpan w:val="2"/>
          </w:tcPr>
          <w:p w:rsidR="009515FF" w:rsidRDefault="00B14AD4">
            <w:pPr>
              <w:pStyle w:val="nTable"/>
              <w:spacing w:after="40"/>
            </w:pPr>
            <w:r>
              <w:t>1 Jul 2000 (see r. 2)</w:t>
            </w:r>
          </w:p>
        </w:tc>
      </w:tr>
      <w:tr w:rsidR="009515FF">
        <w:trPr>
          <w:cantSplit/>
        </w:trPr>
        <w:tc>
          <w:tcPr>
            <w:tcW w:w="3119" w:type="dxa"/>
          </w:tcPr>
          <w:p w:rsidR="009515FF" w:rsidRDefault="00B14AD4">
            <w:pPr>
              <w:pStyle w:val="nTable"/>
              <w:spacing w:after="40"/>
              <w:rPr>
                <w:i/>
              </w:rPr>
            </w:pPr>
            <w:r>
              <w:rPr>
                <w:i/>
              </w:rPr>
              <w:t>Ports and Harbours Amendment Regulations 2001</w:t>
            </w:r>
          </w:p>
        </w:tc>
        <w:tc>
          <w:tcPr>
            <w:tcW w:w="1276" w:type="dxa"/>
            <w:gridSpan w:val="2"/>
          </w:tcPr>
          <w:p w:rsidR="009515FF" w:rsidRDefault="00B14AD4">
            <w:pPr>
              <w:pStyle w:val="nTable"/>
              <w:spacing w:after="40"/>
            </w:pPr>
            <w:r>
              <w:t>27 Jul 2001</w:t>
            </w:r>
            <w:r>
              <w:br/>
              <w:t>p. 3802</w:t>
            </w:r>
            <w:r>
              <w:noBreakHyphen/>
              <w:t>3</w:t>
            </w:r>
          </w:p>
        </w:tc>
        <w:tc>
          <w:tcPr>
            <w:tcW w:w="2693" w:type="dxa"/>
            <w:gridSpan w:val="2"/>
          </w:tcPr>
          <w:p w:rsidR="009515FF" w:rsidRDefault="00B14AD4">
            <w:pPr>
              <w:pStyle w:val="nTable"/>
              <w:spacing w:after="40"/>
            </w:pPr>
            <w:r>
              <w:t>1 Aug 2001 (see r. 2)</w:t>
            </w:r>
          </w:p>
        </w:tc>
      </w:tr>
      <w:tr w:rsidR="009515FF">
        <w:trPr>
          <w:cantSplit/>
        </w:trPr>
        <w:tc>
          <w:tcPr>
            <w:tcW w:w="3119" w:type="dxa"/>
          </w:tcPr>
          <w:p w:rsidR="009515FF" w:rsidRDefault="00B14AD4">
            <w:pPr>
              <w:pStyle w:val="nTable"/>
              <w:spacing w:after="40"/>
              <w:rPr>
                <w:i/>
              </w:rPr>
            </w:pPr>
            <w:r>
              <w:rPr>
                <w:i/>
              </w:rPr>
              <w:t>Ports and Harbours Amendment Regulations 2002</w:t>
            </w:r>
          </w:p>
        </w:tc>
        <w:tc>
          <w:tcPr>
            <w:tcW w:w="1276" w:type="dxa"/>
            <w:gridSpan w:val="2"/>
          </w:tcPr>
          <w:p w:rsidR="009515FF" w:rsidRDefault="00B14AD4">
            <w:pPr>
              <w:pStyle w:val="nTable"/>
              <w:spacing w:after="40"/>
            </w:pPr>
            <w:r>
              <w:t>14 Jun 2002 p. 2320</w:t>
            </w:r>
            <w:r>
              <w:noBreakHyphen/>
              <w:t>3</w:t>
            </w:r>
          </w:p>
        </w:tc>
        <w:tc>
          <w:tcPr>
            <w:tcW w:w="2693" w:type="dxa"/>
            <w:gridSpan w:val="2"/>
          </w:tcPr>
          <w:p w:rsidR="009515FF" w:rsidRDefault="00B14AD4">
            <w:pPr>
              <w:pStyle w:val="nTable"/>
              <w:spacing w:after="40"/>
            </w:pPr>
            <w:r>
              <w:t>1 Jul 2002 (see r. 2)</w:t>
            </w:r>
          </w:p>
        </w:tc>
      </w:tr>
      <w:tr w:rsidR="009515FF">
        <w:trPr>
          <w:cantSplit/>
        </w:trPr>
        <w:tc>
          <w:tcPr>
            <w:tcW w:w="3119" w:type="dxa"/>
          </w:tcPr>
          <w:p w:rsidR="009515FF" w:rsidRDefault="00B14AD4">
            <w:pPr>
              <w:pStyle w:val="nTable"/>
              <w:spacing w:after="40"/>
              <w:rPr>
                <w:i/>
              </w:rPr>
            </w:pPr>
            <w:r>
              <w:rPr>
                <w:i/>
              </w:rPr>
              <w:t>Ports and Harbours Amendment Regulations 2003</w:t>
            </w:r>
          </w:p>
        </w:tc>
        <w:tc>
          <w:tcPr>
            <w:tcW w:w="1276" w:type="dxa"/>
            <w:gridSpan w:val="2"/>
          </w:tcPr>
          <w:p w:rsidR="009515FF" w:rsidRDefault="00B14AD4">
            <w:pPr>
              <w:pStyle w:val="nTable"/>
              <w:spacing w:after="40"/>
            </w:pPr>
            <w:r>
              <w:t>27 Jun 2003 p. 2521</w:t>
            </w:r>
            <w:r>
              <w:noBreakHyphen/>
              <w:t>5</w:t>
            </w:r>
          </w:p>
        </w:tc>
        <w:tc>
          <w:tcPr>
            <w:tcW w:w="2693" w:type="dxa"/>
            <w:gridSpan w:val="2"/>
          </w:tcPr>
          <w:p w:rsidR="009515FF" w:rsidRDefault="00B14AD4">
            <w:pPr>
              <w:pStyle w:val="nTable"/>
              <w:spacing w:after="40"/>
            </w:pPr>
            <w:r>
              <w:t>1 Jul 2003 (see r. 2)</w:t>
            </w:r>
          </w:p>
        </w:tc>
      </w:tr>
      <w:tr w:rsidR="009515FF">
        <w:trPr>
          <w:cantSplit/>
        </w:trPr>
        <w:tc>
          <w:tcPr>
            <w:tcW w:w="7088" w:type="dxa"/>
            <w:gridSpan w:val="5"/>
          </w:tcPr>
          <w:p w:rsidR="009515FF" w:rsidRDefault="00B14AD4">
            <w:pPr>
              <w:pStyle w:val="nTable"/>
              <w:spacing w:after="40"/>
            </w:pPr>
            <w:r>
              <w:rPr>
                <w:b/>
              </w:rPr>
              <w:t xml:space="preserve">Reprint 1: The </w:t>
            </w:r>
            <w:r>
              <w:rPr>
                <w:b/>
                <w:i/>
              </w:rPr>
              <w:t>Ports and Harbours Regulations</w:t>
            </w:r>
            <w:r>
              <w:rPr>
                <w:b/>
              </w:rPr>
              <w:t xml:space="preserve"> as at 1 Aug 2003 </w:t>
            </w:r>
            <w:r>
              <w:t>(includes amendments listed above)</w:t>
            </w:r>
          </w:p>
        </w:tc>
      </w:tr>
      <w:tr w:rsidR="009515FF">
        <w:trPr>
          <w:cantSplit/>
        </w:trPr>
        <w:tc>
          <w:tcPr>
            <w:tcW w:w="3119" w:type="dxa"/>
          </w:tcPr>
          <w:p w:rsidR="009515FF" w:rsidRDefault="00B14AD4">
            <w:pPr>
              <w:pStyle w:val="nTable"/>
              <w:spacing w:after="40"/>
              <w:rPr>
                <w:i/>
              </w:rPr>
            </w:pPr>
            <w:r>
              <w:rPr>
                <w:i/>
              </w:rPr>
              <w:t>Ports and Harbours Amendment Regulations 2004</w:t>
            </w:r>
          </w:p>
        </w:tc>
        <w:tc>
          <w:tcPr>
            <w:tcW w:w="1276" w:type="dxa"/>
            <w:gridSpan w:val="2"/>
          </w:tcPr>
          <w:p w:rsidR="009515FF" w:rsidRDefault="00B14AD4">
            <w:pPr>
              <w:pStyle w:val="nTable"/>
              <w:spacing w:after="40"/>
            </w:pPr>
            <w:r>
              <w:t>25 Jun 2004 p. 2265</w:t>
            </w:r>
            <w:r>
              <w:noBreakHyphen/>
              <w:t>9</w:t>
            </w:r>
          </w:p>
        </w:tc>
        <w:tc>
          <w:tcPr>
            <w:tcW w:w="2693" w:type="dxa"/>
            <w:gridSpan w:val="2"/>
          </w:tcPr>
          <w:p w:rsidR="009515FF" w:rsidRDefault="00B14AD4">
            <w:pPr>
              <w:pStyle w:val="nTable"/>
              <w:spacing w:after="40"/>
            </w:pPr>
            <w:r>
              <w:t>1 Jul 2004 (see r. 2)</w:t>
            </w:r>
          </w:p>
        </w:tc>
      </w:tr>
      <w:tr w:rsidR="009515FF">
        <w:trPr>
          <w:cantSplit/>
        </w:trPr>
        <w:tc>
          <w:tcPr>
            <w:tcW w:w="3119" w:type="dxa"/>
          </w:tcPr>
          <w:p w:rsidR="009515FF" w:rsidRDefault="00B14AD4">
            <w:pPr>
              <w:pStyle w:val="nTable"/>
              <w:spacing w:after="40"/>
              <w:rPr>
                <w:i/>
              </w:rPr>
            </w:pPr>
            <w:r>
              <w:rPr>
                <w:i/>
              </w:rPr>
              <w:t>Ports and Harbours Amendment Regulations 2005</w:t>
            </w:r>
          </w:p>
        </w:tc>
        <w:tc>
          <w:tcPr>
            <w:tcW w:w="1276" w:type="dxa"/>
            <w:gridSpan w:val="2"/>
          </w:tcPr>
          <w:p w:rsidR="009515FF" w:rsidRDefault="00B14AD4">
            <w:pPr>
              <w:pStyle w:val="nTable"/>
              <w:spacing w:after="40"/>
            </w:pPr>
            <w:r>
              <w:t>24 Jun 2005 p. 2773</w:t>
            </w:r>
            <w:r>
              <w:noBreakHyphen/>
              <w:t>7</w:t>
            </w:r>
          </w:p>
        </w:tc>
        <w:tc>
          <w:tcPr>
            <w:tcW w:w="2693" w:type="dxa"/>
            <w:gridSpan w:val="2"/>
          </w:tcPr>
          <w:p w:rsidR="009515FF" w:rsidRDefault="00B14AD4">
            <w:pPr>
              <w:pStyle w:val="nTable"/>
              <w:spacing w:after="40"/>
            </w:pPr>
            <w:r>
              <w:t>1 Jul 2005 (see r. 2)</w:t>
            </w:r>
          </w:p>
        </w:tc>
      </w:tr>
      <w:tr w:rsidR="009515FF">
        <w:trPr>
          <w:cantSplit/>
        </w:trPr>
        <w:tc>
          <w:tcPr>
            <w:tcW w:w="3119" w:type="dxa"/>
          </w:tcPr>
          <w:p w:rsidR="009515FF" w:rsidRDefault="00B14AD4">
            <w:pPr>
              <w:pStyle w:val="nTable"/>
              <w:spacing w:after="40"/>
              <w:rPr>
                <w:i/>
              </w:rPr>
            </w:pPr>
            <w:r>
              <w:rPr>
                <w:i/>
              </w:rPr>
              <w:t>Ports and Harbours Amendment Regulations 2006</w:t>
            </w:r>
          </w:p>
        </w:tc>
        <w:tc>
          <w:tcPr>
            <w:tcW w:w="1276" w:type="dxa"/>
            <w:gridSpan w:val="2"/>
          </w:tcPr>
          <w:p w:rsidR="009515FF" w:rsidRDefault="00B14AD4">
            <w:pPr>
              <w:pStyle w:val="nTable"/>
              <w:spacing w:after="40"/>
            </w:pPr>
            <w:r>
              <w:t>23 Jun 2006 p. 2208</w:t>
            </w:r>
            <w:r>
              <w:noBreakHyphen/>
              <w:t>11</w:t>
            </w:r>
          </w:p>
        </w:tc>
        <w:tc>
          <w:tcPr>
            <w:tcW w:w="2693" w:type="dxa"/>
            <w:gridSpan w:val="2"/>
          </w:tcPr>
          <w:p w:rsidR="009515FF" w:rsidRDefault="00B14AD4">
            <w:pPr>
              <w:pStyle w:val="nTable"/>
              <w:spacing w:after="40"/>
            </w:pPr>
            <w:r>
              <w:t>1 Jul 2006 (see r. 2)</w:t>
            </w:r>
          </w:p>
        </w:tc>
      </w:tr>
      <w:tr w:rsidR="009515FF">
        <w:trPr>
          <w:cantSplit/>
        </w:trPr>
        <w:tc>
          <w:tcPr>
            <w:tcW w:w="3119" w:type="dxa"/>
          </w:tcPr>
          <w:p w:rsidR="009515FF" w:rsidRDefault="00B14AD4">
            <w:pPr>
              <w:pStyle w:val="nTable"/>
              <w:spacing w:after="40"/>
              <w:rPr>
                <w:i/>
              </w:rPr>
            </w:pPr>
            <w:r>
              <w:rPr>
                <w:i/>
              </w:rPr>
              <w:t xml:space="preserve">Ports and Harbours Amendment Regulations 2007 </w:t>
            </w:r>
          </w:p>
        </w:tc>
        <w:tc>
          <w:tcPr>
            <w:tcW w:w="1276" w:type="dxa"/>
            <w:gridSpan w:val="2"/>
          </w:tcPr>
          <w:p w:rsidR="009515FF" w:rsidRDefault="00B14AD4">
            <w:pPr>
              <w:pStyle w:val="nTable"/>
              <w:spacing w:after="40"/>
            </w:pPr>
            <w:r>
              <w:t>12 Jun 2007 p. 2721</w:t>
            </w:r>
            <w:r>
              <w:noBreakHyphen/>
              <w:t>2</w:t>
            </w:r>
          </w:p>
        </w:tc>
        <w:tc>
          <w:tcPr>
            <w:tcW w:w="2693" w:type="dxa"/>
            <w:gridSpan w:val="2"/>
          </w:tcPr>
          <w:p w:rsidR="009515FF" w:rsidRDefault="00B14AD4">
            <w:pPr>
              <w:pStyle w:val="nTable"/>
              <w:spacing w:after="40"/>
            </w:pPr>
            <w:r>
              <w:t>1 Jul 2007 (see r. 2)</w:t>
            </w:r>
          </w:p>
        </w:tc>
      </w:tr>
      <w:tr w:rsidR="009515FF">
        <w:trPr>
          <w:cantSplit/>
        </w:trPr>
        <w:tc>
          <w:tcPr>
            <w:tcW w:w="3119" w:type="dxa"/>
          </w:tcPr>
          <w:p w:rsidR="009515FF" w:rsidRDefault="00B14AD4">
            <w:pPr>
              <w:pStyle w:val="nTable"/>
              <w:spacing w:after="40"/>
              <w:rPr>
                <w:i/>
              </w:rPr>
            </w:pPr>
            <w:r>
              <w:rPr>
                <w:i/>
              </w:rPr>
              <w:t xml:space="preserve">Ports and Harbours Amendment Regulations (No. 2) 2007 </w:t>
            </w:r>
          </w:p>
        </w:tc>
        <w:tc>
          <w:tcPr>
            <w:tcW w:w="1276" w:type="dxa"/>
            <w:gridSpan w:val="2"/>
          </w:tcPr>
          <w:p w:rsidR="009515FF" w:rsidRDefault="00B14AD4">
            <w:pPr>
              <w:pStyle w:val="nTable"/>
              <w:spacing w:after="40"/>
            </w:pPr>
            <w:r>
              <w:t>12 Jun 2007 p. 2723</w:t>
            </w:r>
            <w:r>
              <w:noBreakHyphen/>
              <w:t>5</w:t>
            </w:r>
          </w:p>
        </w:tc>
        <w:tc>
          <w:tcPr>
            <w:tcW w:w="2693" w:type="dxa"/>
            <w:gridSpan w:val="2"/>
          </w:tcPr>
          <w:p w:rsidR="009515FF" w:rsidRDefault="00B14AD4">
            <w:pPr>
              <w:pStyle w:val="nTable"/>
              <w:spacing w:after="40"/>
            </w:pPr>
            <w:r>
              <w:t>1 Jul 2007 (see r. 2)</w:t>
            </w:r>
          </w:p>
        </w:tc>
      </w:tr>
      <w:tr w:rsidR="009515FF">
        <w:trPr>
          <w:cantSplit/>
        </w:trPr>
        <w:tc>
          <w:tcPr>
            <w:tcW w:w="7088" w:type="dxa"/>
            <w:gridSpan w:val="5"/>
          </w:tcPr>
          <w:p w:rsidR="009515FF" w:rsidRDefault="00B14AD4">
            <w:pPr>
              <w:pStyle w:val="nTable"/>
              <w:spacing w:after="40"/>
            </w:pPr>
            <w:r>
              <w:rPr>
                <w:b/>
              </w:rPr>
              <w:t xml:space="preserve">Reprint 2: The </w:t>
            </w:r>
            <w:r>
              <w:rPr>
                <w:b/>
                <w:i/>
              </w:rPr>
              <w:t>Ports and Harbours Regulations 1966</w:t>
            </w:r>
            <w:r>
              <w:rPr>
                <w:b/>
              </w:rPr>
              <w:t xml:space="preserve"> as at 26 Oct 2007 </w:t>
            </w:r>
            <w:r>
              <w:t>(includes amendments listed above)</w:t>
            </w:r>
          </w:p>
        </w:tc>
      </w:tr>
      <w:tr w:rsidR="009515FF">
        <w:trPr>
          <w:cantSplit/>
        </w:trPr>
        <w:tc>
          <w:tcPr>
            <w:tcW w:w="3119" w:type="dxa"/>
          </w:tcPr>
          <w:p w:rsidR="009515FF" w:rsidRDefault="00B14AD4">
            <w:pPr>
              <w:pStyle w:val="nTable"/>
              <w:spacing w:after="40"/>
              <w:rPr>
                <w:i/>
              </w:rPr>
            </w:pPr>
            <w:r>
              <w:rPr>
                <w:i/>
              </w:rPr>
              <w:lastRenderedPageBreak/>
              <w:t xml:space="preserve">Ports and Harbours Amendment Regulations 2008 </w:t>
            </w:r>
          </w:p>
        </w:tc>
        <w:tc>
          <w:tcPr>
            <w:tcW w:w="1276" w:type="dxa"/>
            <w:gridSpan w:val="2"/>
          </w:tcPr>
          <w:p w:rsidR="009515FF" w:rsidRDefault="00B14AD4">
            <w:pPr>
              <w:pStyle w:val="nTable"/>
              <w:spacing w:after="40"/>
            </w:pPr>
            <w:r>
              <w:t>1 Jul 2008 p. 3155</w:t>
            </w:r>
            <w:r>
              <w:noBreakHyphen/>
              <w:t>6</w:t>
            </w:r>
          </w:p>
        </w:tc>
        <w:tc>
          <w:tcPr>
            <w:tcW w:w="2693" w:type="dxa"/>
            <w:gridSpan w:val="2"/>
          </w:tcPr>
          <w:p w:rsidR="009515FF" w:rsidRDefault="00B14AD4">
            <w:pPr>
              <w:pStyle w:val="nTable"/>
              <w:spacing w:after="40"/>
            </w:pPr>
            <w:r>
              <w:t>r. 1 and 2: 1 Jul 2008 (see r. 2(a));</w:t>
            </w:r>
            <w:r>
              <w:br/>
              <w:t>Regulations other than r. 1 and 2: 2 Jul 2008 (see r. 2(b))</w:t>
            </w:r>
          </w:p>
        </w:tc>
      </w:tr>
      <w:tr w:rsidR="009515FF">
        <w:trPr>
          <w:cantSplit/>
        </w:trPr>
        <w:tc>
          <w:tcPr>
            <w:tcW w:w="3119" w:type="dxa"/>
          </w:tcPr>
          <w:p w:rsidR="009515FF" w:rsidRDefault="00B14AD4">
            <w:pPr>
              <w:pStyle w:val="nTable"/>
              <w:spacing w:after="40"/>
              <w:rPr>
                <w:i/>
              </w:rPr>
            </w:pPr>
            <w:r>
              <w:rPr>
                <w:i/>
              </w:rPr>
              <w:t xml:space="preserve">Ports and Harbours Amendment Regulations (No. 3) 2008 </w:t>
            </w:r>
          </w:p>
        </w:tc>
        <w:tc>
          <w:tcPr>
            <w:tcW w:w="1276" w:type="dxa"/>
            <w:gridSpan w:val="2"/>
          </w:tcPr>
          <w:p w:rsidR="009515FF" w:rsidRDefault="00B14AD4">
            <w:pPr>
              <w:pStyle w:val="nTable"/>
              <w:spacing w:after="40"/>
            </w:pPr>
            <w:r>
              <w:t>1 Jul 2008 p. 3156</w:t>
            </w:r>
            <w:r>
              <w:noBreakHyphen/>
              <w:t>9</w:t>
            </w:r>
          </w:p>
        </w:tc>
        <w:tc>
          <w:tcPr>
            <w:tcW w:w="2693" w:type="dxa"/>
            <w:gridSpan w:val="2"/>
          </w:tcPr>
          <w:p w:rsidR="009515FF" w:rsidRDefault="00B14AD4">
            <w:pPr>
              <w:pStyle w:val="nTable"/>
              <w:spacing w:after="40"/>
            </w:pPr>
            <w:r>
              <w:t>1 Jul 2008 (see r. 2)</w:t>
            </w:r>
          </w:p>
        </w:tc>
      </w:tr>
      <w:tr w:rsidR="009515FF">
        <w:trPr>
          <w:cantSplit/>
        </w:trPr>
        <w:tc>
          <w:tcPr>
            <w:tcW w:w="3119" w:type="dxa"/>
          </w:tcPr>
          <w:p w:rsidR="009515FF" w:rsidRDefault="00B14AD4">
            <w:pPr>
              <w:pStyle w:val="nTable"/>
              <w:spacing w:after="40"/>
              <w:rPr>
                <w:i/>
              </w:rPr>
            </w:pPr>
            <w:r>
              <w:rPr>
                <w:i/>
              </w:rPr>
              <w:t>Ports and Harbours Amendment Regulations 2009</w:t>
            </w:r>
          </w:p>
        </w:tc>
        <w:tc>
          <w:tcPr>
            <w:tcW w:w="1276" w:type="dxa"/>
            <w:gridSpan w:val="2"/>
          </w:tcPr>
          <w:p w:rsidR="009515FF" w:rsidRDefault="00B14AD4">
            <w:pPr>
              <w:pStyle w:val="nTable"/>
              <w:spacing w:after="40"/>
            </w:pPr>
            <w:r>
              <w:t>12 Jun 2009 p. 2117</w:t>
            </w:r>
            <w:r>
              <w:noBreakHyphen/>
              <w:t>18</w:t>
            </w:r>
          </w:p>
        </w:tc>
        <w:tc>
          <w:tcPr>
            <w:tcW w:w="2693" w:type="dxa"/>
            <w:gridSpan w:val="2"/>
          </w:tcPr>
          <w:p w:rsidR="009515FF" w:rsidRDefault="00B14AD4">
            <w:pPr>
              <w:pStyle w:val="nTable"/>
              <w:spacing w:after="40"/>
            </w:pPr>
            <w:r>
              <w:t>r. 1 and 2: 12 Jun 2009 (see r. 2(a));</w:t>
            </w:r>
            <w:r>
              <w:br/>
              <w:t>Regulations other than r. 1 and 2: 1 Jul 2009 (see r. 2(b))</w:t>
            </w:r>
          </w:p>
        </w:tc>
      </w:tr>
      <w:tr w:rsidR="009515FF">
        <w:trPr>
          <w:cantSplit/>
        </w:trPr>
        <w:tc>
          <w:tcPr>
            <w:tcW w:w="3119" w:type="dxa"/>
          </w:tcPr>
          <w:p w:rsidR="009515FF" w:rsidRDefault="00B14AD4">
            <w:pPr>
              <w:pStyle w:val="nTable"/>
              <w:spacing w:after="40"/>
              <w:rPr>
                <w:i/>
              </w:rPr>
            </w:pPr>
            <w:r>
              <w:rPr>
                <w:i/>
              </w:rPr>
              <w:t>Ports and Harbours Amendment Regulations (No. 2) 2009</w:t>
            </w:r>
          </w:p>
        </w:tc>
        <w:tc>
          <w:tcPr>
            <w:tcW w:w="1276" w:type="dxa"/>
            <w:gridSpan w:val="2"/>
          </w:tcPr>
          <w:p w:rsidR="009515FF" w:rsidRDefault="00B14AD4">
            <w:pPr>
              <w:pStyle w:val="nTable"/>
              <w:spacing w:after="40"/>
            </w:pPr>
            <w:r>
              <w:t>23 Jun 2009 p. 2483</w:t>
            </w:r>
            <w:r>
              <w:noBreakHyphen/>
              <w:t>5</w:t>
            </w:r>
          </w:p>
        </w:tc>
        <w:tc>
          <w:tcPr>
            <w:tcW w:w="2693" w:type="dxa"/>
            <w:gridSpan w:val="2"/>
          </w:tcPr>
          <w:p w:rsidR="009515FF" w:rsidRDefault="00B14AD4">
            <w:pPr>
              <w:pStyle w:val="nTable"/>
              <w:spacing w:after="40"/>
            </w:pPr>
            <w:r>
              <w:rPr>
                <w:snapToGrid w:val="0"/>
              </w:rPr>
              <w:t>r. 1 and 2: 23 Jun 2009 (see r. 2(a));</w:t>
            </w:r>
            <w:r>
              <w:rPr>
                <w:snapToGrid w:val="0"/>
              </w:rPr>
              <w:br/>
              <w:t>Regulations other than r. 1 and 2: 1 Jul 2009 (see r. 2(b))</w:t>
            </w:r>
          </w:p>
        </w:tc>
      </w:tr>
      <w:tr w:rsidR="009515FF">
        <w:trPr>
          <w:cantSplit/>
        </w:trPr>
        <w:tc>
          <w:tcPr>
            <w:tcW w:w="7088" w:type="dxa"/>
            <w:gridSpan w:val="5"/>
          </w:tcPr>
          <w:p w:rsidR="009515FF" w:rsidRDefault="00B14AD4">
            <w:pPr>
              <w:pStyle w:val="nTable"/>
              <w:spacing w:after="40"/>
              <w:rPr>
                <w:snapToGrid w:val="0"/>
              </w:rPr>
            </w:pPr>
            <w:r>
              <w:rPr>
                <w:b/>
              </w:rPr>
              <w:t xml:space="preserve">Reprint 3: The </w:t>
            </w:r>
            <w:r>
              <w:rPr>
                <w:b/>
                <w:i/>
              </w:rPr>
              <w:t>Ports and Harbours Regulations 1966</w:t>
            </w:r>
            <w:r>
              <w:rPr>
                <w:b/>
              </w:rPr>
              <w:t xml:space="preserve"> as at 2 Oct 2009 </w:t>
            </w:r>
            <w:r>
              <w:t>(includes amendments listed above)</w:t>
            </w:r>
          </w:p>
        </w:tc>
      </w:tr>
      <w:tr w:rsidR="009515FF">
        <w:trPr>
          <w:cantSplit/>
        </w:trPr>
        <w:tc>
          <w:tcPr>
            <w:tcW w:w="3119" w:type="dxa"/>
          </w:tcPr>
          <w:p w:rsidR="009515FF" w:rsidRDefault="00B14AD4">
            <w:pPr>
              <w:pStyle w:val="nTable"/>
              <w:spacing w:after="40"/>
              <w:rPr>
                <w:i/>
              </w:rPr>
            </w:pPr>
            <w:r>
              <w:rPr>
                <w:i/>
              </w:rPr>
              <w:t>Ports and Harbours Amendment Regulations (No. 2) 2010</w:t>
            </w:r>
          </w:p>
        </w:tc>
        <w:tc>
          <w:tcPr>
            <w:tcW w:w="1276" w:type="dxa"/>
            <w:gridSpan w:val="2"/>
          </w:tcPr>
          <w:p w:rsidR="009515FF" w:rsidRDefault="00B14AD4">
            <w:pPr>
              <w:pStyle w:val="nTable"/>
              <w:spacing w:after="40"/>
            </w:pPr>
            <w:r>
              <w:t>14 May 2010 p. 2017</w:t>
            </w:r>
            <w:r>
              <w:noBreakHyphen/>
              <w:t>18</w:t>
            </w:r>
          </w:p>
        </w:tc>
        <w:tc>
          <w:tcPr>
            <w:tcW w:w="2693" w:type="dxa"/>
            <w:gridSpan w:val="2"/>
          </w:tcPr>
          <w:p w:rsidR="009515FF" w:rsidRDefault="00B14AD4">
            <w:pPr>
              <w:pStyle w:val="nTable"/>
              <w:spacing w:after="40"/>
            </w:pPr>
            <w:r>
              <w:rPr>
                <w:snapToGrid w:val="0"/>
              </w:rPr>
              <w:t>r. 1 and 2: 14 May 2010 (see r. 2(a));</w:t>
            </w:r>
            <w:r>
              <w:rPr>
                <w:snapToGrid w:val="0"/>
              </w:rPr>
              <w:br/>
              <w:t>Regulations other than r. 1 and 2: 15 May 2010 (see r. 2(b))</w:t>
            </w:r>
          </w:p>
        </w:tc>
      </w:tr>
      <w:tr w:rsidR="009515FF">
        <w:trPr>
          <w:cantSplit/>
        </w:trPr>
        <w:tc>
          <w:tcPr>
            <w:tcW w:w="3119" w:type="dxa"/>
          </w:tcPr>
          <w:p w:rsidR="009515FF" w:rsidRDefault="00B14AD4">
            <w:pPr>
              <w:pStyle w:val="nTable"/>
              <w:spacing w:after="40"/>
              <w:rPr>
                <w:i/>
              </w:rPr>
            </w:pPr>
            <w:r>
              <w:rPr>
                <w:i/>
              </w:rPr>
              <w:t>Ports and Harbours Amendment Regulations 2010</w:t>
            </w:r>
          </w:p>
        </w:tc>
        <w:tc>
          <w:tcPr>
            <w:tcW w:w="1276" w:type="dxa"/>
            <w:gridSpan w:val="2"/>
          </w:tcPr>
          <w:p w:rsidR="009515FF" w:rsidRDefault="00B14AD4">
            <w:pPr>
              <w:pStyle w:val="nTable"/>
              <w:spacing w:after="40"/>
            </w:pPr>
            <w:r>
              <w:t>4 Jun 2010 p. 2417</w:t>
            </w:r>
            <w:r>
              <w:noBreakHyphen/>
              <w:t>67</w:t>
            </w:r>
          </w:p>
        </w:tc>
        <w:tc>
          <w:tcPr>
            <w:tcW w:w="2693" w:type="dxa"/>
            <w:gridSpan w:val="2"/>
          </w:tcPr>
          <w:p w:rsidR="009515FF" w:rsidRDefault="00B14AD4">
            <w:pPr>
              <w:pStyle w:val="nTable"/>
              <w:spacing w:after="40"/>
              <w:rPr>
                <w:snapToGrid w:val="0"/>
              </w:rPr>
            </w:pPr>
            <w:r>
              <w:rPr>
                <w:snapToGrid w:val="0"/>
              </w:rPr>
              <w:t>r. 1 and 2: 4 Jun 2010 (see r. 2(a));</w:t>
            </w:r>
            <w:r>
              <w:rPr>
                <w:snapToGrid w:val="0"/>
              </w:rPr>
              <w:br/>
              <w:t xml:space="preserve">Regulations other than r. 1 and 2: 5 Jun 2010 (see r. 2(b) and </w:t>
            </w:r>
            <w:r>
              <w:rPr>
                <w:i/>
                <w:iCs/>
                <w:snapToGrid w:val="0"/>
              </w:rPr>
              <w:t>Gazette</w:t>
            </w:r>
            <w:r>
              <w:rPr>
                <w:snapToGrid w:val="0"/>
              </w:rPr>
              <w:t xml:space="preserve"> 4 Jun 2010 p. 2471)</w:t>
            </w:r>
          </w:p>
        </w:tc>
      </w:tr>
      <w:tr w:rsidR="009515FF">
        <w:trPr>
          <w:cantSplit/>
        </w:trPr>
        <w:tc>
          <w:tcPr>
            <w:tcW w:w="3119" w:type="dxa"/>
          </w:tcPr>
          <w:p w:rsidR="009515FF" w:rsidRDefault="00B14AD4">
            <w:pPr>
              <w:pStyle w:val="nTable"/>
              <w:spacing w:after="40"/>
              <w:rPr>
                <w:i/>
              </w:rPr>
            </w:pPr>
            <w:r>
              <w:rPr>
                <w:i/>
              </w:rPr>
              <w:t>Shipping and Pilotage (Ports and Harbours) Amendment Regulations (No. 3) 2010</w:t>
            </w:r>
          </w:p>
        </w:tc>
        <w:tc>
          <w:tcPr>
            <w:tcW w:w="1276" w:type="dxa"/>
            <w:gridSpan w:val="2"/>
          </w:tcPr>
          <w:p w:rsidR="009515FF" w:rsidRDefault="00B14AD4">
            <w:pPr>
              <w:pStyle w:val="nTable"/>
              <w:spacing w:after="40"/>
            </w:pPr>
            <w:r>
              <w:t>30 Jun 2010 p. 3167</w:t>
            </w:r>
            <w:r>
              <w:noBreakHyphen/>
              <w:t>70</w:t>
            </w:r>
          </w:p>
        </w:tc>
        <w:tc>
          <w:tcPr>
            <w:tcW w:w="2693" w:type="dxa"/>
            <w:gridSpan w:val="2"/>
          </w:tcPr>
          <w:p w:rsidR="009515FF" w:rsidRDefault="00B14AD4">
            <w:pPr>
              <w:pStyle w:val="nTable"/>
              <w:spacing w:after="40"/>
              <w:rPr>
                <w:snapToGrid w:val="0"/>
              </w:rPr>
            </w:pPr>
            <w:r>
              <w:rPr>
                <w:snapToGrid w:val="0"/>
              </w:rPr>
              <w:t>r. 1 and 2: 30 Jun 2010 (see r. 2(a));</w:t>
            </w:r>
            <w:r>
              <w:rPr>
                <w:snapToGrid w:val="0"/>
              </w:rPr>
              <w:br/>
              <w:t>Regulations other than r. 1 and 2: 1 Jul 2010 (see r. 2(b)(i))</w:t>
            </w:r>
          </w:p>
        </w:tc>
      </w:tr>
      <w:tr w:rsidR="009515FF">
        <w:trPr>
          <w:cantSplit/>
        </w:trPr>
        <w:tc>
          <w:tcPr>
            <w:tcW w:w="3119" w:type="dxa"/>
          </w:tcPr>
          <w:p w:rsidR="009515FF" w:rsidRDefault="00B14AD4">
            <w:pPr>
              <w:pStyle w:val="nTable"/>
              <w:spacing w:after="40"/>
              <w:rPr>
                <w:i/>
              </w:rPr>
            </w:pPr>
            <w:r>
              <w:rPr>
                <w:i/>
              </w:rPr>
              <w:t>Shipping and Pilotage (Ports and Harbours) Amendment Regulations 2010</w:t>
            </w:r>
          </w:p>
        </w:tc>
        <w:tc>
          <w:tcPr>
            <w:tcW w:w="1276" w:type="dxa"/>
            <w:gridSpan w:val="2"/>
          </w:tcPr>
          <w:p w:rsidR="009515FF" w:rsidRDefault="00B14AD4">
            <w:pPr>
              <w:pStyle w:val="nTable"/>
              <w:spacing w:after="40"/>
              <w:rPr>
                <w:u w:val="words"/>
              </w:rPr>
            </w:pPr>
            <w:r>
              <w:t>30 Jun 2010 p. 3171</w:t>
            </w:r>
            <w:r>
              <w:noBreakHyphen/>
              <w:t>3</w:t>
            </w:r>
          </w:p>
        </w:tc>
        <w:tc>
          <w:tcPr>
            <w:tcW w:w="2693" w:type="dxa"/>
            <w:gridSpan w:val="2"/>
          </w:tcPr>
          <w:p w:rsidR="009515FF" w:rsidRDefault="00B14AD4">
            <w:pPr>
              <w:pStyle w:val="nTable"/>
              <w:spacing w:after="40"/>
              <w:rPr>
                <w:snapToGrid w:val="0"/>
              </w:rPr>
            </w:pPr>
            <w:r>
              <w:rPr>
                <w:snapToGrid w:val="0"/>
              </w:rPr>
              <w:t>r. 1 and 2: 30 Jun 2010 (see r. 2(a));</w:t>
            </w:r>
            <w:r>
              <w:rPr>
                <w:snapToGrid w:val="0"/>
              </w:rPr>
              <w:br/>
              <w:t>Regulations other than r. 1 and 2: 1 Jul 2010 (see r. 2(b))</w:t>
            </w:r>
          </w:p>
        </w:tc>
      </w:tr>
      <w:tr w:rsidR="009515FF">
        <w:trPr>
          <w:cantSplit/>
        </w:trPr>
        <w:tc>
          <w:tcPr>
            <w:tcW w:w="3119" w:type="dxa"/>
          </w:tcPr>
          <w:p w:rsidR="009515FF" w:rsidRDefault="00B14AD4">
            <w:pPr>
              <w:pStyle w:val="nTable"/>
              <w:spacing w:after="40"/>
              <w:rPr>
                <w:i/>
              </w:rPr>
            </w:pPr>
            <w:r>
              <w:rPr>
                <w:i/>
              </w:rPr>
              <w:t>Shipping and Pilotage (Ports and Harbours) Amendment Regulations (No. 4) 2010</w:t>
            </w:r>
          </w:p>
        </w:tc>
        <w:tc>
          <w:tcPr>
            <w:tcW w:w="1276" w:type="dxa"/>
            <w:gridSpan w:val="2"/>
          </w:tcPr>
          <w:p w:rsidR="009515FF" w:rsidRDefault="00B14AD4">
            <w:pPr>
              <w:pStyle w:val="nTable"/>
              <w:spacing w:after="40"/>
            </w:pPr>
            <w:r>
              <w:t>29 Oct 2010 p. 5331</w:t>
            </w:r>
            <w:r>
              <w:noBreakHyphen/>
              <w:t>2</w:t>
            </w:r>
          </w:p>
        </w:tc>
        <w:tc>
          <w:tcPr>
            <w:tcW w:w="2693" w:type="dxa"/>
            <w:gridSpan w:val="2"/>
          </w:tcPr>
          <w:p w:rsidR="009515FF" w:rsidRDefault="00B14AD4">
            <w:pPr>
              <w:pStyle w:val="nTable"/>
              <w:spacing w:after="40"/>
              <w:rPr>
                <w:snapToGrid w:val="0"/>
              </w:rPr>
            </w:pPr>
            <w:r>
              <w:rPr>
                <w:snapToGrid w:val="0"/>
              </w:rPr>
              <w:t>r. 1 and 2: 29 Oct 2010 (see r. 2(a));</w:t>
            </w:r>
            <w:r>
              <w:rPr>
                <w:snapToGrid w:val="0"/>
              </w:rPr>
              <w:br/>
              <w:t>Regulations other than r. 1 and 2: 30 Oct  2010 (see r. 2(b))</w:t>
            </w:r>
          </w:p>
        </w:tc>
      </w:tr>
      <w:tr w:rsidR="009515FF">
        <w:trPr>
          <w:cantSplit/>
        </w:trPr>
        <w:tc>
          <w:tcPr>
            <w:tcW w:w="7088" w:type="dxa"/>
            <w:gridSpan w:val="5"/>
          </w:tcPr>
          <w:p w:rsidR="009515FF" w:rsidRDefault="00B14AD4">
            <w:pPr>
              <w:pStyle w:val="nTable"/>
              <w:spacing w:after="40"/>
              <w:rPr>
                <w:snapToGrid w:val="0"/>
              </w:rPr>
            </w:pPr>
            <w:r>
              <w:rPr>
                <w:b/>
              </w:rPr>
              <w:t xml:space="preserve">Reprint 4:  The </w:t>
            </w:r>
            <w:r>
              <w:rPr>
                <w:b/>
                <w:i/>
              </w:rPr>
              <w:t>Shipping and Pilotage (Ports and Harbours) Regulations 1966</w:t>
            </w:r>
            <w:r>
              <w:rPr>
                <w:b/>
              </w:rPr>
              <w:t xml:space="preserve"> as at 18 Mar 2011 </w:t>
            </w:r>
            <w:r>
              <w:t>(includes amendments listed above)</w:t>
            </w:r>
          </w:p>
        </w:tc>
      </w:tr>
      <w:tr w:rsidR="009515FF">
        <w:trPr>
          <w:cantSplit/>
        </w:trPr>
        <w:tc>
          <w:tcPr>
            <w:tcW w:w="3119" w:type="dxa"/>
          </w:tcPr>
          <w:p w:rsidR="009515FF" w:rsidRDefault="00B14AD4">
            <w:pPr>
              <w:pStyle w:val="nTable"/>
              <w:spacing w:after="40"/>
              <w:rPr>
                <w:i/>
              </w:rPr>
            </w:pPr>
            <w:r>
              <w:rPr>
                <w:i/>
              </w:rPr>
              <w:lastRenderedPageBreak/>
              <w:t>Shipping and Pilotage (Ports and Harbours) Amendment Regulations (No. 2) 2011</w:t>
            </w:r>
          </w:p>
        </w:tc>
        <w:tc>
          <w:tcPr>
            <w:tcW w:w="1276" w:type="dxa"/>
            <w:gridSpan w:val="2"/>
          </w:tcPr>
          <w:p w:rsidR="009515FF" w:rsidRDefault="00B14AD4">
            <w:pPr>
              <w:pStyle w:val="nTable"/>
              <w:spacing w:after="40"/>
            </w:pPr>
            <w:r>
              <w:t>21 Jun 2011 p. 2230-1</w:t>
            </w:r>
          </w:p>
        </w:tc>
        <w:tc>
          <w:tcPr>
            <w:tcW w:w="2693" w:type="dxa"/>
            <w:gridSpan w:val="2"/>
          </w:tcPr>
          <w:p w:rsidR="009515FF" w:rsidRDefault="00B14AD4">
            <w:pPr>
              <w:pStyle w:val="nTable"/>
              <w:spacing w:after="40"/>
              <w:rPr>
                <w:snapToGrid w:val="0"/>
              </w:rPr>
            </w:pPr>
            <w:r>
              <w:rPr>
                <w:snapToGrid w:val="0"/>
              </w:rPr>
              <w:t>r. 1 and 2: 21 Jun 2011 (see r. 2(a));</w:t>
            </w:r>
            <w:r>
              <w:rPr>
                <w:snapToGrid w:val="0"/>
              </w:rPr>
              <w:br/>
              <w:t>Regulations other than r. 1 and 2: 1 Jul  2011 (see r. 2(b))</w:t>
            </w:r>
          </w:p>
        </w:tc>
      </w:tr>
      <w:tr w:rsidR="009515FF">
        <w:trPr>
          <w:cantSplit/>
        </w:trPr>
        <w:tc>
          <w:tcPr>
            <w:tcW w:w="3119" w:type="dxa"/>
          </w:tcPr>
          <w:p w:rsidR="009515FF" w:rsidRDefault="00B14AD4">
            <w:pPr>
              <w:pStyle w:val="nTable"/>
              <w:spacing w:after="40"/>
              <w:rPr>
                <w:i/>
              </w:rPr>
            </w:pPr>
            <w:r>
              <w:rPr>
                <w:i/>
              </w:rPr>
              <w:t>Shipping and Pilotage (Ports and Harbours) Amendment Regulations 2011</w:t>
            </w:r>
          </w:p>
        </w:tc>
        <w:tc>
          <w:tcPr>
            <w:tcW w:w="1276" w:type="dxa"/>
            <w:gridSpan w:val="2"/>
          </w:tcPr>
          <w:p w:rsidR="009515FF" w:rsidRDefault="00B14AD4">
            <w:pPr>
              <w:pStyle w:val="nTable"/>
              <w:spacing w:after="40"/>
            </w:pPr>
            <w:r>
              <w:t>21 Jun 2011 p. 2242-3</w:t>
            </w:r>
          </w:p>
        </w:tc>
        <w:tc>
          <w:tcPr>
            <w:tcW w:w="2693" w:type="dxa"/>
            <w:gridSpan w:val="2"/>
          </w:tcPr>
          <w:p w:rsidR="009515FF" w:rsidRDefault="00B14AD4">
            <w:pPr>
              <w:pStyle w:val="nTable"/>
              <w:spacing w:after="40"/>
              <w:rPr>
                <w:snapToGrid w:val="0"/>
              </w:rPr>
            </w:pPr>
            <w:r>
              <w:rPr>
                <w:snapToGrid w:val="0"/>
              </w:rPr>
              <w:t>r. 1 and 2: 21 Jun 2011 (see r. 2(a));</w:t>
            </w:r>
            <w:r>
              <w:rPr>
                <w:snapToGrid w:val="0"/>
              </w:rPr>
              <w:br/>
              <w:t>Regulations other than r. 1 and 2: 1 Jul  2011 (see r. 2(b))</w:t>
            </w:r>
          </w:p>
        </w:tc>
      </w:tr>
      <w:tr w:rsidR="009515FF">
        <w:trPr>
          <w:cantSplit/>
        </w:trPr>
        <w:tc>
          <w:tcPr>
            <w:tcW w:w="3119" w:type="dxa"/>
          </w:tcPr>
          <w:p w:rsidR="009515FF" w:rsidRDefault="00B14AD4">
            <w:pPr>
              <w:pStyle w:val="nTable"/>
              <w:spacing w:after="40"/>
              <w:rPr>
                <w:i/>
              </w:rPr>
            </w:pPr>
            <w:r>
              <w:rPr>
                <w:i/>
              </w:rPr>
              <w:t>Shipping and Pilotage (Ports and Harbours) Amendment Regulations (No. 4) 2011</w:t>
            </w:r>
          </w:p>
        </w:tc>
        <w:tc>
          <w:tcPr>
            <w:tcW w:w="1276" w:type="dxa"/>
            <w:gridSpan w:val="2"/>
          </w:tcPr>
          <w:p w:rsidR="009515FF" w:rsidRDefault="00B14AD4">
            <w:pPr>
              <w:pStyle w:val="nTable"/>
              <w:spacing w:after="40"/>
            </w:pPr>
            <w:r>
              <w:t>30 Nov 2011 p. 4983</w:t>
            </w:r>
            <w:r>
              <w:noBreakHyphen/>
              <w:t>4</w:t>
            </w:r>
          </w:p>
        </w:tc>
        <w:tc>
          <w:tcPr>
            <w:tcW w:w="2693" w:type="dxa"/>
            <w:gridSpan w:val="2"/>
          </w:tcPr>
          <w:p w:rsidR="009515FF" w:rsidRDefault="00B14AD4">
            <w:pPr>
              <w:pStyle w:val="nTable"/>
              <w:spacing w:after="40"/>
              <w:rPr>
                <w:snapToGrid w:val="0"/>
              </w:rPr>
            </w:pPr>
            <w:r>
              <w:rPr>
                <w:snapToGrid w:val="0"/>
              </w:rPr>
              <w:t>r. 1 and 2: 30 Nov 2011 (see r. 2(a));</w:t>
            </w:r>
            <w:r>
              <w:rPr>
                <w:snapToGrid w:val="0"/>
              </w:rPr>
              <w:br/>
              <w:t>Regulations other than r. 1 and 2: 1 Dec 2011 (see r. 2(b))</w:t>
            </w:r>
          </w:p>
        </w:tc>
      </w:tr>
      <w:tr w:rsidR="009515FF">
        <w:trPr>
          <w:cantSplit/>
        </w:trPr>
        <w:tc>
          <w:tcPr>
            <w:tcW w:w="3119" w:type="dxa"/>
          </w:tcPr>
          <w:p w:rsidR="009515FF" w:rsidRDefault="00B14AD4">
            <w:pPr>
              <w:pStyle w:val="nTable"/>
              <w:spacing w:after="40"/>
              <w:rPr>
                <w:i/>
              </w:rPr>
            </w:pPr>
            <w:r>
              <w:rPr>
                <w:i/>
              </w:rPr>
              <w:t>Shipping and Pilotage (Ports and Harbours) Amendment Regulations (No. 2) 2012</w:t>
            </w:r>
          </w:p>
        </w:tc>
        <w:tc>
          <w:tcPr>
            <w:tcW w:w="1276" w:type="dxa"/>
            <w:gridSpan w:val="2"/>
          </w:tcPr>
          <w:p w:rsidR="009515FF" w:rsidRDefault="00B14AD4">
            <w:pPr>
              <w:pStyle w:val="nTable"/>
              <w:spacing w:after="40"/>
            </w:pPr>
            <w:r>
              <w:t>15 Jun 2012 p. 2521-2</w:t>
            </w:r>
          </w:p>
        </w:tc>
        <w:tc>
          <w:tcPr>
            <w:tcW w:w="2693" w:type="dxa"/>
            <w:gridSpan w:val="2"/>
          </w:tcPr>
          <w:p w:rsidR="009515FF" w:rsidRDefault="00B14AD4">
            <w:pPr>
              <w:pStyle w:val="nTable"/>
              <w:spacing w:after="40"/>
              <w:rPr>
                <w:snapToGrid w:val="0"/>
              </w:rPr>
            </w:pPr>
            <w:r>
              <w:rPr>
                <w:snapToGrid w:val="0"/>
              </w:rPr>
              <w:t>r. 1 and 2: 15 Jun 2012 (see r. 2(a));</w:t>
            </w:r>
            <w:r>
              <w:rPr>
                <w:snapToGrid w:val="0"/>
              </w:rPr>
              <w:br/>
              <w:t>Regulations other than r. 1 and 2: 1 Jul 2012 (see r. 2(b))</w:t>
            </w:r>
          </w:p>
        </w:tc>
      </w:tr>
      <w:tr w:rsidR="009515FF">
        <w:trPr>
          <w:cantSplit/>
        </w:trPr>
        <w:tc>
          <w:tcPr>
            <w:tcW w:w="3119" w:type="dxa"/>
            <w:shd w:val="clear" w:color="auto" w:fill="auto"/>
          </w:tcPr>
          <w:p w:rsidR="009515FF" w:rsidRDefault="00B14AD4">
            <w:pPr>
              <w:pStyle w:val="nTable"/>
              <w:spacing w:after="40"/>
              <w:rPr>
                <w:i/>
              </w:rPr>
            </w:pPr>
            <w:r>
              <w:rPr>
                <w:i/>
              </w:rPr>
              <w:t>Shipping and Pilotage (Ports and Harbours) Amendment Regulations 2012</w:t>
            </w:r>
          </w:p>
        </w:tc>
        <w:tc>
          <w:tcPr>
            <w:tcW w:w="1276" w:type="dxa"/>
            <w:gridSpan w:val="2"/>
            <w:shd w:val="clear" w:color="auto" w:fill="auto"/>
          </w:tcPr>
          <w:p w:rsidR="009515FF" w:rsidRDefault="00B14AD4">
            <w:pPr>
              <w:pStyle w:val="nTable"/>
              <w:spacing w:after="40"/>
            </w:pPr>
            <w:r>
              <w:t>15 Jun 2012 p. 2526-7</w:t>
            </w:r>
          </w:p>
        </w:tc>
        <w:tc>
          <w:tcPr>
            <w:tcW w:w="2693" w:type="dxa"/>
            <w:gridSpan w:val="2"/>
            <w:shd w:val="clear" w:color="auto" w:fill="auto"/>
          </w:tcPr>
          <w:p w:rsidR="009515FF" w:rsidRDefault="00B14AD4">
            <w:pPr>
              <w:pStyle w:val="nTable"/>
              <w:spacing w:after="40"/>
              <w:rPr>
                <w:snapToGrid w:val="0"/>
              </w:rPr>
            </w:pPr>
            <w:r>
              <w:rPr>
                <w:snapToGrid w:val="0"/>
              </w:rPr>
              <w:t>r. 1 and 2: 15 Jun 2012 (see r. 2(a));</w:t>
            </w:r>
            <w:r>
              <w:rPr>
                <w:snapToGrid w:val="0"/>
              </w:rPr>
              <w:br/>
              <w:t>Regulations other than r. 1 and 2: 1 Jul 2012 (see r. 2(b))</w:t>
            </w:r>
          </w:p>
        </w:tc>
      </w:tr>
      <w:tr w:rsidR="009515FF">
        <w:trPr>
          <w:cantSplit/>
        </w:trPr>
        <w:tc>
          <w:tcPr>
            <w:tcW w:w="7088" w:type="dxa"/>
            <w:gridSpan w:val="5"/>
            <w:shd w:val="clear" w:color="auto" w:fill="auto"/>
          </w:tcPr>
          <w:p w:rsidR="009515FF" w:rsidRDefault="00B14AD4">
            <w:pPr>
              <w:pStyle w:val="nTable"/>
              <w:spacing w:after="40"/>
              <w:rPr>
                <w:snapToGrid w:val="0"/>
              </w:rPr>
            </w:pPr>
            <w:r>
              <w:rPr>
                <w:b/>
              </w:rPr>
              <w:t xml:space="preserve">Reprint 5:  The </w:t>
            </w:r>
            <w:r>
              <w:rPr>
                <w:b/>
                <w:i/>
              </w:rPr>
              <w:t>Shipping and Pilotage (Ports and Harbours) Regulations 1966</w:t>
            </w:r>
            <w:r>
              <w:rPr>
                <w:b/>
              </w:rPr>
              <w:t xml:space="preserve"> as at 2 Nov 2012 </w:t>
            </w:r>
            <w:r>
              <w:t>(includes amendments listed above)</w:t>
            </w:r>
          </w:p>
        </w:tc>
      </w:tr>
      <w:tr w:rsidR="009515FF">
        <w:trPr>
          <w:cantSplit/>
        </w:trPr>
        <w:tc>
          <w:tcPr>
            <w:tcW w:w="3119" w:type="dxa"/>
            <w:shd w:val="clear" w:color="auto" w:fill="auto"/>
          </w:tcPr>
          <w:p w:rsidR="009515FF" w:rsidRDefault="00B14AD4">
            <w:pPr>
              <w:pStyle w:val="nTable"/>
              <w:spacing w:after="40"/>
              <w:rPr>
                <w:i/>
              </w:rPr>
            </w:pPr>
            <w:r>
              <w:rPr>
                <w:i/>
              </w:rPr>
              <w:t>Shipping and Pilotage (Ports and Harbours) Amendment Regulations 2013</w:t>
            </w:r>
          </w:p>
        </w:tc>
        <w:tc>
          <w:tcPr>
            <w:tcW w:w="1276" w:type="dxa"/>
            <w:gridSpan w:val="2"/>
            <w:shd w:val="clear" w:color="auto" w:fill="auto"/>
          </w:tcPr>
          <w:p w:rsidR="009515FF" w:rsidRDefault="00B14AD4">
            <w:pPr>
              <w:pStyle w:val="nTable"/>
              <w:spacing w:after="40"/>
            </w:pPr>
            <w:r>
              <w:t>28 Jun 2013 p. 2768-9</w:t>
            </w:r>
          </w:p>
        </w:tc>
        <w:tc>
          <w:tcPr>
            <w:tcW w:w="2693" w:type="dxa"/>
            <w:gridSpan w:val="2"/>
            <w:shd w:val="clear" w:color="auto" w:fill="auto"/>
          </w:tcPr>
          <w:p w:rsidR="009515FF" w:rsidRDefault="00B14AD4">
            <w:pPr>
              <w:pStyle w:val="nTable"/>
              <w:spacing w:after="40"/>
              <w:rPr>
                <w:i/>
                <w:snapToGrid w:val="0"/>
              </w:rPr>
            </w:pPr>
            <w:r>
              <w:rPr>
                <w:snapToGrid w:val="0"/>
              </w:rPr>
              <w:t>r. 1 and 2: 28 Jun 2013 (see r. 2(a));</w:t>
            </w:r>
            <w:r>
              <w:rPr>
                <w:snapToGrid w:val="0"/>
              </w:rPr>
              <w:br/>
              <w:t>Regulations other than r. 1 and 2: 1 Jul 2013 (see r. 2(b))</w:t>
            </w:r>
          </w:p>
        </w:tc>
      </w:tr>
      <w:tr w:rsidR="009515FF">
        <w:trPr>
          <w:cantSplit/>
        </w:trPr>
        <w:tc>
          <w:tcPr>
            <w:tcW w:w="3119" w:type="dxa"/>
            <w:shd w:val="clear" w:color="auto" w:fill="auto"/>
          </w:tcPr>
          <w:p w:rsidR="009515FF" w:rsidRDefault="00B14AD4">
            <w:pPr>
              <w:pStyle w:val="nTable"/>
              <w:spacing w:after="40"/>
              <w:rPr>
                <w:i/>
              </w:rPr>
            </w:pPr>
            <w:r>
              <w:rPr>
                <w:i/>
              </w:rPr>
              <w:t>Shipping and Pilotage (Ports and Harbours) Amendment Regulations (No. 2) 2013</w:t>
            </w:r>
          </w:p>
        </w:tc>
        <w:tc>
          <w:tcPr>
            <w:tcW w:w="1276" w:type="dxa"/>
            <w:gridSpan w:val="2"/>
            <w:shd w:val="clear" w:color="auto" w:fill="auto"/>
          </w:tcPr>
          <w:p w:rsidR="009515FF" w:rsidRDefault="00B14AD4">
            <w:pPr>
              <w:pStyle w:val="nTable"/>
              <w:spacing w:after="40"/>
            </w:pPr>
            <w:r>
              <w:t>28 Jun 2013 p. 2777-8</w:t>
            </w:r>
          </w:p>
        </w:tc>
        <w:tc>
          <w:tcPr>
            <w:tcW w:w="2693" w:type="dxa"/>
            <w:gridSpan w:val="2"/>
            <w:shd w:val="clear" w:color="auto" w:fill="auto"/>
          </w:tcPr>
          <w:p w:rsidR="009515FF" w:rsidRDefault="00B14AD4">
            <w:pPr>
              <w:pStyle w:val="nTable"/>
              <w:spacing w:after="40"/>
              <w:rPr>
                <w:snapToGrid w:val="0"/>
              </w:rPr>
            </w:pPr>
            <w:r>
              <w:rPr>
                <w:snapToGrid w:val="0"/>
              </w:rPr>
              <w:t>r. 1 and 2: 28 Jun 2013 (see r. 2(a));</w:t>
            </w:r>
            <w:r>
              <w:rPr>
                <w:snapToGrid w:val="0"/>
              </w:rPr>
              <w:br/>
              <w:t>Regulations other than r. 1 and 2: 1 Jul 2013 (see r. 2(b))</w:t>
            </w:r>
          </w:p>
        </w:tc>
      </w:tr>
      <w:tr w:rsidR="009515FF">
        <w:trPr>
          <w:cantSplit/>
        </w:trPr>
        <w:tc>
          <w:tcPr>
            <w:tcW w:w="3119" w:type="dxa"/>
            <w:shd w:val="clear" w:color="auto" w:fill="auto"/>
          </w:tcPr>
          <w:p w:rsidR="009515FF" w:rsidRDefault="00B14AD4">
            <w:pPr>
              <w:pStyle w:val="nTable"/>
              <w:spacing w:after="40"/>
              <w:rPr>
                <w:i/>
              </w:rPr>
            </w:pPr>
            <w:r>
              <w:rPr>
                <w:i/>
              </w:rPr>
              <w:t>Shipping and Pilotage (Ports and Harbours) Amendment Regulations 2014</w:t>
            </w:r>
          </w:p>
        </w:tc>
        <w:tc>
          <w:tcPr>
            <w:tcW w:w="1276" w:type="dxa"/>
            <w:gridSpan w:val="2"/>
            <w:shd w:val="clear" w:color="auto" w:fill="auto"/>
          </w:tcPr>
          <w:p w:rsidR="009515FF" w:rsidRDefault="00B14AD4">
            <w:pPr>
              <w:pStyle w:val="nTable"/>
              <w:spacing w:after="40"/>
            </w:pPr>
            <w:r>
              <w:t>30 May 2014 p. 1687-8</w:t>
            </w:r>
          </w:p>
        </w:tc>
        <w:tc>
          <w:tcPr>
            <w:tcW w:w="2693" w:type="dxa"/>
            <w:gridSpan w:val="2"/>
            <w:shd w:val="clear" w:color="auto" w:fill="auto"/>
          </w:tcPr>
          <w:p w:rsidR="009515FF" w:rsidRDefault="00B14AD4">
            <w:pPr>
              <w:pStyle w:val="nTable"/>
              <w:spacing w:after="40"/>
              <w:rPr>
                <w:snapToGrid w:val="0"/>
              </w:rPr>
            </w:pPr>
            <w:r>
              <w:rPr>
                <w:snapToGrid w:val="0"/>
              </w:rPr>
              <w:t>r. 1 and 2: 30 May 2014 (see r. 2(a));</w:t>
            </w:r>
            <w:r>
              <w:rPr>
                <w:snapToGrid w:val="0"/>
              </w:rPr>
              <w:br/>
              <w:t>Regulations other than r. 1 and 2: 1 Jul 2014 (see r. 2(b))</w:t>
            </w:r>
          </w:p>
        </w:tc>
      </w:tr>
      <w:tr w:rsidR="009515FF">
        <w:trPr>
          <w:cantSplit/>
        </w:trPr>
        <w:tc>
          <w:tcPr>
            <w:tcW w:w="3119" w:type="dxa"/>
            <w:shd w:val="clear" w:color="auto" w:fill="auto"/>
          </w:tcPr>
          <w:p w:rsidR="009515FF" w:rsidRDefault="00B14AD4">
            <w:pPr>
              <w:pStyle w:val="nTable"/>
              <w:spacing w:after="40"/>
              <w:rPr>
                <w:i/>
              </w:rPr>
            </w:pPr>
            <w:r>
              <w:rPr>
                <w:i/>
              </w:rPr>
              <w:t>Shipping and Pilotage (Ports and Harbours) Amendment Regulations (No. 2) 2014</w:t>
            </w:r>
          </w:p>
        </w:tc>
        <w:tc>
          <w:tcPr>
            <w:tcW w:w="1276" w:type="dxa"/>
            <w:gridSpan w:val="2"/>
            <w:shd w:val="clear" w:color="auto" w:fill="auto"/>
          </w:tcPr>
          <w:p w:rsidR="009515FF" w:rsidRDefault="00B14AD4">
            <w:pPr>
              <w:pStyle w:val="nTable"/>
              <w:spacing w:after="40"/>
            </w:pPr>
            <w:r>
              <w:t>27 Jun 2014 p. 2353-4</w:t>
            </w:r>
          </w:p>
        </w:tc>
        <w:tc>
          <w:tcPr>
            <w:tcW w:w="2693" w:type="dxa"/>
            <w:gridSpan w:val="2"/>
            <w:shd w:val="clear" w:color="auto" w:fill="auto"/>
          </w:tcPr>
          <w:p w:rsidR="009515FF" w:rsidRDefault="00B14AD4">
            <w:pPr>
              <w:pStyle w:val="nTable"/>
              <w:spacing w:after="40"/>
              <w:rPr>
                <w:snapToGrid w:val="0"/>
              </w:rPr>
            </w:pPr>
            <w:r>
              <w:rPr>
                <w:snapToGrid w:val="0"/>
              </w:rPr>
              <w:t>r. 1 and 2: 27 Jun 2014 (see r. 2(a));</w:t>
            </w:r>
            <w:r>
              <w:rPr>
                <w:snapToGrid w:val="0"/>
              </w:rPr>
              <w:br/>
              <w:t>Regulations other than r. 1 and 2: 1 Jul 2014 (see r. 2(b))</w:t>
            </w:r>
          </w:p>
        </w:tc>
      </w:tr>
      <w:tr w:rsidR="009515FF">
        <w:trPr>
          <w:cantSplit/>
        </w:trPr>
        <w:tc>
          <w:tcPr>
            <w:tcW w:w="3119" w:type="dxa"/>
            <w:shd w:val="clear" w:color="auto" w:fill="auto"/>
          </w:tcPr>
          <w:p w:rsidR="009515FF" w:rsidRDefault="00B14AD4">
            <w:pPr>
              <w:pStyle w:val="nTable"/>
              <w:spacing w:after="40"/>
              <w:rPr>
                <w:i/>
              </w:rPr>
            </w:pPr>
            <w:r>
              <w:rPr>
                <w:i/>
              </w:rPr>
              <w:t>Shipping and Pilotage (Ports and Harbours) Amendment Regulations (No. 3) 2014</w:t>
            </w:r>
          </w:p>
        </w:tc>
        <w:tc>
          <w:tcPr>
            <w:tcW w:w="1276" w:type="dxa"/>
            <w:gridSpan w:val="2"/>
            <w:shd w:val="clear" w:color="auto" w:fill="auto"/>
          </w:tcPr>
          <w:p w:rsidR="009515FF" w:rsidRDefault="00B14AD4">
            <w:pPr>
              <w:pStyle w:val="nTable"/>
              <w:spacing w:after="40"/>
            </w:pPr>
            <w:r>
              <w:t>5 Sep 2014 p. 3216</w:t>
            </w:r>
            <w:r>
              <w:noBreakHyphen/>
              <w:t>17</w:t>
            </w:r>
          </w:p>
        </w:tc>
        <w:tc>
          <w:tcPr>
            <w:tcW w:w="2693" w:type="dxa"/>
            <w:gridSpan w:val="2"/>
            <w:shd w:val="clear" w:color="auto" w:fill="auto"/>
          </w:tcPr>
          <w:p w:rsidR="009515FF" w:rsidRDefault="00B14AD4">
            <w:pPr>
              <w:pStyle w:val="nTable"/>
              <w:spacing w:after="40"/>
              <w:rPr>
                <w:snapToGrid w:val="0"/>
              </w:rPr>
            </w:pPr>
            <w:r>
              <w:rPr>
                <w:snapToGrid w:val="0"/>
              </w:rPr>
              <w:t>r. 1 and 2: 5 Sep 2014 (see r. 2(a));</w:t>
            </w:r>
            <w:r>
              <w:rPr>
                <w:snapToGrid w:val="0"/>
              </w:rPr>
              <w:br/>
              <w:t>Regulations other than r. 1 and 2: 6 Sep 2014 (see r. 2(b))</w:t>
            </w:r>
          </w:p>
        </w:tc>
      </w:tr>
      <w:tr w:rsidR="009515FF">
        <w:trPr>
          <w:cantSplit/>
        </w:trPr>
        <w:tc>
          <w:tcPr>
            <w:tcW w:w="7088" w:type="dxa"/>
            <w:gridSpan w:val="5"/>
            <w:shd w:val="clear" w:color="auto" w:fill="auto"/>
          </w:tcPr>
          <w:p w:rsidR="009515FF" w:rsidRDefault="00B14AD4">
            <w:pPr>
              <w:pStyle w:val="nTable"/>
              <w:spacing w:after="40"/>
              <w:rPr>
                <w:snapToGrid w:val="0"/>
              </w:rPr>
            </w:pPr>
            <w:r>
              <w:rPr>
                <w:b/>
              </w:rPr>
              <w:lastRenderedPageBreak/>
              <w:t xml:space="preserve">Reprint 6:  The </w:t>
            </w:r>
            <w:r>
              <w:rPr>
                <w:b/>
                <w:i/>
              </w:rPr>
              <w:t>Shipping and Pilotage (Ports and Harbours) Regulations 1966</w:t>
            </w:r>
            <w:r>
              <w:rPr>
                <w:b/>
              </w:rPr>
              <w:t xml:space="preserve"> as at 16 Jan 2015 </w:t>
            </w:r>
            <w:r>
              <w:t>(includes amendments listed above)</w:t>
            </w:r>
          </w:p>
        </w:tc>
      </w:tr>
      <w:tr w:rsidR="009515FF">
        <w:trPr>
          <w:cantSplit/>
        </w:trPr>
        <w:tc>
          <w:tcPr>
            <w:tcW w:w="3147" w:type="dxa"/>
            <w:gridSpan w:val="2"/>
            <w:shd w:val="clear" w:color="auto" w:fill="auto"/>
          </w:tcPr>
          <w:p w:rsidR="009515FF" w:rsidRDefault="00B14AD4">
            <w:pPr>
              <w:pStyle w:val="nTable"/>
              <w:spacing w:after="40"/>
              <w:rPr>
                <w:b/>
              </w:rPr>
            </w:pPr>
            <w:r>
              <w:rPr>
                <w:i/>
              </w:rPr>
              <w:t>Shipping and Pilotage (Ports and Harbours) Amendment Regulations 2015</w:t>
            </w:r>
          </w:p>
        </w:tc>
        <w:tc>
          <w:tcPr>
            <w:tcW w:w="1276" w:type="dxa"/>
            <w:gridSpan w:val="2"/>
            <w:shd w:val="clear" w:color="auto" w:fill="auto"/>
          </w:tcPr>
          <w:p w:rsidR="009515FF" w:rsidRDefault="00B14AD4">
            <w:pPr>
              <w:pStyle w:val="nTable"/>
              <w:spacing w:after="40"/>
              <w:rPr>
                <w:b/>
              </w:rPr>
            </w:pPr>
            <w:r>
              <w:t>12 Jun 2015 p. 2029</w:t>
            </w:r>
            <w:r>
              <w:noBreakHyphen/>
              <w:t>30</w:t>
            </w:r>
          </w:p>
        </w:tc>
        <w:tc>
          <w:tcPr>
            <w:tcW w:w="2665" w:type="dxa"/>
            <w:shd w:val="clear" w:color="auto" w:fill="auto"/>
          </w:tcPr>
          <w:p w:rsidR="009515FF" w:rsidRDefault="00B14AD4">
            <w:pPr>
              <w:pStyle w:val="nTable"/>
              <w:spacing w:after="40"/>
              <w:rPr>
                <w:b/>
              </w:rPr>
            </w:pPr>
            <w:r>
              <w:rPr>
                <w:snapToGrid w:val="0"/>
              </w:rPr>
              <w:t xml:space="preserve">r. 1 and 2: </w:t>
            </w:r>
            <w:r>
              <w:t>12 Jun 2015</w:t>
            </w:r>
            <w:r>
              <w:rPr>
                <w:snapToGrid w:val="0"/>
              </w:rPr>
              <w:t xml:space="preserve"> (see r. 2(a));</w:t>
            </w:r>
            <w:r>
              <w:rPr>
                <w:snapToGrid w:val="0"/>
              </w:rPr>
              <w:br/>
              <w:t>Regulations other than r. 1 and 2: 1 Jul 2015 (see r. 2(b))</w:t>
            </w:r>
          </w:p>
        </w:tc>
      </w:tr>
      <w:tr w:rsidR="009515FF">
        <w:trPr>
          <w:cantSplit/>
        </w:trPr>
        <w:tc>
          <w:tcPr>
            <w:tcW w:w="3147" w:type="dxa"/>
            <w:gridSpan w:val="2"/>
            <w:shd w:val="clear" w:color="auto" w:fill="auto"/>
          </w:tcPr>
          <w:p w:rsidR="009515FF" w:rsidRDefault="00B14AD4">
            <w:pPr>
              <w:pStyle w:val="nTable"/>
              <w:spacing w:after="40"/>
              <w:rPr>
                <w:i/>
              </w:rPr>
            </w:pPr>
            <w:r>
              <w:rPr>
                <w:i/>
              </w:rPr>
              <w:t>Transport Regulations Amendment (Fees and Charges) Regulations 2016 </w:t>
            </w:r>
            <w:r>
              <w:t>Pt. 5</w:t>
            </w:r>
          </w:p>
        </w:tc>
        <w:tc>
          <w:tcPr>
            <w:tcW w:w="1276" w:type="dxa"/>
            <w:gridSpan w:val="2"/>
            <w:shd w:val="clear" w:color="auto" w:fill="auto"/>
          </w:tcPr>
          <w:p w:rsidR="009515FF" w:rsidRDefault="00B14AD4">
            <w:pPr>
              <w:pStyle w:val="nTable"/>
              <w:spacing w:after="40"/>
            </w:pPr>
            <w:r>
              <w:t>27 May 2016 p. 1549-54</w:t>
            </w:r>
          </w:p>
        </w:tc>
        <w:tc>
          <w:tcPr>
            <w:tcW w:w="2665" w:type="dxa"/>
            <w:shd w:val="clear" w:color="auto" w:fill="auto"/>
          </w:tcPr>
          <w:p w:rsidR="009515FF" w:rsidRDefault="00B14AD4">
            <w:pPr>
              <w:pStyle w:val="nTable"/>
              <w:spacing w:after="40"/>
              <w:rPr>
                <w:snapToGrid w:val="0"/>
              </w:rPr>
            </w:pPr>
            <w:r>
              <w:rPr>
                <w:bCs/>
                <w:snapToGrid w:val="0"/>
              </w:rPr>
              <w:t>1 Jul 2016 (see r. 2(b))</w:t>
            </w:r>
          </w:p>
        </w:tc>
      </w:tr>
      <w:tr w:rsidR="009515FF">
        <w:trPr>
          <w:cantSplit/>
        </w:trPr>
        <w:tc>
          <w:tcPr>
            <w:tcW w:w="3147" w:type="dxa"/>
            <w:gridSpan w:val="2"/>
            <w:shd w:val="clear" w:color="auto" w:fill="auto"/>
          </w:tcPr>
          <w:p w:rsidR="009515FF" w:rsidRDefault="00B14AD4">
            <w:pPr>
              <w:pStyle w:val="nTable"/>
              <w:spacing w:after="40"/>
            </w:pPr>
            <w:r>
              <w:rPr>
                <w:i/>
              </w:rPr>
              <w:t>Transport Regulations Amendment (Vessel Pilotage) Regulations 2016</w:t>
            </w:r>
            <w:r>
              <w:t xml:space="preserve"> Pt. 3</w:t>
            </w:r>
          </w:p>
        </w:tc>
        <w:tc>
          <w:tcPr>
            <w:tcW w:w="1276" w:type="dxa"/>
            <w:gridSpan w:val="2"/>
            <w:shd w:val="clear" w:color="auto" w:fill="auto"/>
          </w:tcPr>
          <w:p w:rsidR="009515FF" w:rsidRDefault="00B14AD4">
            <w:pPr>
              <w:pStyle w:val="nTable"/>
              <w:spacing w:after="40"/>
            </w:pPr>
            <w:r>
              <w:t>16 Sep 2016 p. 3943</w:t>
            </w:r>
            <w:r>
              <w:noBreakHyphen/>
              <w:t>5</w:t>
            </w:r>
          </w:p>
        </w:tc>
        <w:tc>
          <w:tcPr>
            <w:tcW w:w="2665" w:type="dxa"/>
            <w:shd w:val="clear" w:color="auto" w:fill="auto"/>
          </w:tcPr>
          <w:p w:rsidR="009515FF" w:rsidRDefault="00B14AD4">
            <w:pPr>
              <w:pStyle w:val="nTable"/>
              <w:spacing w:after="40"/>
              <w:rPr>
                <w:bCs/>
                <w:snapToGrid w:val="0"/>
              </w:rPr>
            </w:pPr>
            <w:r>
              <w:t>Pt. 3 (other than r. 8(2)): 17 Sep 2016</w:t>
            </w:r>
            <w:r>
              <w:rPr>
                <w:bCs/>
                <w:snapToGrid w:val="0"/>
                <w:spacing w:val="-2"/>
              </w:rPr>
              <w:t xml:space="preserve"> (see r. 2(c));</w:t>
            </w:r>
            <w:r>
              <w:rPr>
                <w:bCs/>
                <w:snapToGrid w:val="0"/>
                <w:spacing w:val="-2"/>
              </w:rPr>
              <w:br/>
              <w:t>r. 8(2): 17 Sep 2017 (see r. 2(b))</w:t>
            </w:r>
          </w:p>
        </w:tc>
      </w:tr>
      <w:tr w:rsidR="009515FF">
        <w:trPr>
          <w:cantSplit/>
        </w:trPr>
        <w:tc>
          <w:tcPr>
            <w:tcW w:w="3147" w:type="dxa"/>
            <w:gridSpan w:val="2"/>
            <w:shd w:val="clear" w:color="auto" w:fill="auto"/>
          </w:tcPr>
          <w:p w:rsidR="009515FF" w:rsidRDefault="00B14AD4">
            <w:pPr>
              <w:pStyle w:val="nTable"/>
              <w:spacing w:after="40"/>
            </w:pPr>
            <w:r>
              <w:rPr>
                <w:i/>
              </w:rPr>
              <w:t>Transport Regulations Amendment (Fees and Charges) Regulations (No. 3) 2016</w:t>
            </w:r>
            <w:r>
              <w:t xml:space="preserve"> Pt. 3</w:t>
            </w:r>
          </w:p>
        </w:tc>
        <w:tc>
          <w:tcPr>
            <w:tcW w:w="1276" w:type="dxa"/>
            <w:gridSpan w:val="2"/>
            <w:shd w:val="clear" w:color="auto" w:fill="auto"/>
          </w:tcPr>
          <w:p w:rsidR="009515FF" w:rsidRDefault="00B14AD4">
            <w:pPr>
              <w:pStyle w:val="nTable"/>
              <w:spacing w:after="40"/>
            </w:pPr>
            <w:r>
              <w:t>23 Dec 2016 p. 5913</w:t>
            </w:r>
            <w:r>
              <w:noBreakHyphen/>
              <w:t>15</w:t>
            </w:r>
          </w:p>
        </w:tc>
        <w:tc>
          <w:tcPr>
            <w:tcW w:w="2665" w:type="dxa"/>
            <w:shd w:val="clear" w:color="auto" w:fill="auto"/>
          </w:tcPr>
          <w:p w:rsidR="009515FF" w:rsidRDefault="00B14AD4">
            <w:pPr>
              <w:pStyle w:val="nTable"/>
              <w:spacing w:after="40"/>
            </w:pPr>
            <w:r>
              <w:t>24 Dec 2016 (see r. 2(b))</w:t>
            </w:r>
          </w:p>
        </w:tc>
      </w:tr>
      <w:tr w:rsidR="009515FF">
        <w:trPr>
          <w:cantSplit/>
        </w:trPr>
        <w:tc>
          <w:tcPr>
            <w:tcW w:w="3147" w:type="dxa"/>
            <w:gridSpan w:val="2"/>
            <w:shd w:val="clear" w:color="auto" w:fill="auto"/>
          </w:tcPr>
          <w:p w:rsidR="009515FF" w:rsidRDefault="00B14AD4">
            <w:pPr>
              <w:pStyle w:val="nTable"/>
              <w:spacing w:after="40"/>
              <w:rPr>
                <w:i/>
              </w:rPr>
            </w:pPr>
            <w:r>
              <w:rPr>
                <w:i/>
              </w:rPr>
              <w:t xml:space="preserve">Transport Regulations Amendment (Fees and Charges) Regulations 2017 </w:t>
            </w:r>
            <w:r>
              <w:t>Pt. 7</w:t>
            </w:r>
          </w:p>
        </w:tc>
        <w:tc>
          <w:tcPr>
            <w:tcW w:w="1276" w:type="dxa"/>
            <w:gridSpan w:val="2"/>
            <w:shd w:val="clear" w:color="auto" w:fill="auto"/>
          </w:tcPr>
          <w:p w:rsidR="009515FF" w:rsidRDefault="00B14AD4">
            <w:pPr>
              <w:pStyle w:val="nTable"/>
              <w:spacing w:after="40"/>
            </w:pPr>
            <w:r>
              <w:t>26 May 2017 p. 2639</w:t>
            </w:r>
            <w:r>
              <w:noBreakHyphen/>
              <w:t>45</w:t>
            </w:r>
          </w:p>
        </w:tc>
        <w:tc>
          <w:tcPr>
            <w:tcW w:w="2665" w:type="dxa"/>
            <w:shd w:val="clear" w:color="auto" w:fill="auto"/>
          </w:tcPr>
          <w:p w:rsidR="009515FF" w:rsidRDefault="00B14AD4">
            <w:pPr>
              <w:pStyle w:val="nTable"/>
              <w:spacing w:after="40"/>
            </w:pPr>
            <w:r>
              <w:t>1 Jul 2017 (see r. 2(b))</w:t>
            </w:r>
          </w:p>
        </w:tc>
      </w:tr>
      <w:tr w:rsidR="009515FF">
        <w:trPr>
          <w:cantSplit/>
        </w:trPr>
        <w:tc>
          <w:tcPr>
            <w:tcW w:w="3147" w:type="dxa"/>
            <w:gridSpan w:val="2"/>
            <w:shd w:val="clear" w:color="auto" w:fill="auto"/>
          </w:tcPr>
          <w:p w:rsidR="009515FF" w:rsidRDefault="00B14AD4">
            <w:pPr>
              <w:pStyle w:val="nTable"/>
              <w:spacing w:after="40"/>
              <w:rPr>
                <w:i/>
              </w:rPr>
            </w:pPr>
            <w:r>
              <w:rPr>
                <w:i/>
              </w:rPr>
              <w:t>Shipping and Pilotage (Ports and Harbours) Amendment Regulations 2017</w:t>
            </w:r>
          </w:p>
        </w:tc>
        <w:tc>
          <w:tcPr>
            <w:tcW w:w="1276" w:type="dxa"/>
            <w:gridSpan w:val="2"/>
            <w:shd w:val="clear" w:color="auto" w:fill="auto"/>
          </w:tcPr>
          <w:p w:rsidR="009515FF" w:rsidRDefault="00B14AD4">
            <w:pPr>
              <w:pStyle w:val="nTable"/>
              <w:spacing w:after="40"/>
            </w:pPr>
            <w:r>
              <w:t>4 Jul 2017 p. 3665</w:t>
            </w:r>
            <w:r>
              <w:noBreakHyphen/>
              <w:t>6</w:t>
            </w:r>
          </w:p>
        </w:tc>
        <w:tc>
          <w:tcPr>
            <w:tcW w:w="2665" w:type="dxa"/>
            <w:shd w:val="clear" w:color="auto" w:fill="auto"/>
          </w:tcPr>
          <w:p w:rsidR="009515FF" w:rsidRDefault="00B14AD4">
            <w:pPr>
              <w:pStyle w:val="nTable"/>
              <w:spacing w:after="40"/>
            </w:pPr>
            <w:r>
              <w:rPr>
                <w:snapToGrid w:val="0"/>
              </w:rPr>
              <w:t xml:space="preserve">r. 1 and 2: </w:t>
            </w:r>
            <w:r>
              <w:t>4 Jul 2017</w:t>
            </w:r>
            <w:r>
              <w:rPr>
                <w:snapToGrid w:val="0"/>
              </w:rPr>
              <w:t xml:space="preserve"> (see r. 2(a));</w:t>
            </w:r>
            <w:r>
              <w:rPr>
                <w:snapToGrid w:val="0"/>
              </w:rPr>
              <w:br/>
              <w:t>Regulations other than r. 1 and 2: 5 Jul 2017 (see r. 2(b))</w:t>
            </w:r>
          </w:p>
        </w:tc>
      </w:tr>
      <w:tr w:rsidR="009515FF">
        <w:trPr>
          <w:cantSplit/>
        </w:trPr>
        <w:tc>
          <w:tcPr>
            <w:tcW w:w="3119" w:type="dxa"/>
            <w:shd w:val="clear" w:color="auto" w:fill="auto"/>
          </w:tcPr>
          <w:p w:rsidR="009515FF" w:rsidRDefault="00B14AD4">
            <w:pPr>
              <w:pStyle w:val="nTable"/>
              <w:tabs>
                <w:tab w:val="left" w:pos="879"/>
              </w:tabs>
              <w:spacing w:after="40"/>
            </w:pPr>
            <w:r>
              <w:rPr>
                <w:i/>
              </w:rPr>
              <w:t>Transport Regulations Amendment (Pilotage) Regulations 2018</w:t>
            </w:r>
            <w:r>
              <w:t> Pt. 3</w:t>
            </w:r>
          </w:p>
        </w:tc>
        <w:tc>
          <w:tcPr>
            <w:tcW w:w="1276" w:type="dxa"/>
            <w:gridSpan w:val="2"/>
            <w:shd w:val="clear" w:color="auto" w:fill="auto"/>
          </w:tcPr>
          <w:p w:rsidR="009515FF" w:rsidRDefault="00B14AD4">
            <w:pPr>
              <w:pStyle w:val="nTable"/>
              <w:tabs>
                <w:tab w:val="left" w:pos="879"/>
              </w:tabs>
              <w:spacing w:after="40"/>
            </w:pPr>
            <w:r>
              <w:t>11 May 2018 p. 1511</w:t>
            </w:r>
            <w:r>
              <w:noBreakHyphen/>
              <w:t>12</w:t>
            </w:r>
          </w:p>
        </w:tc>
        <w:tc>
          <w:tcPr>
            <w:tcW w:w="2693" w:type="dxa"/>
            <w:gridSpan w:val="2"/>
            <w:shd w:val="clear" w:color="auto" w:fill="auto"/>
          </w:tcPr>
          <w:p w:rsidR="009515FF" w:rsidRDefault="00B14AD4">
            <w:pPr>
              <w:pStyle w:val="nTable"/>
              <w:tabs>
                <w:tab w:val="left" w:pos="879"/>
              </w:tabs>
              <w:spacing w:after="40"/>
              <w:rPr>
                <w:bCs/>
                <w:snapToGrid w:val="0"/>
                <w:spacing w:val="-2"/>
              </w:rPr>
            </w:pPr>
            <w:r>
              <w:rPr>
                <w:bCs/>
                <w:snapToGrid w:val="0"/>
                <w:spacing w:val="-2"/>
              </w:rPr>
              <w:t>12 May 2018 (see r. 2(b))</w:t>
            </w:r>
          </w:p>
        </w:tc>
      </w:tr>
      <w:tr w:rsidR="009515FF">
        <w:trPr>
          <w:cantSplit/>
        </w:trPr>
        <w:tc>
          <w:tcPr>
            <w:tcW w:w="3119" w:type="dxa"/>
            <w:shd w:val="clear" w:color="auto" w:fill="auto"/>
          </w:tcPr>
          <w:p w:rsidR="009515FF" w:rsidRDefault="00B14AD4">
            <w:pPr>
              <w:pStyle w:val="nTable"/>
              <w:tabs>
                <w:tab w:val="left" w:pos="879"/>
              </w:tabs>
              <w:spacing w:after="40"/>
              <w:rPr>
                <w:i/>
              </w:rPr>
            </w:pPr>
            <w:r>
              <w:rPr>
                <w:i/>
              </w:rPr>
              <w:t xml:space="preserve">Transport Regulations Amendment (Fees and Charges) Regulations 2018 </w:t>
            </w:r>
            <w:r>
              <w:t>Pt. 7 </w:t>
            </w:r>
          </w:p>
        </w:tc>
        <w:tc>
          <w:tcPr>
            <w:tcW w:w="1276" w:type="dxa"/>
            <w:gridSpan w:val="2"/>
            <w:shd w:val="clear" w:color="auto" w:fill="auto"/>
          </w:tcPr>
          <w:p w:rsidR="009515FF" w:rsidRDefault="00B14AD4">
            <w:pPr>
              <w:pStyle w:val="nTable"/>
              <w:tabs>
                <w:tab w:val="left" w:pos="879"/>
              </w:tabs>
              <w:spacing w:after="40"/>
            </w:pPr>
            <w:r>
              <w:t>25 May 2018 p. 1640</w:t>
            </w:r>
            <w:r>
              <w:noBreakHyphen/>
              <w:t>7</w:t>
            </w:r>
          </w:p>
        </w:tc>
        <w:tc>
          <w:tcPr>
            <w:tcW w:w="2693" w:type="dxa"/>
            <w:gridSpan w:val="2"/>
            <w:shd w:val="clear" w:color="auto" w:fill="auto"/>
          </w:tcPr>
          <w:p w:rsidR="009515FF" w:rsidRDefault="00B14AD4">
            <w:pPr>
              <w:pStyle w:val="nTable"/>
              <w:tabs>
                <w:tab w:val="left" w:pos="879"/>
              </w:tabs>
              <w:spacing w:after="40"/>
              <w:rPr>
                <w:bCs/>
                <w:snapToGrid w:val="0"/>
                <w:spacing w:val="-2"/>
              </w:rPr>
            </w:pPr>
            <w:r>
              <w:t>1 Jul 2018 (see r. 2(b))</w:t>
            </w:r>
          </w:p>
        </w:tc>
      </w:tr>
      <w:tr w:rsidR="009515FF">
        <w:trPr>
          <w:cantSplit/>
        </w:trPr>
        <w:tc>
          <w:tcPr>
            <w:tcW w:w="3119" w:type="dxa"/>
            <w:shd w:val="clear" w:color="auto" w:fill="auto"/>
          </w:tcPr>
          <w:p w:rsidR="009515FF" w:rsidRDefault="00B14AD4">
            <w:pPr>
              <w:pStyle w:val="nTable"/>
              <w:tabs>
                <w:tab w:val="left" w:pos="879"/>
              </w:tabs>
              <w:spacing w:after="40"/>
              <w:rPr>
                <w:i/>
              </w:rPr>
            </w:pPr>
            <w:r>
              <w:rPr>
                <w:i/>
              </w:rPr>
              <w:t xml:space="preserve">Transport Regulations Amendment (Fees and Charges) Regulations 2019 </w:t>
            </w:r>
            <w:r>
              <w:t>Pt. 4 </w:t>
            </w:r>
          </w:p>
        </w:tc>
        <w:tc>
          <w:tcPr>
            <w:tcW w:w="1276" w:type="dxa"/>
            <w:gridSpan w:val="2"/>
            <w:shd w:val="clear" w:color="auto" w:fill="auto"/>
          </w:tcPr>
          <w:p w:rsidR="009515FF" w:rsidRDefault="00B14AD4">
            <w:pPr>
              <w:pStyle w:val="nTable"/>
              <w:tabs>
                <w:tab w:val="left" w:pos="879"/>
              </w:tabs>
              <w:spacing w:after="40"/>
            </w:pPr>
            <w:r>
              <w:t>17 May 2019 p. 1437</w:t>
            </w:r>
            <w:r>
              <w:noBreakHyphen/>
              <w:t>42</w:t>
            </w:r>
          </w:p>
        </w:tc>
        <w:tc>
          <w:tcPr>
            <w:tcW w:w="2693" w:type="dxa"/>
            <w:gridSpan w:val="2"/>
            <w:shd w:val="clear" w:color="auto" w:fill="auto"/>
          </w:tcPr>
          <w:p w:rsidR="009515FF" w:rsidRDefault="00B14AD4">
            <w:pPr>
              <w:pStyle w:val="nTable"/>
              <w:tabs>
                <w:tab w:val="left" w:pos="879"/>
              </w:tabs>
              <w:spacing w:after="40"/>
            </w:pPr>
            <w:r>
              <w:t>1 Jul 2019 (r. 2(c))</w:t>
            </w:r>
          </w:p>
        </w:tc>
      </w:tr>
      <w:tr w:rsidR="009515FF" w:rsidTr="00717266">
        <w:trPr>
          <w:cantSplit/>
        </w:trPr>
        <w:tc>
          <w:tcPr>
            <w:tcW w:w="3119" w:type="dxa"/>
            <w:shd w:val="clear" w:color="auto" w:fill="auto"/>
          </w:tcPr>
          <w:p w:rsidR="009515FF" w:rsidRDefault="00B14AD4">
            <w:pPr>
              <w:pStyle w:val="nTable"/>
              <w:tabs>
                <w:tab w:val="left" w:pos="879"/>
              </w:tabs>
              <w:spacing w:after="40"/>
              <w:rPr>
                <w:i/>
              </w:rPr>
            </w:pPr>
            <w:r>
              <w:rPr>
                <w:i/>
              </w:rPr>
              <w:t xml:space="preserve">Transport Regulations Amendment (Fees and Charges) Regulations 2020 </w:t>
            </w:r>
            <w:r>
              <w:t>Pt. 5</w:t>
            </w:r>
          </w:p>
        </w:tc>
        <w:tc>
          <w:tcPr>
            <w:tcW w:w="1276" w:type="dxa"/>
            <w:gridSpan w:val="2"/>
            <w:shd w:val="clear" w:color="auto" w:fill="auto"/>
          </w:tcPr>
          <w:p w:rsidR="009515FF" w:rsidRDefault="00B14AD4">
            <w:pPr>
              <w:pStyle w:val="nTable"/>
              <w:tabs>
                <w:tab w:val="left" w:pos="879"/>
              </w:tabs>
              <w:spacing w:after="40"/>
            </w:pPr>
            <w:r>
              <w:t>SL 2020/60 22 May 2020</w:t>
            </w:r>
          </w:p>
        </w:tc>
        <w:tc>
          <w:tcPr>
            <w:tcW w:w="2693" w:type="dxa"/>
            <w:gridSpan w:val="2"/>
            <w:shd w:val="clear" w:color="auto" w:fill="auto"/>
          </w:tcPr>
          <w:p w:rsidR="009515FF" w:rsidRDefault="00B14AD4">
            <w:pPr>
              <w:pStyle w:val="nTable"/>
              <w:tabs>
                <w:tab w:val="left" w:pos="879"/>
              </w:tabs>
              <w:spacing w:after="40"/>
            </w:pPr>
            <w:r>
              <w:t>1 Jul 2020 (see r. 2(b))</w:t>
            </w:r>
          </w:p>
        </w:tc>
      </w:tr>
      <w:tr w:rsidR="00BC1EA4" w:rsidTr="00717266">
        <w:trPr>
          <w:cantSplit/>
        </w:trPr>
        <w:tc>
          <w:tcPr>
            <w:tcW w:w="3119" w:type="dxa"/>
            <w:shd w:val="clear" w:color="auto" w:fill="auto"/>
          </w:tcPr>
          <w:p w:rsidR="00BC1EA4" w:rsidRDefault="00BC1EA4">
            <w:pPr>
              <w:pStyle w:val="nTable"/>
              <w:tabs>
                <w:tab w:val="left" w:pos="879"/>
              </w:tabs>
              <w:spacing w:after="40"/>
              <w:rPr>
                <w:i/>
              </w:rPr>
            </w:pPr>
            <w:r>
              <w:rPr>
                <w:i/>
              </w:rPr>
              <w:t>Transport Regulations Amendment (Ports) Regulations 2021</w:t>
            </w:r>
            <w:r>
              <w:t xml:space="preserve"> Pt. 3</w:t>
            </w:r>
          </w:p>
        </w:tc>
        <w:tc>
          <w:tcPr>
            <w:tcW w:w="1276" w:type="dxa"/>
            <w:gridSpan w:val="2"/>
            <w:shd w:val="clear" w:color="auto" w:fill="auto"/>
          </w:tcPr>
          <w:p w:rsidR="00BC1EA4" w:rsidRDefault="00BC1EA4">
            <w:pPr>
              <w:pStyle w:val="nTable"/>
              <w:tabs>
                <w:tab w:val="left" w:pos="879"/>
              </w:tabs>
              <w:spacing w:after="40"/>
            </w:pPr>
            <w:r>
              <w:t>SL 2021/51 7 May 2021</w:t>
            </w:r>
          </w:p>
        </w:tc>
        <w:tc>
          <w:tcPr>
            <w:tcW w:w="2693" w:type="dxa"/>
            <w:gridSpan w:val="2"/>
            <w:shd w:val="clear" w:color="auto" w:fill="auto"/>
          </w:tcPr>
          <w:p w:rsidR="00BC1EA4" w:rsidRDefault="00BC1EA4">
            <w:pPr>
              <w:pStyle w:val="nTable"/>
              <w:tabs>
                <w:tab w:val="left" w:pos="879"/>
              </w:tabs>
              <w:spacing w:after="40"/>
            </w:pPr>
            <w:r>
              <w:t>1 Jul 2021 (see r. 2(b) and SL 2021/50 cl. 2)</w:t>
            </w:r>
          </w:p>
        </w:tc>
      </w:tr>
      <w:tr w:rsidR="00BC1EA4">
        <w:trPr>
          <w:cantSplit/>
        </w:trPr>
        <w:tc>
          <w:tcPr>
            <w:tcW w:w="3119" w:type="dxa"/>
            <w:tcBorders>
              <w:bottom w:val="single" w:sz="4" w:space="0" w:color="auto"/>
            </w:tcBorders>
            <w:shd w:val="clear" w:color="auto" w:fill="auto"/>
          </w:tcPr>
          <w:p w:rsidR="00BC1EA4" w:rsidRDefault="00BC1EA4">
            <w:pPr>
              <w:pStyle w:val="nTable"/>
              <w:tabs>
                <w:tab w:val="left" w:pos="879"/>
              </w:tabs>
              <w:spacing w:after="40"/>
              <w:rPr>
                <w:i/>
              </w:rPr>
            </w:pPr>
            <w:r w:rsidRPr="00C87716">
              <w:rPr>
                <w:i/>
              </w:rPr>
              <w:t>Transport Regulations Amendment (Fees and Charges) Regulations (No</w:t>
            </w:r>
            <w:r>
              <w:rPr>
                <w:i/>
              </w:rPr>
              <w:t> </w:t>
            </w:r>
            <w:r w:rsidRPr="00C87716">
              <w:rPr>
                <w:i/>
              </w:rPr>
              <w:t>2)</w:t>
            </w:r>
            <w:r>
              <w:rPr>
                <w:i/>
              </w:rPr>
              <w:t> </w:t>
            </w:r>
            <w:r w:rsidRPr="00C87716">
              <w:rPr>
                <w:i/>
              </w:rPr>
              <w:t>2021</w:t>
            </w:r>
            <w:r>
              <w:t xml:space="preserve"> Pt. 6</w:t>
            </w:r>
          </w:p>
        </w:tc>
        <w:tc>
          <w:tcPr>
            <w:tcW w:w="1276" w:type="dxa"/>
            <w:gridSpan w:val="2"/>
            <w:tcBorders>
              <w:bottom w:val="single" w:sz="4" w:space="0" w:color="auto"/>
            </w:tcBorders>
            <w:shd w:val="clear" w:color="auto" w:fill="auto"/>
          </w:tcPr>
          <w:p w:rsidR="00BC1EA4" w:rsidRDefault="00BC1EA4">
            <w:pPr>
              <w:pStyle w:val="nTable"/>
              <w:tabs>
                <w:tab w:val="left" w:pos="879"/>
              </w:tabs>
              <w:spacing w:after="40"/>
            </w:pPr>
            <w:r>
              <w:t>SL 2021/92 18 Jun 2021</w:t>
            </w:r>
          </w:p>
        </w:tc>
        <w:tc>
          <w:tcPr>
            <w:tcW w:w="2693" w:type="dxa"/>
            <w:gridSpan w:val="2"/>
            <w:tcBorders>
              <w:bottom w:val="single" w:sz="4" w:space="0" w:color="auto"/>
            </w:tcBorders>
            <w:shd w:val="clear" w:color="auto" w:fill="auto"/>
          </w:tcPr>
          <w:p w:rsidR="00BC1EA4" w:rsidRDefault="00BC1EA4">
            <w:pPr>
              <w:pStyle w:val="nTable"/>
              <w:tabs>
                <w:tab w:val="left" w:pos="879"/>
              </w:tabs>
              <w:spacing w:after="40"/>
            </w:pPr>
            <w:r>
              <w:t>1 Jul 2021 (see r. 2(b)</w:t>
            </w:r>
            <w:r w:rsidR="007657ED">
              <w:t xml:space="preserve"> and (c)</w:t>
            </w:r>
            <w:r>
              <w:t>, SL 2021/51 r. 2(b) and SL 2021/50 cl. 2)</w:t>
            </w:r>
          </w:p>
        </w:tc>
      </w:tr>
    </w:tbl>
    <w:p w:rsidR="009515FF" w:rsidRDefault="00B14AD4">
      <w:pPr>
        <w:pStyle w:val="nHeading3"/>
      </w:pPr>
      <w:bookmarkStart w:id="155" w:name="_Toc75528265"/>
      <w:r>
        <w:lastRenderedPageBreak/>
        <w:t>Other notes</w:t>
      </w:r>
      <w:bookmarkEnd w:id="155"/>
    </w:p>
    <w:p w:rsidR="009515FF" w:rsidRDefault="00B14AD4">
      <w:pPr>
        <w:pStyle w:val="nNote"/>
      </w:pPr>
      <w:r>
        <w:rPr>
          <w:vertAlign w:val="superscript"/>
        </w:rPr>
        <w:t>1</w:t>
      </w:r>
      <w:r>
        <w:tab/>
        <w:t xml:space="preserve">Repealed by the </w:t>
      </w:r>
      <w:r>
        <w:rPr>
          <w:i/>
        </w:rPr>
        <w:t>Workplace and Other Legislation Amendment Act 1996</w:t>
      </w:r>
      <w:r>
        <w:t xml:space="preserve"> Sch. 19. That Act was then repealed by the </w:t>
      </w:r>
      <w:r>
        <w:rPr>
          <w:i/>
        </w:rPr>
        <w:t>Fair Work (Transitional Provisions and Consequential Amendments) Act 2009</w:t>
      </w:r>
      <w:r>
        <w:t xml:space="preserve"> (Cwlth).</w:t>
      </w:r>
    </w:p>
    <w:p w:rsidR="009515FF" w:rsidRDefault="00B14AD4">
      <w:pPr>
        <w:pStyle w:val="nNote"/>
      </w:pPr>
      <w:r>
        <w:rPr>
          <w:vertAlign w:val="superscript"/>
        </w:rPr>
        <w:t>2</w:t>
      </w:r>
      <w:r>
        <w:rPr>
          <w:vertAlign w:val="superscript"/>
        </w:rPr>
        <w:tab/>
      </w:r>
      <w:r>
        <w:t xml:space="preserve">The </w:t>
      </w:r>
      <w:r>
        <w:rPr>
          <w:i/>
        </w:rPr>
        <w:t>Shipping and Pilotage Amendment Act 2006</w:t>
      </w:r>
      <w:r>
        <w:t xml:space="preserve"> s. 10 commenced on 4 June 2010.</w:t>
      </w:r>
    </w:p>
    <w:p w:rsidR="009515FF" w:rsidRDefault="00B14AD4">
      <w:pPr>
        <w:pStyle w:val="nNote"/>
      </w:pPr>
      <w:r>
        <w:rPr>
          <w:vertAlign w:val="superscript"/>
        </w:rPr>
        <w:t>3</w:t>
      </w:r>
      <w:r>
        <w:tab/>
        <w:t xml:space="preserve">Citation was initially the </w:t>
      </w:r>
      <w:r>
        <w:rPr>
          <w:i/>
        </w:rPr>
        <w:t>Ports and Harbours Regulations</w:t>
      </w:r>
      <w:r>
        <w:t xml:space="preserve"> and was subsequently changed to the </w:t>
      </w:r>
      <w:r>
        <w:rPr>
          <w:i/>
        </w:rPr>
        <w:t>Ports and Harbours Regulations 1966</w:t>
      </w:r>
      <w:r>
        <w:t xml:space="preserve"> and then to the </w:t>
      </w:r>
      <w:r>
        <w:rPr>
          <w:i/>
        </w:rPr>
        <w:t>Shipping and Pilotage (Ports and Harbours) Regulations 1966</w:t>
      </w:r>
      <w:r>
        <w:t xml:space="preserve"> (see note under r. 1).</w:t>
      </w:r>
    </w:p>
    <w:p w:rsidR="009515FF" w:rsidRDefault="009515FF">
      <w:pPr>
        <w:sectPr w:rsidR="009515FF">
          <w:headerReference w:type="even" r:id="rId45"/>
          <w:headerReference w:type="default" r:id="rId46"/>
          <w:pgSz w:w="11907" w:h="16840" w:code="9"/>
          <w:pgMar w:top="2376" w:right="2404" w:bottom="3544" w:left="2404" w:header="720" w:footer="3380" w:gutter="0"/>
          <w:cols w:space="720"/>
          <w:noEndnote/>
          <w:docGrid w:linePitch="326"/>
        </w:sectPr>
      </w:pPr>
    </w:p>
    <w:p w:rsidR="0029279F" w:rsidRDefault="0029279F">
      <w:pPr>
        <w:pStyle w:val="nHeading2"/>
        <w:rPr>
          <w:sz w:val="28"/>
        </w:rPr>
      </w:pPr>
      <w:bookmarkStart w:id="157" w:name="_Toc75426844"/>
      <w:bookmarkStart w:id="158" w:name="_Toc75528266"/>
      <w:r>
        <w:rPr>
          <w:sz w:val="28"/>
        </w:rPr>
        <w:lastRenderedPageBreak/>
        <w:t>Defined terms</w:t>
      </w:r>
      <w:bookmarkEnd w:id="157"/>
      <w:bookmarkEnd w:id="158"/>
    </w:p>
    <w:p w:rsidR="0029279F" w:rsidRDefault="0029279F">
      <w:pPr>
        <w:ind w:left="850" w:right="850"/>
        <w:jc w:val="center"/>
        <w:rPr>
          <w:i/>
          <w:sz w:val="18"/>
        </w:rPr>
      </w:pPr>
    </w:p>
    <w:p w:rsidR="0029279F" w:rsidRDefault="0029279F">
      <w:pPr>
        <w:ind w:left="850" w:right="850"/>
        <w:jc w:val="center"/>
        <w:rPr>
          <w:i/>
          <w:sz w:val="18"/>
        </w:rPr>
      </w:pPr>
      <w:r>
        <w:rPr>
          <w:i/>
          <w:sz w:val="18"/>
        </w:rPr>
        <w:t>[This is a list of terms defined and the provisions where they are defined.  The list is not part of the law.]</w:t>
      </w:r>
    </w:p>
    <w:p w:rsidR="0029279F" w:rsidRDefault="0029279F">
      <w:pPr>
        <w:pBdr>
          <w:bottom w:val="single" w:sz="4" w:space="1" w:color="auto"/>
        </w:pBdr>
        <w:tabs>
          <w:tab w:val="right" w:pos="7070"/>
        </w:tabs>
        <w:ind w:left="578"/>
        <w:rPr>
          <w:b/>
          <w:sz w:val="20"/>
        </w:rPr>
      </w:pPr>
      <w:r>
        <w:rPr>
          <w:b/>
          <w:sz w:val="20"/>
        </w:rPr>
        <w:t>Defined term</w:t>
      </w:r>
      <w:r>
        <w:rPr>
          <w:b/>
          <w:sz w:val="20"/>
        </w:rPr>
        <w:tab/>
        <w:t>Provision(s)</w:t>
      </w:r>
    </w:p>
    <w:p w:rsidR="009515FF" w:rsidRDefault="0029279F" w:rsidP="0029279F">
      <w:pPr>
        <w:pStyle w:val="DefinedTerms"/>
      </w:pPr>
      <w:r>
        <w:t>amending Act</w:t>
      </w:r>
      <w:r>
        <w:tab/>
        <w:t>52(1)</w:t>
      </w:r>
    </w:p>
    <w:p w:rsidR="0029279F" w:rsidRDefault="0029279F" w:rsidP="0029279F">
      <w:pPr>
        <w:pStyle w:val="DefinedTerms"/>
      </w:pPr>
      <w:r>
        <w:t>approved</w:t>
      </w:r>
      <w:r>
        <w:tab/>
        <w:t>4</w:t>
      </w:r>
    </w:p>
    <w:p w:rsidR="0029279F" w:rsidRDefault="0029279F" w:rsidP="0029279F">
      <w:pPr>
        <w:pStyle w:val="DefinedTerms"/>
      </w:pPr>
      <w:r>
        <w:t>certificate</w:t>
      </w:r>
      <w:r>
        <w:tab/>
        <w:t>4</w:t>
      </w:r>
    </w:p>
    <w:p w:rsidR="0029279F" w:rsidRDefault="0029279F" w:rsidP="0029279F">
      <w:pPr>
        <w:pStyle w:val="DefinedTerms"/>
      </w:pPr>
      <w:r>
        <w:t>certificate of health</w:t>
      </w:r>
      <w:r>
        <w:tab/>
        <w:t>4</w:t>
      </w:r>
    </w:p>
    <w:p w:rsidR="0029279F" w:rsidRDefault="0029279F" w:rsidP="0029279F">
      <w:pPr>
        <w:pStyle w:val="DefinedTerms"/>
      </w:pPr>
      <w:r>
        <w:t>coasting vessel</w:t>
      </w:r>
      <w:r>
        <w:tab/>
        <w:t>4</w:t>
      </w:r>
    </w:p>
    <w:p w:rsidR="0029279F" w:rsidRDefault="0029279F" w:rsidP="0029279F">
      <w:pPr>
        <w:pStyle w:val="DefinedTerms"/>
      </w:pPr>
      <w:r>
        <w:t>commencement day</w:t>
      </w:r>
      <w:r>
        <w:tab/>
        <w:t>52(1)</w:t>
      </w:r>
    </w:p>
    <w:p w:rsidR="0029279F" w:rsidRDefault="0029279F" w:rsidP="0029279F">
      <w:pPr>
        <w:pStyle w:val="DefinedTerms"/>
      </w:pPr>
      <w:r>
        <w:t>commercial vessel</w:t>
      </w:r>
      <w:r>
        <w:tab/>
        <w:t>18(2a)</w:t>
      </w:r>
    </w:p>
    <w:p w:rsidR="0029279F" w:rsidRDefault="0029279F" w:rsidP="0029279F">
      <w:pPr>
        <w:pStyle w:val="DefinedTerms"/>
      </w:pPr>
      <w:r>
        <w:t>exempt master</w:t>
      </w:r>
      <w:r>
        <w:tab/>
        <w:t>4</w:t>
      </w:r>
    </w:p>
    <w:p w:rsidR="0029279F" w:rsidRDefault="0029279F" w:rsidP="0029279F">
      <w:pPr>
        <w:pStyle w:val="DefinedTerms"/>
      </w:pPr>
      <w:r>
        <w:t>existing port</w:t>
      </w:r>
      <w:r>
        <w:tab/>
        <w:t>52(1)</w:t>
      </w:r>
    </w:p>
    <w:p w:rsidR="0029279F" w:rsidRDefault="0029279F" w:rsidP="0029279F">
      <w:pPr>
        <w:pStyle w:val="DefinedTerms"/>
      </w:pPr>
      <w:r>
        <w:t>gross registered tonnage</w:t>
      </w:r>
      <w:r>
        <w:tab/>
        <w:t>4</w:t>
      </w:r>
    </w:p>
    <w:p w:rsidR="0029279F" w:rsidRDefault="0029279F" w:rsidP="0029279F">
      <w:pPr>
        <w:pStyle w:val="DefinedTerms"/>
      </w:pPr>
      <w:r>
        <w:t>inflammable liquid</w:t>
      </w:r>
      <w:r>
        <w:tab/>
        <w:t>30</w:t>
      </w:r>
    </w:p>
    <w:p w:rsidR="0029279F" w:rsidRDefault="0029279F" w:rsidP="0029279F">
      <w:pPr>
        <w:pStyle w:val="DefinedTerms"/>
      </w:pPr>
      <w:r>
        <w:t>International Tonnage Certificate (1969)</w:t>
      </w:r>
      <w:r>
        <w:tab/>
        <w:t>4</w:t>
      </w:r>
    </w:p>
    <w:p w:rsidR="0029279F" w:rsidRDefault="0029279F" w:rsidP="0029279F">
      <w:pPr>
        <w:pStyle w:val="DefinedTerms"/>
      </w:pPr>
      <w:r>
        <w:t>interstate vessel</w:t>
      </w:r>
      <w:r>
        <w:tab/>
        <w:t>4</w:t>
      </w:r>
    </w:p>
    <w:p w:rsidR="0029279F" w:rsidRDefault="0029279F" w:rsidP="0029279F">
      <w:pPr>
        <w:pStyle w:val="DefinedTerms"/>
      </w:pPr>
      <w:r>
        <w:t>length overall</w:t>
      </w:r>
      <w:r>
        <w:tab/>
        <w:t>4</w:t>
      </w:r>
    </w:p>
    <w:p w:rsidR="0029279F" w:rsidRDefault="0029279F" w:rsidP="0029279F">
      <w:pPr>
        <w:pStyle w:val="DefinedTerms"/>
      </w:pPr>
      <w:r>
        <w:t>licensed pilot</w:t>
      </w:r>
      <w:r>
        <w:tab/>
        <w:t>4</w:t>
      </w:r>
    </w:p>
    <w:p w:rsidR="0029279F" w:rsidRDefault="0029279F" w:rsidP="0029279F">
      <w:pPr>
        <w:pStyle w:val="DefinedTerms"/>
      </w:pPr>
      <w:r>
        <w:t>master</w:t>
      </w:r>
      <w:r>
        <w:tab/>
        <w:t>4</w:t>
      </w:r>
    </w:p>
    <w:p w:rsidR="0029279F" w:rsidRDefault="0029279F" w:rsidP="0029279F">
      <w:pPr>
        <w:pStyle w:val="DefinedTerms"/>
      </w:pPr>
      <w:r>
        <w:t>oil vessel</w:t>
      </w:r>
      <w:r>
        <w:tab/>
        <w:t>30</w:t>
      </w:r>
    </w:p>
    <w:p w:rsidR="0029279F" w:rsidRDefault="0029279F" w:rsidP="0029279F">
      <w:pPr>
        <w:pStyle w:val="DefinedTerms"/>
      </w:pPr>
      <w:r>
        <w:t>owner</w:t>
      </w:r>
      <w:r>
        <w:tab/>
        <w:t>4</w:t>
      </w:r>
    </w:p>
    <w:p w:rsidR="0029279F" w:rsidRDefault="0029279F" w:rsidP="0029279F">
      <w:pPr>
        <w:pStyle w:val="DefinedTerms"/>
      </w:pPr>
      <w:r>
        <w:t>passenger</w:t>
      </w:r>
      <w:r>
        <w:tab/>
        <w:t>4</w:t>
      </w:r>
    </w:p>
    <w:p w:rsidR="0029279F" w:rsidRDefault="0029279F" w:rsidP="0029279F">
      <w:pPr>
        <w:pStyle w:val="DefinedTerms"/>
      </w:pPr>
      <w:r>
        <w:t>reviewable decision</w:t>
      </w:r>
      <w:r>
        <w:tab/>
        <w:t>9I(1)</w:t>
      </w:r>
    </w:p>
    <w:p w:rsidR="0029279F" w:rsidRDefault="0029279F" w:rsidP="0029279F">
      <w:pPr>
        <w:pStyle w:val="DefinedTerms"/>
      </w:pPr>
      <w:r>
        <w:t>subject port</w:t>
      </w:r>
      <w:r>
        <w:tab/>
        <w:t>4</w:t>
      </w:r>
    </w:p>
    <w:p w:rsidR="0029279F" w:rsidRDefault="0029279F" w:rsidP="0029279F">
      <w:pPr>
        <w:pStyle w:val="DefinedTerms"/>
      </w:pPr>
      <w:r>
        <w:t>surveyor</w:t>
      </w:r>
      <w:r>
        <w:tab/>
        <w:t>4</w:t>
      </w:r>
    </w:p>
    <w:p w:rsidR="0029279F" w:rsidRDefault="0029279F" w:rsidP="0029279F">
      <w:pPr>
        <w:pStyle w:val="DefinedTerms"/>
      </w:pPr>
      <w:r>
        <w:t>tonnage</w:t>
      </w:r>
      <w:r>
        <w:tab/>
        <w:t>4</w:t>
      </w:r>
    </w:p>
    <w:p w:rsidR="0029279F" w:rsidRDefault="0029279F" w:rsidP="0029279F">
      <w:pPr>
        <w:pStyle w:val="DefinedTerms"/>
      </w:pPr>
      <w:r>
        <w:t>tons</w:t>
      </w:r>
      <w:r>
        <w:tab/>
        <w:t>4</w:t>
      </w:r>
    </w:p>
    <w:p w:rsidR="0029279F" w:rsidRDefault="0029279F" w:rsidP="0029279F">
      <w:pPr>
        <w:pStyle w:val="DefinedTerms"/>
      </w:pPr>
      <w:r>
        <w:t>vessel</w:t>
      </w:r>
      <w:r>
        <w:tab/>
        <w:t>4</w:t>
      </w:r>
    </w:p>
    <w:p w:rsidR="0029279F" w:rsidRDefault="0029279F" w:rsidP="0029279F">
      <w:pPr>
        <w:pStyle w:val="DefinedTerms"/>
      </w:pPr>
      <w:r>
        <w:t>vessel of war</w:t>
      </w:r>
      <w:r>
        <w:tab/>
        <w:t>4</w:t>
      </w:r>
    </w:p>
    <w:p w:rsidR="0029279F" w:rsidRDefault="0029279F" w:rsidP="0029279F">
      <w:pPr>
        <w:pStyle w:val="DefinedTerms"/>
      </w:pPr>
      <w:r>
        <w:t>Western Australian Land Information Authority</w:t>
      </w:r>
      <w:r>
        <w:tab/>
        <w:t>4</w:t>
      </w:r>
    </w:p>
    <w:p w:rsidR="0029279F" w:rsidRDefault="0029279F" w:rsidP="0029279F">
      <w:pPr>
        <w:pStyle w:val="DefinedTerms"/>
      </w:pPr>
      <w:r>
        <w:t>wharf</w:t>
      </w:r>
      <w:r>
        <w:tab/>
        <w:t>4</w:t>
      </w:r>
    </w:p>
    <w:p w:rsidR="0029279F" w:rsidRDefault="0029279F" w:rsidP="0029279F"/>
    <w:p w:rsidR="0029279F" w:rsidRDefault="0029279F">
      <w:pPr>
        <w:sectPr w:rsidR="0029279F">
          <w:headerReference w:type="even" r:id="rId47"/>
          <w:headerReference w:type="default" r:id="rId48"/>
          <w:pgSz w:w="11907" w:h="16840" w:code="9"/>
          <w:pgMar w:top="2381" w:right="2409" w:bottom="3543" w:left="2409" w:header="720" w:footer="3380" w:gutter="0"/>
          <w:cols w:space="720"/>
          <w:noEndnote/>
          <w:docGrid w:linePitch="326"/>
        </w:sectPr>
      </w:pPr>
    </w:p>
    <w:p w:rsidR="009515FF" w:rsidRDefault="009515FF"/>
    <w:sectPr w:rsidR="009515FF">
      <w:headerReference w:type="even" r:id="rId49"/>
      <w:headerReference w:type="default" r:id="rId50"/>
      <w:footerReference w:type="even" r:id="rId51"/>
      <w:footerReference w:type="default" r:id="rId52"/>
      <w:headerReference w:type="first" r:id="rId53"/>
      <w:footerReference w:type="first" r:id="rId54"/>
      <w:type w:val="continuous"/>
      <w:pgSz w:w="11907" w:h="16840" w:code="9"/>
      <w:pgMar w:top="2376" w:right="2404" w:bottom="3544" w:left="2404" w:header="720" w:footer="3380" w:gutter="0"/>
      <w:pgNumType w:start="1"/>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C1EA4" w:rsidRDefault="00BC1EA4">
      <w:r>
        <w:separator/>
      </w:r>
    </w:p>
  </w:endnote>
  <w:endnote w:type="continuationSeparator" w:id="0">
    <w:p w:rsidR="00BC1EA4" w:rsidRDefault="00BC1E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Helvetica">
    <w:panose1 w:val="020B05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C1EA4" w:rsidRDefault="00BC1EA4">
    <w:pPr>
      <w:pStyle w:val="Footer"/>
      <w:pBdr>
        <w:bottom w:val="single" w:sz="4" w:space="1" w:color="auto"/>
      </w:pBdr>
      <w:rPr>
        <w:sz w:val="20"/>
      </w:rPr>
    </w:pPr>
  </w:p>
  <w:p w:rsidR="00BC1EA4" w:rsidRDefault="00BC1EA4">
    <w:pPr>
      <w:pStyle w:val="Footer"/>
      <w:tabs>
        <w:tab w:val="center" w:pos="3600"/>
        <w:tab w:val="right" w:pos="7080"/>
      </w:tabs>
      <w:rPr>
        <w:sz w:val="20"/>
      </w:rPr>
    </w:pPr>
    <w:r>
      <w:rPr>
        <w:sz w:val="20"/>
      </w:rPr>
      <w:tab/>
      <w:t xml:space="preserve">Version </w:t>
    </w:r>
    <w:r>
      <w:rPr>
        <w:sz w:val="20"/>
      </w:rPr>
      <w:fldChar w:fldCharType="begin"/>
    </w:r>
    <w:r>
      <w:rPr>
        <w:sz w:val="20"/>
      </w:rPr>
      <w:instrText xml:space="preserve"> DOCPROPERTY "Suffix" </w:instrText>
    </w:r>
    <w:r>
      <w:rPr>
        <w:sz w:val="20"/>
      </w:rPr>
      <w:fldChar w:fldCharType="separate"/>
    </w:r>
    <w:r w:rsidR="00914885">
      <w:rPr>
        <w:sz w:val="20"/>
      </w:rPr>
      <w:t>06-u0-00</w:t>
    </w:r>
    <w:r>
      <w:rPr>
        <w:sz w:val="20"/>
      </w:rPr>
      <w:fldChar w:fldCharType="end"/>
    </w:r>
    <w:r>
      <w:rPr>
        <w:sz w:val="20"/>
      </w:rPr>
      <w:tab/>
      <w:t xml:space="preserve">As at </w:t>
    </w:r>
    <w:r>
      <w:rPr>
        <w:sz w:val="20"/>
      </w:rPr>
      <w:fldChar w:fldCharType="begin"/>
    </w:r>
    <w:r>
      <w:rPr>
        <w:sz w:val="20"/>
      </w:rPr>
      <w:instrText xml:space="preserve"> DOCPROPERTY "AsAtDate" </w:instrText>
    </w:r>
    <w:r>
      <w:rPr>
        <w:sz w:val="20"/>
      </w:rPr>
      <w:fldChar w:fldCharType="separate"/>
    </w:r>
    <w:r w:rsidR="00914885">
      <w:rPr>
        <w:sz w:val="20"/>
      </w:rPr>
      <w:t>01 Jul 2021</w:t>
    </w:r>
    <w:r>
      <w:rPr>
        <w:sz w:val="20"/>
      </w:rPr>
      <w:fldChar w:fldCharType="end"/>
    </w:r>
  </w:p>
  <w:p w:rsidR="00BC1EA4" w:rsidRDefault="00BC1EA4">
    <w:pPr>
      <w:pStyle w:val="Footer"/>
      <w:tabs>
        <w:tab w:val="center" w:pos="3600"/>
      </w:tabs>
      <w:rPr>
        <w:sz w:val="16"/>
      </w:rPr>
    </w:pPr>
    <w:r>
      <w:rPr>
        <w:sz w:val="16"/>
      </w:rPr>
      <w:tab/>
      <w:t>Published on www.legislation.wa.gov.au</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C1EA4" w:rsidRDefault="00BC1EA4">
    <w:pPr>
      <w:pStyle w:val="Footer"/>
      <w:pBdr>
        <w:bottom w:val="single" w:sz="4" w:space="1" w:color="auto"/>
      </w:pBdr>
      <w:rPr>
        <w:sz w:val="20"/>
      </w:rPr>
    </w:pPr>
  </w:p>
  <w:p w:rsidR="00BC1EA4" w:rsidRDefault="00BC1EA4">
    <w:pPr>
      <w:pStyle w:val="Footer"/>
      <w:tabs>
        <w:tab w:val="center" w:pos="3600"/>
        <w:tab w:val="right" w:pos="7080"/>
      </w:tabs>
      <w:rPr>
        <w:sz w:val="20"/>
      </w:rPr>
    </w:pPr>
    <w:r>
      <w:rPr>
        <w:sz w:val="20"/>
      </w:rPr>
      <w:t xml:space="preserve">As at </w:t>
    </w:r>
    <w:r>
      <w:rPr>
        <w:sz w:val="20"/>
      </w:rPr>
      <w:fldChar w:fldCharType="begin"/>
    </w:r>
    <w:r>
      <w:rPr>
        <w:sz w:val="20"/>
      </w:rPr>
      <w:instrText xml:space="preserve"> DOCPROPERTY "AsAtDate" </w:instrText>
    </w:r>
    <w:r>
      <w:rPr>
        <w:sz w:val="20"/>
      </w:rPr>
      <w:fldChar w:fldCharType="separate"/>
    </w:r>
    <w:r w:rsidR="00914885">
      <w:rPr>
        <w:sz w:val="20"/>
      </w:rPr>
      <w:t>01 Jul 2021</w:t>
    </w:r>
    <w:r>
      <w:rPr>
        <w:sz w:val="20"/>
      </w:rPr>
      <w:fldChar w:fldCharType="end"/>
    </w:r>
    <w:r>
      <w:rPr>
        <w:sz w:val="20"/>
      </w:rPr>
      <w:tab/>
      <w:t xml:space="preserve">Version </w:t>
    </w:r>
    <w:r>
      <w:rPr>
        <w:sz w:val="20"/>
      </w:rPr>
      <w:fldChar w:fldCharType="begin"/>
    </w:r>
    <w:r>
      <w:rPr>
        <w:sz w:val="20"/>
      </w:rPr>
      <w:instrText xml:space="preserve"> DOCPROPERTY "Suffix" </w:instrText>
    </w:r>
    <w:r>
      <w:rPr>
        <w:sz w:val="20"/>
      </w:rPr>
      <w:fldChar w:fldCharType="separate"/>
    </w:r>
    <w:r w:rsidR="00914885">
      <w:rPr>
        <w:sz w:val="20"/>
      </w:rPr>
      <w:t>06-u0-00</w:t>
    </w:r>
    <w:r>
      <w:rPr>
        <w:sz w:val="20"/>
      </w:rPr>
      <w:fldChar w:fldCharType="end"/>
    </w:r>
  </w:p>
  <w:p w:rsidR="00BC1EA4" w:rsidRDefault="00BC1EA4">
    <w:pPr>
      <w:pStyle w:val="Footer"/>
      <w:tabs>
        <w:tab w:val="center" w:pos="3600"/>
      </w:tabs>
      <w:rPr>
        <w:sz w:val="16"/>
      </w:rPr>
    </w:pPr>
    <w:r>
      <w:rPr>
        <w:sz w:val="16"/>
      </w:rPr>
      <w:tab/>
      <w:t>Published on www.legislation.wa.gov.au</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C1EA4" w:rsidRDefault="00BC1EA4">
    <w:pPr>
      <w:pStyle w:val="Footer"/>
      <w:pBdr>
        <w:bottom w:val="single" w:sz="4" w:space="1" w:color="auto"/>
      </w:pBdr>
      <w:rPr>
        <w:sz w:val="20"/>
      </w:rPr>
    </w:pPr>
  </w:p>
  <w:p w:rsidR="00BC1EA4" w:rsidRDefault="00BC1EA4">
    <w:pPr>
      <w:pStyle w:val="Footer"/>
      <w:tabs>
        <w:tab w:val="center" w:pos="3600"/>
        <w:tab w:val="right" w:pos="7080"/>
      </w:tabs>
      <w:rPr>
        <w:sz w:val="20"/>
      </w:rPr>
    </w:pPr>
    <w:r>
      <w:rPr>
        <w:sz w:val="20"/>
      </w:rPr>
      <w:t xml:space="preserve">As at </w:t>
    </w:r>
    <w:r>
      <w:rPr>
        <w:sz w:val="20"/>
      </w:rPr>
      <w:fldChar w:fldCharType="begin"/>
    </w:r>
    <w:r>
      <w:rPr>
        <w:sz w:val="20"/>
      </w:rPr>
      <w:instrText xml:space="preserve"> DOCPROPERTY "AsAtDate" </w:instrText>
    </w:r>
    <w:r>
      <w:rPr>
        <w:sz w:val="20"/>
      </w:rPr>
      <w:fldChar w:fldCharType="separate"/>
    </w:r>
    <w:r w:rsidR="00914885">
      <w:rPr>
        <w:sz w:val="20"/>
      </w:rPr>
      <w:t>01 Jul 2021</w:t>
    </w:r>
    <w:r>
      <w:rPr>
        <w:sz w:val="20"/>
      </w:rPr>
      <w:fldChar w:fldCharType="end"/>
    </w:r>
    <w:r>
      <w:rPr>
        <w:sz w:val="20"/>
      </w:rPr>
      <w:tab/>
      <w:t xml:space="preserve">Version </w:t>
    </w:r>
    <w:r>
      <w:rPr>
        <w:sz w:val="20"/>
      </w:rPr>
      <w:fldChar w:fldCharType="begin"/>
    </w:r>
    <w:r>
      <w:rPr>
        <w:sz w:val="20"/>
      </w:rPr>
      <w:instrText xml:space="preserve"> DOCPROPERTY "Suffix" </w:instrText>
    </w:r>
    <w:r>
      <w:rPr>
        <w:sz w:val="20"/>
      </w:rPr>
      <w:fldChar w:fldCharType="separate"/>
    </w:r>
    <w:r w:rsidR="00914885">
      <w:rPr>
        <w:sz w:val="20"/>
      </w:rPr>
      <w:t>06-u0-00</w:t>
    </w:r>
    <w:r>
      <w:rPr>
        <w:sz w:val="20"/>
      </w:rPr>
      <w:fldChar w:fldCharType="end"/>
    </w:r>
  </w:p>
  <w:p w:rsidR="00BC1EA4" w:rsidRDefault="00BC1EA4">
    <w:pPr>
      <w:pStyle w:val="Footer"/>
      <w:tabs>
        <w:tab w:val="center" w:pos="3600"/>
      </w:tabs>
      <w:rPr>
        <w:sz w:val="16"/>
      </w:rPr>
    </w:pPr>
    <w:r>
      <w:rPr>
        <w:sz w:val="16"/>
      </w:rPr>
      <w:tab/>
      <w:t>Published on www.legislation.wa.gov.au</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C1EA4" w:rsidRDefault="00BC1EA4">
    <w:pPr>
      <w:pStyle w:val="Footer"/>
      <w:pBdr>
        <w:bottom w:val="single" w:sz="4" w:space="1" w:color="auto"/>
      </w:pBdr>
      <w:rPr>
        <w:sz w:val="20"/>
      </w:rPr>
    </w:pPr>
  </w:p>
  <w:p w:rsidR="00BC1EA4" w:rsidRDefault="00BC1EA4">
    <w:pPr>
      <w:pStyle w:val="Footer"/>
      <w:tabs>
        <w:tab w:val="center" w:pos="3600"/>
        <w:tab w:val="right" w:pos="7080"/>
      </w:tabs>
      <w:rPr>
        <w:sz w:val="20"/>
      </w:rPr>
    </w:pPr>
    <w:r>
      <w:rPr>
        <w:sz w:val="20"/>
      </w:rPr>
      <w:t xml:space="preserve">page </w:t>
    </w:r>
    <w:r>
      <w:rPr>
        <w:sz w:val="20"/>
      </w:rPr>
      <w:fldChar w:fldCharType="begin"/>
    </w:r>
    <w:r>
      <w:rPr>
        <w:sz w:val="20"/>
      </w:rPr>
      <w:instrText xml:space="preserve"> PAGE </w:instrText>
    </w:r>
    <w:r>
      <w:rPr>
        <w:sz w:val="20"/>
      </w:rPr>
      <w:fldChar w:fldCharType="separate"/>
    </w:r>
    <w:r>
      <w:rPr>
        <w:noProof/>
        <w:sz w:val="20"/>
      </w:rPr>
      <w:t>90</w:t>
    </w:r>
    <w:r>
      <w:rPr>
        <w:sz w:val="20"/>
      </w:rPr>
      <w:fldChar w:fldCharType="end"/>
    </w:r>
    <w:r>
      <w:rPr>
        <w:sz w:val="20"/>
      </w:rPr>
      <w:tab/>
      <w:t xml:space="preserve">Version </w:t>
    </w:r>
    <w:r>
      <w:rPr>
        <w:sz w:val="20"/>
      </w:rPr>
      <w:fldChar w:fldCharType="begin"/>
    </w:r>
    <w:r>
      <w:rPr>
        <w:sz w:val="20"/>
      </w:rPr>
      <w:instrText xml:space="preserve"> DOCPROPERTY "Suffix" </w:instrText>
    </w:r>
    <w:r>
      <w:rPr>
        <w:sz w:val="20"/>
      </w:rPr>
      <w:fldChar w:fldCharType="separate"/>
    </w:r>
    <w:r w:rsidR="00914885">
      <w:rPr>
        <w:sz w:val="20"/>
      </w:rPr>
      <w:t>06-u0-00</w:t>
    </w:r>
    <w:r>
      <w:rPr>
        <w:sz w:val="20"/>
      </w:rPr>
      <w:fldChar w:fldCharType="end"/>
    </w:r>
    <w:r>
      <w:rPr>
        <w:sz w:val="20"/>
      </w:rPr>
      <w:tab/>
      <w:t xml:space="preserve">As at </w:t>
    </w:r>
    <w:r>
      <w:rPr>
        <w:sz w:val="20"/>
      </w:rPr>
      <w:fldChar w:fldCharType="begin"/>
    </w:r>
    <w:r>
      <w:rPr>
        <w:sz w:val="20"/>
      </w:rPr>
      <w:instrText xml:space="preserve"> DOCPROPERTY "AsAtDate" </w:instrText>
    </w:r>
    <w:r>
      <w:rPr>
        <w:sz w:val="20"/>
      </w:rPr>
      <w:fldChar w:fldCharType="separate"/>
    </w:r>
    <w:r w:rsidR="00914885">
      <w:rPr>
        <w:sz w:val="20"/>
      </w:rPr>
      <w:t>01 Jul 2021</w:t>
    </w:r>
    <w:r>
      <w:rPr>
        <w:sz w:val="20"/>
      </w:rPr>
      <w:fldChar w:fldCharType="end"/>
    </w:r>
  </w:p>
  <w:p w:rsidR="00BC1EA4" w:rsidRDefault="00BC1EA4">
    <w:pPr>
      <w:pStyle w:val="Footer"/>
      <w:tabs>
        <w:tab w:val="center" w:pos="3600"/>
      </w:tabs>
      <w:rPr>
        <w:sz w:val="16"/>
      </w:rPr>
    </w:pPr>
    <w:r>
      <w:rPr>
        <w:sz w:val="16"/>
      </w:rPr>
      <w:tab/>
      <w:t>Published on www.legislation.wa.gov.au</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C1EA4" w:rsidRDefault="00BC1EA4">
    <w:pPr>
      <w:pStyle w:val="Footer"/>
      <w:pBdr>
        <w:bottom w:val="single" w:sz="4" w:space="1" w:color="auto"/>
      </w:pBdr>
      <w:rPr>
        <w:sz w:val="20"/>
      </w:rPr>
    </w:pPr>
  </w:p>
  <w:p w:rsidR="00BC1EA4" w:rsidRDefault="00BC1EA4">
    <w:pPr>
      <w:pStyle w:val="Footer"/>
      <w:tabs>
        <w:tab w:val="center" w:pos="3600"/>
        <w:tab w:val="right" w:pos="7080"/>
      </w:tabs>
      <w:rPr>
        <w:sz w:val="20"/>
      </w:rPr>
    </w:pPr>
    <w:r>
      <w:rPr>
        <w:sz w:val="20"/>
      </w:rPr>
      <w:t xml:space="preserve">As at </w:t>
    </w:r>
    <w:r>
      <w:rPr>
        <w:sz w:val="20"/>
      </w:rPr>
      <w:fldChar w:fldCharType="begin"/>
    </w:r>
    <w:r>
      <w:rPr>
        <w:sz w:val="20"/>
      </w:rPr>
      <w:instrText xml:space="preserve"> DOCPROPERTY "AsAtDate" </w:instrText>
    </w:r>
    <w:r>
      <w:rPr>
        <w:sz w:val="20"/>
      </w:rPr>
      <w:fldChar w:fldCharType="separate"/>
    </w:r>
    <w:r w:rsidR="00914885">
      <w:rPr>
        <w:sz w:val="20"/>
      </w:rPr>
      <w:t>01 Jul 2021</w:t>
    </w:r>
    <w:r>
      <w:rPr>
        <w:sz w:val="20"/>
      </w:rPr>
      <w:fldChar w:fldCharType="end"/>
    </w:r>
    <w:r>
      <w:rPr>
        <w:sz w:val="20"/>
      </w:rPr>
      <w:tab/>
      <w:t xml:space="preserve">Version </w:t>
    </w:r>
    <w:r>
      <w:rPr>
        <w:sz w:val="20"/>
      </w:rPr>
      <w:fldChar w:fldCharType="begin"/>
    </w:r>
    <w:r>
      <w:rPr>
        <w:sz w:val="20"/>
      </w:rPr>
      <w:instrText xml:space="preserve"> DOCPROPERTY "Suffix" </w:instrText>
    </w:r>
    <w:r>
      <w:rPr>
        <w:sz w:val="20"/>
      </w:rPr>
      <w:fldChar w:fldCharType="separate"/>
    </w:r>
    <w:r w:rsidR="00914885">
      <w:rPr>
        <w:sz w:val="20"/>
      </w:rPr>
      <w:t>06-u0-00</w:t>
    </w:r>
    <w:r>
      <w:rPr>
        <w:sz w:val="20"/>
      </w:rPr>
      <w:fldChar w:fldCharType="end"/>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89</w:t>
    </w:r>
    <w:r>
      <w:rPr>
        <w:sz w:val="20"/>
      </w:rPr>
      <w:fldChar w:fldCharType="end"/>
    </w:r>
  </w:p>
  <w:p w:rsidR="00BC1EA4" w:rsidRDefault="00BC1EA4">
    <w:pPr>
      <w:pStyle w:val="Footer"/>
      <w:tabs>
        <w:tab w:val="center" w:pos="3600"/>
      </w:tabs>
      <w:rPr>
        <w:sz w:val="16"/>
      </w:rPr>
    </w:pPr>
    <w:r>
      <w:rPr>
        <w:sz w:val="16"/>
      </w:rPr>
      <w:tab/>
      <w:t>Published on www.legislation.wa.gov.au</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C1EA4" w:rsidRDefault="00BC1EA4">
    <w:pPr>
      <w:pStyle w:val="Footer"/>
      <w:pBdr>
        <w:bottom w:val="single" w:sz="4" w:space="1" w:color="auto"/>
      </w:pBdr>
      <w:rPr>
        <w:sz w:val="20"/>
      </w:rPr>
    </w:pPr>
  </w:p>
  <w:p w:rsidR="00BC1EA4" w:rsidRDefault="00BC1EA4">
    <w:pPr>
      <w:pStyle w:val="Footer"/>
      <w:tabs>
        <w:tab w:val="center" w:pos="3600"/>
        <w:tab w:val="right" w:pos="7080"/>
      </w:tabs>
      <w:rPr>
        <w:sz w:val="20"/>
      </w:rPr>
    </w:pPr>
    <w:r>
      <w:rPr>
        <w:sz w:val="20"/>
      </w:rPr>
      <w:t xml:space="preserve">As at </w:t>
    </w:r>
    <w:r>
      <w:rPr>
        <w:sz w:val="20"/>
      </w:rPr>
      <w:fldChar w:fldCharType="begin"/>
    </w:r>
    <w:r>
      <w:rPr>
        <w:sz w:val="20"/>
      </w:rPr>
      <w:instrText xml:space="preserve"> DOCPROPERTY "AsAtDate" </w:instrText>
    </w:r>
    <w:r>
      <w:rPr>
        <w:sz w:val="20"/>
      </w:rPr>
      <w:fldChar w:fldCharType="separate"/>
    </w:r>
    <w:r w:rsidR="00914885">
      <w:rPr>
        <w:sz w:val="20"/>
      </w:rPr>
      <w:t>01 Jul 2021</w:t>
    </w:r>
    <w:r>
      <w:rPr>
        <w:sz w:val="20"/>
      </w:rPr>
      <w:fldChar w:fldCharType="end"/>
    </w:r>
    <w:r>
      <w:rPr>
        <w:sz w:val="20"/>
      </w:rPr>
      <w:tab/>
      <w:t xml:space="preserve">Version </w:t>
    </w:r>
    <w:r>
      <w:rPr>
        <w:sz w:val="20"/>
      </w:rPr>
      <w:fldChar w:fldCharType="begin"/>
    </w:r>
    <w:r>
      <w:rPr>
        <w:sz w:val="20"/>
      </w:rPr>
      <w:instrText xml:space="preserve"> DOCPROPERTY "Suffix" </w:instrText>
    </w:r>
    <w:r>
      <w:rPr>
        <w:sz w:val="20"/>
      </w:rPr>
      <w:fldChar w:fldCharType="separate"/>
    </w:r>
    <w:r w:rsidR="00914885">
      <w:rPr>
        <w:sz w:val="20"/>
      </w:rPr>
      <w:t>06-u0-00</w:t>
    </w:r>
    <w:r>
      <w:rPr>
        <w:sz w:val="20"/>
      </w:rPr>
      <w:fldChar w:fldCharType="end"/>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xci</w:t>
    </w:r>
    <w:r>
      <w:rPr>
        <w:sz w:val="20"/>
      </w:rPr>
      <w:fldChar w:fldCharType="end"/>
    </w:r>
  </w:p>
  <w:p w:rsidR="00BC1EA4" w:rsidRDefault="00BC1EA4">
    <w:pPr>
      <w:pStyle w:val="Footer"/>
      <w:tabs>
        <w:tab w:val="center" w:pos="3600"/>
      </w:tabs>
      <w:rPr>
        <w:sz w:val="16"/>
      </w:rPr>
    </w:pPr>
    <w:r>
      <w:rPr>
        <w:sz w:val="16"/>
      </w:rPr>
      <w:tab/>
      <w:t>Published on www.legislation.wa.gov.au</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C1EA4" w:rsidRDefault="00BC1EA4">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C1EA4" w:rsidRDefault="00BC1EA4">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C1EA4" w:rsidRDefault="00BC1EA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C1EA4" w:rsidRDefault="00BC1EA4">
      <w:r>
        <w:separator/>
      </w:r>
    </w:p>
  </w:footnote>
  <w:footnote w:type="continuationSeparator" w:id="0">
    <w:p w:rsidR="00BC1EA4" w:rsidRDefault="00BC1EA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14885" w:rsidRDefault="00914885">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63" w:type="dxa"/>
      <w:jc w:val="center"/>
      <w:tblLayout w:type="fixed"/>
      <w:tblCellMar>
        <w:left w:w="72" w:type="dxa"/>
        <w:right w:w="72" w:type="dxa"/>
      </w:tblCellMar>
      <w:tblLook w:val="0000" w:firstRow="0" w:lastRow="0" w:firstColumn="0" w:lastColumn="0" w:noHBand="0" w:noVBand="0"/>
    </w:tblPr>
    <w:tblGrid>
      <w:gridCol w:w="2057"/>
      <w:gridCol w:w="5206"/>
    </w:tblGrid>
    <w:tr w:rsidR="00BC1EA4">
      <w:trPr>
        <w:cantSplit/>
        <w:jc w:val="center"/>
      </w:trPr>
      <w:tc>
        <w:tcPr>
          <w:tcW w:w="7263" w:type="dxa"/>
          <w:gridSpan w:val="2"/>
        </w:tcPr>
        <w:p w:rsidR="00BC1EA4" w:rsidRDefault="00BC1EA4">
          <w:pPr>
            <w:pStyle w:val="Header"/>
          </w:pPr>
          <w:r>
            <w:rPr>
              <w:b/>
              <w:i/>
            </w:rPr>
            <w:fldChar w:fldCharType="begin"/>
          </w:r>
          <w:r>
            <w:rPr>
              <w:b/>
              <w:i/>
            </w:rPr>
            <w:instrText>STYLEREF "Name of Act/Reg"</w:instrText>
          </w:r>
          <w:r>
            <w:rPr>
              <w:b/>
              <w:i/>
            </w:rPr>
            <w:fldChar w:fldCharType="separate"/>
          </w:r>
          <w:r w:rsidR="00914885">
            <w:rPr>
              <w:b/>
              <w:i/>
            </w:rPr>
            <w:t>Shipping and Pilotage (Ports and Harbours) Regulations 1966</w:t>
          </w:r>
          <w:r>
            <w:rPr>
              <w:b/>
              <w:i/>
            </w:rPr>
            <w:fldChar w:fldCharType="end"/>
          </w:r>
        </w:p>
      </w:tc>
    </w:tr>
    <w:tr w:rsidR="00BC1EA4">
      <w:trPr>
        <w:jc w:val="center"/>
      </w:trPr>
      <w:tc>
        <w:tcPr>
          <w:tcW w:w="2057" w:type="dxa"/>
        </w:tcPr>
        <w:p w:rsidR="00BC1EA4" w:rsidRDefault="00BC1EA4">
          <w:pPr>
            <w:pStyle w:val="Header"/>
            <w:spacing w:before="40"/>
          </w:pPr>
          <w:r>
            <w:rPr>
              <w:b/>
            </w:rPr>
            <w:fldChar w:fldCharType="begin"/>
          </w:r>
          <w:r>
            <w:rPr>
              <w:b/>
            </w:rPr>
            <w:instrText>styleref CharSchno</w:instrText>
          </w:r>
          <w:r>
            <w:rPr>
              <w:b/>
            </w:rPr>
            <w:fldChar w:fldCharType="end"/>
          </w:r>
        </w:p>
      </w:tc>
      <w:tc>
        <w:tcPr>
          <w:tcW w:w="5206" w:type="dxa"/>
        </w:tcPr>
        <w:p w:rsidR="00BC1EA4" w:rsidRDefault="00BC1EA4">
          <w:pPr>
            <w:pStyle w:val="Header"/>
            <w:spacing w:before="40"/>
          </w:pPr>
          <w:r>
            <w:fldChar w:fldCharType="begin"/>
          </w:r>
          <w:r>
            <w:instrText>styleref CharSchText</w:instrText>
          </w:r>
          <w:r>
            <w:fldChar w:fldCharType="end"/>
          </w:r>
        </w:p>
      </w:tc>
    </w:tr>
    <w:tr w:rsidR="00BC1EA4">
      <w:trPr>
        <w:jc w:val="center"/>
      </w:trPr>
      <w:tc>
        <w:tcPr>
          <w:tcW w:w="2057" w:type="dxa"/>
        </w:tcPr>
        <w:p w:rsidR="00BC1EA4" w:rsidRDefault="00BC1EA4">
          <w:pPr>
            <w:pStyle w:val="Header"/>
            <w:spacing w:before="40"/>
          </w:pPr>
          <w:r>
            <w:rPr>
              <w:b/>
            </w:rPr>
            <w:fldChar w:fldCharType="begin"/>
          </w:r>
          <w:r>
            <w:rPr>
              <w:b/>
            </w:rPr>
            <w:instrText xml:space="preserve"> STYLEREF CharSDivNo \* charformat</w:instrText>
          </w:r>
          <w:r>
            <w:rPr>
              <w:b/>
            </w:rPr>
            <w:fldChar w:fldCharType="end"/>
          </w:r>
        </w:p>
      </w:tc>
      <w:tc>
        <w:tcPr>
          <w:tcW w:w="5206" w:type="dxa"/>
          <w:vAlign w:val="bottom"/>
        </w:tcPr>
        <w:p w:rsidR="00BC1EA4" w:rsidRDefault="00BC1EA4">
          <w:pPr>
            <w:pStyle w:val="Header"/>
            <w:spacing w:before="40"/>
          </w:pPr>
          <w:r>
            <w:fldChar w:fldCharType="begin"/>
          </w:r>
          <w:r>
            <w:instrText xml:space="preserve"> styleref CharSDivText </w:instrText>
          </w:r>
          <w:r>
            <w:fldChar w:fldCharType="end"/>
          </w:r>
        </w:p>
      </w:tc>
    </w:tr>
    <w:tr w:rsidR="00BC1EA4">
      <w:trPr>
        <w:jc w:val="center"/>
      </w:trPr>
      <w:tc>
        <w:tcPr>
          <w:tcW w:w="2057" w:type="dxa"/>
        </w:tcPr>
        <w:p w:rsidR="00BC1EA4" w:rsidRDefault="00BC1EA4">
          <w:pPr>
            <w:pStyle w:val="Header"/>
            <w:spacing w:before="40"/>
          </w:pPr>
        </w:p>
      </w:tc>
      <w:tc>
        <w:tcPr>
          <w:tcW w:w="5206" w:type="dxa"/>
        </w:tcPr>
        <w:p w:rsidR="00BC1EA4" w:rsidRDefault="00BC1EA4">
          <w:pPr>
            <w:pStyle w:val="Header"/>
            <w:spacing w:before="40"/>
          </w:pPr>
        </w:p>
      </w:tc>
    </w:tr>
  </w:tbl>
  <w:p w:rsidR="00BC1EA4" w:rsidRDefault="00BC1EA4">
    <w:pPr>
      <w:pStyle w:val="Header"/>
      <w:pBdr>
        <w:top w:val="single" w:sz="4" w:space="1" w:color="auto"/>
      </w:pBd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jc w:val="center"/>
      <w:tblLayout w:type="fixed"/>
      <w:tblCellMar>
        <w:left w:w="72" w:type="dxa"/>
        <w:right w:w="72" w:type="dxa"/>
      </w:tblCellMar>
      <w:tblLook w:val="0000" w:firstRow="0" w:lastRow="0" w:firstColumn="0" w:lastColumn="0" w:noHBand="0" w:noVBand="0"/>
    </w:tblPr>
    <w:tblGrid>
      <w:gridCol w:w="5232"/>
      <w:gridCol w:w="1928"/>
    </w:tblGrid>
    <w:tr w:rsidR="00BC1EA4">
      <w:trPr>
        <w:cantSplit/>
        <w:jc w:val="center"/>
      </w:trPr>
      <w:tc>
        <w:tcPr>
          <w:tcW w:w="7160" w:type="dxa"/>
          <w:gridSpan w:val="2"/>
        </w:tcPr>
        <w:p w:rsidR="00BC1EA4" w:rsidRDefault="00BC1EA4">
          <w:pPr>
            <w:pStyle w:val="Header"/>
            <w:ind w:right="17"/>
            <w:jc w:val="right"/>
          </w:pPr>
          <w:r>
            <w:rPr>
              <w:b/>
              <w:i/>
            </w:rPr>
            <w:fldChar w:fldCharType="begin"/>
          </w:r>
          <w:r>
            <w:rPr>
              <w:b/>
              <w:i/>
            </w:rPr>
            <w:instrText>STYLEREF "Name of Act/Reg"</w:instrText>
          </w:r>
          <w:r>
            <w:rPr>
              <w:b/>
              <w:i/>
            </w:rPr>
            <w:fldChar w:fldCharType="separate"/>
          </w:r>
          <w:r w:rsidR="00914885">
            <w:rPr>
              <w:b/>
              <w:i/>
            </w:rPr>
            <w:t>Shipping and Pilotage (Ports and Harbours) Regulations 1966</w:t>
          </w:r>
          <w:r>
            <w:rPr>
              <w:b/>
              <w:i/>
            </w:rPr>
            <w:fldChar w:fldCharType="end"/>
          </w:r>
        </w:p>
      </w:tc>
    </w:tr>
    <w:tr w:rsidR="00BC1EA4">
      <w:trPr>
        <w:jc w:val="center"/>
      </w:trPr>
      <w:tc>
        <w:tcPr>
          <w:tcW w:w="5232" w:type="dxa"/>
        </w:tcPr>
        <w:p w:rsidR="00BC1EA4" w:rsidRDefault="00BC1EA4">
          <w:pPr>
            <w:pStyle w:val="Header"/>
            <w:spacing w:before="40"/>
            <w:jc w:val="right"/>
          </w:pPr>
          <w:r>
            <w:fldChar w:fldCharType="begin"/>
          </w:r>
          <w:r>
            <w:instrText>styleref CharSchText</w:instrText>
          </w:r>
          <w:r>
            <w:fldChar w:fldCharType="end"/>
          </w:r>
        </w:p>
      </w:tc>
      <w:tc>
        <w:tcPr>
          <w:tcW w:w="1928" w:type="dxa"/>
        </w:tcPr>
        <w:p w:rsidR="00BC1EA4" w:rsidRDefault="00BC1EA4">
          <w:pPr>
            <w:pStyle w:val="Header"/>
            <w:spacing w:before="40"/>
            <w:ind w:right="17"/>
            <w:jc w:val="right"/>
          </w:pPr>
          <w:r>
            <w:rPr>
              <w:b/>
            </w:rPr>
            <w:fldChar w:fldCharType="begin"/>
          </w:r>
          <w:r>
            <w:rPr>
              <w:b/>
            </w:rPr>
            <w:instrText xml:space="preserve"> IF </w:instrText>
          </w:r>
          <w:r>
            <w:rPr>
              <w:b/>
            </w:rPr>
            <w:fldChar w:fldCharType="begin"/>
          </w:r>
          <w:r>
            <w:rPr>
              <w:b/>
            </w:rPr>
            <w:instrText>STYLEREF CharSchno \n</w:instrText>
          </w:r>
          <w:r>
            <w:rPr>
              <w:b/>
            </w:rPr>
            <w:fldChar w:fldCharType="separate"/>
          </w:r>
          <w:r w:rsidR="00914885">
            <w:rPr>
              <w:b/>
            </w:rPr>
            <w:instrText>0</w:instrText>
          </w:r>
          <w:r>
            <w:rPr>
              <w:b/>
            </w:rPr>
            <w:fldChar w:fldCharType="end"/>
          </w:r>
          <w:r>
            <w:rPr>
              <w:b/>
            </w:rPr>
            <w:instrText xml:space="preserve"> = 0 "</w:instrText>
          </w:r>
          <w:r>
            <w:rPr>
              <w:b/>
            </w:rPr>
            <w:fldChar w:fldCharType="begin"/>
          </w:r>
          <w:r>
            <w:rPr>
              <w:b/>
            </w:rPr>
            <w:instrText>STYLEREF CharSchno</w:instrText>
          </w:r>
          <w:r>
            <w:rPr>
              <w:b/>
            </w:rPr>
            <w:fldChar w:fldCharType="end"/>
          </w:r>
          <w:r>
            <w:rPr>
              <w:b/>
            </w:rPr>
            <w:instrText>" "</w:instrText>
          </w:r>
          <w:r>
            <w:rPr>
              <w:b/>
            </w:rPr>
            <w:fldChar w:fldCharType="begin"/>
          </w:r>
          <w:r>
            <w:rPr>
              <w:b/>
            </w:rPr>
            <w:instrText xml:space="preserve"> STYLEREF CharSchno </w:instrText>
          </w:r>
          <w:r>
            <w:rPr>
              <w:b/>
            </w:rPr>
            <w:fldChar w:fldCharType="end"/>
          </w:r>
          <w:r>
            <w:rPr>
              <w:b/>
            </w:rPr>
            <w:instrText xml:space="preserve"> </w:instrText>
          </w:r>
          <w:r>
            <w:rPr>
              <w:b/>
            </w:rPr>
            <w:fldChar w:fldCharType="begin"/>
          </w:r>
          <w:r>
            <w:rPr>
              <w:b/>
            </w:rPr>
            <w:instrText>STYLEREF CharSchno \n</w:instrText>
          </w:r>
          <w:r>
            <w:rPr>
              <w:b/>
            </w:rPr>
            <w:fldChar w:fldCharType="end"/>
          </w:r>
          <w:r>
            <w:rPr>
              <w:b/>
            </w:rPr>
            <w:instrText>"Schedule 1Schedule 1</w:instrText>
          </w:r>
          <w:r>
            <w:rPr>
              <w:b/>
            </w:rPr>
            <w:fldChar w:fldCharType="end"/>
          </w:r>
        </w:p>
      </w:tc>
    </w:tr>
    <w:tr w:rsidR="00BC1EA4">
      <w:trPr>
        <w:jc w:val="center"/>
      </w:trPr>
      <w:tc>
        <w:tcPr>
          <w:tcW w:w="5232" w:type="dxa"/>
          <w:vAlign w:val="bottom"/>
        </w:tcPr>
        <w:p w:rsidR="00BC1EA4" w:rsidRDefault="00BC1EA4">
          <w:pPr>
            <w:pStyle w:val="Header"/>
            <w:spacing w:before="40"/>
            <w:jc w:val="right"/>
          </w:pPr>
          <w:r>
            <w:fldChar w:fldCharType="begin"/>
          </w:r>
          <w:r>
            <w:instrText xml:space="preserve"> styleref CharSDivText </w:instrText>
          </w:r>
          <w:r>
            <w:fldChar w:fldCharType="end"/>
          </w:r>
        </w:p>
      </w:tc>
      <w:tc>
        <w:tcPr>
          <w:tcW w:w="1928" w:type="dxa"/>
        </w:tcPr>
        <w:p w:rsidR="00BC1EA4" w:rsidRDefault="00BC1EA4">
          <w:pPr>
            <w:pStyle w:val="Header"/>
            <w:spacing w:before="40"/>
            <w:ind w:right="17"/>
            <w:jc w:val="right"/>
          </w:pPr>
          <w:r>
            <w:rPr>
              <w:b/>
            </w:rPr>
            <w:fldChar w:fldCharType="begin"/>
          </w:r>
          <w:r>
            <w:rPr>
              <w:b/>
            </w:rPr>
            <w:instrText xml:space="preserve"> STYLEREF CharSDivNo \* charformat</w:instrText>
          </w:r>
          <w:r>
            <w:rPr>
              <w:b/>
            </w:rPr>
            <w:fldChar w:fldCharType="end"/>
          </w:r>
        </w:p>
      </w:tc>
    </w:tr>
    <w:tr w:rsidR="00BC1EA4">
      <w:trPr>
        <w:jc w:val="center"/>
      </w:trPr>
      <w:tc>
        <w:tcPr>
          <w:tcW w:w="5232" w:type="dxa"/>
        </w:tcPr>
        <w:p w:rsidR="00BC1EA4" w:rsidRDefault="00BC1EA4">
          <w:pPr>
            <w:pStyle w:val="Header"/>
            <w:spacing w:before="40"/>
            <w:jc w:val="right"/>
          </w:pPr>
        </w:p>
      </w:tc>
      <w:tc>
        <w:tcPr>
          <w:tcW w:w="1928" w:type="dxa"/>
        </w:tcPr>
        <w:p w:rsidR="00BC1EA4" w:rsidRDefault="00BC1EA4">
          <w:pPr>
            <w:pStyle w:val="Header"/>
            <w:spacing w:before="40"/>
            <w:ind w:right="17"/>
            <w:jc w:val="right"/>
          </w:pPr>
        </w:p>
      </w:tc>
    </w:tr>
  </w:tbl>
  <w:p w:rsidR="00BC1EA4" w:rsidRDefault="00BC1EA4">
    <w:pPr>
      <w:pStyle w:val="Header"/>
      <w:pBdr>
        <w:top w:val="single" w:sz="4" w:space="1" w:color="auto"/>
      </w:pBdr>
    </w:pPr>
    <w:bookmarkStart w:id="131" w:name="Schedule"/>
    <w:bookmarkEnd w:id="131"/>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C1EA4" w:rsidRDefault="00BC1EA4">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63" w:type="dxa"/>
      <w:jc w:val="center"/>
      <w:tblLayout w:type="fixed"/>
      <w:tblCellMar>
        <w:left w:w="72" w:type="dxa"/>
        <w:right w:w="72" w:type="dxa"/>
      </w:tblCellMar>
      <w:tblLook w:val="0000" w:firstRow="0" w:lastRow="0" w:firstColumn="0" w:lastColumn="0" w:noHBand="0" w:noVBand="0"/>
    </w:tblPr>
    <w:tblGrid>
      <w:gridCol w:w="2057"/>
      <w:gridCol w:w="5206"/>
    </w:tblGrid>
    <w:tr w:rsidR="00BC1EA4">
      <w:trPr>
        <w:cantSplit/>
        <w:jc w:val="center"/>
      </w:trPr>
      <w:tc>
        <w:tcPr>
          <w:tcW w:w="7263" w:type="dxa"/>
          <w:gridSpan w:val="2"/>
        </w:tcPr>
        <w:p w:rsidR="00BC1EA4" w:rsidRDefault="00BC1EA4">
          <w:pPr>
            <w:pStyle w:val="Header"/>
          </w:pPr>
          <w:r>
            <w:rPr>
              <w:b/>
              <w:i/>
            </w:rPr>
            <w:fldChar w:fldCharType="begin"/>
          </w:r>
          <w:r>
            <w:rPr>
              <w:b/>
              <w:i/>
            </w:rPr>
            <w:instrText>STYLEREF "Name of Act/Reg"</w:instrText>
          </w:r>
          <w:r>
            <w:rPr>
              <w:b/>
              <w:i/>
            </w:rPr>
            <w:fldChar w:fldCharType="separate"/>
          </w:r>
          <w:r w:rsidR="00914885">
            <w:rPr>
              <w:b/>
              <w:i/>
            </w:rPr>
            <w:t>Shipping and Pilotage (Ports and Harbours) Regulations 1966</w:t>
          </w:r>
          <w:r>
            <w:rPr>
              <w:b/>
              <w:i/>
            </w:rPr>
            <w:fldChar w:fldCharType="end"/>
          </w:r>
        </w:p>
      </w:tc>
    </w:tr>
    <w:tr w:rsidR="00BC1EA4">
      <w:trPr>
        <w:jc w:val="center"/>
      </w:trPr>
      <w:tc>
        <w:tcPr>
          <w:tcW w:w="2057" w:type="dxa"/>
        </w:tcPr>
        <w:p w:rsidR="00BC1EA4" w:rsidRDefault="00BC1EA4">
          <w:pPr>
            <w:pStyle w:val="Header"/>
            <w:spacing w:before="40"/>
          </w:pPr>
          <w:r>
            <w:rPr>
              <w:b/>
            </w:rPr>
            <w:fldChar w:fldCharType="begin"/>
          </w:r>
          <w:r>
            <w:rPr>
              <w:b/>
            </w:rPr>
            <w:instrText>styleref CharSchno</w:instrText>
          </w:r>
          <w:r>
            <w:rPr>
              <w:b/>
            </w:rPr>
            <w:fldChar w:fldCharType="separate"/>
          </w:r>
          <w:r w:rsidR="00914885">
            <w:rPr>
              <w:b/>
            </w:rPr>
            <w:t>Schedule 1A</w:t>
          </w:r>
          <w:r>
            <w:rPr>
              <w:b/>
            </w:rPr>
            <w:fldChar w:fldCharType="end"/>
          </w:r>
        </w:p>
      </w:tc>
      <w:tc>
        <w:tcPr>
          <w:tcW w:w="5206" w:type="dxa"/>
        </w:tcPr>
        <w:p w:rsidR="00BC1EA4" w:rsidRDefault="00BC1EA4">
          <w:pPr>
            <w:pStyle w:val="Header"/>
            <w:spacing w:before="40"/>
          </w:pPr>
          <w:r>
            <w:fldChar w:fldCharType="begin"/>
          </w:r>
          <w:r>
            <w:instrText>styleref CharSchText</w:instrText>
          </w:r>
          <w:r>
            <w:fldChar w:fldCharType="separate"/>
          </w:r>
          <w:r w:rsidR="00914885">
            <w:t>Declared ports</w:t>
          </w:r>
          <w:r>
            <w:fldChar w:fldCharType="end"/>
          </w:r>
        </w:p>
      </w:tc>
    </w:tr>
    <w:tr w:rsidR="00BC1EA4">
      <w:trPr>
        <w:jc w:val="center"/>
      </w:trPr>
      <w:tc>
        <w:tcPr>
          <w:tcW w:w="2057" w:type="dxa"/>
        </w:tcPr>
        <w:p w:rsidR="00BC1EA4" w:rsidRDefault="00BC1EA4">
          <w:pPr>
            <w:pStyle w:val="Header"/>
            <w:spacing w:before="40"/>
          </w:pPr>
        </w:p>
      </w:tc>
      <w:tc>
        <w:tcPr>
          <w:tcW w:w="5206" w:type="dxa"/>
        </w:tcPr>
        <w:p w:rsidR="00BC1EA4" w:rsidRDefault="00BC1EA4">
          <w:pPr>
            <w:pStyle w:val="Header"/>
            <w:spacing w:before="40"/>
          </w:pPr>
        </w:p>
      </w:tc>
    </w:tr>
    <w:tr w:rsidR="00BC1EA4">
      <w:trPr>
        <w:jc w:val="center"/>
      </w:trPr>
      <w:tc>
        <w:tcPr>
          <w:tcW w:w="2057" w:type="dxa"/>
        </w:tcPr>
        <w:p w:rsidR="00BC1EA4" w:rsidRDefault="00BC1EA4">
          <w:pPr>
            <w:pStyle w:val="Header"/>
            <w:spacing w:before="40"/>
          </w:pPr>
        </w:p>
      </w:tc>
      <w:tc>
        <w:tcPr>
          <w:tcW w:w="5206" w:type="dxa"/>
        </w:tcPr>
        <w:p w:rsidR="00BC1EA4" w:rsidRDefault="00BC1EA4">
          <w:pPr>
            <w:pStyle w:val="Header"/>
            <w:spacing w:before="40"/>
          </w:pPr>
        </w:p>
      </w:tc>
    </w:tr>
  </w:tbl>
  <w:p w:rsidR="00BC1EA4" w:rsidRDefault="00BC1EA4">
    <w:pPr>
      <w:pStyle w:val="Header"/>
      <w:pBdr>
        <w:top w:val="single" w:sz="4" w:space="1" w:color="auto"/>
      </w:pBd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63" w:type="dxa"/>
      <w:jc w:val="center"/>
      <w:tblLayout w:type="fixed"/>
      <w:tblCellMar>
        <w:left w:w="72" w:type="dxa"/>
        <w:right w:w="72" w:type="dxa"/>
      </w:tblCellMar>
      <w:tblLook w:val="0000" w:firstRow="0" w:lastRow="0" w:firstColumn="0" w:lastColumn="0" w:noHBand="0" w:noVBand="0"/>
    </w:tblPr>
    <w:tblGrid>
      <w:gridCol w:w="5352"/>
      <w:gridCol w:w="1911"/>
    </w:tblGrid>
    <w:tr w:rsidR="00BC1EA4">
      <w:trPr>
        <w:cantSplit/>
        <w:jc w:val="center"/>
      </w:trPr>
      <w:tc>
        <w:tcPr>
          <w:tcW w:w="7263" w:type="dxa"/>
          <w:gridSpan w:val="2"/>
        </w:tcPr>
        <w:p w:rsidR="00BC1EA4" w:rsidRDefault="00BC1EA4">
          <w:pPr>
            <w:pStyle w:val="Header"/>
            <w:ind w:right="17"/>
            <w:jc w:val="right"/>
          </w:pPr>
          <w:r>
            <w:rPr>
              <w:b/>
              <w:i/>
            </w:rPr>
            <w:fldChar w:fldCharType="begin"/>
          </w:r>
          <w:r>
            <w:rPr>
              <w:b/>
              <w:i/>
            </w:rPr>
            <w:instrText>Styleref "Name of Act/Reg"</w:instrText>
          </w:r>
          <w:r>
            <w:rPr>
              <w:b/>
              <w:i/>
            </w:rPr>
            <w:fldChar w:fldCharType="separate"/>
          </w:r>
          <w:r w:rsidR="00914885">
            <w:rPr>
              <w:b/>
              <w:i/>
            </w:rPr>
            <w:t>Shipping and Pilotage (Ports and Harbours) Regulations 1966</w:t>
          </w:r>
          <w:r>
            <w:rPr>
              <w:b/>
              <w:i/>
            </w:rPr>
            <w:fldChar w:fldCharType="end"/>
          </w:r>
        </w:p>
      </w:tc>
    </w:tr>
    <w:tr w:rsidR="00BC1EA4">
      <w:trPr>
        <w:jc w:val="center"/>
      </w:trPr>
      <w:tc>
        <w:tcPr>
          <w:tcW w:w="5352" w:type="dxa"/>
          <w:vAlign w:val="bottom"/>
        </w:tcPr>
        <w:p w:rsidR="00BC1EA4" w:rsidRDefault="00BC1EA4">
          <w:pPr>
            <w:pStyle w:val="Header"/>
            <w:spacing w:before="40"/>
            <w:jc w:val="right"/>
          </w:pPr>
          <w:r>
            <w:fldChar w:fldCharType="begin"/>
          </w:r>
          <w:r>
            <w:instrText>styleref CharSchText</w:instrText>
          </w:r>
          <w:r>
            <w:fldChar w:fldCharType="separate"/>
          </w:r>
          <w:r w:rsidR="00914885">
            <w:t>Declared ports</w:t>
          </w:r>
          <w:r>
            <w:fldChar w:fldCharType="end"/>
          </w:r>
        </w:p>
      </w:tc>
      <w:tc>
        <w:tcPr>
          <w:tcW w:w="1911" w:type="dxa"/>
        </w:tcPr>
        <w:p w:rsidR="00BC1EA4" w:rsidRDefault="00BC1EA4">
          <w:pPr>
            <w:pStyle w:val="Header"/>
            <w:spacing w:before="40"/>
            <w:ind w:right="17"/>
            <w:jc w:val="right"/>
          </w:pPr>
          <w:r>
            <w:rPr>
              <w:b/>
            </w:rPr>
            <w:fldChar w:fldCharType="begin"/>
          </w:r>
          <w:r>
            <w:rPr>
              <w:b/>
            </w:rPr>
            <w:instrText>styleref CharSchno</w:instrText>
          </w:r>
          <w:r>
            <w:rPr>
              <w:b/>
            </w:rPr>
            <w:fldChar w:fldCharType="separate"/>
          </w:r>
          <w:r w:rsidR="00914885">
            <w:rPr>
              <w:b/>
            </w:rPr>
            <w:t>Schedule 1A</w:t>
          </w:r>
          <w:r>
            <w:rPr>
              <w:b/>
            </w:rPr>
            <w:fldChar w:fldCharType="end"/>
          </w:r>
        </w:p>
      </w:tc>
    </w:tr>
    <w:tr w:rsidR="00BC1EA4">
      <w:trPr>
        <w:jc w:val="center"/>
      </w:trPr>
      <w:tc>
        <w:tcPr>
          <w:tcW w:w="5352" w:type="dxa"/>
        </w:tcPr>
        <w:p w:rsidR="00BC1EA4" w:rsidRDefault="00BC1EA4">
          <w:pPr>
            <w:pStyle w:val="Header"/>
            <w:spacing w:before="40"/>
            <w:jc w:val="right"/>
          </w:pPr>
          <w:r>
            <w:fldChar w:fldCharType="begin"/>
          </w:r>
          <w:r>
            <w:instrText xml:space="preserve"> styleref CharSDivText </w:instrText>
          </w:r>
          <w:r w:rsidR="00914885">
            <w:fldChar w:fldCharType="separate"/>
          </w:r>
          <w:r w:rsidR="00914885">
            <w:t>Copies of plans</w:t>
          </w:r>
          <w:r>
            <w:fldChar w:fldCharType="end"/>
          </w:r>
        </w:p>
      </w:tc>
      <w:tc>
        <w:tcPr>
          <w:tcW w:w="1911" w:type="dxa"/>
        </w:tcPr>
        <w:p w:rsidR="00BC1EA4" w:rsidRDefault="00BC1EA4">
          <w:pPr>
            <w:pStyle w:val="Header"/>
            <w:spacing w:before="40"/>
            <w:ind w:right="17"/>
            <w:jc w:val="right"/>
          </w:pPr>
          <w:r>
            <w:rPr>
              <w:b/>
            </w:rPr>
            <w:fldChar w:fldCharType="begin"/>
          </w:r>
          <w:r>
            <w:rPr>
              <w:b/>
            </w:rPr>
            <w:instrText xml:space="preserve"> STYLEREF CharSDivNo \* charformat</w:instrText>
          </w:r>
          <w:r w:rsidR="00914885">
            <w:rPr>
              <w:b/>
            </w:rPr>
            <w:fldChar w:fldCharType="separate"/>
          </w:r>
          <w:r w:rsidR="00914885">
            <w:rPr>
              <w:b/>
            </w:rPr>
            <w:t>Division 2</w:t>
          </w:r>
          <w:r>
            <w:rPr>
              <w:b/>
            </w:rPr>
            <w:fldChar w:fldCharType="end"/>
          </w:r>
        </w:p>
      </w:tc>
    </w:tr>
    <w:tr w:rsidR="00BC1EA4">
      <w:trPr>
        <w:jc w:val="center"/>
      </w:trPr>
      <w:tc>
        <w:tcPr>
          <w:tcW w:w="5352" w:type="dxa"/>
        </w:tcPr>
        <w:p w:rsidR="00BC1EA4" w:rsidRDefault="00BC1EA4">
          <w:pPr>
            <w:pStyle w:val="Header"/>
            <w:spacing w:before="40"/>
            <w:jc w:val="right"/>
          </w:pPr>
        </w:p>
      </w:tc>
      <w:tc>
        <w:tcPr>
          <w:tcW w:w="1911" w:type="dxa"/>
        </w:tcPr>
        <w:p w:rsidR="00BC1EA4" w:rsidRDefault="00BC1EA4">
          <w:pPr>
            <w:pStyle w:val="Header"/>
            <w:spacing w:before="40"/>
            <w:ind w:right="17"/>
            <w:jc w:val="right"/>
          </w:pPr>
        </w:p>
      </w:tc>
    </w:tr>
  </w:tbl>
  <w:p w:rsidR="00BC1EA4" w:rsidRDefault="00BC1EA4">
    <w:pPr>
      <w:pStyle w:val="Header"/>
      <w:pBdr>
        <w:top w:val="single" w:sz="4" w:space="1" w:color="auto"/>
      </w:pBd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63" w:type="dxa"/>
      <w:jc w:val="center"/>
      <w:tblLayout w:type="fixed"/>
      <w:tblCellMar>
        <w:left w:w="72" w:type="dxa"/>
        <w:right w:w="72" w:type="dxa"/>
      </w:tblCellMar>
      <w:tblLook w:val="0000" w:firstRow="0" w:lastRow="0" w:firstColumn="0" w:lastColumn="0" w:noHBand="0" w:noVBand="0"/>
    </w:tblPr>
    <w:tblGrid>
      <w:gridCol w:w="1872"/>
      <w:gridCol w:w="5391"/>
    </w:tblGrid>
    <w:tr w:rsidR="00BC1EA4">
      <w:trPr>
        <w:cantSplit/>
        <w:jc w:val="center"/>
      </w:trPr>
      <w:tc>
        <w:tcPr>
          <w:tcW w:w="7263" w:type="dxa"/>
          <w:gridSpan w:val="2"/>
        </w:tcPr>
        <w:p w:rsidR="00BC1EA4" w:rsidRDefault="00BC1EA4">
          <w:pPr>
            <w:pStyle w:val="Header"/>
          </w:pPr>
          <w:r>
            <w:rPr>
              <w:b/>
              <w:i/>
            </w:rPr>
            <w:fldChar w:fldCharType="begin"/>
          </w:r>
          <w:r>
            <w:rPr>
              <w:b/>
              <w:i/>
            </w:rPr>
            <w:instrText>STYLEREF "Name of Act/Reg"</w:instrText>
          </w:r>
          <w:r>
            <w:rPr>
              <w:b/>
              <w:i/>
            </w:rPr>
            <w:fldChar w:fldCharType="separate"/>
          </w:r>
          <w:r w:rsidR="00914885">
            <w:rPr>
              <w:b/>
              <w:i/>
            </w:rPr>
            <w:t>Shipping and Pilotage (Ports and Harbours) Regulations 1966</w:t>
          </w:r>
          <w:r>
            <w:rPr>
              <w:b/>
              <w:i/>
            </w:rPr>
            <w:fldChar w:fldCharType="end"/>
          </w:r>
        </w:p>
      </w:tc>
    </w:tr>
    <w:tr w:rsidR="00BC1EA4">
      <w:trPr>
        <w:jc w:val="center"/>
      </w:trPr>
      <w:tc>
        <w:tcPr>
          <w:tcW w:w="1872" w:type="dxa"/>
        </w:tcPr>
        <w:p w:rsidR="00BC1EA4" w:rsidRDefault="00BC1EA4">
          <w:pPr>
            <w:pStyle w:val="Header"/>
            <w:spacing w:before="40"/>
          </w:pPr>
          <w:r>
            <w:rPr>
              <w:b/>
            </w:rPr>
            <w:fldChar w:fldCharType="begin"/>
          </w:r>
          <w:r>
            <w:rPr>
              <w:b/>
            </w:rPr>
            <w:instrText>styleref CharSchno</w:instrText>
          </w:r>
          <w:r>
            <w:rPr>
              <w:b/>
            </w:rPr>
            <w:fldChar w:fldCharType="separate"/>
          </w:r>
          <w:r w:rsidR="00914885">
            <w:rPr>
              <w:b/>
            </w:rPr>
            <w:t>Schedule 2</w:t>
          </w:r>
          <w:r>
            <w:rPr>
              <w:b/>
            </w:rPr>
            <w:fldChar w:fldCharType="end"/>
          </w:r>
        </w:p>
      </w:tc>
      <w:tc>
        <w:tcPr>
          <w:tcW w:w="5391" w:type="dxa"/>
        </w:tcPr>
        <w:p w:rsidR="00BC1EA4" w:rsidRDefault="00BC1EA4">
          <w:pPr>
            <w:pStyle w:val="Header"/>
            <w:spacing w:before="40"/>
          </w:pPr>
          <w:r>
            <w:fldChar w:fldCharType="begin"/>
          </w:r>
          <w:r>
            <w:instrText>styleref CharSchText</w:instrText>
          </w:r>
          <w:r>
            <w:fldChar w:fldCharType="separate"/>
          </w:r>
          <w:r w:rsidR="00914885">
            <w:t>Signals to be displayed on vessels</w:t>
          </w:r>
          <w:r>
            <w:fldChar w:fldCharType="end"/>
          </w:r>
        </w:p>
      </w:tc>
    </w:tr>
    <w:tr w:rsidR="00BC1EA4">
      <w:trPr>
        <w:jc w:val="center"/>
      </w:trPr>
      <w:tc>
        <w:tcPr>
          <w:tcW w:w="1872" w:type="dxa"/>
        </w:tcPr>
        <w:p w:rsidR="00BC1EA4" w:rsidRDefault="00BC1EA4">
          <w:pPr>
            <w:pStyle w:val="Header"/>
            <w:spacing w:before="40"/>
          </w:pPr>
          <w:r>
            <w:rPr>
              <w:b/>
            </w:rPr>
            <w:fldChar w:fldCharType="begin"/>
          </w:r>
          <w:r>
            <w:rPr>
              <w:b/>
            </w:rPr>
            <w:instrText xml:space="preserve"> STYLEREF CharSDivNo \* charformat</w:instrText>
          </w:r>
          <w:r>
            <w:rPr>
              <w:b/>
            </w:rPr>
            <w:fldChar w:fldCharType="end"/>
          </w:r>
        </w:p>
      </w:tc>
      <w:tc>
        <w:tcPr>
          <w:tcW w:w="5391" w:type="dxa"/>
        </w:tcPr>
        <w:p w:rsidR="00BC1EA4" w:rsidRDefault="00BC1EA4">
          <w:pPr>
            <w:pStyle w:val="Header"/>
            <w:spacing w:before="40"/>
          </w:pPr>
          <w:r>
            <w:fldChar w:fldCharType="begin"/>
          </w:r>
          <w:r>
            <w:instrText>styleref CharSDivText</w:instrText>
          </w:r>
          <w:r>
            <w:fldChar w:fldCharType="end"/>
          </w:r>
        </w:p>
      </w:tc>
    </w:tr>
    <w:tr w:rsidR="00BC1EA4">
      <w:trPr>
        <w:jc w:val="center"/>
      </w:trPr>
      <w:tc>
        <w:tcPr>
          <w:tcW w:w="1872" w:type="dxa"/>
        </w:tcPr>
        <w:p w:rsidR="00BC1EA4" w:rsidRDefault="00BC1EA4">
          <w:pPr>
            <w:pStyle w:val="Header"/>
            <w:spacing w:before="40"/>
          </w:pPr>
        </w:p>
      </w:tc>
      <w:tc>
        <w:tcPr>
          <w:tcW w:w="5391" w:type="dxa"/>
        </w:tcPr>
        <w:p w:rsidR="00BC1EA4" w:rsidRDefault="00BC1EA4">
          <w:pPr>
            <w:pStyle w:val="Header"/>
            <w:spacing w:before="40"/>
          </w:pPr>
        </w:p>
      </w:tc>
    </w:tr>
  </w:tbl>
  <w:p w:rsidR="00BC1EA4" w:rsidRDefault="00BC1EA4">
    <w:pPr>
      <w:pStyle w:val="Header"/>
      <w:pBdr>
        <w:top w:val="single" w:sz="4" w:space="1" w:color="auto"/>
      </w:pBd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63" w:type="dxa"/>
      <w:jc w:val="center"/>
      <w:tblLayout w:type="fixed"/>
      <w:tblCellMar>
        <w:left w:w="72" w:type="dxa"/>
        <w:right w:w="72" w:type="dxa"/>
      </w:tblCellMar>
      <w:tblLook w:val="0000" w:firstRow="0" w:lastRow="0" w:firstColumn="0" w:lastColumn="0" w:noHBand="0" w:noVBand="0"/>
    </w:tblPr>
    <w:tblGrid>
      <w:gridCol w:w="5592"/>
      <w:gridCol w:w="1671"/>
    </w:tblGrid>
    <w:tr w:rsidR="00BC1EA4">
      <w:trPr>
        <w:cantSplit/>
        <w:jc w:val="center"/>
      </w:trPr>
      <w:tc>
        <w:tcPr>
          <w:tcW w:w="7263" w:type="dxa"/>
          <w:gridSpan w:val="2"/>
        </w:tcPr>
        <w:p w:rsidR="00BC1EA4" w:rsidRDefault="00BC1EA4">
          <w:pPr>
            <w:pStyle w:val="Header"/>
            <w:ind w:right="17"/>
            <w:jc w:val="right"/>
          </w:pPr>
          <w:r>
            <w:rPr>
              <w:b/>
              <w:i/>
            </w:rPr>
            <w:fldChar w:fldCharType="begin"/>
          </w:r>
          <w:r>
            <w:rPr>
              <w:b/>
              <w:i/>
            </w:rPr>
            <w:instrText>Styleref "Name of Act/Reg"</w:instrText>
          </w:r>
          <w:r>
            <w:rPr>
              <w:b/>
              <w:i/>
            </w:rPr>
            <w:fldChar w:fldCharType="separate"/>
          </w:r>
          <w:r w:rsidR="00914885">
            <w:rPr>
              <w:b/>
              <w:i/>
            </w:rPr>
            <w:t>Shipping and Pilotage (Ports and Harbours) Regulations 1966</w:t>
          </w:r>
          <w:r>
            <w:rPr>
              <w:b/>
              <w:i/>
            </w:rPr>
            <w:fldChar w:fldCharType="end"/>
          </w:r>
        </w:p>
      </w:tc>
    </w:tr>
    <w:tr w:rsidR="00BC1EA4">
      <w:trPr>
        <w:jc w:val="center"/>
      </w:trPr>
      <w:tc>
        <w:tcPr>
          <w:tcW w:w="5592" w:type="dxa"/>
          <w:vAlign w:val="bottom"/>
        </w:tcPr>
        <w:p w:rsidR="00BC1EA4" w:rsidRDefault="00BC1EA4">
          <w:pPr>
            <w:pStyle w:val="Header"/>
            <w:spacing w:before="40"/>
            <w:jc w:val="right"/>
          </w:pPr>
          <w:r>
            <w:fldChar w:fldCharType="begin"/>
          </w:r>
          <w:r>
            <w:instrText>styleref CharSchText</w:instrText>
          </w:r>
          <w:r>
            <w:fldChar w:fldCharType="separate"/>
          </w:r>
          <w:r w:rsidR="00914885">
            <w:t>Signals to be displayed on vessels</w:t>
          </w:r>
          <w:r>
            <w:fldChar w:fldCharType="end"/>
          </w:r>
        </w:p>
      </w:tc>
      <w:tc>
        <w:tcPr>
          <w:tcW w:w="1671" w:type="dxa"/>
        </w:tcPr>
        <w:p w:rsidR="00BC1EA4" w:rsidRDefault="00BC1EA4">
          <w:pPr>
            <w:pStyle w:val="Header"/>
            <w:spacing w:before="40"/>
            <w:ind w:right="17"/>
            <w:jc w:val="right"/>
          </w:pPr>
          <w:r>
            <w:rPr>
              <w:b/>
            </w:rPr>
            <w:fldChar w:fldCharType="begin"/>
          </w:r>
          <w:r>
            <w:rPr>
              <w:b/>
            </w:rPr>
            <w:instrText>styleref CharSchno</w:instrText>
          </w:r>
          <w:r>
            <w:rPr>
              <w:b/>
            </w:rPr>
            <w:fldChar w:fldCharType="separate"/>
          </w:r>
          <w:r w:rsidR="00914885">
            <w:rPr>
              <w:b/>
            </w:rPr>
            <w:t>Schedule 2</w:t>
          </w:r>
          <w:r>
            <w:rPr>
              <w:b/>
            </w:rPr>
            <w:fldChar w:fldCharType="end"/>
          </w:r>
        </w:p>
      </w:tc>
    </w:tr>
    <w:tr w:rsidR="00BC1EA4">
      <w:trPr>
        <w:jc w:val="center"/>
      </w:trPr>
      <w:tc>
        <w:tcPr>
          <w:tcW w:w="5592" w:type="dxa"/>
        </w:tcPr>
        <w:p w:rsidR="00BC1EA4" w:rsidRDefault="00BC1EA4">
          <w:pPr>
            <w:pStyle w:val="Header"/>
            <w:spacing w:before="40"/>
            <w:jc w:val="right"/>
          </w:pPr>
          <w:r>
            <w:fldChar w:fldCharType="begin"/>
          </w:r>
          <w:r>
            <w:instrText>styleref CharSDivText</w:instrText>
          </w:r>
          <w:r>
            <w:fldChar w:fldCharType="end"/>
          </w:r>
        </w:p>
      </w:tc>
      <w:tc>
        <w:tcPr>
          <w:tcW w:w="1671" w:type="dxa"/>
        </w:tcPr>
        <w:p w:rsidR="00BC1EA4" w:rsidRDefault="00BC1EA4">
          <w:pPr>
            <w:pStyle w:val="Header"/>
            <w:spacing w:before="40"/>
            <w:ind w:right="17"/>
            <w:jc w:val="right"/>
          </w:pPr>
          <w:r>
            <w:rPr>
              <w:b/>
            </w:rPr>
            <w:fldChar w:fldCharType="begin"/>
          </w:r>
          <w:r>
            <w:rPr>
              <w:b/>
            </w:rPr>
            <w:instrText xml:space="preserve"> STYLEREF CharSDivNo \* charformat</w:instrText>
          </w:r>
          <w:r>
            <w:rPr>
              <w:b/>
            </w:rPr>
            <w:fldChar w:fldCharType="end"/>
          </w:r>
        </w:p>
      </w:tc>
    </w:tr>
    <w:tr w:rsidR="00BC1EA4">
      <w:trPr>
        <w:jc w:val="center"/>
      </w:trPr>
      <w:tc>
        <w:tcPr>
          <w:tcW w:w="5592" w:type="dxa"/>
        </w:tcPr>
        <w:p w:rsidR="00BC1EA4" w:rsidRDefault="00BC1EA4">
          <w:pPr>
            <w:pStyle w:val="Header"/>
            <w:spacing w:before="40"/>
            <w:jc w:val="right"/>
          </w:pPr>
        </w:p>
      </w:tc>
      <w:tc>
        <w:tcPr>
          <w:tcW w:w="1671" w:type="dxa"/>
        </w:tcPr>
        <w:p w:rsidR="00BC1EA4" w:rsidRDefault="00BC1EA4">
          <w:pPr>
            <w:pStyle w:val="Header"/>
            <w:spacing w:before="40"/>
            <w:ind w:right="17"/>
            <w:jc w:val="right"/>
          </w:pPr>
        </w:p>
      </w:tc>
    </w:tr>
  </w:tbl>
  <w:p w:rsidR="00BC1EA4" w:rsidRDefault="00BC1EA4">
    <w:pPr>
      <w:pStyle w:val="Header"/>
      <w:pBdr>
        <w:top w:val="single" w:sz="4" w:space="1" w:color="auto"/>
      </w:pBd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63" w:type="dxa"/>
      <w:jc w:val="center"/>
      <w:tblLayout w:type="fixed"/>
      <w:tblCellMar>
        <w:left w:w="72" w:type="dxa"/>
        <w:right w:w="72" w:type="dxa"/>
      </w:tblCellMar>
      <w:tblLook w:val="0000" w:firstRow="0" w:lastRow="0" w:firstColumn="0" w:lastColumn="0" w:noHBand="0" w:noVBand="0"/>
    </w:tblPr>
    <w:tblGrid>
      <w:gridCol w:w="1915"/>
      <w:gridCol w:w="5348"/>
    </w:tblGrid>
    <w:tr w:rsidR="00BC1EA4">
      <w:trPr>
        <w:cantSplit/>
        <w:jc w:val="center"/>
      </w:trPr>
      <w:tc>
        <w:tcPr>
          <w:tcW w:w="7263" w:type="dxa"/>
          <w:gridSpan w:val="2"/>
        </w:tcPr>
        <w:p w:rsidR="00BC1EA4" w:rsidRDefault="00BC1EA4">
          <w:pPr>
            <w:pStyle w:val="Header"/>
          </w:pPr>
          <w:r>
            <w:rPr>
              <w:b/>
              <w:i/>
            </w:rPr>
            <w:fldChar w:fldCharType="begin"/>
          </w:r>
          <w:r>
            <w:rPr>
              <w:b/>
              <w:i/>
            </w:rPr>
            <w:instrText>STYLEREF "Name of Act/Reg"</w:instrText>
          </w:r>
          <w:r>
            <w:rPr>
              <w:b/>
              <w:i/>
            </w:rPr>
            <w:fldChar w:fldCharType="separate"/>
          </w:r>
          <w:r w:rsidR="00914885">
            <w:rPr>
              <w:b/>
              <w:i/>
            </w:rPr>
            <w:t>Shipping and Pilotage (Ports and Harbours) Regulations 1966</w:t>
          </w:r>
          <w:r>
            <w:rPr>
              <w:b/>
              <w:i/>
            </w:rPr>
            <w:fldChar w:fldCharType="end"/>
          </w:r>
        </w:p>
      </w:tc>
    </w:tr>
    <w:tr w:rsidR="00BC1EA4">
      <w:trPr>
        <w:jc w:val="center"/>
      </w:trPr>
      <w:tc>
        <w:tcPr>
          <w:tcW w:w="1915" w:type="dxa"/>
        </w:tcPr>
        <w:p w:rsidR="00BC1EA4" w:rsidRDefault="00BC1EA4">
          <w:pPr>
            <w:pStyle w:val="Header"/>
            <w:spacing w:before="40"/>
          </w:pPr>
          <w:r>
            <w:rPr>
              <w:b/>
            </w:rPr>
            <w:fldChar w:fldCharType="begin"/>
          </w:r>
          <w:r>
            <w:rPr>
              <w:b/>
            </w:rPr>
            <w:instrText xml:space="preserve"> IF </w:instrText>
          </w:r>
          <w:r>
            <w:rPr>
              <w:b/>
            </w:rPr>
            <w:fldChar w:fldCharType="begin"/>
          </w:r>
          <w:r>
            <w:rPr>
              <w:b/>
            </w:rPr>
            <w:instrText>STYLEREF CharSchno \n</w:instrText>
          </w:r>
          <w:r>
            <w:rPr>
              <w:b/>
            </w:rPr>
            <w:fldChar w:fldCharType="separate"/>
          </w:r>
          <w:r w:rsidR="00914885">
            <w:rPr>
              <w:b/>
            </w:rPr>
            <w:instrText>0</w:instrText>
          </w:r>
          <w:r>
            <w:rPr>
              <w:b/>
            </w:rPr>
            <w:fldChar w:fldCharType="end"/>
          </w:r>
          <w:r>
            <w:rPr>
              <w:b/>
            </w:rPr>
            <w:instrText xml:space="preserve"> = 0 "</w:instrText>
          </w:r>
          <w:r>
            <w:rPr>
              <w:b/>
            </w:rPr>
            <w:fldChar w:fldCharType="begin"/>
          </w:r>
          <w:r>
            <w:rPr>
              <w:b/>
            </w:rPr>
            <w:instrText>STYLEREF CharSchno</w:instrText>
          </w:r>
          <w:r>
            <w:rPr>
              <w:b/>
            </w:rPr>
            <w:fldChar w:fldCharType="separate"/>
          </w:r>
          <w:r w:rsidR="00914885">
            <w:rPr>
              <w:b/>
            </w:rPr>
            <w:instrText>Schedule 3</w:instrText>
          </w:r>
          <w:r>
            <w:rPr>
              <w:b/>
            </w:rPr>
            <w:fldChar w:fldCharType="end"/>
          </w:r>
          <w:r>
            <w:rPr>
              <w:b/>
            </w:rPr>
            <w:instrText>" "</w:instrText>
          </w:r>
          <w:r>
            <w:rPr>
              <w:b/>
            </w:rPr>
            <w:fldChar w:fldCharType="begin"/>
          </w:r>
          <w:r>
            <w:rPr>
              <w:b/>
            </w:rPr>
            <w:instrText xml:space="preserve"> STYLEREF CharSchno </w:instrText>
          </w:r>
          <w:r>
            <w:rPr>
              <w:b/>
            </w:rPr>
            <w:fldChar w:fldCharType="end"/>
          </w:r>
          <w:r>
            <w:rPr>
              <w:b/>
            </w:rPr>
            <w:instrText xml:space="preserve"> </w:instrText>
          </w:r>
          <w:r>
            <w:rPr>
              <w:b/>
            </w:rPr>
            <w:fldChar w:fldCharType="begin"/>
          </w:r>
          <w:r>
            <w:rPr>
              <w:b/>
            </w:rPr>
            <w:instrText>STYLEREF CharSchno \n</w:instrText>
          </w:r>
          <w:r>
            <w:rPr>
              <w:b/>
            </w:rPr>
            <w:fldChar w:fldCharType="end"/>
          </w:r>
          <w:r>
            <w:rPr>
              <w:b/>
            </w:rPr>
            <w:instrText>"</w:instrText>
          </w:r>
          <w:r>
            <w:rPr>
              <w:b/>
            </w:rPr>
            <w:fldChar w:fldCharType="separate"/>
          </w:r>
          <w:r w:rsidR="00914885">
            <w:rPr>
              <w:b/>
            </w:rPr>
            <w:t>Schedule 3</w:t>
          </w:r>
          <w:r>
            <w:rPr>
              <w:b/>
            </w:rPr>
            <w:fldChar w:fldCharType="end"/>
          </w:r>
        </w:p>
      </w:tc>
      <w:tc>
        <w:tcPr>
          <w:tcW w:w="5348" w:type="dxa"/>
        </w:tcPr>
        <w:p w:rsidR="00BC1EA4" w:rsidRDefault="00BC1EA4">
          <w:pPr>
            <w:pStyle w:val="Header"/>
            <w:spacing w:before="40"/>
          </w:pPr>
          <w:r>
            <w:fldChar w:fldCharType="begin"/>
          </w:r>
          <w:r>
            <w:instrText>styleref CharSchText</w:instrText>
          </w:r>
          <w:r>
            <w:fldChar w:fldCharType="separate"/>
          </w:r>
          <w:r w:rsidR="00914885">
            <w:t>Fees and charges</w:t>
          </w:r>
          <w:r>
            <w:fldChar w:fldCharType="end"/>
          </w:r>
        </w:p>
      </w:tc>
    </w:tr>
    <w:tr w:rsidR="00BC1EA4">
      <w:trPr>
        <w:jc w:val="center"/>
      </w:trPr>
      <w:tc>
        <w:tcPr>
          <w:tcW w:w="1915" w:type="dxa"/>
        </w:tcPr>
        <w:p w:rsidR="00BC1EA4" w:rsidRDefault="00BC1EA4">
          <w:pPr>
            <w:pStyle w:val="Header"/>
            <w:spacing w:before="40"/>
          </w:pPr>
        </w:p>
      </w:tc>
      <w:tc>
        <w:tcPr>
          <w:tcW w:w="5348" w:type="dxa"/>
        </w:tcPr>
        <w:p w:rsidR="00BC1EA4" w:rsidRDefault="00BC1EA4">
          <w:pPr>
            <w:pStyle w:val="Header"/>
            <w:spacing w:before="40"/>
          </w:pPr>
        </w:p>
      </w:tc>
    </w:tr>
    <w:tr w:rsidR="00BC1EA4">
      <w:trPr>
        <w:jc w:val="center"/>
      </w:trPr>
      <w:tc>
        <w:tcPr>
          <w:tcW w:w="1915" w:type="dxa"/>
        </w:tcPr>
        <w:p w:rsidR="00BC1EA4" w:rsidRDefault="00BC1EA4">
          <w:pPr>
            <w:pStyle w:val="Header"/>
            <w:spacing w:before="40"/>
          </w:pPr>
        </w:p>
      </w:tc>
      <w:tc>
        <w:tcPr>
          <w:tcW w:w="5348" w:type="dxa"/>
        </w:tcPr>
        <w:p w:rsidR="00BC1EA4" w:rsidRDefault="00BC1EA4">
          <w:pPr>
            <w:pStyle w:val="Header"/>
            <w:spacing w:before="40"/>
          </w:pPr>
        </w:p>
      </w:tc>
    </w:tr>
  </w:tbl>
  <w:p w:rsidR="00BC1EA4" w:rsidRDefault="00BC1EA4">
    <w:pPr>
      <w:pStyle w:val="Header"/>
      <w:pBdr>
        <w:top w:val="single" w:sz="4" w:space="1" w:color="auto"/>
      </w:pBd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jc w:val="center"/>
      <w:tblLayout w:type="fixed"/>
      <w:tblCellMar>
        <w:left w:w="72" w:type="dxa"/>
        <w:right w:w="72" w:type="dxa"/>
      </w:tblCellMar>
      <w:tblLook w:val="0000" w:firstRow="0" w:lastRow="0" w:firstColumn="0" w:lastColumn="0" w:noHBand="0" w:noVBand="0"/>
    </w:tblPr>
    <w:tblGrid>
      <w:gridCol w:w="5197"/>
      <w:gridCol w:w="1993"/>
    </w:tblGrid>
    <w:tr w:rsidR="00BC1EA4">
      <w:trPr>
        <w:cantSplit/>
        <w:trHeight w:val="232"/>
        <w:jc w:val="center"/>
      </w:trPr>
      <w:tc>
        <w:tcPr>
          <w:tcW w:w="7190" w:type="dxa"/>
          <w:gridSpan w:val="2"/>
        </w:tcPr>
        <w:p w:rsidR="00BC1EA4" w:rsidRDefault="00BC1EA4">
          <w:pPr>
            <w:pStyle w:val="Header"/>
            <w:ind w:right="17"/>
            <w:jc w:val="right"/>
          </w:pPr>
          <w:r>
            <w:rPr>
              <w:b/>
              <w:i/>
            </w:rPr>
            <w:fldChar w:fldCharType="begin"/>
          </w:r>
          <w:r>
            <w:rPr>
              <w:b/>
              <w:i/>
            </w:rPr>
            <w:instrText>STYLEREF "Name of Act/Reg"</w:instrText>
          </w:r>
          <w:r>
            <w:rPr>
              <w:b/>
              <w:i/>
            </w:rPr>
            <w:fldChar w:fldCharType="separate"/>
          </w:r>
          <w:r w:rsidR="00914885">
            <w:rPr>
              <w:b/>
              <w:i/>
            </w:rPr>
            <w:t>Shipping and Pilotage (Ports and Harbours) Regulations 1966</w:t>
          </w:r>
          <w:r>
            <w:rPr>
              <w:b/>
              <w:i/>
            </w:rPr>
            <w:fldChar w:fldCharType="end"/>
          </w:r>
        </w:p>
      </w:tc>
    </w:tr>
    <w:tr w:rsidR="00BC1EA4">
      <w:trPr>
        <w:trHeight w:val="273"/>
        <w:jc w:val="center"/>
      </w:trPr>
      <w:tc>
        <w:tcPr>
          <w:tcW w:w="5197" w:type="dxa"/>
        </w:tcPr>
        <w:p w:rsidR="00BC1EA4" w:rsidRDefault="00BC1EA4">
          <w:pPr>
            <w:pStyle w:val="Header"/>
            <w:spacing w:before="40"/>
            <w:jc w:val="right"/>
          </w:pPr>
          <w:r>
            <w:fldChar w:fldCharType="begin"/>
          </w:r>
          <w:r>
            <w:instrText>styleref CharSchText</w:instrText>
          </w:r>
          <w:r>
            <w:fldChar w:fldCharType="separate"/>
          </w:r>
          <w:r w:rsidR="00914885">
            <w:t>Fees and charges</w:t>
          </w:r>
          <w:r>
            <w:fldChar w:fldCharType="end"/>
          </w:r>
        </w:p>
      </w:tc>
      <w:tc>
        <w:tcPr>
          <w:tcW w:w="1993" w:type="dxa"/>
        </w:tcPr>
        <w:p w:rsidR="00BC1EA4" w:rsidRDefault="00BC1EA4">
          <w:pPr>
            <w:pStyle w:val="Header"/>
            <w:spacing w:before="40"/>
            <w:ind w:right="17"/>
            <w:jc w:val="right"/>
          </w:pPr>
          <w:r>
            <w:rPr>
              <w:b/>
            </w:rPr>
            <w:fldChar w:fldCharType="begin"/>
          </w:r>
          <w:r>
            <w:rPr>
              <w:b/>
            </w:rPr>
            <w:instrText xml:space="preserve"> IF </w:instrText>
          </w:r>
          <w:r>
            <w:rPr>
              <w:b/>
            </w:rPr>
            <w:fldChar w:fldCharType="begin"/>
          </w:r>
          <w:r>
            <w:rPr>
              <w:b/>
            </w:rPr>
            <w:instrText>STYLEREF CharSchno \n</w:instrText>
          </w:r>
          <w:r>
            <w:rPr>
              <w:b/>
            </w:rPr>
            <w:fldChar w:fldCharType="separate"/>
          </w:r>
          <w:r w:rsidR="00914885">
            <w:rPr>
              <w:b/>
            </w:rPr>
            <w:instrText>0</w:instrText>
          </w:r>
          <w:r>
            <w:rPr>
              <w:b/>
            </w:rPr>
            <w:fldChar w:fldCharType="end"/>
          </w:r>
          <w:r>
            <w:rPr>
              <w:b/>
            </w:rPr>
            <w:instrText xml:space="preserve"> = 0 "</w:instrText>
          </w:r>
          <w:r>
            <w:rPr>
              <w:b/>
            </w:rPr>
            <w:fldChar w:fldCharType="begin"/>
          </w:r>
          <w:r>
            <w:rPr>
              <w:b/>
            </w:rPr>
            <w:instrText>STYLEREF CharSchno</w:instrText>
          </w:r>
          <w:r>
            <w:rPr>
              <w:b/>
            </w:rPr>
            <w:fldChar w:fldCharType="separate"/>
          </w:r>
          <w:r w:rsidR="00914885">
            <w:rPr>
              <w:b/>
            </w:rPr>
            <w:instrText>Schedule 3</w:instrText>
          </w:r>
          <w:r>
            <w:rPr>
              <w:b/>
            </w:rPr>
            <w:fldChar w:fldCharType="end"/>
          </w:r>
          <w:r>
            <w:rPr>
              <w:b/>
            </w:rPr>
            <w:instrText>" "</w:instrText>
          </w:r>
          <w:r>
            <w:rPr>
              <w:b/>
            </w:rPr>
            <w:fldChar w:fldCharType="begin"/>
          </w:r>
          <w:r>
            <w:rPr>
              <w:b/>
            </w:rPr>
            <w:instrText xml:space="preserve"> STYLEREF CharSchno </w:instrText>
          </w:r>
          <w:r>
            <w:rPr>
              <w:b/>
            </w:rPr>
            <w:fldChar w:fldCharType="end"/>
          </w:r>
          <w:r>
            <w:rPr>
              <w:b/>
            </w:rPr>
            <w:instrText xml:space="preserve"> </w:instrText>
          </w:r>
          <w:r>
            <w:rPr>
              <w:b/>
            </w:rPr>
            <w:fldChar w:fldCharType="begin"/>
          </w:r>
          <w:r>
            <w:rPr>
              <w:b/>
            </w:rPr>
            <w:instrText>STYLEREF CharSchno \n</w:instrText>
          </w:r>
          <w:r>
            <w:rPr>
              <w:b/>
            </w:rPr>
            <w:fldChar w:fldCharType="end"/>
          </w:r>
          <w:r>
            <w:rPr>
              <w:b/>
            </w:rPr>
            <w:instrText>"</w:instrText>
          </w:r>
          <w:r>
            <w:rPr>
              <w:b/>
            </w:rPr>
            <w:fldChar w:fldCharType="separate"/>
          </w:r>
          <w:r w:rsidR="00914885">
            <w:rPr>
              <w:b/>
            </w:rPr>
            <w:t>Schedule 3</w:t>
          </w:r>
          <w:r>
            <w:rPr>
              <w:b/>
            </w:rPr>
            <w:fldChar w:fldCharType="end"/>
          </w:r>
        </w:p>
      </w:tc>
    </w:tr>
    <w:tr w:rsidR="00BC1EA4">
      <w:trPr>
        <w:trHeight w:val="273"/>
        <w:jc w:val="center"/>
      </w:trPr>
      <w:tc>
        <w:tcPr>
          <w:tcW w:w="5197" w:type="dxa"/>
        </w:tcPr>
        <w:p w:rsidR="00BC1EA4" w:rsidRDefault="00BC1EA4">
          <w:pPr>
            <w:pStyle w:val="Header"/>
            <w:spacing w:before="40"/>
            <w:jc w:val="right"/>
          </w:pPr>
        </w:p>
      </w:tc>
      <w:tc>
        <w:tcPr>
          <w:tcW w:w="1993" w:type="dxa"/>
        </w:tcPr>
        <w:p w:rsidR="00BC1EA4" w:rsidRDefault="00BC1EA4">
          <w:pPr>
            <w:pStyle w:val="Header"/>
            <w:spacing w:before="40"/>
            <w:ind w:right="17"/>
            <w:jc w:val="right"/>
          </w:pPr>
        </w:p>
      </w:tc>
    </w:tr>
    <w:tr w:rsidR="00BC1EA4">
      <w:trPr>
        <w:trHeight w:val="273"/>
        <w:jc w:val="center"/>
      </w:trPr>
      <w:tc>
        <w:tcPr>
          <w:tcW w:w="5197" w:type="dxa"/>
        </w:tcPr>
        <w:p w:rsidR="00BC1EA4" w:rsidRDefault="00BC1EA4">
          <w:pPr>
            <w:pStyle w:val="Header"/>
            <w:spacing w:before="40"/>
            <w:jc w:val="right"/>
          </w:pPr>
        </w:p>
      </w:tc>
      <w:tc>
        <w:tcPr>
          <w:tcW w:w="1993" w:type="dxa"/>
        </w:tcPr>
        <w:p w:rsidR="00BC1EA4" w:rsidRDefault="00BC1EA4">
          <w:pPr>
            <w:pStyle w:val="Header"/>
            <w:spacing w:before="40"/>
            <w:ind w:right="17"/>
            <w:jc w:val="right"/>
          </w:pPr>
        </w:p>
      </w:tc>
    </w:tr>
  </w:tbl>
  <w:p w:rsidR="00BC1EA4" w:rsidRDefault="00BC1EA4">
    <w:pPr>
      <w:pStyle w:val="Header"/>
      <w:pBdr>
        <w:top w:val="single" w:sz="4" w:space="1" w:color="auto"/>
      </w:pBd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63" w:type="dxa"/>
      <w:jc w:val="center"/>
      <w:tblLayout w:type="fixed"/>
      <w:tblCellMar>
        <w:left w:w="72" w:type="dxa"/>
        <w:right w:w="72" w:type="dxa"/>
      </w:tblCellMar>
      <w:tblLook w:val="0000" w:firstRow="0" w:lastRow="0" w:firstColumn="0" w:lastColumn="0" w:noHBand="0" w:noVBand="0"/>
    </w:tblPr>
    <w:tblGrid>
      <w:gridCol w:w="1915"/>
      <w:gridCol w:w="5348"/>
    </w:tblGrid>
    <w:tr w:rsidR="00BC1EA4">
      <w:trPr>
        <w:cantSplit/>
        <w:jc w:val="center"/>
      </w:trPr>
      <w:tc>
        <w:tcPr>
          <w:tcW w:w="7263" w:type="dxa"/>
          <w:gridSpan w:val="2"/>
        </w:tcPr>
        <w:p w:rsidR="00BC1EA4" w:rsidRDefault="00BC1EA4">
          <w:pPr>
            <w:pStyle w:val="Header"/>
          </w:pPr>
          <w:r>
            <w:rPr>
              <w:b/>
              <w:i/>
            </w:rPr>
            <w:fldChar w:fldCharType="begin"/>
          </w:r>
          <w:r>
            <w:rPr>
              <w:b/>
              <w:i/>
            </w:rPr>
            <w:instrText>STYLEREF "Name of Act/Reg"</w:instrText>
          </w:r>
          <w:r>
            <w:rPr>
              <w:b/>
              <w:i/>
            </w:rPr>
            <w:fldChar w:fldCharType="separate"/>
          </w:r>
          <w:r w:rsidR="00914885">
            <w:rPr>
              <w:b/>
              <w:i/>
            </w:rPr>
            <w:t>Shipping and Pilotage (Ports and Harbours) Regulations 1966</w:t>
          </w:r>
          <w:r>
            <w:rPr>
              <w:b/>
              <w:i/>
            </w:rPr>
            <w:fldChar w:fldCharType="end"/>
          </w:r>
        </w:p>
      </w:tc>
    </w:tr>
    <w:tr w:rsidR="00BC1EA4">
      <w:trPr>
        <w:jc w:val="center"/>
      </w:trPr>
      <w:tc>
        <w:tcPr>
          <w:tcW w:w="1915" w:type="dxa"/>
        </w:tcPr>
        <w:p w:rsidR="00BC1EA4" w:rsidRDefault="00BC1EA4">
          <w:pPr>
            <w:pStyle w:val="Header"/>
            <w:spacing w:before="40"/>
          </w:pPr>
          <w:r>
            <w:rPr>
              <w:b/>
            </w:rPr>
            <w:fldChar w:fldCharType="begin"/>
          </w:r>
          <w:r>
            <w:rPr>
              <w:b/>
            </w:rPr>
            <w:instrText xml:space="preserve"> IF </w:instrText>
          </w:r>
          <w:r>
            <w:rPr>
              <w:b/>
            </w:rPr>
            <w:fldChar w:fldCharType="begin"/>
          </w:r>
          <w:r>
            <w:rPr>
              <w:b/>
            </w:rPr>
            <w:instrText>STYLEREF CharSchno \n</w:instrText>
          </w:r>
          <w:r>
            <w:rPr>
              <w:b/>
            </w:rPr>
            <w:fldChar w:fldCharType="separate"/>
          </w:r>
          <w:r w:rsidR="00914885">
            <w:rPr>
              <w:b/>
            </w:rPr>
            <w:instrText>0</w:instrText>
          </w:r>
          <w:r>
            <w:rPr>
              <w:b/>
            </w:rPr>
            <w:fldChar w:fldCharType="end"/>
          </w:r>
          <w:r>
            <w:rPr>
              <w:b/>
            </w:rPr>
            <w:instrText xml:space="preserve"> = 0 "</w:instrText>
          </w:r>
          <w:r>
            <w:rPr>
              <w:b/>
            </w:rPr>
            <w:fldChar w:fldCharType="begin"/>
          </w:r>
          <w:r>
            <w:rPr>
              <w:b/>
            </w:rPr>
            <w:instrText>STYLEREF CharSchno</w:instrText>
          </w:r>
          <w:r>
            <w:rPr>
              <w:b/>
            </w:rPr>
            <w:fldChar w:fldCharType="end"/>
          </w:r>
          <w:r>
            <w:rPr>
              <w:b/>
            </w:rPr>
            <w:instrText>" "</w:instrText>
          </w:r>
          <w:r>
            <w:rPr>
              <w:b/>
            </w:rPr>
            <w:fldChar w:fldCharType="begin"/>
          </w:r>
          <w:r>
            <w:rPr>
              <w:b/>
            </w:rPr>
            <w:instrText xml:space="preserve"> STYLEREF CharSchno </w:instrText>
          </w:r>
          <w:r>
            <w:rPr>
              <w:b/>
            </w:rPr>
            <w:fldChar w:fldCharType="end"/>
          </w:r>
          <w:r>
            <w:rPr>
              <w:b/>
            </w:rPr>
            <w:instrText xml:space="preserve"> </w:instrText>
          </w:r>
          <w:r>
            <w:rPr>
              <w:b/>
            </w:rPr>
            <w:fldChar w:fldCharType="begin"/>
          </w:r>
          <w:r>
            <w:rPr>
              <w:b/>
            </w:rPr>
            <w:instrText>STYLEREF CharSchno \n</w:instrText>
          </w:r>
          <w:r>
            <w:rPr>
              <w:b/>
            </w:rPr>
            <w:fldChar w:fldCharType="end"/>
          </w:r>
          <w:r>
            <w:rPr>
              <w:b/>
            </w:rPr>
            <w:instrText>"Schedule 6Schedule 6</w:instrText>
          </w:r>
          <w:r>
            <w:rPr>
              <w:b/>
            </w:rPr>
            <w:fldChar w:fldCharType="end"/>
          </w:r>
        </w:p>
      </w:tc>
      <w:tc>
        <w:tcPr>
          <w:tcW w:w="5348" w:type="dxa"/>
        </w:tcPr>
        <w:p w:rsidR="00BC1EA4" w:rsidRDefault="00BC1EA4">
          <w:pPr>
            <w:pStyle w:val="Header"/>
            <w:spacing w:before="40"/>
          </w:pPr>
          <w:r>
            <w:fldChar w:fldCharType="begin"/>
          </w:r>
          <w:r>
            <w:instrText>styleref CharSchText</w:instrText>
          </w:r>
          <w:r>
            <w:fldChar w:fldCharType="separate"/>
          </w:r>
          <w:r w:rsidR="00914885">
            <w:t>Specified documents</w:t>
          </w:r>
          <w:r>
            <w:fldChar w:fldCharType="end"/>
          </w:r>
        </w:p>
      </w:tc>
    </w:tr>
    <w:tr w:rsidR="00BC1EA4">
      <w:trPr>
        <w:jc w:val="center"/>
      </w:trPr>
      <w:tc>
        <w:tcPr>
          <w:tcW w:w="1915" w:type="dxa"/>
        </w:tcPr>
        <w:p w:rsidR="00BC1EA4" w:rsidRDefault="00BC1EA4">
          <w:pPr>
            <w:pStyle w:val="Header"/>
            <w:spacing w:before="40"/>
          </w:pPr>
        </w:p>
      </w:tc>
      <w:tc>
        <w:tcPr>
          <w:tcW w:w="5348" w:type="dxa"/>
        </w:tcPr>
        <w:p w:rsidR="00BC1EA4" w:rsidRDefault="00BC1EA4">
          <w:pPr>
            <w:pStyle w:val="Header"/>
            <w:spacing w:before="40"/>
          </w:pPr>
        </w:p>
      </w:tc>
    </w:tr>
    <w:tr w:rsidR="00BC1EA4">
      <w:trPr>
        <w:jc w:val="center"/>
      </w:trPr>
      <w:tc>
        <w:tcPr>
          <w:tcW w:w="1915" w:type="dxa"/>
        </w:tcPr>
        <w:p w:rsidR="00BC1EA4" w:rsidRDefault="00BC1EA4">
          <w:pPr>
            <w:pStyle w:val="Header"/>
            <w:spacing w:before="40"/>
          </w:pPr>
          <w:r>
            <w:rPr>
              <w:b/>
            </w:rPr>
            <w:t xml:space="preserve">Form </w:t>
          </w:r>
          <w:r>
            <w:rPr>
              <w:b/>
            </w:rPr>
            <w:fldChar w:fldCharType="begin"/>
          </w:r>
          <w:r>
            <w:rPr>
              <w:b/>
            </w:rPr>
            <w:instrText xml:space="preserve"> IF </w:instrText>
          </w:r>
          <w:r>
            <w:rPr>
              <w:b/>
            </w:rPr>
            <w:fldChar w:fldCharType="begin"/>
          </w:r>
          <w:r>
            <w:rPr>
              <w:b/>
            </w:rPr>
            <w:instrText>StyleRef CharSClsNo</w:instrText>
          </w:r>
          <w:r>
            <w:rPr>
              <w:b/>
            </w:rPr>
            <w:fldChar w:fldCharType="separate"/>
          </w:r>
          <w:r w:rsidR="00914885">
            <w:rPr>
              <w:b/>
            </w:rPr>
            <w:instrText>1</w:instrText>
          </w:r>
          <w:r>
            <w:rPr>
              <w:b/>
            </w:rPr>
            <w:fldChar w:fldCharType="end"/>
          </w:r>
          <w:r>
            <w:rPr>
              <w:b/>
            </w:rPr>
            <w:instrText xml:space="preserve">= "" </w:instrText>
          </w:r>
          <w:r>
            <w:rPr>
              <w:b/>
            </w:rPr>
            <w:fldChar w:fldCharType="begin"/>
          </w:r>
          <w:r>
            <w:rPr>
              <w:b/>
            </w:rPr>
            <w:instrText>StyleRef CharSClsNo \n</w:instrText>
          </w:r>
          <w:r>
            <w:rPr>
              <w:b/>
            </w:rPr>
            <w:fldChar w:fldCharType="end"/>
          </w:r>
          <w:r>
            <w:rPr>
              <w:b/>
            </w:rPr>
            <w:instrText xml:space="preserve"> </w:instrText>
          </w:r>
          <w:r>
            <w:rPr>
              <w:b/>
            </w:rPr>
            <w:fldChar w:fldCharType="begin"/>
          </w:r>
          <w:r>
            <w:rPr>
              <w:b/>
            </w:rPr>
            <w:instrText>StyleRef CharSClsNo</w:instrText>
          </w:r>
          <w:r>
            <w:rPr>
              <w:b/>
            </w:rPr>
            <w:fldChar w:fldCharType="separate"/>
          </w:r>
          <w:r w:rsidR="00914885">
            <w:rPr>
              <w:b/>
            </w:rPr>
            <w:instrText>1</w:instrText>
          </w:r>
          <w:r>
            <w:rPr>
              <w:b/>
            </w:rPr>
            <w:fldChar w:fldCharType="end"/>
          </w:r>
          <w:r>
            <w:rPr>
              <w:b/>
            </w:rPr>
            <w:instrText xml:space="preserve"> </w:instrText>
          </w:r>
          <w:r>
            <w:rPr>
              <w:b/>
            </w:rPr>
            <w:fldChar w:fldCharType="separate"/>
          </w:r>
          <w:r w:rsidR="00914885">
            <w:rPr>
              <w:b/>
            </w:rPr>
            <w:t>1</w:t>
          </w:r>
          <w:r>
            <w:rPr>
              <w:b/>
            </w:rPr>
            <w:fldChar w:fldCharType="end"/>
          </w:r>
        </w:p>
      </w:tc>
      <w:tc>
        <w:tcPr>
          <w:tcW w:w="5348" w:type="dxa"/>
        </w:tcPr>
        <w:p w:rsidR="00BC1EA4" w:rsidRDefault="00BC1EA4">
          <w:pPr>
            <w:pStyle w:val="Header"/>
            <w:spacing w:before="40"/>
          </w:pPr>
        </w:p>
      </w:tc>
    </w:tr>
  </w:tbl>
  <w:p w:rsidR="00BC1EA4" w:rsidRDefault="00BC1EA4">
    <w:pPr>
      <w:pStyle w:val="Header"/>
      <w:pBdr>
        <w:top w:val="single" w:sz="4" w:space="1"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14885" w:rsidRDefault="00914885">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63" w:type="dxa"/>
      <w:jc w:val="center"/>
      <w:tblLayout w:type="fixed"/>
      <w:tblCellMar>
        <w:left w:w="72" w:type="dxa"/>
        <w:right w:w="72" w:type="dxa"/>
      </w:tblCellMar>
      <w:tblLook w:val="0000" w:firstRow="0" w:lastRow="0" w:firstColumn="0" w:lastColumn="0" w:noHBand="0" w:noVBand="0"/>
    </w:tblPr>
    <w:tblGrid>
      <w:gridCol w:w="5715"/>
      <w:gridCol w:w="1548"/>
    </w:tblGrid>
    <w:tr w:rsidR="00BC1EA4">
      <w:trPr>
        <w:cantSplit/>
        <w:jc w:val="center"/>
      </w:trPr>
      <w:tc>
        <w:tcPr>
          <w:tcW w:w="7263" w:type="dxa"/>
          <w:gridSpan w:val="2"/>
        </w:tcPr>
        <w:p w:rsidR="00BC1EA4" w:rsidRDefault="00BC1EA4">
          <w:pPr>
            <w:pStyle w:val="Header"/>
            <w:ind w:right="17"/>
            <w:jc w:val="right"/>
          </w:pPr>
          <w:r>
            <w:rPr>
              <w:b/>
              <w:i/>
            </w:rPr>
            <w:fldChar w:fldCharType="begin"/>
          </w:r>
          <w:r>
            <w:rPr>
              <w:b/>
              <w:i/>
            </w:rPr>
            <w:instrText>Styleref "Name of Act/Reg"</w:instrText>
          </w:r>
          <w:r>
            <w:rPr>
              <w:b/>
              <w:i/>
            </w:rPr>
            <w:fldChar w:fldCharType="separate"/>
          </w:r>
          <w:r w:rsidR="00914885">
            <w:rPr>
              <w:b/>
              <w:i/>
            </w:rPr>
            <w:t>Shipping and Pilotage (Ports and Harbours) Regulations 1966</w:t>
          </w:r>
          <w:r>
            <w:rPr>
              <w:b/>
              <w:i/>
            </w:rPr>
            <w:fldChar w:fldCharType="end"/>
          </w:r>
        </w:p>
      </w:tc>
    </w:tr>
    <w:tr w:rsidR="00BC1EA4">
      <w:trPr>
        <w:jc w:val="center"/>
      </w:trPr>
      <w:tc>
        <w:tcPr>
          <w:tcW w:w="5715" w:type="dxa"/>
          <w:vAlign w:val="bottom"/>
        </w:tcPr>
        <w:p w:rsidR="00BC1EA4" w:rsidRDefault="00BC1EA4">
          <w:pPr>
            <w:pStyle w:val="Header"/>
            <w:spacing w:before="40"/>
            <w:jc w:val="right"/>
          </w:pPr>
          <w:r>
            <w:fldChar w:fldCharType="begin"/>
          </w:r>
          <w:r>
            <w:instrText>styleref CharSchText</w:instrText>
          </w:r>
          <w:r>
            <w:fldChar w:fldCharType="separate"/>
          </w:r>
          <w:r w:rsidR="00914885">
            <w:t>Specified documents</w:t>
          </w:r>
          <w:r>
            <w:fldChar w:fldCharType="end"/>
          </w:r>
        </w:p>
      </w:tc>
      <w:tc>
        <w:tcPr>
          <w:tcW w:w="1548" w:type="dxa"/>
        </w:tcPr>
        <w:p w:rsidR="00BC1EA4" w:rsidRDefault="00BC1EA4">
          <w:pPr>
            <w:pStyle w:val="Header"/>
            <w:spacing w:before="40"/>
            <w:ind w:right="17"/>
            <w:jc w:val="right"/>
          </w:pPr>
          <w:r>
            <w:rPr>
              <w:b/>
            </w:rPr>
            <w:fldChar w:fldCharType="begin"/>
          </w:r>
          <w:r>
            <w:rPr>
              <w:b/>
            </w:rPr>
            <w:instrText>styleref CharSchno</w:instrText>
          </w:r>
          <w:r>
            <w:rPr>
              <w:b/>
            </w:rPr>
            <w:fldChar w:fldCharType="end"/>
          </w:r>
        </w:p>
      </w:tc>
    </w:tr>
    <w:tr w:rsidR="00BC1EA4">
      <w:trPr>
        <w:jc w:val="center"/>
      </w:trPr>
      <w:tc>
        <w:tcPr>
          <w:tcW w:w="5715" w:type="dxa"/>
        </w:tcPr>
        <w:p w:rsidR="00BC1EA4" w:rsidRDefault="00BC1EA4">
          <w:pPr>
            <w:pStyle w:val="Header"/>
            <w:spacing w:before="40"/>
            <w:jc w:val="right"/>
          </w:pPr>
        </w:p>
      </w:tc>
      <w:tc>
        <w:tcPr>
          <w:tcW w:w="1548" w:type="dxa"/>
        </w:tcPr>
        <w:p w:rsidR="00BC1EA4" w:rsidRDefault="00BC1EA4">
          <w:pPr>
            <w:pStyle w:val="Header"/>
            <w:spacing w:before="40"/>
            <w:ind w:right="17"/>
            <w:jc w:val="right"/>
          </w:pPr>
        </w:p>
      </w:tc>
    </w:tr>
    <w:tr w:rsidR="00BC1EA4">
      <w:trPr>
        <w:jc w:val="center"/>
      </w:trPr>
      <w:tc>
        <w:tcPr>
          <w:tcW w:w="5715" w:type="dxa"/>
        </w:tcPr>
        <w:p w:rsidR="00BC1EA4" w:rsidRDefault="00BC1EA4">
          <w:pPr>
            <w:pStyle w:val="Header"/>
            <w:spacing w:before="40"/>
            <w:jc w:val="right"/>
          </w:pPr>
        </w:p>
      </w:tc>
      <w:tc>
        <w:tcPr>
          <w:tcW w:w="1548" w:type="dxa"/>
        </w:tcPr>
        <w:p w:rsidR="00BC1EA4" w:rsidRDefault="00BC1EA4">
          <w:pPr>
            <w:pStyle w:val="Header"/>
            <w:spacing w:before="40"/>
            <w:ind w:right="17"/>
            <w:jc w:val="right"/>
          </w:pPr>
          <w:r>
            <w:rPr>
              <w:b/>
            </w:rPr>
            <w:t xml:space="preserve">Form </w:t>
          </w:r>
          <w:r>
            <w:rPr>
              <w:b/>
            </w:rPr>
            <w:fldChar w:fldCharType="begin"/>
          </w:r>
          <w:r>
            <w:rPr>
              <w:b/>
            </w:rPr>
            <w:instrText xml:space="preserve"> IF </w:instrText>
          </w:r>
          <w:r>
            <w:rPr>
              <w:b/>
            </w:rPr>
            <w:fldChar w:fldCharType="begin"/>
          </w:r>
          <w:r>
            <w:rPr>
              <w:b/>
            </w:rPr>
            <w:instrText>StyleRef CharSClsNo</w:instrText>
          </w:r>
          <w:r>
            <w:rPr>
              <w:b/>
            </w:rPr>
            <w:fldChar w:fldCharType="separate"/>
          </w:r>
          <w:r w:rsidR="00914885">
            <w:rPr>
              <w:b/>
            </w:rPr>
            <w:instrText>1</w:instrText>
          </w:r>
          <w:r>
            <w:rPr>
              <w:b/>
            </w:rPr>
            <w:fldChar w:fldCharType="end"/>
          </w:r>
          <w:r>
            <w:rPr>
              <w:b/>
            </w:rPr>
            <w:instrText xml:space="preserve">= "" </w:instrText>
          </w:r>
          <w:r>
            <w:rPr>
              <w:b/>
            </w:rPr>
            <w:fldChar w:fldCharType="begin"/>
          </w:r>
          <w:r>
            <w:rPr>
              <w:b/>
            </w:rPr>
            <w:instrText>StyleRef CharSClsNo \n</w:instrText>
          </w:r>
          <w:r>
            <w:rPr>
              <w:b/>
            </w:rPr>
            <w:fldChar w:fldCharType="end"/>
          </w:r>
          <w:r>
            <w:rPr>
              <w:b/>
            </w:rPr>
            <w:instrText xml:space="preserve"> </w:instrText>
          </w:r>
          <w:r>
            <w:rPr>
              <w:b/>
            </w:rPr>
            <w:fldChar w:fldCharType="begin"/>
          </w:r>
          <w:r>
            <w:rPr>
              <w:b/>
            </w:rPr>
            <w:instrText>StyleRef CharSClsNo</w:instrText>
          </w:r>
          <w:r>
            <w:rPr>
              <w:b/>
            </w:rPr>
            <w:fldChar w:fldCharType="separate"/>
          </w:r>
          <w:r w:rsidR="00914885">
            <w:rPr>
              <w:b/>
            </w:rPr>
            <w:instrText>1</w:instrText>
          </w:r>
          <w:r>
            <w:rPr>
              <w:b/>
            </w:rPr>
            <w:fldChar w:fldCharType="end"/>
          </w:r>
          <w:r>
            <w:rPr>
              <w:b/>
            </w:rPr>
            <w:instrText xml:space="preserve"> </w:instrText>
          </w:r>
          <w:r>
            <w:rPr>
              <w:b/>
            </w:rPr>
            <w:fldChar w:fldCharType="separate"/>
          </w:r>
          <w:r w:rsidR="00914885">
            <w:rPr>
              <w:b/>
            </w:rPr>
            <w:t>1</w:t>
          </w:r>
          <w:r>
            <w:rPr>
              <w:b/>
            </w:rPr>
            <w:fldChar w:fldCharType="end"/>
          </w:r>
        </w:p>
      </w:tc>
    </w:tr>
  </w:tbl>
  <w:p w:rsidR="00BC1EA4" w:rsidRDefault="00BC1EA4">
    <w:pPr>
      <w:pStyle w:val="Header"/>
      <w:pBdr>
        <w:top w:val="single" w:sz="4" w:space="1" w:color="auto"/>
      </w:pBd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jc w:val="center"/>
      <w:tblLayout w:type="fixed"/>
      <w:tblCellMar>
        <w:left w:w="72" w:type="dxa"/>
        <w:right w:w="72" w:type="dxa"/>
      </w:tblCellMar>
      <w:tblLook w:val="0000" w:firstRow="0" w:lastRow="0" w:firstColumn="0" w:lastColumn="0" w:noHBand="0" w:noVBand="0"/>
    </w:tblPr>
    <w:tblGrid>
      <w:gridCol w:w="1548"/>
      <w:gridCol w:w="5715"/>
    </w:tblGrid>
    <w:tr w:rsidR="00BC1EA4">
      <w:trPr>
        <w:cantSplit/>
        <w:jc w:val="center"/>
      </w:trPr>
      <w:tc>
        <w:tcPr>
          <w:tcW w:w="7258" w:type="dxa"/>
          <w:gridSpan w:val="2"/>
        </w:tcPr>
        <w:p w:rsidR="00BC1EA4" w:rsidRDefault="00BC1EA4">
          <w:pPr>
            <w:pStyle w:val="Header"/>
          </w:pPr>
          <w:r>
            <w:rPr>
              <w:b/>
              <w:i/>
            </w:rPr>
            <w:fldChar w:fldCharType="begin"/>
          </w:r>
          <w:r>
            <w:rPr>
              <w:b/>
              <w:i/>
            </w:rPr>
            <w:instrText xml:space="preserve"> STYLEREF "Name of Act/Reg" </w:instrText>
          </w:r>
          <w:r>
            <w:rPr>
              <w:b/>
              <w:i/>
            </w:rPr>
            <w:fldChar w:fldCharType="separate"/>
          </w:r>
          <w:r w:rsidR="00914885">
            <w:rPr>
              <w:b/>
              <w:i/>
            </w:rPr>
            <w:t>Shipping and Pilotage (Ports and Harbours) Regulations 1966</w:t>
          </w:r>
          <w:r>
            <w:rPr>
              <w:b/>
              <w:i/>
            </w:rPr>
            <w:fldChar w:fldCharType="end"/>
          </w:r>
        </w:p>
      </w:tc>
    </w:tr>
    <w:tr w:rsidR="00BC1EA4">
      <w:trPr>
        <w:jc w:val="center"/>
      </w:trPr>
      <w:tc>
        <w:tcPr>
          <w:tcW w:w="1548" w:type="dxa"/>
        </w:tcPr>
        <w:p w:rsidR="00BC1EA4" w:rsidRDefault="00BC1EA4">
          <w:pPr>
            <w:pStyle w:val="Header"/>
            <w:spacing w:before="40"/>
          </w:pPr>
          <w:r>
            <w:rPr>
              <w:b/>
            </w:rPr>
            <w:fldChar w:fldCharType="begin"/>
          </w:r>
          <w:r>
            <w:rPr>
              <w:b/>
            </w:rPr>
            <w:instrText xml:space="preserve"> STYLEREF "nHeading 2" </w:instrText>
          </w:r>
          <w:r>
            <w:rPr>
              <w:b/>
            </w:rPr>
            <w:fldChar w:fldCharType="separate"/>
          </w:r>
          <w:r w:rsidR="00914885">
            <w:rPr>
              <w:b/>
            </w:rPr>
            <w:t>Notes</w:t>
          </w:r>
          <w:r>
            <w:rPr>
              <w:b/>
            </w:rPr>
            <w:fldChar w:fldCharType="end"/>
          </w:r>
        </w:p>
      </w:tc>
      <w:tc>
        <w:tcPr>
          <w:tcW w:w="5715" w:type="dxa"/>
        </w:tcPr>
        <w:p w:rsidR="00BC1EA4" w:rsidRDefault="00BC1EA4">
          <w:pPr>
            <w:pStyle w:val="Header"/>
            <w:spacing w:before="40"/>
          </w:pPr>
          <w:r>
            <w:fldChar w:fldCharType="begin"/>
          </w:r>
          <w:r>
            <w:instrText xml:space="preserve"> STYLEREF "nHeading 3" </w:instrText>
          </w:r>
          <w:r>
            <w:fldChar w:fldCharType="separate"/>
          </w:r>
          <w:r w:rsidR="00914885">
            <w:t>Compilation table</w:t>
          </w:r>
          <w:r>
            <w:fldChar w:fldCharType="end"/>
          </w:r>
        </w:p>
      </w:tc>
    </w:tr>
    <w:tr w:rsidR="00BC1EA4">
      <w:trPr>
        <w:jc w:val="center"/>
      </w:trPr>
      <w:tc>
        <w:tcPr>
          <w:tcW w:w="1548" w:type="dxa"/>
        </w:tcPr>
        <w:p w:rsidR="00BC1EA4" w:rsidRDefault="00BC1EA4">
          <w:pPr>
            <w:pStyle w:val="Header"/>
            <w:spacing w:before="40"/>
          </w:pPr>
        </w:p>
      </w:tc>
      <w:tc>
        <w:tcPr>
          <w:tcW w:w="5715" w:type="dxa"/>
        </w:tcPr>
        <w:p w:rsidR="00BC1EA4" w:rsidRDefault="00BC1EA4">
          <w:pPr>
            <w:pStyle w:val="Header"/>
            <w:spacing w:before="40"/>
          </w:pPr>
        </w:p>
      </w:tc>
    </w:tr>
    <w:tr w:rsidR="00BC1EA4">
      <w:trPr>
        <w:cantSplit/>
        <w:jc w:val="center"/>
      </w:trPr>
      <w:tc>
        <w:tcPr>
          <w:tcW w:w="7258" w:type="dxa"/>
          <w:gridSpan w:val="2"/>
        </w:tcPr>
        <w:p w:rsidR="00BC1EA4" w:rsidRDefault="00BC1EA4">
          <w:pPr>
            <w:pStyle w:val="Header"/>
            <w:spacing w:before="40"/>
          </w:pPr>
        </w:p>
      </w:tc>
    </w:tr>
  </w:tbl>
  <w:p w:rsidR="00BC1EA4" w:rsidRDefault="00BC1EA4">
    <w:pPr>
      <w:pStyle w:val="Header"/>
      <w:pBdr>
        <w:top w:val="single" w:sz="4" w:space="1" w:color="auto"/>
      </w:pBd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jc w:val="center"/>
      <w:tblLayout w:type="fixed"/>
      <w:tblCellMar>
        <w:left w:w="72" w:type="dxa"/>
        <w:right w:w="72" w:type="dxa"/>
      </w:tblCellMar>
      <w:tblLook w:val="0000" w:firstRow="0" w:lastRow="0" w:firstColumn="0" w:lastColumn="0" w:noHBand="0" w:noVBand="0"/>
    </w:tblPr>
    <w:tblGrid>
      <w:gridCol w:w="5715"/>
      <w:gridCol w:w="1548"/>
    </w:tblGrid>
    <w:tr w:rsidR="00BC1EA4">
      <w:trPr>
        <w:cantSplit/>
        <w:jc w:val="center"/>
      </w:trPr>
      <w:tc>
        <w:tcPr>
          <w:tcW w:w="7258" w:type="dxa"/>
          <w:gridSpan w:val="2"/>
        </w:tcPr>
        <w:p w:rsidR="00BC1EA4" w:rsidRDefault="00BC1EA4">
          <w:pPr>
            <w:pStyle w:val="Header"/>
            <w:ind w:right="17"/>
            <w:jc w:val="right"/>
          </w:pPr>
          <w:r>
            <w:rPr>
              <w:b/>
              <w:i/>
            </w:rPr>
            <w:fldChar w:fldCharType="begin"/>
          </w:r>
          <w:r>
            <w:rPr>
              <w:b/>
              <w:i/>
            </w:rPr>
            <w:instrText xml:space="preserve"> STYLEREF "Name of Act/Reg" </w:instrText>
          </w:r>
          <w:r>
            <w:rPr>
              <w:b/>
              <w:i/>
            </w:rPr>
            <w:fldChar w:fldCharType="separate"/>
          </w:r>
          <w:r w:rsidR="00914885">
            <w:rPr>
              <w:b/>
              <w:i/>
            </w:rPr>
            <w:t>Shipping and Pilotage (Ports and Harbours) Regulations 1966</w:t>
          </w:r>
          <w:r>
            <w:rPr>
              <w:b/>
              <w:i/>
            </w:rPr>
            <w:fldChar w:fldCharType="end"/>
          </w:r>
        </w:p>
      </w:tc>
    </w:tr>
    <w:tr w:rsidR="00BC1EA4">
      <w:trPr>
        <w:jc w:val="center"/>
      </w:trPr>
      <w:tc>
        <w:tcPr>
          <w:tcW w:w="5715" w:type="dxa"/>
        </w:tcPr>
        <w:p w:rsidR="00BC1EA4" w:rsidRDefault="00BC1EA4">
          <w:pPr>
            <w:pStyle w:val="Header"/>
            <w:spacing w:before="40"/>
            <w:jc w:val="right"/>
          </w:pPr>
          <w:r>
            <w:fldChar w:fldCharType="begin"/>
          </w:r>
          <w:r>
            <w:instrText xml:space="preserve"> STYLEREF "nHeading 3" </w:instrText>
          </w:r>
          <w:r>
            <w:fldChar w:fldCharType="separate"/>
          </w:r>
          <w:r w:rsidR="00914885">
            <w:t>Compilation table</w:t>
          </w:r>
          <w:r>
            <w:fldChar w:fldCharType="end"/>
          </w:r>
        </w:p>
      </w:tc>
      <w:tc>
        <w:tcPr>
          <w:tcW w:w="1548" w:type="dxa"/>
        </w:tcPr>
        <w:p w:rsidR="00BC1EA4" w:rsidRDefault="00BC1EA4">
          <w:pPr>
            <w:pStyle w:val="Header"/>
            <w:spacing w:before="40"/>
            <w:ind w:right="17"/>
            <w:jc w:val="right"/>
          </w:pPr>
          <w:r>
            <w:rPr>
              <w:b/>
            </w:rPr>
            <w:fldChar w:fldCharType="begin"/>
          </w:r>
          <w:r>
            <w:rPr>
              <w:b/>
            </w:rPr>
            <w:instrText xml:space="preserve"> STYLEREF "nHeading 2" </w:instrText>
          </w:r>
          <w:r>
            <w:rPr>
              <w:b/>
            </w:rPr>
            <w:fldChar w:fldCharType="separate"/>
          </w:r>
          <w:r w:rsidR="00914885">
            <w:rPr>
              <w:b/>
            </w:rPr>
            <w:t>Notes</w:t>
          </w:r>
          <w:r>
            <w:rPr>
              <w:b/>
            </w:rPr>
            <w:fldChar w:fldCharType="end"/>
          </w:r>
        </w:p>
      </w:tc>
    </w:tr>
    <w:tr w:rsidR="00BC1EA4">
      <w:trPr>
        <w:jc w:val="center"/>
      </w:trPr>
      <w:tc>
        <w:tcPr>
          <w:tcW w:w="5715" w:type="dxa"/>
        </w:tcPr>
        <w:p w:rsidR="00BC1EA4" w:rsidRDefault="00BC1EA4">
          <w:pPr>
            <w:pStyle w:val="Header"/>
            <w:spacing w:before="40"/>
            <w:jc w:val="right"/>
          </w:pPr>
        </w:p>
      </w:tc>
      <w:tc>
        <w:tcPr>
          <w:tcW w:w="1548" w:type="dxa"/>
        </w:tcPr>
        <w:p w:rsidR="00BC1EA4" w:rsidRDefault="00BC1EA4">
          <w:pPr>
            <w:pStyle w:val="Header"/>
            <w:spacing w:before="40"/>
            <w:ind w:right="17"/>
            <w:jc w:val="right"/>
          </w:pPr>
        </w:p>
      </w:tc>
    </w:tr>
    <w:tr w:rsidR="00BC1EA4">
      <w:trPr>
        <w:cantSplit/>
        <w:jc w:val="center"/>
      </w:trPr>
      <w:tc>
        <w:tcPr>
          <w:tcW w:w="7258" w:type="dxa"/>
          <w:gridSpan w:val="2"/>
        </w:tcPr>
        <w:p w:rsidR="00BC1EA4" w:rsidRDefault="00BC1EA4">
          <w:pPr>
            <w:pStyle w:val="Header"/>
            <w:spacing w:before="40"/>
            <w:ind w:right="17"/>
            <w:jc w:val="right"/>
          </w:pPr>
        </w:p>
      </w:tc>
    </w:tr>
  </w:tbl>
  <w:p w:rsidR="00BC1EA4" w:rsidRDefault="00BC1EA4">
    <w:pPr>
      <w:pStyle w:val="Header"/>
      <w:pBdr>
        <w:top w:val="single" w:sz="4" w:space="1" w:color="auto"/>
      </w:pBdr>
    </w:pPr>
    <w:bookmarkStart w:id="156" w:name="Compilation"/>
    <w:bookmarkEnd w:id="156"/>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jc w:val="center"/>
      <w:tblLayout w:type="fixed"/>
      <w:tblCellMar>
        <w:left w:w="72" w:type="dxa"/>
        <w:right w:w="72" w:type="dxa"/>
      </w:tblCellMar>
      <w:tblLook w:val="0000" w:firstRow="0" w:lastRow="0" w:firstColumn="0" w:lastColumn="0" w:noHBand="0" w:noVBand="0"/>
    </w:tblPr>
    <w:tblGrid>
      <w:gridCol w:w="1348"/>
      <w:gridCol w:w="5915"/>
    </w:tblGrid>
    <w:tr w:rsidR="00BC1EA4">
      <w:trPr>
        <w:cantSplit/>
        <w:jc w:val="center"/>
      </w:trPr>
      <w:tc>
        <w:tcPr>
          <w:tcW w:w="7263" w:type="dxa"/>
          <w:gridSpan w:val="2"/>
        </w:tcPr>
        <w:p w:rsidR="00BC1EA4" w:rsidRDefault="00BC1EA4">
          <w:pPr>
            <w:pStyle w:val="Header"/>
          </w:pPr>
          <w:r>
            <w:rPr>
              <w:b/>
              <w:i/>
            </w:rPr>
            <w:fldChar w:fldCharType="begin"/>
          </w:r>
          <w:r>
            <w:rPr>
              <w:b/>
              <w:i/>
            </w:rPr>
            <w:instrText xml:space="preserve"> STYLEREF "Name of Act/Reg" </w:instrText>
          </w:r>
          <w:r>
            <w:rPr>
              <w:b/>
              <w:i/>
            </w:rPr>
            <w:fldChar w:fldCharType="separate"/>
          </w:r>
          <w:r w:rsidR="00914885">
            <w:rPr>
              <w:b/>
              <w:i/>
            </w:rPr>
            <w:t>Shipping and Pilotage (Ports and Harbours) Regulations 1966</w:t>
          </w:r>
          <w:r>
            <w:rPr>
              <w:b/>
              <w:i/>
            </w:rPr>
            <w:fldChar w:fldCharType="end"/>
          </w:r>
        </w:p>
      </w:tc>
    </w:tr>
    <w:tr w:rsidR="00BC1EA4">
      <w:trPr>
        <w:jc w:val="center"/>
      </w:trPr>
      <w:tc>
        <w:tcPr>
          <w:tcW w:w="1348" w:type="dxa"/>
        </w:tcPr>
        <w:p w:rsidR="00BC1EA4" w:rsidRDefault="00BC1EA4">
          <w:pPr>
            <w:pStyle w:val="Header"/>
            <w:spacing w:before="40"/>
          </w:pPr>
        </w:p>
      </w:tc>
      <w:tc>
        <w:tcPr>
          <w:tcW w:w="5915" w:type="dxa"/>
        </w:tcPr>
        <w:p w:rsidR="00BC1EA4" w:rsidRDefault="00BC1EA4">
          <w:pPr>
            <w:pStyle w:val="Header"/>
            <w:spacing w:before="40"/>
          </w:pPr>
        </w:p>
      </w:tc>
    </w:tr>
    <w:tr w:rsidR="00BC1EA4">
      <w:trPr>
        <w:jc w:val="center"/>
      </w:trPr>
      <w:tc>
        <w:tcPr>
          <w:tcW w:w="1348" w:type="dxa"/>
        </w:tcPr>
        <w:p w:rsidR="00BC1EA4" w:rsidRDefault="00BC1EA4">
          <w:pPr>
            <w:pStyle w:val="Header"/>
            <w:spacing w:before="40"/>
          </w:pPr>
        </w:p>
      </w:tc>
      <w:tc>
        <w:tcPr>
          <w:tcW w:w="5915" w:type="dxa"/>
        </w:tcPr>
        <w:p w:rsidR="00BC1EA4" w:rsidRDefault="00BC1EA4">
          <w:pPr>
            <w:pStyle w:val="Header"/>
            <w:spacing w:before="40"/>
          </w:pPr>
        </w:p>
      </w:tc>
    </w:tr>
    <w:tr w:rsidR="00BC1EA4">
      <w:trPr>
        <w:cantSplit/>
        <w:jc w:val="center"/>
      </w:trPr>
      <w:tc>
        <w:tcPr>
          <w:tcW w:w="7263" w:type="dxa"/>
          <w:gridSpan w:val="2"/>
        </w:tcPr>
        <w:p w:rsidR="00BC1EA4" w:rsidRDefault="00BC1EA4">
          <w:pPr>
            <w:pStyle w:val="Header"/>
            <w:spacing w:before="40"/>
          </w:pPr>
          <w:r>
            <w:t>Defined terms</w:t>
          </w:r>
        </w:p>
      </w:tc>
    </w:tr>
  </w:tbl>
  <w:p w:rsidR="00BC1EA4" w:rsidRDefault="00BC1EA4">
    <w:pPr>
      <w:pStyle w:val="Header"/>
      <w:pBdr>
        <w:top w:val="single" w:sz="4" w:space="1" w:color="auto"/>
      </w:pBd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jc w:val="center"/>
      <w:tblLayout w:type="fixed"/>
      <w:tblCellMar>
        <w:left w:w="72" w:type="dxa"/>
        <w:right w:w="72" w:type="dxa"/>
      </w:tblCellMar>
      <w:tblLook w:val="0000" w:firstRow="0" w:lastRow="0" w:firstColumn="0" w:lastColumn="0" w:noHBand="0" w:noVBand="0"/>
    </w:tblPr>
    <w:tblGrid>
      <w:gridCol w:w="5884"/>
      <w:gridCol w:w="1379"/>
    </w:tblGrid>
    <w:tr w:rsidR="00BC1EA4">
      <w:trPr>
        <w:cantSplit/>
        <w:jc w:val="center"/>
      </w:trPr>
      <w:tc>
        <w:tcPr>
          <w:tcW w:w="7263" w:type="dxa"/>
          <w:gridSpan w:val="2"/>
        </w:tcPr>
        <w:p w:rsidR="00BC1EA4" w:rsidRDefault="00BC1EA4">
          <w:pPr>
            <w:pStyle w:val="Header"/>
            <w:spacing w:before="40"/>
            <w:ind w:right="17"/>
            <w:jc w:val="right"/>
          </w:pPr>
          <w:r>
            <w:rPr>
              <w:b/>
              <w:i/>
            </w:rPr>
            <w:fldChar w:fldCharType="begin"/>
          </w:r>
          <w:r>
            <w:rPr>
              <w:b/>
              <w:i/>
            </w:rPr>
            <w:instrText xml:space="preserve"> STYLEREF "Name of Act/Reg" </w:instrText>
          </w:r>
          <w:r>
            <w:rPr>
              <w:b/>
              <w:i/>
            </w:rPr>
            <w:fldChar w:fldCharType="separate"/>
          </w:r>
          <w:r w:rsidR="00914885">
            <w:rPr>
              <w:b/>
              <w:i/>
            </w:rPr>
            <w:t>Shipping and Pilotage (Ports and Harbours) Regulations 1966</w:t>
          </w:r>
          <w:r>
            <w:rPr>
              <w:b/>
              <w:i/>
            </w:rPr>
            <w:fldChar w:fldCharType="end"/>
          </w:r>
        </w:p>
      </w:tc>
    </w:tr>
    <w:tr w:rsidR="00BC1EA4">
      <w:trPr>
        <w:jc w:val="center"/>
      </w:trPr>
      <w:tc>
        <w:tcPr>
          <w:tcW w:w="5884" w:type="dxa"/>
        </w:tcPr>
        <w:p w:rsidR="00BC1EA4" w:rsidRDefault="00BC1EA4">
          <w:pPr>
            <w:pStyle w:val="Header"/>
            <w:spacing w:before="40"/>
            <w:jc w:val="right"/>
          </w:pPr>
        </w:p>
      </w:tc>
      <w:tc>
        <w:tcPr>
          <w:tcW w:w="1379" w:type="dxa"/>
        </w:tcPr>
        <w:p w:rsidR="00BC1EA4" w:rsidRDefault="00BC1EA4">
          <w:pPr>
            <w:pStyle w:val="Header"/>
            <w:spacing w:before="40"/>
            <w:ind w:right="17"/>
            <w:jc w:val="right"/>
          </w:pPr>
        </w:p>
      </w:tc>
    </w:tr>
    <w:tr w:rsidR="00BC1EA4">
      <w:trPr>
        <w:jc w:val="center"/>
      </w:trPr>
      <w:tc>
        <w:tcPr>
          <w:tcW w:w="5884" w:type="dxa"/>
        </w:tcPr>
        <w:p w:rsidR="00BC1EA4" w:rsidRDefault="00BC1EA4">
          <w:pPr>
            <w:pStyle w:val="Header"/>
            <w:spacing w:before="40"/>
            <w:jc w:val="right"/>
          </w:pPr>
        </w:p>
      </w:tc>
      <w:tc>
        <w:tcPr>
          <w:tcW w:w="1379" w:type="dxa"/>
        </w:tcPr>
        <w:p w:rsidR="00BC1EA4" w:rsidRDefault="00BC1EA4">
          <w:pPr>
            <w:pStyle w:val="Header"/>
            <w:spacing w:before="40"/>
            <w:ind w:right="17"/>
            <w:jc w:val="right"/>
          </w:pPr>
        </w:p>
      </w:tc>
    </w:tr>
    <w:tr w:rsidR="00BC1EA4">
      <w:trPr>
        <w:cantSplit/>
        <w:jc w:val="center"/>
      </w:trPr>
      <w:tc>
        <w:tcPr>
          <w:tcW w:w="7263" w:type="dxa"/>
          <w:gridSpan w:val="2"/>
        </w:tcPr>
        <w:p w:rsidR="00BC1EA4" w:rsidRDefault="00BC1EA4">
          <w:pPr>
            <w:pStyle w:val="Header"/>
            <w:spacing w:before="40"/>
            <w:ind w:right="17"/>
            <w:jc w:val="right"/>
          </w:pPr>
          <w:r>
            <w:t>Defined terms</w:t>
          </w:r>
        </w:p>
      </w:tc>
    </w:tr>
  </w:tbl>
  <w:p w:rsidR="00BC1EA4" w:rsidRDefault="00BC1EA4">
    <w:pPr>
      <w:pStyle w:val="Header"/>
      <w:pBdr>
        <w:top w:val="single" w:sz="4" w:space="1" w:color="auto"/>
      </w:pBdr>
    </w:pPr>
    <w:bookmarkStart w:id="159" w:name="DefinedTerms"/>
    <w:bookmarkEnd w:id="159"/>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C1EA4" w:rsidRDefault="00BC1EA4">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C1EA4" w:rsidRDefault="00BC1EA4">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C1EA4" w:rsidRDefault="00BC1EA4">
    <w:pPr>
      <w:pStyle w:val="Header"/>
    </w:pPr>
    <w:bookmarkStart w:id="160" w:name="Coversheet"/>
    <w:bookmarkEnd w:id="160"/>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C1EA4" w:rsidRDefault="00BC1EA4">
    <w:pPr>
      <w:pStyle w:val="Header"/>
    </w:pPr>
    <w:bookmarkStart w:id="1" w:name="TitlePage"/>
    <w:bookmarkEnd w:id="1"/>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jc w:val="center"/>
      <w:tblLayout w:type="fixed"/>
      <w:tblCellMar>
        <w:left w:w="72" w:type="dxa"/>
        <w:right w:w="72" w:type="dxa"/>
      </w:tblCellMar>
      <w:tblLook w:val="0000" w:firstRow="0" w:lastRow="0" w:firstColumn="0" w:lastColumn="0" w:noHBand="0" w:noVBand="0"/>
    </w:tblPr>
    <w:tblGrid>
      <w:gridCol w:w="1548"/>
      <w:gridCol w:w="5715"/>
    </w:tblGrid>
    <w:tr w:rsidR="00BC1EA4">
      <w:trPr>
        <w:cantSplit/>
        <w:jc w:val="center"/>
      </w:trPr>
      <w:tc>
        <w:tcPr>
          <w:tcW w:w="7258" w:type="dxa"/>
          <w:gridSpan w:val="2"/>
        </w:tcPr>
        <w:p w:rsidR="00BC1EA4" w:rsidRDefault="00BC1EA4">
          <w:pPr>
            <w:pStyle w:val="Header"/>
          </w:pPr>
          <w:r>
            <w:rPr>
              <w:b/>
              <w:i/>
            </w:rPr>
            <w:fldChar w:fldCharType="begin"/>
          </w:r>
          <w:r>
            <w:rPr>
              <w:b/>
              <w:i/>
            </w:rPr>
            <w:instrText xml:space="preserve"> STYLEREF "Name of Act/Reg" </w:instrText>
          </w:r>
          <w:r>
            <w:rPr>
              <w:b/>
              <w:i/>
            </w:rPr>
            <w:fldChar w:fldCharType="separate"/>
          </w:r>
          <w:r w:rsidR="00914885">
            <w:rPr>
              <w:b/>
              <w:i/>
            </w:rPr>
            <w:t>Shipping and Pilotage (Ports and Harbours) Regulations 1966</w:t>
          </w:r>
          <w:r>
            <w:rPr>
              <w:b/>
              <w:i/>
            </w:rPr>
            <w:fldChar w:fldCharType="end"/>
          </w:r>
        </w:p>
      </w:tc>
    </w:tr>
    <w:tr w:rsidR="00BC1EA4">
      <w:trPr>
        <w:jc w:val="center"/>
      </w:trPr>
      <w:tc>
        <w:tcPr>
          <w:tcW w:w="1548" w:type="dxa"/>
        </w:tcPr>
        <w:p w:rsidR="00BC1EA4" w:rsidRDefault="00BC1EA4">
          <w:pPr>
            <w:pStyle w:val="Header"/>
            <w:spacing w:before="40"/>
          </w:pPr>
        </w:p>
      </w:tc>
      <w:tc>
        <w:tcPr>
          <w:tcW w:w="5715" w:type="dxa"/>
        </w:tcPr>
        <w:p w:rsidR="00BC1EA4" w:rsidRDefault="00BC1EA4">
          <w:pPr>
            <w:pStyle w:val="Header"/>
            <w:spacing w:before="40"/>
          </w:pPr>
        </w:p>
      </w:tc>
    </w:tr>
    <w:tr w:rsidR="00BC1EA4">
      <w:trPr>
        <w:jc w:val="center"/>
      </w:trPr>
      <w:tc>
        <w:tcPr>
          <w:tcW w:w="1548" w:type="dxa"/>
        </w:tcPr>
        <w:p w:rsidR="00BC1EA4" w:rsidRDefault="00BC1EA4">
          <w:pPr>
            <w:pStyle w:val="Header"/>
            <w:spacing w:before="40"/>
          </w:pPr>
        </w:p>
      </w:tc>
      <w:tc>
        <w:tcPr>
          <w:tcW w:w="5715" w:type="dxa"/>
        </w:tcPr>
        <w:p w:rsidR="00BC1EA4" w:rsidRDefault="00BC1EA4">
          <w:pPr>
            <w:pStyle w:val="Header"/>
            <w:spacing w:before="40"/>
          </w:pPr>
        </w:p>
      </w:tc>
    </w:tr>
    <w:tr w:rsidR="00BC1EA4">
      <w:trPr>
        <w:cantSplit/>
        <w:jc w:val="center"/>
      </w:trPr>
      <w:tc>
        <w:tcPr>
          <w:tcW w:w="7258" w:type="dxa"/>
          <w:gridSpan w:val="2"/>
        </w:tcPr>
        <w:p w:rsidR="00BC1EA4" w:rsidRDefault="00BC1EA4">
          <w:pPr>
            <w:pStyle w:val="Header"/>
            <w:spacing w:before="40"/>
          </w:pPr>
          <w:r>
            <w:t>Contents</w:t>
          </w:r>
        </w:p>
      </w:tc>
    </w:tr>
  </w:tbl>
  <w:p w:rsidR="00BC1EA4" w:rsidRDefault="00BC1EA4">
    <w:pPr>
      <w:pStyle w:val="Header"/>
      <w:pBdr>
        <w:top w:val="single" w:sz="4" w:space="1" w:color="auto"/>
      </w:pBd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jc w:val="center"/>
      <w:tblLayout w:type="fixed"/>
      <w:tblCellMar>
        <w:left w:w="72" w:type="dxa"/>
        <w:right w:w="72" w:type="dxa"/>
      </w:tblCellMar>
      <w:tblLook w:val="0000" w:firstRow="0" w:lastRow="0" w:firstColumn="0" w:lastColumn="0" w:noHBand="0" w:noVBand="0"/>
    </w:tblPr>
    <w:tblGrid>
      <w:gridCol w:w="5715"/>
      <w:gridCol w:w="1548"/>
    </w:tblGrid>
    <w:tr w:rsidR="00BC1EA4">
      <w:trPr>
        <w:cantSplit/>
        <w:jc w:val="center"/>
      </w:trPr>
      <w:tc>
        <w:tcPr>
          <w:tcW w:w="7258" w:type="dxa"/>
          <w:gridSpan w:val="2"/>
        </w:tcPr>
        <w:p w:rsidR="00BC1EA4" w:rsidRDefault="00BC1EA4">
          <w:pPr>
            <w:pStyle w:val="Header"/>
            <w:ind w:right="17"/>
            <w:jc w:val="right"/>
          </w:pPr>
          <w:r>
            <w:rPr>
              <w:b/>
              <w:i/>
            </w:rPr>
            <w:fldChar w:fldCharType="begin"/>
          </w:r>
          <w:r>
            <w:rPr>
              <w:b/>
              <w:i/>
            </w:rPr>
            <w:instrText xml:space="preserve"> STYLEREF "Name of Act/Reg" </w:instrText>
          </w:r>
          <w:r>
            <w:rPr>
              <w:b/>
              <w:i/>
            </w:rPr>
            <w:fldChar w:fldCharType="separate"/>
          </w:r>
          <w:r w:rsidR="00914885">
            <w:rPr>
              <w:b/>
              <w:i/>
            </w:rPr>
            <w:t>Shipping and Pilotage (Ports and Harbours) Regulations 1966</w:t>
          </w:r>
          <w:r>
            <w:rPr>
              <w:b/>
              <w:i/>
            </w:rPr>
            <w:fldChar w:fldCharType="end"/>
          </w:r>
        </w:p>
      </w:tc>
    </w:tr>
    <w:tr w:rsidR="00BC1EA4">
      <w:trPr>
        <w:jc w:val="center"/>
      </w:trPr>
      <w:tc>
        <w:tcPr>
          <w:tcW w:w="5715" w:type="dxa"/>
        </w:tcPr>
        <w:p w:rsidR="00BC1EA4" w:rsidRDefault="00BC1EA4">
          <w:pPr>
            <w:pStyle w:val="Header"/>
            <w:spacing w:before="40"/>
            <w:jc w:val="right"/>
          </w:pPr>
        </w:p>
      </w:tc>
      <w:tc>
        <w:tcPr>
          <w:tcW w:w="1548" w:type="dxa"/>
        </w:tcPr>
        <w:p w:rsidR="00BC1EA4" w:rsidRDefault="00BC1EA4">
          <w:pPr>
            <w:pStyle w:val="Header"/>
            <w:spacing w:before="40"/>
            <w:ind w:right="17"/>
            <w:jc w:val="right"/>
          </w:pPr>
        </w:p>
      </w:tc>
    </w:tr>
    <w:tr w:rsidR="00BC1EA4">
      <w:trPr>
        <w:jc w:val="center"/>
      </w:trPr>
      <w:tc>
        <w:tcPr>
          <w:tcW w:w="5715" w:type="dxa"/>
        </w:tcPr>
        <w:p w:rsidR="00BC1EA4" w:rsidRDefault="00BC1EA4">
          <w:pPr>
            <w:pStyle w:val="Header"/>
            <w:spacing w:before="40"/>
            <w:jc w:val="right"/>
          </w:pPr>
        </w:p>
      </w:tc>
      <w:tc>
        <w:tcPr>
          <w:tcW w:w="1548" w:type="dxa"/>
        </w:tcPr>
        <w:p w:rsidR="00BC1EA4" w:rsidRDefault="00BC1EA4">
          <w:pPr>
            <w:pStyle w:val="Header"/>
            <w:spacing w:before="40"/>
            <w:ind w:right="17"/>
            <w:jc w:val="right"/>
          </w:pPr>
        </w:p>
      </w:tc>
    </w:tr>
    <w:tr w:rsidR="00BC1EA4">
      <w:trPr>
        <w:cantSplit/>
        <w:jc w:val="center"/>
      </w:trPr>
      <w:tc>
        <w:tcPr>
          <w:tcW w:w="7258" w:type="dxa"/>
          <w:gridSpan w:val="2"/>
        </w:tcPr>
        <w:p w:rsidR="00BC1EA4" w:rsidRDefault="00BC1EA4">
          <w:pPr>
            <w:pStyle w:val="Header"/>
            <w:spacing w:before="40"/>
            <w:ind w:right="17"/>
            <w:jc w:val="right"/>
          </w:pPr>
          <w:r>
            <w:t>Contents</w:t>
          </w:r>
        </w:p>
      </w:tc>
    </w:tr>
  </w:tbl>
  <w:p w:rsidR="00BC1EA4" w:rsidRDefault="00BC1EA4">
    <w:pPr>
      <w:pStyle w:val="Header"/>
      <w:pBdr>
        <w:top w:val="single" w:sz="4" w:space="1" w:color="auto"/>
      </w:pBdr>
    </w:pPr>
    <w:bookmarkStart w:id="2" w:name="TOC"/>
    <w:bookmarkEnd w:id="2"/>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C1EA4" w:rsidRDefault="00BC1EA4">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jc w:val="center"/>
      <w:tblLayout w:type="fixed"/>
      <w:tblCellMar>
        <w:left w:w="72" w:type="dxa"/>
        <w:right w:w="72" w:type="dxa"/>
      </w:tblCellMar>
      <w:tblLook w:val="0000" w:firstRow="0" w:lastRow="0" w:firstColumn="0" w:lastColumn="0" w:noHBand="0" w:noVBand="0"/>
    </w:tblPr>
    <w:tblGrid>
      <w:gridCol w:w="1548"/>
      <w:gridCol w:w="5715"/>
    </w:tblGrid>
    <w:tr w:rsidR="00BC1EA4">
      <w:trPr>
        <w:cantSplit/>
        <w:jc w:val="center"/>
      </w:trPr>
      <w:tc>
        <w:tcPr>
          <w:tcW w:w="7258" w:type="dxa"/>
          <w:gridSpan w:val="2"/>
        </w:tcPr>
        <w:p w:rsidR="00BC1EA4" w:rsidRDefault="00BC1EA4">
          <w:pPr>
            <w:pStyle w:val="Header"/>
          </w:pPr>
          <w:r>
            <w:rPr>
              <w:b/>
              <w:i/>
            </w:rPr>
            <w:fldChar w:fldCharType="begin"/>
          </w:r>
          <w:r>
            <w:rPr>
              <w:b/>
              <w:i/>
            </w:rPr>
            <w:instrText>Styleref "Name of Act/Reg"</w:instrText>
          </w:r>
          <w:r>
            <w:rPr>
              <w:b/>
              <w:i/>
            </w:rPr>
            <w:fldChar w:fldCharType="separate"/>
          </w:r>
          <w:r w:rsidR="00914885">
            <w:rPr>
              <w:b/>
              <w:i/>
            </w:rPr>
            <w:t>Shipping and Pilotage (Ports and Harbours) Regulations 1966</w:t>
          </w:r>
          <w:r>
            <w:rPr>
              <w:b/>
              <w:i/>
            </w:rPr>
            <w:fldChar w:fldCharType="end"/>
          </w:r>
        </w:p>
      </w:tc>
    </w:tr>
    <w:tr w:rsidR="00BC1EA4">
      <w:trPr>
        <w:jc w:val="center"/>
      </w:trPr>
      <w:tc>
        <w:tcPr>
          <w:tcW w:w="1548" w:type="dxa"/>
        </w:tcPr>
        <w:p w:rsidR="00BC1EA4" w:rsidRDefault="00BC1EA4">
          <w:pPr>
            <w:pStyle w:val="Header"/>
            <w:spacing w:before="40"/>
          </w:pPr>
          <w:r>
            <w:rPr>
              <w:b/>
            </w:rPr>
            <w:fldChar w:fldCharType="begin"/>
          </w:r>
          <w:r>
            <w:rPr>
              <w:b/>
            </w:rPr>
            <w:instrText>styleref CharPartNo</w:instrText>
          </w:r>
          <w:r>
            <w:rPr>
              <w:b/>
            </w:rPr>
            <w:fldChar w:fldCharType="end"/>
          </w:r>
        </w:p>
      </w:tc>
      <w:tc>
        <w:tcPr>
          <w:tcW w:w="5715" w:type="dxa"/>
          <w:vAlign w:val="bottom"/>
        </w:tcPr>
        <w:p w:rsidR="00BC1EA4" w:rsidRDefault="00BC1EA4">
          <w:pPr>
            <w:pStyle w:val="Header"/>
            <w:spacing w:before="40"/>
          </w:pPr>
          <w:r>
            <w:fldChar w:fldCharType="begin"/>
          </w:r>
          <w:r>
            <w:instrText>styleref CharPartText</w:instrText>
          </w:r>
          <w:r>
            <w:fldChar w:fldCharType="end"/>
          </w:r>
        </w:p>
      </w:tc>
    </w:tr>
    <w:tr w:rsidR="00BC1EA4">
      <w:trPr>
        <w:jc w:val="center"/>
      </w:trPr>
      <w:tc>
        <w:tcPr>
          <w:tcW w:w="1548" w:type="dxa"/>
        </w:tcPr>
        <w:p w:rsidR="00BC1EA4" w:rsidRDefault="00BC1EA4">
          <w:pPr>
            <w:pStyle w:val="Header"/>
            <w:spacing w:before="40"/>
          </w:pPr>
          <w:r>
            <w:rPr>
              <w:b/>
            </w:rPr>
            <w:fldChar w:fldCharType="begin"/>
          </w:r>
          <w:r>
            <w:rPr>
              <w:b/>
            </w:rPr>
            <w:instrText xml:space="preserve"> styleref CharDivNo </w:instrText>
          </w:r>
          <w:r>
            <w:rPr>
              <w:b/>
            </w:rPr>
            <w:fldChar w:fldCharType="end"/>
          </w:r>
        </w:p>
      </w:tc>
      <w:tc>
        <w:tcPr>
          <w:tcW w:w="5715" w:type="dxa"/>
        </w:tcPr>
        <w:p w:rsidR="00BC1EA4" w:rsidRDefault="00BC1EA4">
          <w:pPr>
            <w:pStyle w:val="Header"/>
            <w:spacing w:before="40"/>
          </w:pPr>
          <w:r>
            <w:fldChar w:fldCharType="begin"/>
          </w:r>
          <w:r>
            <w:instrText xml:space="preserve"> styleref CharDivText </w:instrText>
          </w:r>
          <w:r>
            <w:fldChar w:fldCharType="end"/>
          </w:r>
        </w:p>
      </w:tc>
    </w:tr>
    <w:tr w:rsidR="00BC1EA4">
      <w:trPr>
        <w:cantSplit/>
        <w:jc w:val="center"/>
      </w:trPr>
      <w:tc>
        <w:tcPr>
          <w:tcW w:w="7258" w:type="dxa"/>
          <w:gridSpan w:val="2"/>
        </w:tcPr>
        <w:p w:rsidR="00BC1EA4" w:rsidRDefault="00BC1EA4">
          <w:pPr>
            <w:pStyle w:val="Header"/>
            <w:spacing w:before="40"/>
          </w:pPr>
          <w:r>
            <w:rPr>
              <w:b/>
            </w:rPr>
            <w:t xml:space="preserve">r. </w:t>
          </w:r>
          <w:r>
            <w:rPr>
              <w:b/>
            </w:rPr>
            <w:fldChar w:fldCharType="begin"/>
          </w:r>
          <w:r>
            <w:rPr>
              <w:b/>
            </w:rPr>
            <w:instrText>styleref CharSectno</w:instrText>
          </w:r>
          <w:r>
            <w:rPr>
              <w:b/>
            </w:rPr>
            <w:fldChar w:fldCharType="separate"/>
          </w:r>
          <w:r w:rsidR="00914885">
            <w:rPr>
              <w:b/>
            </w:rPr>
            <w:t>1</w:t>
          </w:r>
          <w:r>
            <w:rPr>
              <w:b/>
            </w:rPr>
            <w:fldChar w:fldCharType="end"/>
          </w:r>
        </w:p>
      </w:tc>
    </w:tr>
  </w:tbl>
  <w:p w:rsidR="00BC1EA4" w:rsidRDefault="00BC1EA4">
    <w:pPr>
      <w:pStyle w:val="Header"/>
      <w:pBdr>
        <w:top w:val="single" w:sz="4" w:space="1" w:color="auto"/>
      </w:pBd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jc w:val="center"/>
      <w:tblLayout w:type="fixed"/>
      <w:tblCellMar>
        <w:left w:w="72" w:type="dxa"/>
        <w:right w:w="72" w:type="dxa"/>
      </w:tblCellMar>
      <w:tblLook w:val="0000" w:firstRow="0" w:lastRow="0" w:firstColumn="0" w:lastColumn="0" w:noHBand="0" w:noVBand="0"/>
    </w:tblPr>
    <w:tblGrid>
      <w:gridCol w:w="5715"/>
      <w:gridCol w:w="1548"/>
    </w:tblGrid>
    <w:tr w:rsidR="00BC1EA4">
      <w:trPr>
        <w:cantSplit/>
        <w:jc w:val="center"/>
      </w:trPr>
      <w:tc>
        <w:tcPr>
          <w:tcW w:w="7258" w:type="dxa"/>
          <w:gridSpan w:val="2"/>
        </w:tcPr>
        <w:p w:rsidR="00BC1EA4" w:rsidRDefault="00BC1EA4">
          <w:pPr>
            <w:pStyle w:val="Header"/>
            <w:ind w:right="17"/>
            <w:jc w:val="right"/>
          </w:pPr>
          <w:r>
            <w:rPr>
              <w:b/>
              <w:i/>
            </w:rPr>
            <w:fldChar w:fldCharType="begin"/>
          </w:r>
          <w:r>
            <w:rPr>
              <w:b/>
              <w:i/>
            </w:rPr>
            <w:instrText>Styleref "Name of Act/Reg"</w:instrText>
          </w:r>
          <w:r>
            <w:rPr>
              <w:b/>
              <w:i/>
            </w:rPr>
            <w:fldChar w:fldCharType="separate"/>
          </w:r>
          <w:r w:rsidR="00914885">
            <w:rPr>
              <w:b/>
              <w:i/>
            </w:rPr>
            <w:t>Shipping and Pilotage (Ports and Harbours) Regulations 1966</w:t>
          </w:r>
          <w:r>
            <w:rPr>
              <w:b/>
              <w:i/>
            </w:rPr>
            <w:fldChar w:fldCharType="end"/>
          </w:r>
        </w:p>
      </w:tc>
    </w:tr>
    <w:tr w:rsidR="00BC1EA4">
      <w:trPr>
        <w:jc w:val="center"/>
      </w:trPr>
      <w:tc>
        <w:tcPr>
          <w:tcW w:w="5715" w:type="dxa"/>
        </w:tcPr>
        <w:p w:rsidR="00BC1EA4" w:rsidRDefault="00BC1EA4">
          <w:pPr>
            <w:pStyle w:val="Header"/>
            <w:spacing w:before="40"/>
            <w:jc w:val="right"/>
          </w:pPr>
          <w:r>
            <w:fldChar w:fldCharType="begin"/>
          </w:r>
          <w:r>
            <w:instrText>styleref CharPartText</w:instrText>
          </w:r>
          <w:r>
            <w:fldChar w:fldCharType="end"/>
          </w:r>
        </w:p>
      </w:tc>
      <w:tc>
        <w:tcPr>
          <w:tcW w:w="1548" w:type="dxa"/>
        </w:tcPr>
        <w:p w:rsidR="00BC1EA4" w:rsidRDefault="00BC1EA4">
          <w:pPr>
            <w:pStyle w:val="Header"/>
            <w:spacing w:before="40"/>
            <w:ind w:right="17"/>
            <w:jc w:val="right"/>
          </w:pPr>
          <w:r>
            <w:rPr>
              <w:b/>
            </w:rPr>
            <w:fldChar w:fldCharType="begin"/>
          </w:r>
          <w:r>
            <w:rPr>
              <w:b/>
            </w:rPr>
            <w:instrText>styleref CharPartNo</w:instrText>
          </w:r>
          <w:r>
            <w:rPr>
              <w:b/>
            </w:rPr>
            <w:fldChar w:fldCharType="end"/>
          </w:r>
        </w:p>
      </w:tc>
    </w:tr>
    <w:tr w:rsidR="00BC1EA4">
      <w:trPr>
        <w:jc w:val="center"/>
      </w:trPr>
      <w:tc>
        <w:tcPr>
          <w:tcW w:w="5715" w:type="dxa"/>
        </w:tcPr>
        <w:p w:rsidR="00BC1EA4" w:rsidRDefault="00BC1EA4">
          <w:pPr>
            <w:pStyle w:val="Header"/>
            <w:spacing w:before="40"/>
            <w:jc w:val="right"/>
          </w:pPr>
          <w:r>
            <w:fldChar w:fldCharType="begin"/>
          </w:r>
          <w:r>
            <w:instrText xml:space="preserve"> styleref CharDivText </w:instrText>
          </w:r>
          <w:r>
            <w:fldChar w:fldCharType="end"/>
          </w:r>
        </w:p>
      </w:tc>
      <w:tc>
        <w:tcPr>
          <w:tcW w:w="1548" w:type="dxa"/>
        </w:tcPr>
        <w:p w:rsidR="00BC1EA4" w:rsidRDefault="00BC1EA4">
          <w:pPr>
            <w:pStyle w:val="Header"/>
            <w:spacing w:before="40"/>
            <w:ind w:right="17"/>
            <w:jc w:val="right"/>
          </w:pPr>
          <w:r>
            <w:rPr>
              <w:b/>
            </w:rPr>
            <w:fldChar w:fldCharType="begin"/>
          </w:r>
          <w:r>
            <w:rPr>
              <w:b/>
            </w:rPr>
            <w:instrText xml:space="preserve"> styleref CharDivNo </w:instrText>
          </w:r>
          <w:r>
            <w:rPr>
              <w:b/>
            </w:rPr>
            <w:fldChar w:fldCharType="end"/>
          </w:r>
        </w:p>
      </w:tc>
    </w:tr>
    <w:tr w:rsidR="00BC1EA4">
      <w:trPr>
        <w:cantSplit/>
        <w:jc w:val="center"/>
      </w:trPr>
      <w:tc>
        <w:tcPr>
          <w:tcW w:w="7258" w:type="dxa"/>
          <w:gridSpan w:val="2"/>
        </w:tcPr>
        <w:p w:rsidR="00BC1EA4" w:rsidRDefault="00BC1EA4">
          <w:pPr>
            <w:pStyle w:val="Header"/>
            <w:spacing w:before="40"/>
            <w:ind w:right="17"/>
            <w:jc w:val="right"/>
          </w:pPr>
          <w:r>
            <w:rPr>
              <w:b/>
            </w:rPr>
            <w:t xml:space="preserve">r. </w:t>
          </w:r>
          <w:r>
            <w:rPr>
              <w:b/>
            </w:rPr>
            <w:fldChar w:fldCharType="begin"/>
          </w:r>
          <w:r>
            <w:rPr>
              <w:b/>
            </w:rPr>
            <w:instrText>styleref CharSectno</w:instrText>
          </w:r>
          <w:r>
            <w:rPr>
              <w:b/>
            </w:rPr>
            <w:fldChar w:fldCharType="separate"/>
          </w:r>
          <w:r w:rsidR="00914885">
            <w:rPr>
              <w:b/>
            </w:rPr>
            <w:t>1</w:t>
          </w:r>
          <w:r>
            <w:rPr>
              <w:b/>
            </w:rPr>
            <w:fldChar w:fldCharType="end"/>
          </w:r>
        </w:p>
      </w:tc>
    </w:tr>
  </w:tbl>
  <w:p w:rsidR="00BC1EA4" w:rsidRDefault="00BC1EA4">
    <w:pPr>
      <w:pStyle w:val="Header"/>
      <w:pBdr>
        <w:top w:val="single" w:sz="4" w:space="1" w:color="auto"/>
      </w:pBd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C1EA4" w:rsidRDefault="00BC1EA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D76AC07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82628B8A"/>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B5262242"/>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1BDC222E"/>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C66A73D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4DCA3F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78CCC1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8060934"/>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7588B7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CB5057B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1C0EBC"/>
    <w:multiLevelType w:val="singleLevel"/>
    <w:tmpl w:val="1B68A73E"/>
    <w:lvl w:ilvl="0">
      <w:numFmt w:val="bullet"/>
      <w:lvlText w:val="•"/>
      <w:lvlJc w:val="left"/>
      <w:pPr>
        <w:tabs>
          <w:tab w:val="num" w:pos="360"/>
        </w:tabs>
        <w:ind w:left="284" w:hanging="284"/>
      </w:pPr>
      <w:rPr>
        <w:rFonts w:ascii="Times New Roman" w:hAnsi="Times New Roman" w:hint="default"/>
        <w:sz w:val="24"/>
      </w:rPr>
    </w:lvl>
  </w:abstractNum>
  <w:abstractNum w:abstractNumId="11" w15:restartNumberingAfterBreak="0">
    <w:nsid w:val="10D02321"/>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138B63E2"/>
    <w:multiLevelType w:val="multilevel"/>
    <w:tmpl w:val="3550C8FC"/>
    <w:name w:val="SectionNumbers"/>
    <w:lvl w:ilvl="0">
      <w:start w:val="1"/>
      <w:numFmt w:val="decimal"/>
      <w:lvlRestart w:val="0"/>
      <w:suff w:val="nothing"/>
      <w:lvlText w:val="%1"/>
      <w:lvlJc w:val="left"/>
    </w:lvl>
    <w:lvl w:ilvl="1">
      <w:start w:val="1"/>
      <w:numFmt w:val="decimal"/>
      <w:suff w:val="nothing"/>
      <w:lvlText w:val="(%2)"/>
      <w:lvlJc w:val="righ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3" w15:restartNumberingAfterBreak="0">
    <w:nsid w:val="17F0064C"/>
    <w:multiLevelType w:val="multilevel"/>
    <w:tmpl w:val="B978DF16"/>
    <w:name w:val="PartNumbers"/>
    <w:lvl w:ilvl="0">
      <w:start w:val="1"/>
      <w:numFmt w:val="decimal"/>
      <w:lvlRestart w:val="0"/>
      <w:suff w:val="nothing"/>
      <w:lvlText w:val="%1"/>
      <w:lvlJc w:val="left"/>
    </w:lvl>
    <w:lvl w:ilvl="1">
      <w:start w:val="1"/>
      <w:numFmt w:val="decimal"/>
      <w:suff w:val="nothing"/>
      <w:lvlText w:val="%2"/>
      <w:lvlJc w:val="left"/>
    </w:lvl>
    <w:lvl w:ilvl="2">
      <w:start w:val="1"/>
      <w:numFmt w:val="decimal"/>
      <w:suff w:val="nothing"/>
      <w:lvlText w:val="%3"/>
      <w:lvlJc w:val="left"/>
    </w:lvl>
    <w:lvl w:ilvl="3">
      <w:start w:val="1"/>
      <w:numFmt w:val="decimal"/>
      <w:suff w:val="nothing"/>
      <w:lvlText w:val="%4"/>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4" w15:restartNumberingAfterBreak="0">
    <w:nsid w:val="22FF52EA"/>
    <w:multiLevelType w:val="multilevel"/>
    <w:tmpl w:val="85E88ED1"/>
    <w:name w:val="PermanentNotesNumbering"/>
    <w:lvl w:ilvl="0">
      <w:start w:val="1"/>
      <w:numFmt w:val="none"/>
      <w:lvlRestart w:val="0"/>
      <w:suff w:val="nothing"/>
      <w:lvlText w:val=""/>
      <w:lvlJc w:val="left"/>
    </w:lvl>
    <w:lvl w:ilvl="1">
      <w:start w:val="1"/>
      <w:numFmt w:val="decimal"/>
      <w:suff w:val="nothing"/>
      <w:lvlText w:val="%2"/>
      <w:lvlJc w:val="left"/>
    </w:lvl>
    <w:lvl w:ilvl="2">
      <w:start w:val="1"/>
      <w:numFmt w:val="lowerLetter"/>
      <w:suff w:val="nothing"/>
      <w:lvlText w:val="(%3)"/>
      <w:lvlJc w:val="left"/>
    </w:lvl>
    <w:lvl w:ilvl="3">
      <w:start w:val="1"/>
      <w:numFmt w:val="lowerRoman"/>
      <w:suff w:val="nothing"/>
      <w:lvlText w:val="(%4)"/>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5" w15:restartNumberingAfterBreak="0">
    <w:nsid w:val="22FF52EB"/>
    <w:multiLevelType w:val="multilevel"/>
    <w:tmpl w:val="85E88ED0"/>
    <w:name w:val="Definition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6" w15:restartNumberingAfterBreak="0">
    <w:nsid w:val="2BE82A86"/>
    <w:multiLevelType w:val="multilevel"/>
    <w:tmpl w:val="E1506BB2"/>
    <w:name w:val="ScheduleNumbers"/>
    <w:lvl w:ilvl="0">
      <w:start w:val="1"/>
      <w:numFmt w:val="decimal"/>
      <w:suff w:val="nothing"/>
      <w:lvlText w:val="%1"/>
      <w:lvlJc w:val="left"/>
    </w:lvl>
    <w:lvl w:ilvl="1">
      <w:start w:val="1"/>
      <w:numFmt w:val="decimal"/>
      <w:suff w:val="nothing"/>
      <w:lvlText w:val="%2"/>
      <w:lvlJc w:val="left"/>
    </w:lvl>
    <w:lvl w:ilvl="2">
      <w:start w:val="1"/>
      <w:numFmt w:val="decimal"/>
      <w:suff w:val="nothing"/>
      <w:lvlText w:val="%3"/>
      <w:lvlJc w:val="left"/>
    </w:lvl>
    <w:lvl w:ilvl="3">
      <w:start w:val="1"/>
      <w:numFmt w:val="none"/>
      <w:suff w:val="nothing"/>
      <w:lvlText w:val=""/>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7" w15:restartNumberingAfterBreak="0">
    <w:nsid w:val="3A452143"/>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8" w15:restartNumberingAfterBreak="0">
    <w:nsid w:val="3C2808C0"/>
    <w:multiLevelType w:val="singleLevel"/>
    <w:tmpl w:val="81E81EE8"/>
    <w:lvl w:ilvl="0">
      <w:start w:val="1"/>
      <w:numFmt w:val="bullet"/>
      <w:lvlText w:val=""/>
      <w:lvlJc w:val="left"/>
      <w:pPr>
        <w:tabs>
          <w:tab w:val="num" w:pos="1446"/>
        </w:tabs>
        <w:ind w:left="1446" w:hanging="567"/>
      </w:pPr>
      <w:rPr>
        <w:rFonts w:ascii="Symbol" w:hAnsi="Symbol" w:hint="default"/>
      </w:rPr>
    </w:lvl>
  </w:abstractNum>
  <w:abstractNum w:abstractNumId="19" w15:restartNumberingAfterBreak="0">
    <w:nsid w:val="42C41A54"/>
    <w:multiLevelType w:val="multilevel"/>
    <w:tmpl w:val="3C54BBA6"/>
    <w:name w:val="ScheduleNumberedItems"/>
    <w:lvl w:ilvl="0">
      <w:start w:val="1"/>
      <w:numFmt w:val="decimal"/>
      <w:suff w:val="nothing"/>
      <w:lvlText w:val="%1"/>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20" w15:restartNumberingAfterBreak="0">
    <w:nsid w:val="44B76088"/>
    <w:multiLevelType w:val="singleLevel"/>
    <w:tmpl w:val="1B68A73E"/>
    <w:lvl w:ilvl="0">
      <w:numFmt w:val="bullet"/>
      <w:lvlText w:val="•"/>
      <w:lvlJc w:val="left"/>
      <w:pPr>
        <w:tabs>
          <w:tab w:val="num" w:pos="360"/>
        </w:tabs>
        <w:ind w:left="284" w:hanging="284"/>
      </w:pPr>
      <w:rPr>
        <w:rFonts w:ascii="Times New Roman" w:hAnsi="Times New Roman" w:hint="default"/>
        <w:sz w:val="24"/>
      </w:rPr>
    </w:lvl>
  </w:abstractNum>
  <w:abstractNum w:abstractNumId="21" w15:restartNumberingAfterBreak="0">
    <w:nsid w:val="5E761E26"/>
    <w:multiLevelType w:val="multilevel"/>
    <w:tmpl w:val="9B2EA622"/>
    <w:name w:val="ScheduleSectionNumbers"/>
    <w:lvl w:ilvl="0">
      <w:start w:val="1"/>
      <w:numFmt w:val="decimal"/>
      <w:suff w:val="nothing"/>
      <w:lvlText w:val="%1"/>
      <w:lvlJc w:val="left"/>
    </w:lvl>
    <w:lvl w:ilvl="1">
      <w:start w:val="1"/>
      <w:numFmt w:val="decimal"/>
      <w:suff w:val="nothing"/>
      <w:lvlText w:val="(%2)"/>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22" w15:restartNumberingAfterBreak="0">
    <w:nsid w:val="6FDE73CC"/>
    <w:multiLevelType w:val="multilevel"/>
    <w:tmpl w:val="F23471B8"/>
    <w:name w:val="Penalty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23" w15:restartNumberingAfterBreak="0">
    <w:nsid w:val="7A944C0B"/>
    <w:multiLevelType w:val="hybridMultilevel"/>
    <w:tmpl w:val="F1D2C0F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AB12928"/>
    <w:multiLevelType w:val="multilevel"/>
    <w:tmpl w:val="4B987CFA"/>
    <w:name w:val="SchedulePenalty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25" w15:restartNumberingAfterBreak="0">
    <w:nsid w:val="7E512DEB"/>
    <w:multiLevelType w:val="multilevel"/>
    <w:tmpl w:val="9D2ACE92"/>
    <w:name w:val="ScheduleDefinition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num w:numId="1">
    <w:abstractNumId w:val="17"/>
  </w:num>
  <w:num w:numId="2">
    <w:abstractNumId w:val="15"/>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18"/>
  </w:num>
  <w:num w:numId="14">
    <w:abstractNumId w:val="15"/>
  </w:num>
  <w:num w:numId="15">
    <w:abstractNumId w:val="9"/>
  </w:num>
  <w:num w:numId="16">
    <w:abstractNumId w:val="7"/>
  </w:num>
  <w:num w:numId="17">
    <w:abstractNumId w:val="6"/>
  </w:num>
  <w:num w:numId="18">
    <w:abstractNumId w:val="5"/>
  </w:num>
  <w:num w:numId="19">
    <w:abstractNumId w:val="4"/>
  </w:num>
  <w:num w:numId="20">
    <w:abstractNumId w:val="8"/>
  </w:num>
  <w:num w:numId="21">
    <w:abstractNumId w:val="3"/>
  </w:num>
  <w:num w:numId="22">
    <w:abstractNumId w:val="2"/>
  </w:num>
  <w:num w:numId="23">
    <w:abstractNumId w:val="1"/>
  </w:num>
  <w:num w:numId="24">
    <w:abstractNumId w:val="0"/>
  </w:num>
  <w:num w:numId="25">
    <w:abstractNumId w:val="18"/>
  </w:num>
  <w:num w:numId="26">
    <w:abstractNumId w:val="23"/>
  </w:num>
  <w:num w:numId="27">
    <w:abstractNumId w:val="20"/>
  </w:num>
  <w:num w:numId="28">
    <w:abstractNumId w:val="10"/>
  </w:num>
  <w:num w:numId="2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formatting="0"/>
  <w:defaultTabStop w:val="720"/>
  <w:doNotHyphenateCaps/>
  <w:evenAndOddHeaders/>
  <w:drawingGridHorizontalSpacing w:val="57"/>
  <w:drawingGridVerticalSpacing w:val="163"/>
  <w:displayHorizontalDrawingGridEvery w:val="0"/>
  <w:displayVerticalDrawingGridEvery w:val="0"/>
  <w:doNotShadeFormData/>
  <w:noPunctuationKerning/>
  <w:characterSpacingControl w:val="doNotCompress"/>
  <w:hdrShapeDefaults>
    <o:shapedefaults v:ext="edit" spidmax="1699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WAFER" w:val="20210624103147"/>
    <w:docVar w:name="WAFER_20140113162142" w:val="RemoveTocBookmarks,RemoveUnusedBookmarks,RemoveLanguageTags,UsedStyles,ResetPageSize,UpdateArrangement"/>
    <w:docVar w:name="WAFER_20140113162142_GUID" w:val="2284adcd-fffe-4e69-8b3a-311ac76c77cd"/>
    <w:docVar w:name="WAFER_20140113162155" w:val="RemoveTocBookmarks,RunningHeaders"/>
    <w:docVar w:name="WAFER_20140113162155_GUID" w:val="81319fc3-ca76-4ce3-8065-f1ae657c965f"/>
    <w:docVar w:name="WAFER_20140529160805" w:val="RemoveTocBookmarks,RunningHeaders"/>
    <w:docVar w:name="WAFER_20140529160805_GUID" w:val="6f15934f-7017-40cd-8d04-560cf059bf5e"/>
    <w:docVar w:name="WAFER_20150615090012" w:val="ResetPageSize,UpdateArrangement,UpdateNTable"/>
    <w:docVar w:name="WAFER_20150615090012_GUID" w:val="24803cd3-ecf9-40be-87c3-918a3568b2c7"/>
    <w:docVar w:name="WAFER_20151127162053" w:val="UpdateStyles"/>
    <w:docVar w:name="WAFER_20151127162053_GUID" w:val="944dfd7f-a759-4e9e-b848-5681c03b1cc3"/>
    <w:docVar w:name="WAFER_20151127164133" w:val="UsedStyles"/>
    <w:docVar w:name="WAFER_20151127164133_GUID" w:val="9c189180-148f-4ead-9a60-2c3842ed8e95"/>
    <w:docVar w:name="WAFER_20160701123232" w:val="RemoveTocBookmarks,RemoveUnusedBookmarks,RemoveLanguageTags,UsedStyles,ResetPageSize"/>
    <w:docVar w:name="WAFER_20160701123232_GUID" w:val="063507e2-221b-44ab-8bd2-4fed1e8bc9ad"/>
    <w:docVar w:name="WAFER_20161222153619" w:val="RemoveTocBookmarks,RemoveUnusedBookmarks,RemoveLanguageTags,UsedStyles,ResetPageSize"/>
    <w:docVar w:name="WAFER_20161222153619_GUID" w:val="d9833de1-7833-49f1-b7bf-e6f921156ee7"/>
    <w:docVar w:name="WAFER_20180510142031" w:val="RemoveTocBookmarks,RemoveUnusedBookmarks,RemoveLanguageTags,UsedStyles,ResetPageSize"/>
    <w:docVar w:name="WAFER_20180510142031_GUID" w:val="bdebab3d-a318-4191-9ff6-e13fa1fdbd0a"/>
    <w:docVar w:name="WAFER_20190516152930" w:val="RemoveTocBookmarks,RemoveUnusedBookmarks,RemoveLanguageTags,ResetPageSize,RunningHeaders,UpdateStyles,UsedStyles"/>
    <w:docVar w:name="WAFER_20190516152930_GUID" w:val="f2b66b31-5cc7-49a4-8b51-de065a3988a0"/>
    <w:docVar w:name="WAFER_20190517090204" w:val="RemoveTocBookmarks,RemoveUnusedBookmarks,RemoveLanguageTags,ResetPageSize,RunningHeaders,UpdateStyles,UsedStyles"/>
    <w:docVar w:name="WAFER_20190517090204_GUID" w:val="3603e87a-5d19-459d-9426-af94bd490071"/>
    <w:docVar w:name="WAFER_20190617130317" w:val="RemoveTocBookmarks,RemoveUnusedBookmarks,RemoveLanguageTags,ResetPageSize,RunningHeaders,UpdateStyles,UsedStyles"/>
    <w:docVar w:name="WAFER_20190617130317_GUID" w:val="958cbd63-812c-4085-b74e-a6a5192fbd03"/>
    <w:docVar w:name="WAFER_20200522123817" w:val="RemoveDocumentProtection.CheckForDocumentProtection,RemoveCustomizations.CheckForCustomization,RemoveBackground.CheckForBackground,RemoveTocBookmarks.RemoveBookmarks,RemoveUnusedBookmarks.RemoveBookmarks,RemoveLanguageTags.RemoveTags,RemoveSmartTags.RemoveTags,ResetPageSize.Reset,RunningHeaders.Run,UpdateStyles.ProcessFixes,UpdateStyles.ProcessFixes,RemoveIncorrectStyles.ProcessStyles,RemoveIncorrectStyles.ProcessStyles"/>
    <w:docVar w:name="WAFER_20200522123817_GUID" w:val="a383e5a4-5828-4f0c-9e36-38cf74f9eacb"/>
    <w:docVar w:name="WAFER_20200617103920" w:val="RemoveDocumentProtection.CheckForDocumentProtection,RemoveCustomizations.CheckForCustomization,RemoveBackground.CheckForBackground,RemoveTocBookmarks.RemoveBookmarks,RemoveUnusedBookmarks.RemoveBookmarks,RemoveLanguageTags.RemoveTags,RemoveSmartTags.RemoveTags,ResetPageSize.Reset,RunningHeaders.Run,UpdateStyles.ProcessFixes,UpdateStyles.ProcessFixes,RemoveIncorrectStyles.ProcessStyles,RemoveIncorrectStyles.ProcessStyles"/>
    <w:docVar w:name="WAFER_20200617103920_GUID" w:val="a1d35aaf-c028-4b6f-b432-9e877575ec2b"/>
    <w:docVar w:name="WAFER_20210504145536" w:val="RemoveDocumentProtection.CheckForDocumentProtection,RemoveCustomizations.CheckForCustomization,RemoveBackground.CheckForBackground,RemoveTocBookmarks.RemoveBookmarks,RemoveUnusedBookmarks.RemoveBookmarks,RemoveLanguageTags.RemoveTags,RemoveSmartTags.RemoveTags,ResetPageSize.Reset,RunningHeaders.Run,UpdateStyles.ProcessFixes,UpdateStyles.ProcessFixes,RemoveIncorrectStyles.ProcessStyles"/>
    <w:docVar w:name="WAFER_20210504145536_GUID" w:val="844ea3f3-88e6-4a51-a4ee-a8633feb3079"/>
    <w:docVar w:name="WAFER_20210617140424" w:val="RemoveDocumentProtection.CheckForDocumentProtection,RemoveCustomizations.CheckForCustomization,RemoveBackground.CheckForBackground,RemoveTocBookmarks.RemoveBookmarks,RemoveUnusedBookmarks.RemoveBookmarks,RemoveLanguageTags.RemoveTags,RemoveSmartTags.RemoveTags,ResetPageSize.Reset,RunningHeaders.Run,UpdateStyles.ProcessFixes,UpdateStyles.ProcessFixes,RemoveIncorrectStyles.ProcessStyles"/>
    <w:docVar w:name="WAFER_20210617140424_GUID" w:val="27a66dd0-e1f9-4c79-8251-2fc16c0f7468"/>
    <w:docVar w:name="WAFER_20210624103147" w:val="RemoveDocumentProtection.CheckForDocumentProtection,RemoveCustomizations.CheckForCustomization,RemoveBackground.CheckForBackground,RemoveTocBookmarks.RemoveBookmarks,RemoveUnusedBookmarks.RemoveBookmarks,RemoveLanguageTags.RemoveTags,RemoveSmartTags.RemoveTags,ResetPageSize.Reset,RunningHeaders.Run,UpdateStyles.ProcessFixes,UpdateStyles.ProcessFixes,RemoveIncorrectStyles.ProcessStyles"/>
    <w:docVar w:name="WAFER_20210624103147_GUID" w:val="57985664-e9d4-460c-98ad-fb0283b44a3e"/>
  </w:docVars>
  <w:rsids>
    <w:rsidRoot w:val="00C87716"/>
    <w:rsid w:val="000E6973"/>
    <w:rsid w:val="002348AF"/>
    <w:rsid w:val="0029279F"/>
    <w:rsid w:val="00350A11"/>
    <w:rsid w:val="00636D10"/>
    <w:rsid w:val="00717266"/>
    <w:rsid w:val="007657ED"/>
    <w:rsid w:val="00814DD1"/>
    <w:rsid w:val="00914885"/>
    <w:rsid w:val="009515FF"/>
    <w:rsid w:val="009C1DED"/>
    <w:rsid w:val="00B14AD4"/>
    <w:rsid w:val="00BC1EA4"/>
    <w:rsid w:val="00BC794C"/>
    <w:rsid w:val="00BF2C34"/>
    <w:rsid w:val="00C13D1C"/>
    <w:rsid w:val="00C87716"/>
    <w:rsid w:val="00CD1B0E"/>
    <w:rsid w:val="00E9624B"/>
    <w:rsid w:val="00EA7320"/>
    <w:rsid w:val="00F41AF0"/>
    <w:rsid w:val="00F6741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9985"/>
    <o:shapelayout v:ext="edit">
      <o:idmap v:ext="edit" data="1"/>
    </o:shapelayout>
  </w:shapeDefaults>
  <w:decimalSymbol w:val="."/>
  <w:listSeparator w:val=","/>
  <w15:docId w15:val="{990338E9-704C-4328-B612-A0A19F83A1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iPriority="39" w:unhideWhenUsed="1"/>
    <w:lsdException w:name="toc 3" w:semiHidden="1"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iPriority="39"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rPr>
  </w:style>
  <w:style w:type="paragraph" w:styleId="Heading1">
    <w:name w:val="heading 1"/>
    <w:next w:val="Heading2"/>
    <w:qFormat/>
    <w:pPr>
      <w:keepNext/>
      <w:keepLines/>
      <w:pageBreakBefore/>
      <w:spacing w:before="320" w:line="260" w:lineRule="atLeast"/>
      <w:jc w:val="center"/>
      <w:outlineLvl w:val="0"/>
    </w:pPr>
    <w:rPr>
      <w:b/>
      <w:kern w:val="28"/>
      <w:sz w:val="34"/>
    </w:rPr>
  </w:style>
  <w:style w:type="paragraph" w:styleId="Heading2">
    <w:name w:val="heading 2"/>
    <w:next w:val="Heading3"/>
    <w:qFormat/>
    <w:pPr>
      <w:keepNext/>
      <w:pageBreakBefore/>
      <w:spacing w:line="260" w:lineRule="atLeast"/>
      <w:jc w:val="center"/>
      <w:outlineLvl w:val="1"/>
    </w:pPr>
    <w:rPr>
      <w:b/>
      <w:snapToGrid w:val="0"/>
      <w:sz w:val="30"/>
    </w:rPr>
  </w:style>
  <w:style w:type="paragraph" w:styleId="Heading3">
    <w:name w:val="heading 3"/>
    <w:next w:val="Heading4"/>
    <w:qFormat/>
    <w:pPr>
      <w:keepNext/>
      <w:spacing w:before="240" w:line="260" w:lineRule="atLeast"/>
      <w:jc w:val="center"/>
      <w:outlineLvl w:val="2"/>
    </w:pPr>
    <w:rPr>
      <w:b/>
      <w:sz w:val="26"/>
    </w:rPr>
  </w:style>
  <w:style w:type="paragraph" w:styleId="Heading4">
    <w:name w:val="heading 4"/>
    <w:next w:val="Heading5"/>
    <w:qFormat/>
    <w:pPr>
      <w:keepNext/>
      <w:spacing w:before="240"/>
      <w:jc w:val="center"/>
      <w:outlineLvl w:val="3"/>
    </w:pPr>
    <w:rPr>
      <w:b/>
      <w:sz w:val="24"/>
    </w:rPr>
  </w:style>
  <w:style w:type="paragraph" w:styleId="Heading5">
    <w:name w:val="heading 5"/>
    <w:next w:val="Normal"/>
    <w:qFormat/>
    <w:pPr>
      <w:keepNext/>
      <w:keepLines/>
      <w:tabs>
        <w:tab w:val="left" w:pos="879"/>
      </w:tabs>
      <w:spacing w:before="220" w:line="260" w:lineRule="atLeast"/>
      <w:ind w:left="879" w:hanging="879"/>
      <w:outlineLvl w:val="4"/>
    </w:pPr>
    <w:rPr>
      <w:b/>
      <w:sz w:val="24"/>
    </w:rPr>
  </w:style>
  <w:style w:type="paragraph" w:styleId="Heading6">
    <w:name w:val="heading 6"/>
    <w:next w:val="Normal"/>
    <w:qFormat/>
    <w:pPr>
      <w:keepNext/>
      <w:spacing w:before="240"/>
      <w:jc w:val="center"/>
      <w:outlineLvl w:val="5"/>
    </w:pPr>
    <w:rPr>
      <w:i/>
      <w:noProof/>
      <w:sz w:val="24"/>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yDefitem">
    <w:name w:val="zyDefitem"/>
    <w:pPr>
      <w:tabs>
        <w:tab w:val="right" w:pos="3459"/>
      </w:tabs>
      <w:spacing w:before="80"/>
      <w:ind w:left="3686" w:right="284" w:hanging="3119"/>
    </w:pPr>
    <w:rPr>
      <w:snapToGrid w:val="0"/>
      <w:sz w:val="22"/>
    </w:rPr>
  </w:style>
  <w:style w:type="paragraph" w:customStyle="1" w:styleId="zDefitem">
    <w:name w:val="zDefitem"/>
    <w:pPr>
      <w:tabs>
        <w:tab w:val="right" w:pos="3459"/>
      </w:tabs>
      <w:spacing w:before="80" w:line="260" w:lineRule="atLeast"/>
      <w:ind w:left="3686" w:right="284" w:hanging="3119"/>
    </w:pPr>
    <w:rPr>
      <w:snapToGrid w:val="0"/>
      <w:sz w:val="24"/>
    </w:rPr>
  </w:style>
  <w:style w:type="paragraph" w:customStyle="1" w:styleId="Defitem">
    <w:name w:val="Defitem"/>
    <w:pPr>
      <w:tabs>
        <w:tab w:val="right" w:pos="2892"/>
      </w:tabs>
      <w:spacing w:before="80" w:line="260" w:lineRule="atLeast"/>
      <w:ind w:left="3204" w:hanging="3204"/>
    </w:pPr>
    <w:rPr>
      <w:snapToGrid w:val="0"/>
      <w:sz w:val="24"/>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b/>
      <w:snapToGrid w:val="0"/>
      <w:sz w:val="34"/>
    </w:rPr>
  </w:style>
  <w:style w:type="paragraph" w:customStyle="1" w:styleId="Defpara">
    <w:name w:val="Defpara"/>
    <w:pPr>
      <w:tabs>
        <w:tab w:val="right" w:pos="1332"/>
      </w:tabs>
      <w:spacing w:before="80" w:line="260" w:lineRule="atLeast"/>
      <w:ind w:left="1616" w:hanging="1616"/>
    </w:pPr>
    <w:rPr>
      <w:snapToGrid w:val="0"/>
      <w:sz w:val="24"/>
    </w:rPr>
  </w:style>
  <w:style w:type="paragraph" w:styleId="Footer">
    <w:name w:val="footer"/>
    <w:basedOn w:val="Normal"/>
    <w:rPr>
      <w:rFonts w:ascii="Arial" w:hAnsi="Arial"/>
    </w:rPr>
  </w:style>
  <w:style w:type="paragraph" w:customStyle="1" w:styleId="Ednotesection">
    <w:name w:val="Ednote(section)"/>
    <w:pPr>
      <w:tabs>
        <w:tab w:val="left" w:pos="893"/>
      </w:tabs>
      <w:spacing w:before="220" w:line="260" w:lineRule="atLeast"/>
      <w:ind w:left="893" w:hanging="893"/>
      <w:outlineLvl w:val="4"/>
    </w:pPr>
    <w:rPr>
      <w:i/>
      <w:snapToGrid w:val="0"/>
      <w:sz w:val="24"/>
    </w:rPr>
  </w:style>
  <w:style w:type="character" w:styleId="LineNumber">
    <w:name w:val="line number"/>
    <w:basedOn w:val="DefaultParagraphFont"/>
    <w:rPr>
      <w:rFonts w:ascii="Arial" w:hAnsi="Arial"/>
      <w:sz w:val="16"/>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Penstart">
    <w:name w:val="Penstart"/>
    <w:basedOn w:val="Normal"/>
    <w:pPr>
      <w:tabs>
        <w:tab w:val="left" w:pos="879"/>
      </w:tabs>
      <w:spacing w:before="80" w:line="260" w:lineRule="atLeast"/>
      <w:ind w:left="1332" w:hanging="1332"/>
    </w:pPr>
  </w:style>
  <w:style w:type="paragraph" w:customStyle="1" w:styleId="Preamble">
    <w:name w:val="Preamble"/>
    <w:pPr>
      <w:tabs>
        <w:tab w:val="left" w:pos="567"/>
      </w:tabs>
      <w:spacing w:before="160" w:line="260" w:lineRule="atLeast"/>
      <w:ind w:left="567" w:hanging="567"/>
    </w:pPr>
    <w:rPr>
      <w:rFonts w:ascii="Times" w:hAnsi="Times"/>
      <w:sz w:val="24"/>
    </w:rPr>
  </w:style>
  <w:style w:type="character" w:styleId="Strong">
    <w:name w:val="Strong"/>
    <w:basedOn w:val="DefaultParagraphFont"/>
    <w:qFormat/>
    <w:rPr>
      <w:b/>
      <w:sz w:val="24"/>
    </w:rPr>
  </w:style>
  <w:style w:type="paragraph" w:customStyle="1" w:styleId="ySubsection">
    <w:name w:val="ySubsection"/>
    <w:basedOn w:val="Subsection"/>
    <w:pPr>
      <w:spacing w:line="240" w:lineRule="auto"/>
    </w:pPr>
    <w:rPr>
      <w:sz w:val="22"/>
    </w:rPr>
  </w:style>
  <w:style w:type="paragraph" w:customStyle="1" w:styleId="Subsection">
    <w:name w:val="Subsection"/>
    <w:pPr>
      <w:tabs>
        <w:tab w:val="right" w:pos="595"/>
        <w:tab w:val="left" w:pos="879"/>
      </w:tabs>
      <w:spacing w:before="160" w:line="260" w:lineRule="atLeast"/>
      <w:ind w:left="879" w:hanging="879"/>
    </w:pPr>
    <w:rPr>
      <w:sz w:val="24"/>
    </w:rPr>
  </w:style>
  <w:style w:type="paragraph" w:customStyle="1" w:styleId="Table">
    <w:name w:val="Table"/>
    <w:aliases w:val="t"/>
    <w:basedOn w:val="Normal"/>
    <w:pPr>
      <w:spacing w:before="60" w:line="240" w:lineRule="atLeast"/>
    </w:pPr>
    <w:rPr>
      <w:sz w:val="22"/>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2">
    <w:name w:val="toc 2"/>
    <w:next w:val="Normal"/>
    <w:uiPriority w:val="39"/>
    <w:pPr>
      <w:keepNext/>
      <w:spacing w:before="120" w:after="60"/>
      <w:ind w:left="1985" w:right="1134" w:hanging="567"/>
    </w:pPr>
    <w:rPr>
      <w:b/>
      <w:noProof/>
      <w:sz w:val="28"/>
    </w:rPr>
  </w:style>
  <w:style w:type="paragraph" w:styleId="TOC4">
    <w:name w:val="toc 4"/>
    <w:next w:val="Normal"/>
    <w:uiPriority w:val="39"/>
    <w:pPr>
      <w:keepNext/>
      <w:spacing w:before="60" w:after="20"/>
      <w:ind w:left="1985" w:right="1134" w:hanging="567"/>
    </w:pPr>
    <w:rPr>
      <w:b/>
      <w:noProof/>
      <w:sz w:val="22"/>
    </w:rPr>
  </w:style>
  <w:style w:type="paragraph" w:styleId="TOC5">
    <w:name w:val="toc 5"/>
    <w:next w:val="Normal"/>
    <w:semiHidden/>
    <w:pPr>
      <w:keepNext/>
      <w:spacing w:before="60" w:after="20"/>
      <w:ind w:left="1985" w:right="1134" w:hanging="567"/>
    </w:pPr>
    <w:rPr>
      <w:rFonts w:ascii="Helvetica" w:hAnsi="Helvetica"/>
      <w:b/>
      <w:noProof/>
      <w:sz w:val="18"/>
    </w:rPr>
  </w:style>
  <w:style w:type="paragraph" w:styleId="TOC6">
    <w:name w:val="toc 6"/>
    <w:next w:val="Normal"/>
    <w:semiHidden/>
    <w:pPr>
      <w:keepNext/>
      <w:spacing w:before="60" w:after="20"/>
      <w:ind w:left="1985" w:right="1134" w:hanging="567"/>
    </w:pPr>
    <w:rPr>
      <w:b/>
      <w:noProof/>
    </w:rPr>
  </w:style>
  <w:style w:type="paragraph" w:styleId="TOC7">
    <w:name w:val="toc 7"/>
    <w:next w:val="Normal"/>
    <w:semiHidden/>
    <w:pPr>
      <w:keepNext/>
      <w:spacing w:before="60" w:after="20"/>
      <w:ind w:left="1985" w:right="1134" w:hanging="567"/>
    </w:pPr>
    <w:rPr>
      <w:rFonts w:ascii="Helvetica" w:hAnsi="Helvetica"/>
      <w:b/>
      <w:sz w:val="18"/>
    </w:rPr>
  </w:style>
  <w:style w:type="paragraph" w:styleId="TOC8">
    <w:name w:val="toc 8"/>
    <w:next w:val="Normal"/>
    <w:uiPriority w:val="39"/>
    <w:pPr>
      <w:tabs>
        <w:tab w:val="left" w:pos="1418"/>
        <w:tab w:val="right" w:pos="6804"/>
      </w:tabs>
      <w:ind w:left="1418" w:right="1134" w:hanging="851"/>
    </w:pPr>
    <w:rPr>
      <w:noProof/>
      <w:sz w:val="22"/>
    </w:rPr>
  </w:style>
  <w:style w:type="paragraph" w:styleId="TOC9">
    <w:name w:val="toc 9"/>
    <w:next w:val="Normal"/>
    <w:semiHidden/>
    <w:pPr>
      <w:tabs>
        <w:tab w:val="left" w:pos="2268"/>
        <w:tab w:val="right" w:pos="6237"/>
      </w:tabs>
      <w:ind w:left="2269" w:right="1418" w:hanging="851"/>
    </w:pPr>
    <w:rPr>
      <w:rFonts w:ascii="Helvetica" w:hAnsi="Helvetica"/>
      <w:sz w:val="18"/>
    </w:rPr>
  </w:style>
  <w:style w:type="paragraph" w:customStyle="1" w:styleId="Defstart">
    <w:name w:val="Defstart"/>
    <w:pPr>
      <w:spacing w:before="80" w:line="260" w:lineRule="atLeast"/>
      <w:ind w:left="879" w:hanging="879"/>
    </w:pPr>
    <w:rPr>
      <w:snapToGrid w:val="0"/>
      <w:sz w:val="24"/>
    </w:rPr>
  </w:style>
  <w:style w:type="paragraph" w:customStyle="1" w:styleId="Defsubpara">
    <w:name w:val="Defsubpara"/>
    <w:pPr>
      <w:keepLines/>
      <w:tabs>
        <w:tab w:val="right" w:pos="2041"/>
      </w:tabs>
      <w:spacing w:before="80" w:line="260" w:lineRule="atLeast"/>
      <w:ind w:left="2325" w:hanging="2325"/>
    </w:pPr>
    <w:rPr>
      <w:snapToGrid w:val="0"/>
      <w:sz w:val="24"/>
    </w:rPr>
  </w:style>
  <w:style w:type="character" w:styleId="EndnoteReference">
    <w:name w:val="endnote reference"/>
    <w:basedOn w:val="DefaultParagraphFont"/>
    <w:semiHidden/>
    <w:rPr>
      <w:sz w:val="24"/>
      <w:vertAlign w:val="superscript"/>
    </w:rPr>
  </w:style>
  <w:style w:type="paragraph" w:styleId="BodyText">
    <w:name w:val="Body Text"/>
    <w:basedOn w:val="Normal"/>
    <w:pPr>
      <w:spacing w:after="120"/>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character" w:styleId="Hyperlink">
    <w:name w:val="Hyperlink"/>
    <w:basedOn w:val="DefaultParagraphFont"/>
    <w:rPr>
      <w:color w:val="0000FF"/>
      <w:sz w:val="24"/>
      <w:u w:val="single"/>
    </w:rPr>
  </w:style>
  <w:style w:type="character" w:styleId="FollowedHyperlink">
    <w:name w:val="FollowedHyperlink"/>
    <w:basedOn w:val="DefaultParagraphFont"/>
    <w:rPr>
      <w:color w:val="800080"/>
      <w:sz w:val="24"/>
      <w:u w:val="single"/>
    </w:rPr>
  </w:style>
  <w:style w:type="character" w:customStyle="1" w:styleId="CharSClsNo">
    <w:name w:val="CharSClsNo"/>
    <w:basedOn w:val="DefaultParagraphFont"/>
    <w:rPr>
      <w:sz w:val="22"/>
    </w:rPr>
  </w:style>
  <w:style w:type="paragraph" w:customStyle="1" w:styleId="AssentNote">
    <w:name w:val="Assent Note"/>
    <w:pPr>
      <w:keepLines/>
      <w:spacing w:before="160" w:after="240"/>
      <w:jc w:val="right"/>
    </w:pPr>
    <w:rPr>
      <w:i/>
      <w:snapToGrid w:val="0"/>
      <w:sz w:val="24"/>
    </w:rPr>
  </w:style>
  <w:style w:type="paragraph" w:customStyle="1" w:styleId="Enactment">
    <w:name w:val="Enactment"/>
    <w:pPr>
      <w:spacing w:before="800"/>
    </w:pPr>
    <w:rPr>
      <w:sz w:val="24"/>
    </w:rPr>
  </w:style>
  <w:style w:type="paragraph" w:customStyle="1" w:styleId="Footnotesection">
    <w:name w:val="Footnote(section)"/>
    <w:pPr>
      <w:keepLines/>
      <w:tabs>
        <w:tab w:val="left" w:pos="893"/>
      </w:tabs>
      <w:spacing w:before="120" w:line="260" w:lineRule="atLeast"/>
      <w:ind w:left="893" w:hanging="893"/>
    </w:pPr>
    <w:rPr>
      <w:i/>
      <w:snapToGrid w:val="0"/>
      <w:sz w:val="24"/>
    </w:rPr>
  </w:style>
  <w:style w:type="paragraph" w:styleId="FootnoteText">
    <w:name w:val="footnote text"/>
    <w:basedOn w:val="Normal"/>
    <w:semiHidden/>
  </w:style>
  <w:style w:type="paragraph" w:customStyle="1" w:styleId="LongTitle">
    <w:name w:val="Long Title"/>
    <w:rPr>
      <w:b/>
      <w:sz w:val="24"/>
    </w:rPr>
  </w:style>
  <w:style w:type="paragraph" w:styleId="Signature">
    <w:name w:val="Signature"/>
    <w:basedOn w:val="Normal"/>
    <w:pPr>
      <w:ind w:left="4252"/>
    </w:pPr>
  </w:style>
  <w:style w:type="paragraph" w:styleId="List">
    <w:name w:val="List"/>
    <w:basedOn w:val="Normal"/>
    <w:pPr>
      <w:ind w:left="283" w:hanging="283"/>
    </w:pPr>
  </w:style>
  <w:style w:type="paragraph" w:customStyle="1" w:styleId="Indenta">
    <w:name w:val="Indent(a)"/>
    <w:pPr>
      <w:tabs>
        <w:tab w:val="right" w:pos="1332"/>
        <w:tab w:val="left" w:pos="1616"/>
      </w:tabs>
      <w:spacing w:before="80" w:line="260" w:lineRule="atLeast"/>
      <w:ind w:left="1616" w:hanging="1616"/>
    </w:pPr>
    <w:rPr>
      <w:sz w:val="24"/>
    </w:rPr>
  </w:style>
  <w:style w:type="paragraph" w:customStyle="1" w:styleId="IndentA0">
    <w:name w:val="Indent(A)"/>
    <w:pPr>
      <w:tabs>
        <w:tab w:val="right" w:pos="3686"/>
        <w:tab w:val="left" w:pos="3969"/>
      </w:tabs>
      <w:spacing w:before="80" w:line="260" w:lineRule="atLeast"/>
      <w:ind w:left="3969" w:hanging="3969"/>
    </w:pPr>
    <w:rPr>
      <w:sz w:val="24"/>
    </w:rPr>
  </w:style>
  <w:style w:type="paragraph" w:customStyle="1" w:styleId="Indenti">
    <w:name w:val="Indent(i)"/>
    <w:pPr>
      <w:tabs>
        <w:tab w:val="right" w:pos="2041"/>
        <w:tab w:val="left" w:pos="2325"/>
      </w:tabs>
      <w:spacing w:before="80" w:line="260" w:lineRule="atLeast"/>
      <w:ind w:left="2325" w:hanging="2325"/>
    </w:pPr>
    <w:rPr>
      <w:sz w:val="24"/>
    </w:rPr>
  </w:style>
  <w:style w:type="paragraph" w:customStyle="1" w:styleId="IndentI0">
    <w:name w:val="Indent(I)"/>
    <w:pPr>
      <w:tabs>
        <w:tab w:val="right" w:pos="2892"/>
        <w:tab w:val="left" w:pos="3204"/>
      </w:tabs>
      <w:spacing w:before="80" w:line="260" w:lineRule="atLeast"/>
      <w:ind w:left="3204" w:hanging="3204"/>
    </w:pPr>
    <w:rPr>
      <w:sz w:val="24"/>
    </w:rPr>
  </w:style>
  <w:style w:type="character" w:customStyle="1" w:styleId="CharChapNo">
    <w:name w:val="CharChapNo"/>
    <w:rPr>
      <w:noProof w:val="0"/>
    </w:rPr>
  </w:style>
  <w:style w:type="paragraph" w:customStyle="1" w:styleId="Ednotesubpara">
    <w:name w:val="Ednote(subpara)"/>
    <w:pPr>
      <w:tabs>
        <w:tab w:val="right" w:pos="2047"/>
        <w:tab w:val="left" w:pos="2333"/>
      </w:tabs>
      <w:spacing w:before="80" w:line="260" w:lineRule="atLeast"/>
      <w:ind w:left="2330" w:hanging="2330"/>
    </w:pPr>
    <w:rPr>
      <w:i/>
      <w:sz w:val="24"/>
    </w:rPr>
  </w:style>
  <w:style w:type="paragraph" w:customStyle="1" w:styleId="Ednotepara">
    <w:name w:val="Ednote(para)"/>
    <w:pPr>
      <w:tabs>
        <w:tab w:val="right" w:pos="1325"/>
        <w:tab w:val="left" w:pos="1613"/>
      </w:tabs>
      <w:spacing w:before="120" w:line="260" w:lineRule="atLeast"/>
      <w:ind w:left="1613" w:hanging="1613"/>
    </w:pPr>
    <w:rPr>
      <w:i/>
      <w:sz w:val="24"/>
    </w:rPr>
  </w:style>
  <w:style w:type="paragraph" w:customStyle="1" w:styleId="Footnoteheading">
    <w:name w:val="Footnote(heading)"/>
    <w:pPr>
      <w:tabs>
        <w:tab w:val="left" w:pos="879"/>
      </w:tabs>
      <w:spacing w:before="120" w:line="260" w:lineRule="atLeast"/>
      <w:ind w:left="879" w:hanging="879"/>
    </w:pPr>
    <w:rPr>
      <w:i/>
      <w:sz w:val="24"/>
    </w:rPr>
  </w:style>
  <w:style w:type="character" w:customStyle="1" w:styleId="CharChapText">
    <w:name w:val="CharChapText"/>
    <w:rPr>
      <w:noProof w:val="0"/>
    </w:rPr>
  </w:style>
  <w:style w:type="character" w:customStyle="1" w:styleId="CharDivNo">
    <w:name w:val="CharDivNo"/>
    <w:rPr>
      <w:noProof w:val="0"/>
    </w:rPr>
  </w:style>
  <w:style w:type="character" w:customStyle="1" w:styleId="CharDivText">
    <w:name w:val="CharDivText"/>
    <w:rPr>
      <w:noProof w:val="0"/>
    </w:rPr>
  </w:style>
  <w:style w:type="character" w:customStyle="1" w:styleId="CharPartNo">
    <w:name w:val="CharPartNo"/>
    <w:rPr>
      <w:noProof w:val="0"/>
    </w:rPr>
  </w:style>
  <w:style w:type="character" w:customStyle="1" w:styleId="CharPartText">
    <w:name w:val="CharPartText"/>
    <w:rPr>
      <w:noProof w:val="0"/>
    </w:rPr>
  </w:style>
  <w:style w:type="character" w:customStyle="1" w:styleId="CharSectno">
    <w:name w:val="CharSectno"/>
    <w:rPr>
      <w:noProof w:val="0"/>
    </w:rPr>
  </w:style>
  <w:style w:type="paragraph" w:customStyle="1" w:styleId="MiscClose">
    <w:name w:val="MiscClose"/>
    <w:basedOn w:val="Normal"/>
    <w:pPr>
      <w:keepLines/>
      <w:tabs>
        <w:tab w:val="left" w:pos="893"/>
      </w:tabs>
      <w:spacing w:line="260" w:lineRule="atLeast"/>
      <w:jc w:val="right"/>
    </w:pPr>
  </w:style>
  <w:style w:type="character" w:customStyle="1" w:styleId="CharSchNo">
    <w:name w:val="CharSchNo"/>
    <w:rPr>
      <w:noProof w:val="0"/>
    </w:rPr>
  </w:style>
  <w:style w:type="paragraph" w:customStyle="1" w:styleId="Ednoteitem">
    <w:name w:val="Ednote(item)"/>
    <w:pPr>
      <w:tabs>
        <w:tab w:val="right" w:pos="2765"/>
        <w:tab w:val="left" w:pos="3053"/>
      </w:tabs>
      <w:spacing w:before="80" w:line="260" w:lineRule="atLeast"/>
      <w:ind w:left="3050" w:hanging="3050"/>
    </w:pPr>
    <w:rPr>
      <w:i/>
      <w:sz w:val="24"/>
    </w:rPr>
  </w:style>
  <w:style w:type="paragraph" w:customStyle="1" w:styleId="zHeading1">
    <w:name w:val="zHeading 1"/>
    <w:basedOn w:val="Heading1"/>
    <w:pPr>
      <w:ind w:left="567" w:right="284"/>
      <w:outlineLvl w:val="9"/>
    </w:p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yHeading2">
    <w:name w:val="yHeading 2"/>
    <w:basedOn w:val="Heading2"/>
    <w:pPr>
      <w:pageBreakBefore w:val="0"/>
      <w:spacing w:before="240" w:line="240" w:lineRule="auto"/>
    </w:pPr>
    <w:rPr>
      <w:sz w:val="28"/>
    </w:rPr>
  </w:style>
  <w:style w:type="paragraph" w:customStyle="1" w:styleId="yHeading1">
    <w:name w:val="yHeading 1"/>
    <w:basedOn w:val="Heading1"/>
    <w:pPr>
      <w:spacing w:line="240" w:lineRule="auto"/>
    </w:pPr>
    <w:rPr>
      <w:sz w:val="32"/>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Ednotesubitem">
    <w:name w:val="Ednote(subitem)"/>
    <w:pPr>
      <w:tabs>
        <w:tab w:val="right" w:pos="3485"/>
        <w:tab w:val="left" w:pos="3773"/>
      </w:tabs>
      <w:spacing w:before="80" w:line="260" w:lineRule="atLeast"/>
      <w:ind w:left="3771" w:hanging="3771"/>
    </w:pPr>
    <w:rPr>
      <w:i/>
      <w:sz w:val="24"/>
    </w:rPr>
  </w:style>
  <w:style w:type="paragraph" w:customStyle="1" w:styleId="Penpara">
    <w:name w:val="Penpara"/>
    <w:pPr>
      <w:tabs>
        <w:tab w:val="right" w:pos="1616"/>
        <w:tab w:val="left" w:pos="1899"/>
      </w:tabs>
      <w:spacing w:before="80" w:line="260" w:lineRule="atLeast"/>
      <w:ind w:left="1899" w:hanging="1899"/>
    </w:pPr>
    <w:rPr>
      <w:sz w:val="24"/>
    </w:rPr>
  </w:style>
  <w:style w:type="paragraph" w:customStyle="1" w:styleId="Pensubpara">
    <w:name w:val="Pensubpara"/>
    <w:pPr>
      <w:tabs>
        <w:tab w:val="right" w:pos="2325"/>
        <w:tab w:val="left" w:pos="2608"/>
      </w:tabs>
      <w:spacing w:before="80" w:line="260" w:lineRule="atLeast"/>
      <w:ind w:left="2608" w:hanging="2608"/>
    </w:pPr>
    <w:rPr>
      <w:sz w:val="24"/>
    </w:rPr>
  </w:style>
  <w:style w:type="paragraph" w:customStyle="1" w:styleId="Penitem">
    <w:name w:val="Penitem"/>
    <w:pPr>
      <w:tabs>
        <w:tab w:val="right" w:pos="3119"/>
        <w:tab w:val="left" w:pos="3402"/>
      </w:tabs>
      <w:spacing w:before="80" w:line="260" w:lineRule="atLeast"/>
      <w:ind w:left="3402" w:hanging="3402"/>
    </w:pPr>
    <w:rPr>
      <w:sz w:val="24"/>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yPenstart">
    <w:name w:val="yPenstart"/>
    <w:basedOn w:val="Penstart"/>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Penitem">
    <w:name w:val="yPenitem"/>
    <w:basedOn w:val="Penitem"/>
    <w:pPr>
      <w:spacing w:line="240" w:lineRule="auto"/>
    </w:pPr>
    <w:rPr>
      <w:sz w:val="22"/>
    </w:rPr>
  </w:style>
  <w:style w:type="paragraph" w:customStyle="1" w:styleId="zPenpara">
    <w:name w:val="zPenpara"/>
    <w:basedOn w:val="Normal"/>
    <w:pPr>
      <w:tabs>
        <w:tab w:val="right" w:pos="2155"/>
        <w:tab w:val="left" w:pos="2438"/>
      </w:tabs>
      <w:spacing w:before="80" w:line="260" w:lineRule="atLeast"/>
      <w:ind w:left="2439" w:right="284" w:hanging="2070"/>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yDefpara">
    <w:name w:val="yDefpara"/>
    <w:pPr>
      <w:tabs>
        <w:tab w:val="right" w:pos="1332"/>
      </w:tabs>
      <w:spacing w:before="80"/>
      <w:ind w:left="1616" w:hanging="1616"/>
    </w:pPr>
    <w:rPr>
      <w:snapToGrid w:val="0"/>
      <w:sz w:val="22"/>
    </w:rPr>
  </w:style>
  <w:style w:type="paragraph" w:customStyle="1" w:styleId="yDefstart">
    <w:name w:val="yDefstart"/>
    <w:pPr>
      <w:spacing w:before="80"/>
      <w:ind w:left="879" w:hanging="879"/>
    </w:pPr>
    <w:rPr>
      <w:snapToGrid w:val="0"/>
      <w:sz w:val="22"/>
    </w:rPr>
  </w:style>
  <w:style w:type="paragraph" w:customStyle="1" w:styleId="yDefsubpara">
    <w:name w:val="yDefsubpara"/>
    <w:pPr>
      <w:keepLines/>
      <w:tabs>
        <w:tab w:val="right" w:pos="2041"/>
      </w:tabs>
      <w:spacing w:before="80"/>
      <w:ind w:left="2325" w:hanging="2325"/>
    </w:pPr>
    <w:rPr>
      <w:snapToGrid w:val="0"/>
      <w:sz w:val="22"/>
    </w:rPr>
  </w:style>
  <w:style w:type="paragraph" w:customStyle="1" w:styleId="yDefitem">
    <w:name w:val="yDefitem"/>
    <w:pPr>
      <w:tabs>
        <w:tab w:val="right" w:pos="2892"/>
      </w:tabs>
      <w:spacing w:before="80"/>
      <w:ind w:left="3204" w:hanging="3204"/>
    </w:pPr>
    <w:rPr>
      <w:snapToGrid w:val="0"/>
      <w:sz w:val="22"/>
    </w:rPr>
  </w:style>
  <w:style w:type="paragraph" w:customStyle="1" w:styleId="zDefstart">
    <w:name w:val="zDefstart"/>
    <w:pPr>
      <w:spacing w:before="80" w:line="260" w:lineRule="atLeast"/>
      <w:ind w:left="1446" w:right="284" w:hanging="879"/>
    </w:pPr>
    <w:rPr>
      <w:snapToGrid w:val="0"/>
      <w:sz w:val="24"/>
    </w:rPr>
  </w:style>
  <w:style w:type="paragraph" w:customStyle="1" w:styleId="zDefpara">
    <w:name w:val="zDefpara"/>
    <w:pPr>
      <w:tabs>
        <w:tab w:val="right" w:pos="1899"/>
      </w:tabs>
      <w:spacing w:before="80" w:line="260" w:lineRule="atLeast"/>
      <w:ind w:left="2183" w:right="284" w:hanging="1616"/>
    </w:pPr>
    <w:rPr>
      <w:snapToGrid w:val="0"/>
      <w:sz w:val="24"/>
    </w:rPr>
  </w:style>
  <w:style w:type="paragraph" w:customStyle="1" w:styleId="zDefsubpara">
    <w:name w:val="zDefsubpara"/>
    <w:pPr>
      <w:keepLines/>
      <w:tabs>
        <w:tab w:val="right" w:pos="2608"/>
      </w:tabs>
      <w:spacing w:before="80" w:line="260" w:lineRule="atLeast"/>
      <w:ind w:left="2892" w:right="284" w:hanging="2325"/>
    </w:pPr>
    <w:rPr>
      <w:snapToGrid w:val="0"/>
      <w:sz w:val="24"/>
    </w:rPr>
  </w:style>
  <w:style w:type="paragraph" w:customStyle="1" w:styleId="zyDefpara">
    <w:name w:val="zyDefpara"/>
    <w:pPr>
      <w:tabs>
        <w:tab w:val="right" w:pos="1899"/>
      </w:tabs>
      <w:spacing w:before="80"/>
      <w:ind w:left="2183" w:right="284" w:hanging="1616"/>
    </w:pPr>
    <w:rPr>
      <w:snapToGrid w:val="0"/>
      <w:sz w:val="22"/>
    </w:rPr>
  </w:style>
  <w:style w:type="paragraph" w:customStyle="1" w:styleId="zyDefstart">
    <w:name w:val="zyDefstart"/>
    <w:pPr>
      <w:spacing w:before="80"/>
      <w:ind w:left="1446" w:right="284" w:hanging="879"/>
    </w:pPr>
    <w:rPr>
      <w:snapToGrid w:val="0"/>
      <w:sz w:val="22"/>
    </w:rPr>
  </w:style>
  <w:style w:type="paragraph" w:customStyle="1" w:styleId="zyDefsubpara">
    <w:name w:val="zyDefsubpara"/>
    <w:pPr>
      <w:keepLines/>
      <w:tabs>
        <w:tab w:val="right" w:pos="2608"/>
      </w:tabs>
      <w:spacing w:before="80"/>
      <w:ind w:left="2892" w:right="284" w:hanging="2325"/>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8"/>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8"/>
    </w:rPr>
  </w:style>
  <w:style w:type="paragraph" w:styleId="Caption">
    <w:name w:val="caption"/>
    <w:basedOn w:val="Normal"/>
    <w:next w:val="Normal"/>
    <w:qFormat/>
    <w:pPr>
      <w:spacing w:before="120" w:after="120"/>
    </w:pPr>
    <w:rPr>
      <w:b/>
    </w:rPr>
  </w:style>
  <w:style w:type="paragraph" w:styleId="Closing">
    <w:name w:val="Closing"/>
    <w:basedOn w:val="Normal"/>
    <w:pPr>
      <w:ind w:left="4252"/>
    </w:pPr>
  </w:style>
  <w:style w:type="character" w:styleId="CommentReference">
    <w:name w:val="annotation reference"/>
    <w:basedOn w:val="DefaultParagraphFont"/>
    <w:semiHidden/>
    <w:rPr>
      <w:noProof w:val="0"/>
      <w:sz w:val="18"/>
    </w:rPr>
  </w:style>
  <w:style w:type="paragraph" w:styleId="CommentText">
    <w:name w:val="annotation text"/>
    <w:basedOn w:val="Normal"/>
    <w:semiHidden/>
  </w:style>
  <w:style w:type="paragraph" w:styleId="Date">
    <w:name w:val="Date"/>
    <w:basedOn w:val="Normal"/>
    <w:next w:val="Normal"/>
  </w:style>
  <w:style w:type="character" w:styleId="Emphasis">
    <w:name w:val="Emphasis"/>
    <w:basedOn w:val="DefaultParagraphFont"/>
    <w:qFormat/>
    <w:rPr>
      <w:i/>
      <w:sz w:val="24"/>
    </w:rPr>
  </w:style>
  <w:style w:type="paragraph" w:styleId="EndnoteText">
    <w:name w:val="endnote text"/>
    <w:basedOn w:val="Normal"/>
    <w:semiHidden/>
    <w:pPr>
      <w:spacing w:after="40"/>
      <w:ind w:left="397" w:hanging="397"/>
    </w:pPr>
  </w:style>
  <w:style w:type="paragraph" w:styleId="EnvelopeAddress">
    <w:name w:val="envelope address"/>
    <w:basedOn w:val="Normal"/>
    <w:pPr>
      <w:framePr w:w="7920" w:h="1980" w:hRule="exact" w:hSpace="180" w:wrap="auto" w:hAnchor="page" w:xAlign="center" w:yAlign="bottom"/>
      <w:ind w:left="2880"/>
    </w:pPr>
    <w:rPr>
      <w:rFonts w:ascii="Arial" w:hAnsi="Arial"/>
      <w:sz w:val="26"/>
    </w:rPr>
  </w:style>
  <w:style w:type="paragraph" w:styleId="EnvelopeReturn">
    <w:name w:val="envelope return"/>
    <w:basedOn w:val="Normal"/>
    <w:rPr>
      <w:rFonts w:ascii="Arial" w:hAnsi="Arial"/>
    </w:rPr>
  </w:style>
  <w:style w:type="character" w:styleId="FootnoteReference">
    <w:name w:val="footnote reference"/>
    <w:basedOn w:val="DefaultParagraphFont"/>
    <w:semiHidden/>
    <w:rPr>
      <w:sz w:val="24"/>
      <w:vertAlign w:val="superscript"/>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autoRedefine/>
    <w:pPr>
      <w:numPr>
        <w:numId w:val="15"/>
      </w:numPr>
    </w:pPr>
  </w:style>
  <w:style w:type="paragraph" w:styleId="ListBullet2">
    <w:name w:val="List Bullet 2"/>
    <w:basedOn w:val="Normal"/>
    <w:autoRedefine/>
    <w:pPr>
      <w:numPr>
        <w:numId w:val="16"/>
      </w:numPr>
      <w:tabs>
        <w:tab w:val="clear" w:pos="643"/>
        <w:tab w:val="num" w:pos="720"/>
      </w:tabs>
      <w:ind w:left="720"/>
    </w:pPr>
  </w:style>
  <w:style w:type="paragraph" w:styleId="ListBullet3">
    <w:name w:val="List Bullet 3"/>
    <w:basedOn w:val="Normal"/>
    <w:autoRedefine/>
    <w:pPr>
      <w:numPr>
        <w:numId w:val="17"/>
      </w:numPr>
      <w:tabs>
        <w:tab w:val="clear" w:pos="926"/>
        <w:tab w:val="num" w:pos="1080"/>
      </w:tabs>
      <w:ind w:left="1080"/>
    </w:pPr>
  </w:style>
  <w:style w:type="paragraph" w:styleId="ListBullet4">
    <w:name w:val="List Bullet 4"/>
    <w:basedOn w:val="Normal"/>
    <w:autoRedefine/>
    <w:pPr>
      <w:numPr>
        <w:numId w:val="18"/>
      </w:numPr>
      <w:tabs>
        <w:tab w:val="clear" w:pos="1209"/>
        <w:tab w:val="num" w:pos="1440"/>
      </w:tabs>
      <w:ind w:left="1440"/>
    </w:pPr>
  </w:style>
  <w:style w:type="paragraph" w:styleId="ListBullet5">
    <w:name w:val="List Bullet 5"/>
    <w:basedOn w:val="Normal"/>
    <w:autoRedefine/>
    <w:pPr>
      <w:numPr>
        <w:numId w:val="19"/>
      </w:numPr>
      <w:tabs>
        <w:tab w:val="clear" w:pos="1492"/>
        <w:tab w:val="num" w:pos="1800"/>
      </w:tabs>
      <w:ind w:left="1800"/>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numPr>
        <w:numId w:val="20"/>
      </w:numPr>
    </w:pPr>
  </w:style>
  <w:style w:type="paragraph" w:styleId="ListNumber2">
    <w:name w:val="List Number 2"/>
    <w:basedOn w:val="Normal"/>
    <w:pPr>
      <w:numPr>
        <w:numId w:val="21"/>
      </w:numPr>
      <w:tabs>
        <w:tab w:val="clear" w:pos="643"/>
        <w:tab w:val="num" w:pos="720"/>
      </w:tabs>
      <w:ind w:left="720"/>
    </w:pPr>
  </w:style>
  <w:style w:type="paragraph" w:styleId="ListNumber3">
    <w:name w:val="List Number 3"/>
    <w:basedOn w:val="Normal"/>
    <w:pPr>
      <w:numPr>
        <w:numId w:val="22"/>
      </w:numPr>
      <w:tabs>
        <w:tab w:val="clear" w:pos="926"/>
        <w:tab w:val="num" w:pos="1080"/>
      </w:tabs>
      <w:ind w:left="1080"/>
    </w:pPr>
  </w:style>
  <w:style w:type="paragraph" w:styleId="ListNumber4">
    <w:name w:val="List Number 4"/>
    <w:basedOn w:val="Normal"/>
    <w:pPr>
      <w:numPr>
        <w:numId w:val="23"/>
      </w:numPr>
      <w:tabs>
        <w:tab w:val="clear" w:pos="1209"/>
        <w:tab w:val="num" w:pos="1440"/>
      </w:tabs>
      <w:ind w:left="1440"/>
    </w:pPr>
  </w:style>
  <w:style w:type="paragraph" w:styleId="ListNumber5">
    <w:name w:val="List Number 5"/>
    <w:basedOn w:val="Normal"/>
    <w:pPr>
      <w:numPr>
        <w:numId w:val="24"/>
      </w:numPr>
      <w:tabs>
        <w:tab w:val="clear" w:pos="1492"/>
        <w:tab w:val="num" w:pos="1800"/>
      </w:tabs>
      <w:ind w:left="1800"/>
    </w:p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styleId="NormalIndent">
    <w:name w:val="Normal Indent"/>
    <w:basedOn w:val="Normal"/>
    <w:pPr>
      <w:ind w:left="720"/>
    </w:pPr>
  </w:style>
  <w:style w:type="paragraph" w:styleId="NoteHeading">
    <w:name w:val="Note Heading"/>
    <w:basedOn w:val="Normal"/>
    <w:next w:val="Normal"/>
  </w:style>
  <w:style w:type="paragraph" w:styleId="Salutation">
    <w:name w:val="Salutation"/>
    <w:basedOn w:val="Normal"/>
    <w:next w:val="Normal"/>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WA">
    <w:name w:val="WA"/>
    <w:pPr>
      <w:spacing w:after="720"/>
      <w:jc w:val="center"/>
    </w:pPr>
    <w:rPr>
      <w:sz w:val="24"/>
    </w:rPr>
  </w:style>
  <w:style w:type="paragraph" w:customStyle="1" w:styleId="NameofActRegPage1">
    <w:name w:val="Name of Act/Reg(Page 1)"/>
    <w:basedOn w:val="NameofActReg"/>
    <w:pPr>
      <w:spacing w:before="0" w:after="720"/>
    </w:pPr>
  </w:style>
  <w:style w:type="paragraph" w:customStyle="1" w:styleId="yEdnotesection">
    <w:name w:val="yEdnote(section)"/>
    <w:basedOn w:val="Ednotesection"/>
    <w:pPr>
      <w:spacing w:line="240" w:lineRule="auto"/>
      <w:ind w:left="890" w:hanging="890"/>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ubpara">
    <w:name w:val="yEdnote(subpara)"/>
    <w:basedOn w:val="Ednote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subitem">
    <w:name w:val="yEdnote(subitem)"/>
    <w:basedOn w:val="Ednotesubitem"/>
    <w:pPr>
      <w:spacing w:line="240" w:lineRule="auto"/>
    </w:pPr>
    <w:rPr>
      <w:sz w:val="22"/>
    </w:rPr>
  </w:style>
  <w:style w:type="paragraph" w:customStyle="1" w:styleId="Ednotedefpara">
    <w:name w:val="Ednote(defpara)"/>
    <w:basedOn w:val="Defpara"/>
    <w:rPr>
      <w:i/>
    </w:rPr>
  </w:style>
  <w:style w:type="paragraph" w:customStyle="1" w:styleId="Ednotedefitem">
    <w:name w:val="Ednote(defitem)"/>
    <w:basedOn w:val="Defitem"/>
    <w:rPr>
      <w:i/>
    </w:rPr>
  </w:style>
  <w:style w:type="paragraph" w:customStyle="1" w:styleId="Ednotedefsubpara">
    <w:name w:val="Ednote(defsubpara)"/>
    <w:basedOn w:val="Defsubpara"/>
    <w:rPr>
      <w:i/>
    </w:rPr>
  </w:style>
  <w:style w:type="paragraph" w:customStyle="1" w:styleId="Ednotepenpara">
    <w:name w:val="Ednote(penpara)"/>
    <w:basedOn w:val="Ednotepara"/>
  </w:style>
  <w:style w:type="paragraph" w:customStyle="1" w:styleId="Ednotepenitem">
    <w:name w:val="Ednote(penitem)"/>
    <w:basedOn w:val="Ednoteitem"/>
  </w:style>
  <w:style w:type="paragraph" w:customStyle="1" w:styleId="Ednotepensubpara">
    <w:name w:val="Ednote(pensubpara)"/>
    <w:basedOn w:val="Ednotesubpara"/>
  </w:style>
  <w:style w:type="paragraph" w:customStyle="1" w:styleId="Arrangement">
    <w:name w:val="Arrangement"/>
    <w:pPr>
      <w:spacing w:after="480"/>
      <w:ind w:left="2304" w:right="2304"/>
      <w:jc w:val="center"/>
    </w:pPr>
    <w:rPr>
      <w:b/>
      <w:sz w:val="28"/>
    </w:rPr>
  </w:style>
  <w:style w:type="paragraph" w:customStyle="1" w:styleId="yFootnotesection">
    <w:name w:val="yFootnote(section)"/>
    <w:basedOn w:val="Footnotesection"/>
    <w:pPr>
      <w:spacing w:line="240" w:lineRule="auto"/>
      <w:ind w:left="890" w:hanging="890"/>
    </w:pPr>
    <w:rPr>
      <w:sz w:val="22"/>
    </w:rPr>
  </w:style>
  <w:style w:type="paragraph" w:customStyle="1" w:styleId="nHeading2">
    <w:name w:val="nHeading 2"/>
    <w:qFormat/>
    <w:pPr>
      <w:keepNext/>
      <w:jc w:val="center"/>
      <w:outlineLvl w:val="1"/>
    </w:pPr>
    <w:rPr>
      <w:b/>
      <w:sz w:val="32"/>
    </w:rPr>
  </w:style>
  <w:style w:type="paragraph" w:customStyle="1" w:styleId="nHeading3">
    <w:name w:val="nHeading 3"/>
    <w:qFormat/>
    <w:pPr>
      <w:keepNext/>
      <w:spacing w:before="240" w:after="120"/>
      <w:jc w:val="center"/>
      <w:outlineLvl w:val="2"/>
    </w:pPr>
    <w:rPr>
      <w:b/>
      <w:sz w:val="26"/>
    </w:rPr>
  </w:style>
  <w:style w:type="paragraph" w:customStyle="1" w:styleId="MiscOpen">
    <w:name w:val="MiscOpen"/>
    <w:pPr>
      <w:keepNext/>
      <w:keepLines/>
      <w:tabs>
        <w:tab w:val="left" w:pos="893"/>
      </w:tabs>
      <w:spacing w:before="120" w:line="260" w:lineRule="atLeast"/>
    </w:pPr>
    <w:rPr>
      <w:sz w:val="24"/>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paragraph" w:customStyle="1" w:styleId="MiscellaneousHeading">
    <w:name w:val="Miscellaneous Heading"/>
    <w:pPr>
      <w:keepNext/>
      <w:spacing w:before="160" w:line="260" w:lineRule="atLeast"/>
      <w:jc w:val="center"/>
    </w:pPr>
    <w:rPr>
      <w:sz w:val="24"/>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yShoulderClause">
    <w:name w:val="yShoulderClause"/>
    <w:next w:val="ySubsection"/>
    <w:pPr>
      <w:spacing w:before="120"/>
      <w:jc w:val="right"/>
    </w:pPr>
    <w:rPr>
      <w:sz w:val="22"/>
    </w:rPr>
  </w:style>
  <w:style w:type="paragraph" w:customStyle="1" w:styleId="yScheduleHeading">
    <w:name w:val="yScheduleHeading"/>
    <w:basedOn w:val="yHeading2"/>
    <w:pPr>
      <w:pageBreakBefore/>
      <w:spacing w:before="0"/>
    </w:pPr>
  </w:style>
  <w:style w:type="character" w:customStyle="1" w:styleId="CharProduced">
    <w:name w:val="CharProduced"/>
    <w:rPr>
      <w:noProof w:val="0"/>
      <w:spacing w:val="-3"/>
    </w:rPr>
  </w:style>
  <w:style w:type="paragraph" w:customStyle="1" w:styleId="FooterDisclaimer">
    <w:name w:val="Footer.Disclaimer"/>
    <w:pPr>
      <w:jc w:val="center"/>
    </w:pPr>
    <w:rPr>
      <w:rFonts w:ascii="Arial" w:hAnsi="Arial"/>
      <w:i/>
      <w:sz w:val="16"/>
    </w:rPr>
  </w:style>
  <w:style w:type="paragraph" w:styleId="TOC3">
    <w:name w:val="toc 3"/>
    <w:next w:val="Normal"/>
    <w:semiHidden/>
    <w:pPr>
      <w:keepNext/>
      <w:spacing w:before="120" w:after="60"/>
      <w:ind w:left="1985" w:right="1134" w:hanging="567"/>
    </w:pPr>
    <w:rPr>
      <w:rFonts w:ascii="Helvetica" w:hAnsi="Helvetica"/>
      <w:b/>
      <w:noProof/>
      <w:sz w:val="18"/>
    </w:rPr>
  </w:style>
  <w:style w:type="paragraph" w:customStyle="1" w:styleId="yTable">
    <w:name w:val="yTable"/>
    <w:basedOn w:val="Table"/>
    <w:pPr>
      <w:spacing w:line="240" w:lineRule="auto"/>
    </w:pPr>
  </w:style>
  <w:style w:type="paragraph" w:customStyle="1" w:styleId="nTable">
    <w:name w:val="nTable"/>
    <w:pPr>
      <w:spacing w:before="40"/>
    </w:pPr>
    <w:rPr>
      <w:sz w:val="19"/>
    </w:rPr>
  </w:style>
  <w:style w:type="paragraph" w:customStyle="1" w:styleId="zMiscellaneousHeading">
    <w:name w:val="zMiscellaneousHeading"/>
    <w:basedOn w:val="MiscellaneousHeading"/>
    <w:pPr>
      <w:ind w:left="567" w:right="284"/>
    </w:pPr>
  </w:style>
  <w:style w:type="paragraph" w:customStyle="1" w:styleId="zMiscellaneousBody">
    <w:name w:val="zMiscellaneousBody"/>
    <w:basedOn w:val="Normal"/>
    <w:pPr>
      <w:spacing w:before="160" w:line="260" w:lineRule="atLeast"/>
      <w:ind w:left="567" w:right="284"/>
    </w:pPr>
  </w:style>
  <w:style w:type="paragraph" w:customStyle="1" w:styleId="ABillFor">
    <w:name w:val="ABillFor"/>
    <w:basedOn w:val="Normal"/>
    <w:pPr>
      <w:spacing w:before="240" w:after="600"/>
      <w:jc w:val="center"/>
    </w:pPr>
    <w:rPr>
      <w:b/>
    </w:rPr>
  </w:style>
  <w:style w:type="paragraph" w:customStyle="1" w:styleId="yFootnoteheading">
    <w:name w:val="yFootnote(heading)"/>
    <w:basedOn w:val="Footnoteheading"/>
    <w:pPr>
      <w:spacing w:line="240" w:lineRule="auto"/>
    </w:pPr>
    <w:rPr>
      <w:sz w:val="22"/>
    </w:rPr>
  </w:style>
  <w:style w:type="paragraph" w:customStyle="1" w:styleId="PrincipalActReg">
    <w:name w:val="PrincipalAct_Reg"/>
    <w:pPr>
      <w:spacing w:after="480"/>
      <w:jc w:val="center"/>
    </w:pPr>
    <w:rPr>
      <w:sz w:val="24"/>
    </w:rPr>
  </w:style>
  <w:style w:type="paragraph" w:customStyle="1" w:styleId="CentredBaseLine">
    <w:name w:val="CentredBaseLine"/>
    <w:pPr>
      <w:suppressLineNumbers/>
      <w:spacing w:before="240"/>
    </w:pPr>
  </w:style>
  <w:style w:type="paragraph" w:customStyle="1" w:styleId="MadeBy">
    <w:name w:val="MadeBy"/>
    <w:pPr>
      <w:spacing w:before="600"/>
    </w:pPr>
    <w:rPr>
      <w:sz w:val="24"/>
    </w:rPr>
  </w:style>
  <w:style w:type="paragraph" w:customStyle="1" w:styleId="ParlHouse">
    <w:name w:val="ParlHouse"/>
    <w:basedOn w:val="WA"/>
    <w:pPr>
      <w:spacing w:after="300"/>
    </w:pPr>
    <w:rPr>
      <w:u w:val="single"/>
    </w:rPr>
  </w:style>
  <w:style w:type="paragraph" w:customStyle="1" w:styleId="Equation">
    <w:name w:val="Equation"/>
    <w:rPr>
      <w:noProof/>
      <w:sz w:val="24"/>
    </w:rPr>
  </w:style>
  <w:style w:type="character" w:customStyle="1" w:styleId="DraftersNotes">
    <w:name w:val="DraftersNotes"/>
    <w:basedOn w:val="DefaultParagraphFont"/>
    <w:rPr>
      <w:b/>
      <w:i/>
      <w:sz w:val="20"/>
    </w:r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paragraph" w:styleId="Header">
    <w:name w:val="header"/>
    <w:rPr>
      <w:rFonts w:ascii="Arial" w:hAnsi="Arial"/>
      <w:noProof/>
    </w:rPr>
  </w:style>
  <w:style w:type="paragraph" w:customStyle="1" w:styleId="ByCommand">
    <w:name w:val="ByCommand"/>
    <w:basedOn w:val="Normal"/>
    <w:pPr>
      <w:tabs>
        <w:tab w:val="left" w:pos="4536"/>
      </w:tabs>
      <w:spacing w:before="240"/>
    </w:pPr>
  </w:style>
  <w:style w:type="paragraph" w:customStyle="1" w:styleId="DefinedTerms">
    <w:name w:val="Defined Terms"/>
    <w:pPr>
      <w:tabs>
        <w:tab w:val="right" w:leader="dot" w:pos="7070"/>
      </w:tabs>
      <w:ind w:left="578" w:right="578"/>
    </w:pPr>
  </w:style>
  <w:style w:type="paragraph" w:customStyle="1" w:styleId="DraftNo">
    <w:name w:val="DraftNo"/>
    <w:basedOn w:val="WA"/>
    <w:pPr>
      <w:spacing w:before="120" w:after="120"/>
    </w:pPr>
  </w:style>
  <w:style w:type="character" w:customStyle="1" w:styleId="CharDefText">
    <w:name w:val="CharDefText"/>
    <w:basedOn w:val="DefaultParagraphFont"/>
    <w:rPr>
      <w:b/>
      <w:i/>
    </w:rPr>
  </w:style>
  <w:style w:type="character" w:customStyle="1" w:styleId="CharSchText">
    <w:name w:val="CharSchText"/>
    <w:rPr>
      <w:noProof w:val="0"/>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yMiscellaneousHeading">
    <w:name w:val="yMiscellaneous Heading"/>
    <w:basedOn w:val="MiscellaneousHeading"/>
    <w:pPr>
      <w:spacing w:line="240" w:lineRule="auto"/>
    </w:pPr>
    <w:rPr>
      <w:sz w:val="22"/>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zyMiscellaneousBody">
    <w:name w:val="zyMiscellaneous Body"/>
    <w:basedOn w:val="zMiscellaneousBody"/>
    <w:pPr>
      <w:spacing w:line="240" w:lineRule="auto"/>
    </w:pPr>
    <w:rPr>
      <w:sz w:val="22"/>
    </w:rPr>
  </w:style>
  <w:style w:type="paragraph" w:customStyle="1" w:styleId="zTablet">
    <w:name w:val="zTable t"/>
    <w:basedOn w:val="Table"/>
  </w:style>
  <w:style w:type="paragraph" w:customStyle="1" w:styleId="yNumberedItem">
    <w:name w:val="yNumberedItem"/>
    <w:pPr>
      <w:spacing w:before="120"/>
      <w:ind w:left="879" w:hanging="879"/>
    </w:pPr>
    <w:rPr>
      <w:sz w:val="22"/>
    </w:rPr>
  </w:style>
  <w:style w:type="paragraph" w:customStyle="1" w:styleId="zyNumberedItem">
    <w:name w:val="zyNumberedItem"/>
    <w:pPr>
      <w:spacing w:before="120"/>
      <w:ind w:left="1446" w:right="284" w:hanging="879"/>
    </w:pPr>
    <w:rPr>
      <w:sz w:val="22"/>
    </w:rPr>
  </w:style>
  <w:style w:type="paragraph" w:customStyle="1" w:styleId="OmitFootnote">
    <w:name w:val="OmitFootnote"/>
    <w:basedOn w:val="yEdnotesection"/>
    <w:pPr>
      <w:spacing w:before="600"/>
      <w:outlineLvl w:val="1"/>
    </w:pPr>
  </w:style>
  <w:style w:type="paragraph" w:customStyle="1" w:styleId="yScheduleHeading2">
    <w:name w:val="yScheduleHeading 2"/>
    <w:basedOn w:val="yScheduleHeading"/>
    <w:pPr>
      <w:pageBreakBefore w:val="0"/>
      <w:spacing w:before="240"/>
    </w:pPr>
  </w:style>
  <w:style w:type="paragraph" w:customStyle="1" w:styleId="ReprintNo">
    <w:name w:val="ReprintNo"/>
    <w:rPr>
      <w:b/>
      <w:noProof/>
      <w:sz w:val="28"/>
    </w:rPr>
  </w:style>
  <w:style w:type="character" w:customStyle="1" w:styleId="CharSDivNo">
    <w:name w:val="CharSDivNo"/>
    <w:basedOn w:val="DefaultParagraphFont"/>
    <w:rPr>
      <w:sz w:val="24"/>
    </w:rPr>
  </w:style>
  <w:style w:type="character" w:customStyle="1" w:styleId="CharSDivText">
    <w:name w:val="CharSDivText"/>
    <w:basedOn w:val="DefaultParagraphFont"/>
    <w:rPr>
      <w:sz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yEdnotedefitem">
    <w:name w:val="yEdnote(defitem)"/>
    <w:basedOn w:val="yDefitem"/>
    <w:rPr>
      <w:i/>
    </w:rPr>
  </w:style>
  <w:style w:type="paragraph" w:customStyle="1" w:styleId="yEdnotedefpara">
    <w:name w:val="yEdnote(defpara)"/>
    <w:basedOn w:val="yDefpara"/>
    <w:rPr>
      <w:i/>
    </w:rPr>
  </w:style>
  <w:style w:type="paragraph" w:customStyle="1" w:styleId="yEdnotedefsubpara">
    <w:name w:val="yEdnote(defsubpara)"/>
    <w:basedOn w:val="yDefsubpara"/>
    <w:rPr>
      <w:i/>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TableAm">
    <w:name w:val="TableAm"/>
    <w:qFormat/>
    <w:pPr>
      <w:tabs>
        <w:tab w:val="left" w:pos="567"/>
      </w:tabs>
      <w:spacing w:before="120"/>
    </w:pPr>
    <w:rPr>
      <w:sz w:val="24"/>
    </w:rPr>
  </w:style>
  <w:style w:type="paragraph" w:customStyle="1" w:styleId="TableAmNote">
    <w:name w:val="TableAmNote"/>
    <w:pPr>
      <w:tabs>
        <w:tab w:val="left" w:pos="567"/>
      </w:tabs>
      <w:spacing w:before="60"/>
    </w:pPr>
    <w:rPr>
      <w:rFonts w:ascii="Arial" w:hAnsi="Arial"/>
      <w:sz w:val="18"/>
    </w:rPr>
  </w:style>
  <w:style w:type="paragraph" w:customStyle="1" w:styleId="BlankOpen">
    <w:name w:val="BlankOpen"/>
    <w:basedOn w:val="Normal"/>
    <w:pPr>
      <w:keepNext/>
      <w:keepLines/>
      <w:jc w:val="center"/>
    </w:pPr>
    <w:rPr>
      <w:szCs w:val="24"/>
    </w:rPr>
  </w:style>
  <w:style w:type="paragraph" w:customStyle="1" w:styleId="BlankClose">
    <w:name w:val="BlankClose"/>
    <w:basedOn w:val="Normal"/>
    <w:pPr>
      <w:keepLines/>
      <w:jc w:val="center"/>
    </w:pPr>
    <w:rPr>
      <w:szCs w:val="24"/>
    </w:rPr>
  </w:style>
  <w:style w:type="paragraph" w:customStyle="1" w:styleId="zyTableNAm">
    <w:name w:val="zyTableNAm"/>
    <w:basedOn w:val="yTableNAm"/>
  </w:style>
  <w:style w:type="paragraph" w:customStyle="1" w:styleId="DeleteClose">
    <w:name w:val="DeleteClose"/>
    <w:basedOn w:val="Normal"/>
    <w:pPr>
      <w:keepLines/>
      <w:jc w:val="center"/>
    </w:pPr>
    <w:rPr>
      <w:szCs w:val="24"/>
    </w:rPr>
  </w:style>
  <w:style w:type="paragraph" w:customStyle="1" w:styleId="DeleteListSub">
    <w:name w:val="DeleteListSub"/>
    <w:basedOn w:val="Normal"/>
    <w:pPr>
      <w:widowControl w:val="0"/>
      <w:spacing w:before="80" w:line="260" w:lineRule="atLeast"/>
      <w:ind w:left="879"/>
    </w:pPr>
  </w:style>
  <w:style w:type="paragraph" w:customStyle="1" w:styleId="DeleteListPara">
    <w:name w:val="DeleteListPara"/>
    <w:basedOn w:val="DeleteListSub"/>
    <w:pPr>
      <w:ind w:left="1616"/>
    </w:pPr>
  </w:style>
  <w:style w:type="paragraph" w:customStyle="1" w:styleId="DeleteOpen">
    <w:name w:val="DeleteOpen"/>
    <w:basedOn w:val="Normal"/>
    <w:pPr>
      <w:keepNext/>
      <w:keepLines/>
      <w:jc w:val="center"/>
    </w:pPr>
    <w:rPr>
      <w:szCs w:val="24"/>
    </w:rPr>
  </w:style>
  <w:style w:type="paragraph" w:customStyle="1" w:styleId="TableNAm">
    <w:name w:val="TableNAm"/>
    <w:qFormat/>
    <w:pPr>
      <w:tabs>
        <w:tab w:val="left" w:pos="567"/>
      </w:tabs>
      <w:spacing w:before="120"/>
    </w:pPr>
    <w:rPr>
      <w:sz w:val="24"/>
    </w:rPr>
  </w:style>
  <w:style w:type="paragraph" w:customStyle="1" w:styleId="THeading">
    <w:name w:val="THeading"/>
    <w:pPr>
      <w:keepNext/>
      <w:spacing w:before="160" w:after="60" w:line="260" w:lineRule="atLeast"/>
      <w:jc w:val="center"/>
    </w:pPr>
    <w:rPr>
      <w:b/>
      <w:bCs/>
      <w:sz w:val="24"/>
    </w:rPr>
  </w:style>
  <w:style w:type="paragraph" w:customStyle="1" w:styleId="THeadingAmNote">
    <w:name w:val="THeadingAmNote"/>
    <w:pPr>
      <w:keepNext/>
      <w:spacing w:before="160" w:after="60"/>
      <w:jc w:val="center"/>
    </w:pPr>
    <w:rPr>
      <w:rFonts w:ascii="Arial" w:hAnsi="Arial"/>
      <w:b/>
      <w:bCs/>
      <w:sz w:val="18"/>
    </w:rPr>
  </w:style>
  <w:style w:type="paragraph" w:customStyle="1" w:styleId="THeadingNAm">
    <w:name w:val="THeadingNAm"/>
    <w:pPr>
      <w:keepNext/>
      <w:spacing w:before="160" w:after="60" w:line="260" w:lineRule="atLeast"/>
      <w:ind w:left="879" w:right="142"/>
      <w:jc w:val="center"/>
    </w:pPr>
    <w:rPr>
      <w:b/>
      <w:bCs/>
      <w:sz w:val="24"/>
    </w:rPr>
  </w:style>
  <w:style w:type="paragraph" w:customStyle="1" w:styleId="yDeleteListPara">
    <w:name w:val="yDeleteListPara"/>
    <w:basedOn w:val="DeleteListPara"/>
    <w:rPr>
      <w:sz w:val="22"/>
    </w:rPr>
  </w:style>
  <w:style w:type="paragraph" w:customStyle="1" w:styleId="yDeleteListSub">
    <w:name w:val="yDeleteListSub"/>
    <w:basedOn w:val="DeleteListSub"/>
    <w:rPr>
      <w:sz w:val="22"/>
    </w:rPr>
  </w:style>
  <w:style w:type="paragraph" w:customStyle="1" w:styleId="yTableNAm">
    <w:name w:val="yTableNAm"/>
    <w:basedOn w:val="TableNAm"/>
    <w:rPr>
      <w:sz w:val="22"/>
    </w:rPr>
  </w:style>
  <w:style w:type="paragraph" w:customStyle="1" w:styleId="yTHeadingNAm">
    <w:name w:val="yTHeadingNAm"/>
    <w:basedOn w:val="THeadingNAm"/>
    <w:pPr>
      <w:ind w:left="142"/>
    </w:pPr>
    <w:rPr>
      <w:sz w:val="22"/>
    </w:rPr>
  </w:style>
  <w:style w:type="paragraph" w:customStyle="1" w:styleId="zDeleteListPara">
    <w:name w:val="zDeleteListPara"/>
    <w:basedOn w:val="DeleteListPara"/>
    <w:pPr>
      <w:ind w:left="2183"/>
    </w:pPr>
  </w:style>
  <w:style w:type="paragraph" w:customStyle="1" w:styleId="zDeleteListSub">
    <w:name w:val="zDeleteListSub"/>
    <w:basedOn w:val="DeleteListSub"/>
    <w:pPr>
      <w:ind w:left="1446"/>
    </w:pPr>
  </w:style>
  <w:style w:type="paragraph" w:customStyle="1" w:styleId="zTableNAm">
    <w:name w:val="zTableNAm"/>
    <w:basedOn w:val="TableNAm"/>
  </w:style>
  <w:style w:type="paragraph" w:customStyle="1" w:styleId="zTHeadingNAm">
    <w:name w:val="zTHeadingNAm"/>
    <w:basedOn w:val="THeadingNAm"/>
  </w:style>
  <w:style w:type="paragraph" w:customStyle="1" w:styleId="zyDeleteListPara">
    <w:name w:val="zyDeleteListPara"/>
    <w:basedOn w:val="DeleteListPara"/>
    <w:rPr>
      <w:sz w:val="22"/>
    </w:rPr>
  </w:style>
  <w:style w:type="paragraph" w:customStyle="1" w:styleId="zyDeleteListSub">
    <w:name w:val="zyDeleteListSub"/>
    <w:basedOn w:val="DeleteListSub"/>
    <w:rPr>
      <w:sz w:val="22"/>
    </w:rPr>
  </w:style>
  <w:style w:type="paragraph" w:customStyle="1" w:styleId="zyTHeadingNAm">
    <w:name w:val="zyTHeadingNAm"/>
    <w:basedOn w:val="yTHeadingNAm"/>
  </w:style>
  <w:style w:type="paragraph" w:styleId="BalloonText">
    <w:name w:val="Balloon Text"/>
    <w:basedOn w:val="Normal"/>
    <w:semiHidden/>
    <w:rPr>
      <w:rFonts w:ascii="Tahoma" w:hAnsi="Tahoma" w:cs="Tahoma"/>
      <w:sz w:val="16"/>
      <w:szCs w:val="16"/>
    </w:rPr>
  </w:style>
  <w:style w:type="paragraph" w:customStyle="1" w:styleId="PrincipalActRegPage1">
    <w:name w:val="PrincipalAct_Reg(Page 1)"/>
    <w:pPr>
      <w:spacing w:before="2600"/>
      <w:jc w:val="center"/>
    </w:pPr>
    <w:rPr>
      <w:sz w:val="24"/>
    </w:rPr>
  </w:style>
  <w:style w:type="paragraph" w:customStyle="1" w:styleId="Defsubitem">
    <w:name w:val="Defsubitem"/>
    <w:qFormat/>
    <w:pPr>
      <w:tabs>
        <w:tab w:val="right" w:pos="3686"/>
      </w:tabs>
      <w:spacing w:before="80" w:line="260" w:lineRule="atLeast"/>
      <w:ind w:left="3969" w:hanging="3969"/>
    </w:pPr>
    <w:rPr>
      <w:snapToGrid w:val="0"/>
      <w:sz w:val="24"/>
    </w:rPr>
  </w:style>
  <w:style w:type="paragraph" w:customStyle="1" w:styleId="Ednotedefsubitem">
    <w:name w:val="Ednote(defsubitem)"/>
    <w:basedOn w:val="Defsubitem"/>
    <w:rPr>
      <w:i/>
    </w:rPr>
  </w:style>
  <w:style w:type="paragraph" w:customStyle="1" w:styleId="yDefsubitem">
    <w:name w:val="yDefsubitem"/>
    <w:qFormat/>
    <w:pPr>
      <w:tabs>
        <w:tab w:val="right" w:pos="3686"/>
      </w:tabs>
      <w:spacing w:before="80"/>
      <w:ind w:left="3969" w:hanging="3969"/>
    </w:pPr>
    <w:rPr>
      <w:snapToGrid w:val="0"/>
      <w:sz w:val="22"/>
    </w:rPr>
  </w:style>
  <w:style w:type="paragraph" w:customStyle="1" w:styleId="yEdnotedefsubitem">
    <w:name w:val="yEdnote(defsubitem)"/>
    <w:basedOn w:val="yDefsubitem"/>
    <w:rPr>
      <w:i/>
    </w:rPr>
  </w:style>
  <w:style w:type="paragraph" w:customStyle="1" w:styleId="zDefsubitem">
    <w:name w:val="zDefsubitem"/>
    <w:qFormat/>
    <w:pPr>
      <w:tabs>
        <w:tab w:val="right" w:pos="4167"/>
      </w:tabs>
      <w:spacing w:before="80" w:line="260" w:lineRule="atLeast"/>
      <w:ind w:left="4451" w:right="284" w:hanging="3884"/>
    </w:pPr>
    <w:rPr>
      <w:snapToGrid w:val="0"/>
      <w:sz w:val="24"/>
    </w:rPr>
  </w:style>
  <w:style w:type="paragraph" w:customStyle="1" w:styleId="zyDefsubitem">
    <w:name w:val="zyDefsubitem"/>
    <w:qFormat/>
    <w:pPr>
      <w:tabs>
        <w:tab w:val="right" w:pos="4167"/>
      </w:tabs>
      <w:spacing w:before="80"/>
      <w:ind w:left="4451" w:right="284" w:hanging="3884"/>
    </w:pPr>
    <w:rPr>
      <w:snapToGrid w:val="0"/>
      <w:sz w:val="22"/>
    </w:rPr>
  </w:style>
  <w:style w:type="paragraph" w:customStyle="1" w:styleId="yEdnotenumbereditem">
    <w:name w:val="yEdnote(numbereditem)"/>
    <w:basedOn w:val="yNumberedItem"/>
    <w:rPr>
      <w:i/>
    </w:rPr>
  </w:style>
  <w:style w:type="paragraph" w:customStyle="1" w:styleId="yNumberedItemPara">
    <w:name w:val="yNumberedItemPara"/>
    <w:qFormat/>
    <w:pPr>
      <w:tabs>
        <w:tab w:val="right" w:pos="1332"/>
      </w:tabs>
      <w:spacing w:before="80"/>
      <w:ind w:left="1616" w:hanging="1616"/>
    </w:pPr>
    <w:rPr>
      <w:sz w:val="22"/>
    </w:rPr>
  </w:style>
  <w:style w:type="paragraph" w:customStyle="1" w:styleId="yEdnotenumbereditempara">
    <w:name w:val="yEdnote(numbereditempara)"/>
    <w:basedOn w:val="yNumberedItemPara"/>
    <w:rPr>
      <w:i/>
    </w:rPr>
  </w:style>
  <w:style w:type="paragraph" w:customStyle="1" w:styleId="zyNumberedItemPara">
    <w:name w:val="zyNumberedItemPara"/>
    <w:qFormat/>
    <w:pPr>
      <w:tabs>
        <w:tab w:val="right" w:pos="1899"/>
      </w:tabs>
      <w:spacing w:before="80"/>
      <w:ind w:left="2183" w:right="284" w:hanging="1616"/>
    </w:pPr>
    <w:rPr>
      <w:sz w:val="22"/>
    </w:rPr>
  </w:style>
  <w:style w:type="paragraph" w:customStyle="1" w:styleId="yNumberedItemSubPara">
    <w:name w:val="yNumberedItemSubPara"/>
    <w:qFormat/>
    <w:pPr>
      <w:tabs>
        <w:tab w:val="right" w:pos="2041"/>
      </w:tabs>
      <w:spacing w:before="80"/>
      <w:ind w:left="2325" w:hanging="2325"/>
    </w:pPr>
    <w:rPr>
      <w:sz w:val="22"/>
    </w:rPr>
  </w:style>
  <w:style w:type="paragraph" w:customStyle="1" w:styleId="yEdnotenumbereditemsubpara">
    <w:name w:val="yEdnote(numbereditemsubpara)"/>
    <w:basedOn w:val="yNumberedItemSubPara"/>
    <w:rPr>
      <w:i/>
    </w:rPr>
  </w:style>
  <w:style w:type="paragraph" w:customStyle="1" w:styleId="zyNumberedItemSubPara">
    <w:name w:val="zyNumberedItemSubPara"/>
    <w:qFormat/>
    <w:pPr>
      <w:tabs>
        <w:tab w:val="right" w:pos="2608"/>
      </w:tabs>
      <w:spacing w:before="80"/>
      <w:ind w:left="2892" w:right="284" w:hanging="2325"/>
    </w:pPr>
    <w:rPr>
      <w:sz w:val="22"/>
    </w:rPr>
  </w:style>
  <w:style w:type="paragraph" w:customStyle="1" w:styleId="PermNoteHeading">
    <w:name w:val="PermNoteHeading"/>
    <w:qFormat/>
    <w:pPr>
      <w:keepNext/>
      <w:spacing w:before="160"/>
      <w:ind w:left="879" w:hanging="879"/>
    </w:pPr>
    <w:rPr>
      <w:rFonts w:ascii="Arial" w:hAnsi="Arial"/>
      <w:sz w:val="18"/>
    </w:rPr>
  </w:style>
  <w:style w:type="paragraph" w:customStyle="1" w:styleId="Ednotepermnoteheading">
    <w:name w:val="Ednote(permnoteheading)"/>
    <w:basedOn w:val="PermNoteHeading"/>
    <w:rPr>
      <w:i/>
    </w:rPr>
  </w:style>
  <w:style w:type="paragraph" w:customStyle="1" w:styleId="zPermNoteHeading">
    <w:name w:val="zPermNoteHeading"/>
    <w:qFormat/>
    <w:pPr>
      <w:spacing w:before="160"/>
      <w:ind w:left="1446" w:right="284" w:hanging="879"/>
    </w:pPr>
    <w:rPr>
      <w:rFonts w:ascii="Arial" w:hAnsi="Arial"/>
      <w:sz w:val="18"/>
    </w:rPr>
  </w:style>
  <w:style w:type="paragraph" w:customStyle="1" w:styleId="PermNoteText">
    <w:name w:val="PermNoteText"/>
    <w:qFormat/>
    <w:pPr>
      <w:tabs>
        <w:tab w:val="left" w:pos="879"/>
      </w:tabs>
      <w:spacing w:before="80"/>
      <w:ind w:left="1418" w:hanging="1418"/>
    </w:pPr>
    <w:rPr>
      <w:rFonts w:ascii="Arial" w:hAnsi="Arial"/>
      <w:sz w:val="18"/>
    </w:rPr>
  </w:style>
  <w:style w:type="paragraph" w:customStyle="1" w:styleId="Ednotepermnotetext">
    <w:name w:val="Ednote(permnotetext)"/>
    <w:basedOn w:val="PermNoteText"/>
    <w:rPr>
      <w:i/>
    </w:rPr>
  </w:style>
  <w:style w:type="paragraph" w:customStyle="1" w:styleId="zPermNoteText">
    <w:name w:val="zPermNoteText"/>
    <w:qFormat/>
    <w:pPr>
      <w:tabs>
        <w:tab w:val="left" w:pos="1446"/>
      </w:tabs>
      <w:spacing w:before="80"/>
      <w:ind w:left="2013" w:right="284" w:hanging="1446"/>
    </w:pPr>
    <w:rPr>
      <w:rFonts w:ascii="Arial" w:hAnsi="Arial"/>
      <w:sz w:val="18"/>
    </w:rPr>
  </w:style>
  <w:style w:type="paragraph" w:customStyle="1" w:styleId="PermNotePara">
    <w:name w:val="PermNotePara"/>
    <w:qFormat/>
    <w:pPr>
      <w:tabs>
        <w:tab w:val="right" w:pos="1843"/>
      </w:tabs>
      <w:spacing w:before="80"/>
      <w:ind w:left="2013" w:hanging="2013"/>
    </w:pPr>
    <w:rPr>
      <w:rFonts w:ascii="Arial" w:hAnsi="Arial"/>
      <w:sz w:val="18"/>
    </w:rPr>
  </w:style>
  <w:style w:type="paragraph" w:customStyle="1" w:styleId="Ednotepermnotepara">
    <w:name w:val="Ednote(permnotepara)"/>
    <w:basedOn w:val="PermNotePara"/>
    <w:rPr>
      <w:i/>
    </w:rPr>
  </w:style>
  <w:style w:type="paragraph" w:customStyle="1" w:styleId="zPermNotePara">
    <w:name w:val="zPermNotePara"/>
    <w:qFormat/>
    <w:pPr>
      <w:tabs>
        <w:tab w:val="right" w:pos="2410"/>
      </w:tabs>
      <w:spacing w:before="80"/>
      <w:ind w:left="2580" w:right="284" w:hanging="2013"/>
    </w:pPr>
    <w:rPr>
      <w:rFonts w:ascii="Arial" w:hAnsi="Arial"/>
      <w:sz w:val="18"/>
    </w:rPr>
  </w:style>
  <w:style w:type="paragraph" w:customStyle="1" w:styleId="PermNoteSubPara">
    <w:name w:val="PermNoteSubPara"/>
    <w:qFormat/>
    <w:pPr>
      <w:tabs>
        <w:tab w:val="right" w:pos="2296"/>
      </w:tabs>
      <w:spacing w:before="80"/>
      <w:ind w:left="2580" w:hanging="2580"/>
    </w:pPr>
    <w:rPr>
      <w:rFonts w:ascii="Arial" w:hAnsi="Arial"/>
      <w:sz w:val="18"/>
    </w:rPr>
  </w:style>
  <w:style w:type="paragraph" w:customStyle="1" w:styleId="Ednotepermnotesubpara">
    <w:name w:val="Ednote(permnotesubpara)"/>
    <w:basedOn w:val="PermNoteSubPara"/>
    <w:rPr>
      <w:i/>
    </w:rPr>
  </w:style>
  <w:style w:type="paragraph" w:customStyle="1" w:styleId="zPermNoteSubPara">
    <w:name w:val="zPermNoteSubPara"/>
    <w:qFormat/>
    <w:pPr>
      <w:tabs>
        <w:tab w:val="right" w:pos="2863"/>
      </w:tabs>
      <w:spacing w:before="80"/>
      <w:ind w:left="3147" w:right="284" w:hanging="2580"/>
    </w:pPr>
    <w:rPr>
      <w:rFonts w:ascii="Arial" w:hAnsi="Arial"/>
      <w:sz w:val="18"/>
    </w:rPr>
  </w:style>
  <w:style w:type="paragraph" w:customStyle="1" w:styleId="SectAltNote">
    <w:name w:val="SectAltNote"/>
    <w:qFormat/>
    <w:pPr>
      <w:keepNext/>
      <w:tabs>
        <w:tab w:val="left" w:pos="879"/>
      </w:tabs>
      <w:spacing w:before="160"/>
      <w:ind w:left="1418" w:hanging="1418"/>
    </w:pPr>
    <w:rPr>
      <w:rFonts w:ascii="Arial" w:hAnsi="Arial"/>
      <w:sz w:val="18"/>
    </w:rPr>
  </w:style>
  <w:style w:type="paragraph" w:customStyle="1" w:styleId="SectAltHeading">
    <w:name w:val="SectAltHeading"/>
    <w:qFormat/>
    <w:pPr>
      <w:tabs>
        <w:tab w:val="left" w:pos="879"/>
      </w:tabs>
      <w:spacing w:before="80"/>
      <w:ind w:left="1418" w:hanging="1418"/>
    </w:pPr>
    <w:rPr>
      <w:rFonts w:ascii="Arial" w:hAnsi="Arial"/>
      <w:b/>
      <w:sz w:val="18"/>
    </w:rPr>
  </w:style>
  <w:style w:type="paragraph" w:customStyle="1" w:styleId="ExCo">
    <w:name w:val="ExCo"/>
    <w:qFormat/>
    <w:rPr>
      <w:sz w:val="24"/>
    </w:rPr>
  </w:style>
  <w:style w:type="paragraph" w:customStyle="1" w:styleId="TitleNote">
    <w:name w:val="TitleNote"/>
    <w:rPr>
      <w:sz w:val="24"/>
    </w:rPr>
  </w:style>
  <w:style w:type="paragraph" w:customStyle="1" w:styleId="nStatement">
    <w:name w:val="nStatement"/>
    <w:pPr>
      <w:spacing w:before="80"/>
    </w:pPr>
  </w:style>
  <w:style w:type="paragraph" w:customStyle="1" w:styleId="nNote">
    <w:name w:val="nNote"/>
    <w:pPr>
      <w:spacing w:before="80"/>
      <w:ind w:left="454" w:hanging="454"/>
    </w:pPr>
  </w:style>
  <w:style w:type="paragraph" w:customStyle="1" w:styleId="nNotePara">
    <w:name w:val="nNotePara"/>
    <w:pPr>
      <w:tabs>
        <w:tab w:val="right" w:pos="993"/>
      </w:tabs>
      <w:spacing w:before="40"/>
      <w:ind w:left="1134" w:hanging="1134"/>
    </w:pPr>
  </w:style>
  <w:style w:type="paragraph" w:customStyle="1" w:styleId="nNoteSubPara">
    <w:name w:val="nNoteSubPara"/>
    <w:pPr>
      <w:tabs>
        <w:tab w:val="right" w:pos="1418"/>
      </w:tabs>
      <w:spacing w:before="40"/>
      <w:ind w:left="1701" w:hanging="1701"/>
    </w:pPr>
  </w:style>
  <w:style w:type="paragraph" w:customStyle="1" w:styleId="AssentDate">
    <w:name w:val="AssentDate"/>
    <w:pPr>
      <w:jc w:val="right"/>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image" Target="media/image4.jpeg"/><Relationship Id="rId39" Type="http://schemas.openxmlformats.org/officeDocument/2006/relationships/header" Target="header16.xml"/><Relationship Id="rId21" Type="http://schemas.openxmlformats.org/officeDocument/2006/relationships/header" Target="header7.xml"/><Relationship Id="rId34" Type="http://schemas.openxmlformats.org/officeDocument/2006/relationships/header" Target="header11.xml"/><Relationship Id="rId42" Type="http://schemas.openxmlformats.org/officeDocument/2006/relationships/image" Target="media/image10.png"/><Relationship Id="rId47" Type="http://schemas.openxmlformats.org/officeDocument/2006/relationships/header" Target="header23.xml"/><Relationship Id="rId50" Type="http://schemas.openxmlformats.org/officeDocument/2006/relationships/header" Target="header26.xml"/><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5.xml"/><Relationship Id="rId29" Type="http://schemas.openxmlformats.org/officeDocument/2006/relationships/image" Target="media/image7.png"/><Relationship Id="rId11" Type="http://schemas.openxmlformats.org/officeDocument/2006/relationships/footer" Target="footer1.xml"/><Relationship Id="rId24" Type="http://schemas.openxmlformats.org/officeDocument/2006/relationships/image" Target="media/image2.jpeg"/><Relationship Id="rId32" Type="http://schemas.openxmlformats.org/officeDocument/2006/relationships/image" Target="media/image9.jpeg"/><Relationship Id="rId37" Type="http://schemas.openxmlformats.org/officeDocument/2006/relationships/header" Target="header14.xml"/><Relationship Id="rId40" Type="http://schemas.openxmlformats.org/officeDocument/2006/relationships/header" Target="header17.xml"/><Relationship Id="rId45" Type="http://schemas.openxmlformats.org/officeDocument/2006/relationships/header" Target="header21.xml"/><Relationship Id="rId53" Type="http://schemas.openxmlformats.org/officeDocument/2006/relationships/header" Target="header27.xml"/><Relationship Id="rId5" Type="http://schemas.openxmlformats.org/officeDocument/2006/relationships/webSettings" Target="webSettings.xml"/><Relationship Id="rId10" Type="http://schemas.openxmlformats.org/officeDocument/2006/relationships/header" Target="header2.xml"/><Relationship Id="rId19" Type="http://schemas.openxmlformats.org/officeDocument/2006/relationships/header" Target="header6.xml"/><Relationship Id="rId31" Type="http://schemas.openxmlformats.org/officeDocument/2006/relationships/image" Target="media/image8.jpeg"/><Relationship Id="rId44" Type="http://schemas.openxmlformats.org/officeDocument/2006/relationships/header" Target="header20.xml"/><Relationship Id="rId52" Type="http://schemas.openxmlformats.org/officeDocument/2006/relationships/footer" Target="footer8.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8.xml"/><Relationship Id="rId27" Type="http://schemas.openxmlformats.org/officeDocument/2006/relationships/image" Target="media/image5.jpeg"/><Relationship Id="rId30" Type="http://schemas.microsoft.com/office/2007/relationships/hdphoto" Target="media/hdphoto1.wdp"/><Relationship Id="rId35" Type="http://schemas.openxmlformats.org/officeDocument/2006/relationships/header" Target="header12.xml"/><Relationship Id="rId43" Type="http://schemas.openxmlformats.org/officeDocument/2006/relationships/header" Target="header19.xml"/><Relationship Id="rId48" Type="http://schemas.openxmlformats.org/officeDocument/2006/relationships/header" Target="header24.xml"/><Relationship Id="rId5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footer" Target="footer7.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image" Target="media/image3.jpeg"/><Relationship Id="rId33" Type="http://schemas.openxmlformats.org/officeDocument/2006/relationships/header" Target="header10.xml"/><Relationship Id="rId38" Type="http://schemas.openxmlformats.org/officeDocument/2006/relationships/header" Target="header15.xml"/><Relationship Id="rId46" Type="http://schemas.openxmlformats.org/officeDocument/2006/relationships/header" Target="header22.xml"/><Relationship Id="rId20" Type="http://schemas.openxmlformats.org/officeDocument/2006/relationships/footer" Target="footer6.xml"/><Relationship Id="rId41" Type="http://schemas.openxmlformats.org/officeDocument/2006/relationships/header" Target="header18.xml"/><Relationship Id="rId54" Type="http://schemas.openxmlformats.org/officeDocument/2006/relationships/footer" Target="footer9.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header" Target="header9.xml"/><Relationship Id="rId28" Type="http://schemas.openxmlformats.org/officeDocument/2006/relationships/image" Target="media/image6.jpeg"/><Relationship Id="rId36" Type="http://schemas.openxmlformats.org/officeDocument/2006/relationships/header" Target="header13.xml"/><Relationship Id="rId49" Type="http://schemas.openxmlformats.org/officeDocument/2006/relationships/header" Target="header2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090FAC-DD0F-4FEC-A690-70CBF4D91B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18351</Words>
  <Characters>87904</Characters>
  <Application>Microsoft Office Word</Application>
  <DocSecurity>0</DocSecurity>
  <Lines>2930</Lines>
  <Paragraphs>1686</Paragraphs>
  <ScaleCrop>false</ScaleCrop>
  <HeadingPairs>
    <vt:vector size="2" baseType="variant">
      <vt:variant>
        <vt:lpstr>Title</vt:lpstr>
      </vt:variant>
      <vt:variant>
        <vt:i4>1</vt:i4>
      </vt:variant>
    </vt:vector>
  </HeadingPairs>
  <TitlesOfParts>
    <vt:vector size="1" baseType="lpstr">
      <vt:lpstr>Ports and Harbours Regulations 1966</vt:lpstr>
    </vt:vector>
  </TitlesOfParts>
  <Manager/>
  <Company/>
  <LinksUpToDate>false</LinksUpToDate>
  <CharactersWithSpaces>104569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Shipping and Pilotage (Ports and Harbours) Regulations 1966 - 06-u0-00</dc:title>
  <dc:subject/>
  <dc:creator/>
  <cp:keywords/>
  <dc:description/>
  <cp:lastModifiedBy>Master Repository Process</cp:lastModifiedBy>
  <cp:revision>4</cp:revision>
  <cp:lastPrinted>2019-05-17T03:01:00Z</cp:lastPrinted>
  <dcterms:created xsi:type="dcterms:W3CDTF">2021-06-30T01:23:00Z</dcterms:created>
  <dcterms:modified xsi:type="dcterms:W3CDTF">2021-06-30T01:23:00Z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D">
    <vt:lpwstr>3 February 1966 pp.277-92</vt:lpwstr>
  </property>
  <property fmtid="{D5CDD505-2E9C-101B-9397-08002B2CF9AE}" pid="3" name="DocumentType">
    <vt:lpwstr>Reg</vt:lpwstr>
  </property>
  <property fmtid="{D5CDD505-2E9C-101B-9397-08002B2CF9AE}" pid="4" name="OwlsUID">
    <vt:i4>4709</vt:i4>
  </property>
  <property fmtid="{D5CDD505-2E9C-101B-9397-08002B2CF9AE}" pid="5" name="ReprintNo">
    <vt:lpwstr>6</vt:lpwstr>
  </property>
  <property fmtid="{D5CDD505-2E9C-101B-9397-08002B2CF9AE}" pid="6" name="ReprintedAsAt">
    <vt:filetime>2015-01-15T16:00:00Z</vt:filetime>
  </property>
  <property fmtid="{D5CDD505-2E9C-101B-9397-08002B2CF9AE}" pid="7" name="AsAtDate">
    <vt:lpwstr>01 Jul 2021</vt:lpwstr>
  </property>
  <property fmtid="{D5CDD505-2E9C-101B-9397-08002B2CF9AE}" pid="8" name="Suffix">
    <vt:lpwstr>06-u0-00</vt:lpwstr>
  </property>
  <property fmtid="{D5CDD505-2E9C-101B-9397-08002B2CF9AE}" pid="9" name="CommencementDate">
    <vt:lpwstr>20210701</vt:lpwstr>
  </property>
</Properties>
</file>