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03" w:rsidRDefault="00AE6AE5">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A2503" w:rsidRDefault="00AE6AE5">
      <w:pPr>
        <w:pStyle w:val="PrincipalActRegPage1"/>
      </w:pPr>
      <w:r>
        <w:fldChar w:fldCharType="begin"/>
      </w:r>
      <w:r>
        <w:instrText xml:space="preserve"> STYLEREF "PrincipalAct_Reg"</w:instrText>
      </w:r>
      <w:r>
        <w:fldChar w:fldCharType="separate"/>
      </w:r>
      <w:r w:rsidR="00655B25">
        <w:rPr>
          <w:noProof/>
        </w:rPr>
        <w:t>Gas Standards Act 1972</w:t>
      </w:r>
      <w:r>
        <w:fldChar w:fldCharType="end"/>
      </w:r>
    </w:p>
    <w:p w:rsidR="00EA2503" w:rsidRDefault="00AE6AE5">
      <w:pPr>
        <w:pStyle w:val="NameofActRegPage1"/>
        <w:spacing w:before="1800" w:after="4200"/>
        <w:outlineLvl w:val="0"/>
      </w:pPr>
      <w:r>
        <w:fldChar w:fldCharType="begin"/>
      </w:r>
      <w:r>
        <w:instrText xml:space="preserve"> STYLEREF "Name Of Act/Reg"</w:instrText>
      </w:r>
      <w:r>
        <w:fldChar w:fldCharType="separate"/>
      </w:r>
      <w:r w:rsidR="00655B25">
        <w:rPr>
          <w:noProof/>
        </w:rPr>
        <w:t>Gas Standards (Gasfitting and Consumer Gas Installations) Regulations 1999</w:t>
      </w:r>
      <w:r>
        <w:fldChar w:fldCharType="end"/>
      </w:r>
    </w:p>
    <w:p w:rsidR="00EA2503" w:rsidRDefault="00EA2503">
      <w:pPr>
        <w:jc w:val="center"/>
        <w:sectPr w:rsidR="00EA250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8438C" w:rsidRDefault="00A8438C">
      <w:pPr>
        <w:pStyle w:val="WA"/>
      </w:pPr>
      <w:r>
        <w:lastRenderedPageBreak/>
        <w:t>Western Australia</w:t>
      </w:r>
    </w:p>
    <w:p w:rsidR="00EA2503" w:rsidRDefault="00AE6AE5">
      <w:pPr>
        <w:pStyle w:val="NameofActRegPage1"/>
      </w:pPr>
      <w:r>
        <w:fldChar w:fldCharType="begin"/>
      </w:r>
      <w:r>
        <w:instrText xml:space="preserve"> STYLEREF "Name Of Act/Reg"</w:instrText>
      </w:r>
      <w:r>
        <w:fldChar w:fldCharType="separate"/>
      </w:r>
      <w:r w:rsidR="00655B25">
        <w:rPr>
          <w:noProof/>
        </w:rPr>
        <w:t>Gas Standards (Gasfitting and Consumer Gas Installations) Regulations 1999</w:t>
      </w:r>
      <w:r>
        <w:fldChar w:fldCharType="end"/>
      </w:r>
    </w:p>
    <w:p w:rsidR="00EA2503" w:rsidRDefault="00AE6AE5">
      <w:pPr>
        <w:pStyle w:val="Arrangement"/>
      </w:pPr>
      <w:r>
        <w:t>Contents</w:t>
      </w:r>
    </w:p>
    <w:p w:rsidR="00313D44" w:rsidRDefault="00AE6AE5">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313D44">
        <w:t>Part 1 — Preliminary</w:t>
      </w:r>
    </w:p>
    <w:p w:rsidR="00313D44" w:rsidRDefault="00313D44">
      <w:pPr>
        <w:pStyle w:val="TOC8"/>
        <w:rPr>
          <w:rFonts w:asciiTheme="minorHAnsi" w:eastAsiaTheme="minorEastAsia" w:hAnsiTheme="minorHAnsi" w:cstheme="minorBidi"/>
          <w:szCs w:val="22"/>
        </w:rPr>
      </w:pPr>
      <w:r>
        <w:t>1.</w:t>
      </w:r>
      <w:r>
        <w:tab/>
        <w:t>Citation</w:t>
      </w:r>
      <w:r>
        <w:tab/>
      </w:r>
      <w:r>
        <w:fldChar w:fldCharType="begin"/>
      </w:r>
      <w:r>
        <w:instrText xml:space="preserve"> PAGEREF _Toc75759041 \h </w:instrText>
      </w:r>
      <w:r>
        <w:fldChar w:fldCharType="separate"/>
      </w:r>
      <w:r w:rsidR="00655B25">
        <w:t>1</w:t>
      </w:r>
      <w:r>
        <w:fldChar w:fldCharType="end"/>
      </w:r>
    </w:p>
    <w:p w:rsidR="00313D44" w:rsidRDefault="00313D44">
      <w:pPr>
        <w:pStyle w:val="TOC8"/>
        <w:rPr>
          <w:rFonts w:asciiTheme="minorHAnsi" w:eastAsiaTheme="minorEastAsia" w:hAnsiTheme="minorHAnsi" w:cstheme="minorBidi"/>
          <w:szCs w:val="22"/>
        </w:rPr>
      </w:pPr>
      <w:r>
        <w:t>2.</w:t>
      </w:r>
      <w:r>
        <w:tab/>
        <w:t>Commencement</w:t>
      </w:r>
      <w:r>
        <w:tab/>
      </w:r>
      <w:r>
        <w:fldChar w:fldCharType="begin"/>
      </w:r>
      <w:r>
        <w:instrText xml:space="preserve"> PAGEREF _Toc75759042 \h </w:instrText>
      </w:r>
      <w:r>
        <w:fldChar w:fldCharType="separate"/>
      </w:r>
      <w:r w:rsidR="00655B25">
        <w:t>1</w:t>
      </w:r>
      <w:r>
        <w:fldChar w:fldCharType="end"/>
      </w:r>
    </w:p>
    <w:p w:rsidR="00313D44" w:rsidRDefault="00313D44">
      <w:pPr>
        <w:pStyle w:val="TOC8"/>
        <w:rPr>
          <w:rFonts w:asciiTheme="minorHAnsi" w:eastAsiaTheme="minorEastAsia" w:hAnsiTheme="minorHAnsi" w:cstheme="minorBidi"/>
          <w:szCs w:val="22"/>
        </w:rPr>
      </w:pPr>
      <w:r>
        <w:t>3.</w:t>
      </w:r>
      <w:r>
        <w:tab/>
        <w:t>Terms used</w:t>
      </w:r>
      <w:r>
        <w:tab/>
      </w:r>
      <w:r>
        <w:fldChar w:fldCharType="begin"/>
      </w:r>
      <w:r>
        <w:instrText xml:space="preserve"> PAGEREF _Toc75759043 \h </w:instrText>
      </w:r>
      <w:r>
        <w:fldChar w:fldCharType="separate"/>
      </w:r>
      <w:r w:rsidR="00655B25">
        <w:t>1</w:t>
      </w:r>
      <w:r>
        <w:fldChar w:fldCharType="end"/>
      </w:r>
    </w:p>
    <w:p w:rsidR="00313D44" w:rsidRDefault="00313D44">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_Toc75759044 \h </w:instrText>
      </w:r>
      <w:r>
        <w:fldChar w:fldCharType="separate"/>
      </w:r>
      <w:r w:rsidR="00655B25">
        <w:t>5</w:t>
      </w:r>
      <w:r>
        <w:fldChar w:fldCharType="end"/>
      </w:r>
    </w:p>
    <w:p w:rsidR="00313D44" w:rsidRDefault="00313D44">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_Toc75759045 \h </w:instrText>
      </w:r>
      <w:r>
        <w:fldChar w:fldCharType="separate"/>
      </w:r>
      <w:r w:rsidR="00655B25">
        <w:t>6</w:t>
      </w:r>
      <w:r>
        <w:fldChar w:fldCharType="end"/>
      </w:r>
    </w:p>
    <w:p w:rsidR="00313D44" w:rsidRDefault="00313D44">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_Toc75759046 \h </w:instrText>
      </w:r>
      <w:r>
        <w:fldChar w:fldCharType="separate"/>
      </w:r>
      <w:r w:rsidR="00655B25">
        <w:t>6</w:t>
      </w:r>
      <w:r>
        <w:fldChar w:fldCharType="end"/>
      </w:r>
    </w:p>
    <w:p w:rsidR="00313D44" w:rsidRDefault="00313D44">
      <w:pPr>
        <w:pStyle w:val="TOC2"/>
        <w:tabs>
          <w:tab w:val="right" w:leader="dot" w:pos="7077"/>
        </w:tabs>
        <w:rPr>
          <w:rFonts w:asciiTheme="minorHAnsi" w:eastAsiaTheme="minorEastAsia" w:hAnsiTheme="minorHAnsi" w:cstheme="minorBidi"/>
          <w:b w:val="0"/>
          <w:sz w:val="22"/>
          <w:szCs w:val="22"/>
        </w:rPr>
      </w:pPr>
      <w:r>
        <w:t>Part 2 — Administration</w:t>
      </w:r>
    </w:p>
    <w:p w:rsidR="00313D44" w:rsidRDefault="00313D44">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_Toc75759048 \h </w:instrText>
      </w:r>
      <w:r>
        <w:fldChar w:fldCharType="separate"/>
      </w:r>
      <w:r w:rsidR="00655B25">
        <w:t>7</w:t>
      </w:r>
      <w:r>
        <w:fldChar w:fldCharType="end"/>
      </w:r>
    </w:p>
    <w:p w:rsidR="00313D44" w:rsidRDefault="00313D44">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_Toc75759049 \h </w:instrText>
      </w:r>
      <w:r>
        <w:fldChar w:fldCharType="separate"/>
      </w:r>
      <w:r w:rsidR="00655B25">
        <w:t>7</w:t>
      </w:r>
      <w:r>
        <w:fldChar w:fldCharType="end"/>
      </w:r>
    </w:p>
    <w:p w:rsidR="00313D44" w:rsidRDefault="00313D44">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_Toc75759050 \h </w:instrText>
      </w:r>
      <w:r>
        <w:fldChar w:fldCharType="separate"/>
      </w:r>
      <w:r w:rsidR="00655B25">
        <w:t>7</w:t>
      </w:r>
      <w:r>
        <w:fldChar w:fldCharType="end"/>
      </w:r>
    </w:p>
    <w:p w:rsidR="00313D44" w:rsidRDefault="00313D44">
      <w:pPr>
        <w:pStyle w:val="TOC2"/>
        <w:tabs>
          <w:tab w:val="right" w:leader="dot" w:pos="7077"/>
        </w:tabs>
        <w:rPr>
          <w:rFonts w:asciiTheme="minorHAnsi" w:eastAsiaTheme="minorEastAsia" w:hAnsiTheme="minorHAnsi" w:cstheme="minorBidi"/>
          <w:b w:val="0"/>
          <w:sz w:val="22"/>
          <w:szCs w:val="22"/>
        </w:rPr>
      </w:pPr>
      <w:r>
        <w:t>Part 3 — Permits and authorisations</w:t>
      </w:r>
    </w:p>
    <w:p w:rsidR="00313D44" w:rsidRDefault="00313D44">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_Toc75759052 \h </w:instrText>
      </w:r>
      <w:r>
        <w:fldChar w:fldCharType="separate"/>
      </w:r>
      <w:r w:rsidR="00655B25">
        <w:t>9</w:t>
      </w:r>
      <w:r>
        <w:fldChar w:fldCharType="end"/>
      </w:r>
    </w:p>
    <w:p w:rsidR="00313D44" w:rsidRDefault="00313D44">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_Toc75759053 \h </w:instrText>
      </w:r>
      <w:r>
        <w:fldChar w:fldCharType="separate"/>
      </w:r>
      <w:r w:rsidR="00655B25">
        <w:t>9</w:t>
      </w:r>
      <w:r>
        <w:fldChar w:fldCharType="end"/>
      </w:r>
    </w:p>
    <w:p w:rsidR="00313D44" w:rsidRDefault="00313D44">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_Toc75759054 \h </w:instrText>
      </w:r>
      <w:r>
        <w:fldChar w:fldCharType="separate"/>
      </w:r>
      <w:r w:rsidR="00655B25">
        <w:t>10</w:t>
      </w:r>
      <w:r>
        <w:fldChar w:fldCharType="end"/>
      </w:r>
    </w:p>
    <w:p w:rsidR="00313D44" w:rsidRDefault="00313D44">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_Toc75759055 \h </w:instrText>
      </w:r>
      <w:r>
        <w:fldChar w:fldCharType="separate"/>
      </w:r>
      <w:r w:rsidR="00655B25">
        <w:t>10</w:t>
      </w:r>
      <w:r>
        <w:fldChar w:fldCharType="end"/>
      </w:r>
    </w:p>
    <w:p w:rsidR="00313D44" w:rsidRDefault="00313D44">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_Toc75759056 \h </w:instrText>
      </w:r>
      <w:r>
        <w:fldChar w:fldCharType="separate"/>
      </w:r>
      <w:r w:rsidR="00655B25">
        <w:t>10</w:t>
      </w:r>
      <w:r>
        <w:fldChar w:fldCharType="end"/>
      </w:r>
    </w:p>
    <w:p w:rsidR="00313D44" w:rsidRDefault="00313D44">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_Toc75759057 \h </w:instrText>
      </w:r>
      <w:r>
        <w:fldChar w:fldCharType="separate"/>
      </w:r>
      <w:r w:rsidR="00655B25">
        <w:t>10</w:t>
      </w:r>
      <w:r>
        <w:fldChar w:fldCharType="end"/>
      </w:r>
    </w:p>
    <w:p w:rsidR="00313D44" w:rsidRDefault="00313D44">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_Toc75759058 \h </w:instrText>
      </w:r>
      <w:r>
        <w:fldChar w:fldCharType="separate"/>
      </w:r>
      <w:r w:rsidR="00655B25">
        <w:t>11</w:t>
      </w:r>
      <w:r>
        <w:fldChar w:fldCharType="end"/>
      </w:r>
    </w:p>
    <w:p w:rsidR="00313D44" w:rsidRDefault="00313D44">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_Toc75759059 \h </w:instrText>
      </w:r>
      <w:r>
        <w:fldChar w:fldCharType="separate"/>
      </w:r>
      <w:r w:rsidR="00655B25">
        <w:t>12</w:t>
      </w:r>
      <w:r>
        <w:fldChar w:fldCharType="end"/>
      </w:r>
    </w:p>
    <w:p w:rsidR="00313D44" w:rsidRDefault="00313D44">
      <w:pPr>
        <w:pStyle w:val="TOC2"/>
        <w:tabs>
          <w:tab w:val="right" w:leader="dot" w:pos="7077"/>
        </w:tabs>
        <w:rPr>
          <w:rFonts w:asciiTheme="minorHAnsi" w:eastAsiaTheme="minorEastAsia" w:hAnsiTheme="minorHAnsi" w:cstheme="minorBidi"/>
          <w:b w:val="0"/>
          <w:sz w:val="22"/>
          <w:szCs w:val="22"/>
        </w:rPr>
      </w:pPr>
      <w:r>
        <w:lastRenderedPageBreak/>
        <w:t>Part 4 — Performance of gasfitting</w:t>
      </w:r>
    </w:p>
    <w:p w:rsidR="00313D44" w:rsidRDefault="00313D44">
      <w:pPr>
        <w:pStyle w:val="TOC8"/>
        <w:rPr>
          <w:rFonts w:asciiTheme="minorHAnsi" w:eastAsiaTheme="minorEastAsia" w:hAnsiTheme="minorHAnsi" w:cstheme="minorBidi"/>
          <w:szCs w:val="22"/>
        </w:rPr>
      </w:pPr>
      <w:r>
        <w:t>17.</w:t>
      </w:r>
      <w:r>
        <w:tab/>
        <w:t>Terms used</w:t>
      </w:r>
      <w:r>
        <w:tab/>
      </w:r>
      <w:r>
        <w:fldChar w:fldCharType="begin"/>
      </w:r>
      <w:r>
        <w:instrText xml:space="preserve"> PAGEREF _Toc75759061 \h </w:instrText>
      </w:r>
      <w:r>
        <w:fldChar w:fldCharType="separate"/>
      </w:r>
      <w:r w:rsidR="00655B25">
        <w:t>13</w:t>
      </w:r>
      <w:r>
        <w:fldChar w:fldCharType="end"/>
      </w:r>
    </w:p>
    <w:p w:rsidR="00313D44" w:rsidRDefault="00313D44">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_Toc75759062 \h </w:instrText>
      </w:r>
      <w:r>
        <w:fldChar w:fldCharType="separate"/>
      </w:r>
      <w:r w:rsidR="00655B25">
        <w:t>13</w:t>
      </w:r>
      <w:r>
        <w:fldChar w:fldCharType="end"/>
      </w:r>
    </w:p>
    <w:p w:rsidR="00313D44" w:rsidRDefault="00313D44">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_Toc75759063 \h </w:instrText>
      </w:r>
      <w:r>
        <w:fldChar w:fldCharType="separate"/>
      </w:r>
      <w:r w:rsidR="00655B25">
        <w:t>13</w:t>
      </w:r>
      <w:r>
        <w:fldChar w:fldCharType="end"/>
      </w:r>
    </w:p>
    <w:p w:rsidR="00313D44" w:rsidRDefault="00313D44">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_Toc75759064 \h </w:instrText>
      </w:r>
      <w:r>
        <w:fldChar w:fldCharType="separate"/>
      </w:r>
      <w:r w:rsidR="00655B25">
        <w:t>14</w:t>
      </w:r>
      <w:r>
        <w:fldChar w:fldCharType="end"/>
      </w:r>
    </w:p>
    <w:p w:rsidR="00313D44" w:rsidRDefault="00313D44">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_Toc75759065 \h </w:instrText>
      </w:r>
      <w:r>
        <w:fldChar w:fldCharType="separate"/>
      </w:r>
      <w:r w:rsidR="00655B25">
        <w:t>15</w:t>
      </w:r>
      <w:r>
        <w:fldChar w:fldCharType="end"/>
      </w:r>
    </w:p>
    <w:p w:rsidR="00313D44" w:rsidRDefault="00313D44">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_Toc75759066 \h </w:instrText>
      </w:r>
      <w:r>
        <w:fldChar w:fldCharType="separate"/>
      </w:r>
      <w:r w:rsidR="00655B25">
        <w:t>15</w:t>
      </w:r>
      <w:r>
        <w:fldChar w:fldCharType="end"/>
      </w:r>
    </w:p>
    <w:p w:rsidR="00313D44" w:rsidRDefault="00313D44">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_Toc75759067 \h </w:instrText>
      </w:r>
      <w:r>
        <w:fldChar w:fldCharType="separate"/>
      </w:r>
      <w:r w:rsidR="00655B25">
        <w:t>16</w:t>
      </w:r>
      <w:r>
        <w:fldChar w:fldCharType="end"/>
      </w:r>
    </w:p>
    <w:p w:rsidR="00313D44" w:rsidRDefault="00313D44">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_Toc75759068 \h </w:instrText>
      </w:r>
      <w:r>
        <w:fldChar w:fldCharType="separate"/>
      </w:r>
      <w:r w:rsidR="00655B25">
        <w:t>17</w:t>
      </w:r>
      <w:r>
        <w:fldChar w:fldCharType="end"/>
      </w:r>
    </w:p>
    <w:p w:rsidR="00313D44" w:rsidRDefault="00313D44">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_Toc75759069 \h </w:instrText>
      </w:r>
      <w:r>
        <w:fldChar w:fldCharType="separate"/>
      </w:r>
      <w:r w:rsidR="00655B25">
        <w:t>18</w:t>
      </w:r>
      <w:r>
        <w:fldChar w:fldCharType="end"/>
      </w:r>
    </w:p>
    <w:p w:rsidR="00313D44" w:rsidRDefault="00313D44">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_Toc75759070 \h </w:instrText>
      </w:r>
      <w:r>
        <w:fldChar w:fldCharType="separate"/>
      </w:r>
      <w:r w:rsidR="00655B25">
        <w:t>18</w:t>
      </w:r>
      <w:r>
        <w:fldChar w:fldCharType="end"/>
      </w:r>
    </w:p>
    <w:p w:rsidR="00313D44" w:rsidRDefault="00313D44">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_Toc75759071 \h </w:instrText>
      </w:r>
      <w:r>
        <w:fldChar w:fldCharType="separate"/>
      </w:r>
      <w:r w:rsidR="00655B25">
        <w:t>18</w:t>
      </w:r>
      <w:r>
        <w:fldChar w:fldCharType="end"/>
      </w:r>
    </w:p>
    <w:p w:rsidR="00313D44" w:rsidRDefault="00313D44">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_Toc75759072 \h </w:instrText>
      </w:r>
      <w:r>
        <w:fldChar w:fldCharType="separate"/>
      </w:r>
      <w:r w:rsidR="00655B25">
        <w:t>19</w:t>
      </w:r>
      <w:r>
        <w:fldChar w:fldCharType="end"/>
      </w:r>
    </w:p>
    <w:p w:rsidR="00313D44" w:rsidRDefault="00313D44">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_Toc75759073 \h </w:instrText>
      </w:r>
      <w:r>
        <w:fldChar w:fldCharType="separate"/>
      </w:r>
      <w:r w:rsidR="00655B25">
        <w:t>20</w:t>
      </w:r>
      <w:r>
        <w:fldChar w:fldCharType="end"/>
      </w:r>
    </w:p>
    <w:p w:rsidR="00313D44" w:rsidRDefault="00313D44">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_Toc75759074 \h </w:instrText>
      </w:r>
      <w:r>
        <w:fldChar w:fldCharType="separate"/>
      </w:r>
      <w:r w:rsidR="00655B25">
        <w:t>20</w:t>
      </w:r>
      <w:r>
        <w:fldChar w:fldCharType="end"/>
      </w:r>
    </w:p>
    <w:p w:rsidR="00313D44" w:rsidRDefault="00313D44">
      <w:pPr>
        <w:pStyle w:val="TOC8"/>
        <w:rPr>
          <w:rFonts w:asciiTheme="minorHAnsi" w:eastAsiaTheme="minorEastAsia" w:hAnsiTheme="minorHAnsi" w:cstheme="minorBidi"/>
          <w:szCs w:val="22"/>
        </w:rPr>
      </w:pPr>
      <w:r>
        <w:t>31</w:t>
      </w:r>
      <w:r w:rsidRPr="003A10DE">
        <w:rPr>
          <w:snapToGrid w:val="0"/>
        </w:rPr>
        <w:t>.</w:t>
      </w:r>
      <w:r w:rsidRPr="003A10DE">
        <w:rPr>
          <w:snapToGrid w:val="0"/>
        </w:rPr>
        <w:tab/>
        <w:t>Appeal against notice of defects</w:t>
      </w:r>
      <w:r>
        <w:tab/>
      </w:r>
      <w:r>
        <w:fldChar w:fldCharType="begin"/>
      </w:r>
      <w:r>
        <w:instrText xml:space="preserve"> PAGEREF _Toc75759075 \h </w:instrText>
      </w:r>
      <w:r>
        <w:fldChar w:fldCharType="separate"/>
      </w:r>
      <w:r w:rsidR="00655B25">
        <w:t>21</w:t>
      </w:r>
      <w:r>
        <w:fldChar w:fldCharType="end"/>
      </w:r>
    </w:p>
    <w:p w:rsidR="00313D44" w:rsidRDefault="00313D44">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rsidR="00313D44" w:rsidRDefault="00313D44">
      <w:pPr>
        <w:pStyle w:val="TOC8"/>
        <w:rPr>
          <w:rFonts w:asciiTheme="minorHAnsi" w:eastAsiaTheme="minorEastAsia" w:hAnsiTheme="minorHAnsi" w:cstheme="minorBidi"/>
          <w:szCs w:val="22"/>
        </w:rPr>
      </w:pPr>
      <w:r>
        <w:t>31A.</w:t>
      </w:r>
      <w:r>
        <w:tab/>
        <w:t>Terms used</w:t>
      </w:r>
      <w:r>
        <w:tab/>
      </w:r>
      <w:r>
        <w:fldChar w:fldCharType="begin"/>
      </w:r>
      <w:r>
        <w:instrText xml:space="preserve"> PAGEREF _Toc75759077 \h </w:instrText>
      </w:r>
      <w:r>
        <w:fldChar w:fldCharType="separate"/>
      </w:r>
      <w:r w:rsidR="00655B25">
        <w:t>22</w:t>
      </w:r>
      <w:r>
        <w:fldChar w:fldCharType="end"/>
      </w:r>
    </w:p>
    <w:p w:rsidR="00313D44" w:rsidRDefault="00313D44">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_Toc75759078 \h </w:instrText>
      </w:r>
      <w:r>
        <w:fldChar w:fldCharType="separate"/>
      </w:r>
      <w:r w:rsidR="00655B25">
        <w:t>22</w:t>
      </w:r>
      <w:r>
        <w:fldChar w:fldCharType="end"/>
      </w:r>
    </w:p>
    <w:p w:rsidR="00313D44" w:rsidRDefault="00313D44">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_Toc75759079 \h </w:instrText>
      </w:r>
      <w:r>
        <w:fldChar w:fldCharType="separate"/>
      </w:r>
      <w:r w:rsidR="00655B25">
        <w:t>23</w:t>
      </w:r>
      <w:r>
        <w:fldChar w:fldCharType="end"/>
      </w:r>
    </w:p>
    <w:p w:rsidR="00313D44" w:rsidRDefault="00313D44">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rsidR="00313D44" w:rsidRDefault="00313D44">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_Toc75759081 \h </w:instrText>
      </w:r>
      <w:r>
        <w:fldChar w:fldCharType="separate"/>
      </w:r>
      <w:r w:rsidR="00655B25">
        <w:t>24</w:t>
      </w:r>
      <w:r>
        <w:fldChar w:fldCharType="end"/>
      </w:r>
    </w:p>
    <w:p w:rsidR="00313D44" w:rsidRDefault="00313D44">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_Toc75759082 \h </w:instrText>
      </w:r>
      <w:r>
        <w:fldChar w:fldCharType="separate"/>
      </w:r>
      <w:r w:rsidR="00655B25">
        <w:t>25</w:t>
      </w:r>
      <w:r>
        <w:fldChar w:fldCharType="end"/>
      </w:r>
    </w:p>
    <w:p w:rsidR="00313D44" w:rsidRDefault="00313D44">
      <w:pPr>
        <w:pStyle w:val="TOC8"/>
        <w:rPr>
          <w:rFonts w:asciiTheme="minorHAnsi" w:eastAsiaTheme="minorEastAsia" w:hAnsiTheme="minorHAnsi" w:cstheme="minorBidi"/>
          <w:szCs w:val="22"/>
        </w:rPr>
      </w:pPr>
      <w:r>
        <w:t>33</w:t>
      </w:r>
      <w:r w:rsidRPr="003A10DE">
        <w:rPr>
          <w:snapToGrid w:val="0"/>
        </w:rPr>
        <w:t>.</w:t>
      </w:r>
      <w:r w:rsidRPr="003A10DE">
        <w:rPr>
          <w:snapToGrid w:val="0"/>
        </w:rPr>
        <w:tab/>
        <w:t>Terms used in codes and standards</w:t>
      </w:r>
      <w:r>
        <w:tab/>
      </w:r>
      <w:r>
        <w:fldChar w:fldCharType="begin"/>
      </w:r>
      <w:r>
        <w:instrText xml:space="preserve"> PAGEREF _Toc75759083 \h </w:instrText>
      </w:r>
      <w:r>
        <w:fldChar w:fldCharType="separate"/>
      </w:r>
      <w:r w:rsidR="00655B25">
        <w:t>25</w:t>
      </w:r>
      <w:r>
        <w:fldChar w:fldCharType="end"/>
      </w:r>
    </w:p>
    <w:p w:rsidR="00313D44" w:rsidRDefault="00313D44">
      <w:pPr>
        <w:pStyle w:val="TOC2"/>
        <w:tabs>
          <w:tab w:val="right" w:leader="dot" w:pos="7077"/>
        </w:tabs>
        <w:rPr>
          <w:rFonts w:asciiTheme="minorHAnsi" w:eastAsiaTheme="minorEastAsia" w:hAnsiTheme="minorHAnsi" w:cstheme="minorBidi"/>
          <w:b w:val="0"/>
          <w:sz w:val="22"/>
          <w:szCs w:val="22"/>
        </w:rPr>
      </w:pPr>
      <w:r>
        <w:t>Part 6 — Miscellaneous</w:t>
      </w:r>
    </w:p>
    <w:p w:rsidR="00313D44" w:rsidRDefault="00313D44">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_Toc75759085 \h </w:instrText>
      </w:r>
      <w:r>
        <w:fldChar w:fldCharType="separate"/>
      </w:r>
      <w:r w:rsidR="00655B25">
        <w:t>27</w:t>
      </w:r>
      <w:r>
        <w:fldChar w:fldCharType="end"/>
      </w:r>
    </w:p>
    <w:p w:rsidR="00313D44" w:rsidRDefault="00313D44">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_Toc75759086 \h </w:instrText>
      </w:r>
      <w:r>
        <w:fldChar w:fldCharType="separate"/>
      </w:r>
      <w:r w:rsidR="00655B25">
        <w:t>27</w:t>
      </w:r>
      <w:r>
        <w:fldChar w:fldCharType="end"/>
      </w:r>
    </w:p>
    <w:p w:rsidR="00313D44" w:rsidRDefault="00313D44">
      <w:pPr>
        <w:pStyle w:val="TOC8"/>
        <w:rPr>
          <w:rFonts w:asciiTheme="minorHAnsi" w:eastAsiaTheme="minorEastAsia" w:hAnsiTheme="minorHAnsi" w:cstheme="minorBidi"/>
          <w:szCs w:val="22"/>
        </w:rPr>
      </w:pPr>
      <w:r>
        <w:lastRenderedPageBreak/>
        <w:t>35A.</w:t>
      </w:r>
      <w:r>
        <w:tab/>
        <w:t>Gas suppliers’ duties after gasfitting work on installation that includes Type B appliance</w:t>
      </w:r>
      <w:r>
        <w:tab/>
      </w:r>
      <w:r>
        <w:fldChar w:fldCharType="begin"/>
      </w:r>
      <w:r>
        <w:instrText xml:space="preserve"> PAGEREF _Toc75759087 \h </w:instrText>
      </w:r>
      <w:r>
        <w:fldChar w:fldCharType="separate"/>
      </w:r>
      <w:r w:rsidR="00655B25">
        <w:t>28</w:t>
      </w:r>
      <w:r>
        <w:fldChar w:fldCharType="end"/>
      </w:r>
    </w:p>
    <w:p w:rsidR="00313D44" w:rsidRDefault="00313D44">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_Toc75759088 \h </w:instrText>
      </w:r>
      <w:r>
        <w:fldChar w:fldCharType="separate"/>
      </w:r>
      <w:r w:rsidR="00655B25">
        <w:t>28</w:t>
      </w:r>
      <w:r>
        <w:fldChar w:fldCharType="end"/>
      </w:r>
    </w:p>
    <w:p w:rsidR="00313D44" w:rsidRDefault="00313D44">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_Toc75759089 \h </w:instrText>
      </w:r>
      <w:r>
        <w:fldChar w:fldCharType="separate"/>
      </w:r>
      <w:r w:rsidR="00655B25">
        <w:t>29</w:t>
      </w:r>
      <w:r>
        <w:fldChar w:fldCharType="end"/>
      </w:r>
    </w:p>
    <w:p w:rsidR="00313D44" w:rsidRDefault="00313D44">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_Toc75759090 \h </w:instrText>
      </w:r>
      <w:r>
        <w:fldChar w:fldCharType="separate"/>
      </w:r>
      <w:r w:rsidR="00655B25">
        <w:t>31</w:t>
      </w:r>
      <w:r>
        <w:fldChar w:fldCharType="end"/>
      </w:r>
    </w:p>
    <w:p w:rsidR="00313D44" w:rsidRDefault="00313D44">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_Toc75759091 \h </w:instrText>
      </w:r>
      <w:r>
        <w:fldChar w:fldCharType="separate"/>
      </w:r>
      <w:r w:rsidR="00655B25">
        <w:t>31</w:t>
      </w:r>
      <w:r>
        <w:fldChar w:fldCharType="end"/>
      </w:r>
    </w:p>
    <w:p w:rsidR="00313D44" w:rsidRDefault="00313D44">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_Toc75759092 \h </w:instrText>
      </w:r>
      <w:r>
        <w:fldChar w:fldCharType="separate"/>
      </w:r>
      <w:r w:rsidR="00655B25">
        <w:t>32</w:t>
      </w:r>
      <w:r>
        <w:fldChar w:fldCharType="end"/>
      </w:r>
    </w:p>
    <w:p w:rsidR="00313D44" w:rsidRDefault="00313D44">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_Toc75759093 \h </w:instrText>
      </w:r>
      <w:r>
        <w:fldChar w:fldCharType="separate"/>
      </w:r>
      <w:r w:rsidR="00655B25">
        <w:t>32</w:t>
      </w:r>
      <w:r>
        <w:fldChar w:fldCharType="end"/>
      </w:r>
    </w:p>
    <w:p w:rsidR="00313D44" w:rsidRDefault="00313D44">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_Toc75759094 \h </w:instrText>
      </w:r>
      <w:r>
        <w:fldChar w:fldCharType="separate"/>
      </w:r>
      <w:r w:rsidR="00655B25">
        <w:t>32</w:t>
      </w:r>
      <w:r>
        <w:fldChar w:fldCharType="end"/>
      </w:r>
    </w:p>
    <w:p w:rsidR="00313D44" w:rsidRDefault="00313D44">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_Toc75759095 \h </w:instrText>
      </w:r>
      <w:r>
        <w:fldChar w:fldCharType="separate"/>
      </w:r>
      <w:r w:rsidR="00655B25">
        <w:t>32</w:t>
      </w:r>
      <w:r>
        <w:fldChar w:fldCharType="end"/>
      </w:r>
    </w:p>
    <w:p w:rsidR="00313D44" w:rsidRDefault="00313D44">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_Toc75759096 \h </w:instrText>
      </w:r>
      <w:r>
        <w:fldChar w:fldCharType="separate"/>
      </w:r>
      <w:r w:rsidR="00655B25">
        <w:t>33</w:t>
      </w:r>
      <w:r>
        <w:fldChar w:fldCharType="end"/>
      </w:r>
    </w:p>
    <w:p w:rsidR="00313D44" w:rsidRDefault="00313D44">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_Toc75759097 \h </w:instrText>
      </w:r>
      <w:r>
        <w:fldChar w:fldCharType="separate"/>
      </w:r>
      <w:r w:rsidR="00655B25">
        <w:t>34</w:t>
      </w:r>
      <w:r>
        <w:fldChar w:fldCharType="end"/>
      </w:r>
    </w:p>
    <w:p w:rsidR="00313D44" w:rsidRDefault="00313D44">
      <w:pPr>
        <w:pStyle w:val="TOC2"/>
        <w:tabs>
          <w:tab w:val="right" w:leader="dot" w:pos="7077"/>
        </w:tabs>
        <w:rPr>
          <w:rFonts w:asciiTheme="minorHAnsi" w:eastAsiaTheme="minorEastAsia" w:hAnsiTheme="minorHAnsi" w:cstheme="minorBidi"/>
          <w:b w:val="0"/>
          <w:sz w:val="22"/>
          <w:szCs w:val="22"/>
        </w:rPr>
      </w:pPr>
      <w:r>
        <w:t>Part 7 — Saving and repeal</w:t>
      </w:r>
    </w:p>
    <w:p w:rsidR="00313D44" w:rsidRDefault="00313D44">
      <w:pPr>
        <w:pStyle w:val="TOC8"/>
        <w:rPr>
          <w:rFonts w:asciiTheme="minorHAnsi" w:eastAsiaTheme="minorEastAsia" w:hAnsiTheme="minorHAnsi" w:cstheme="minorBidi"/>
          <w:szCs w:val="22"/>
        </w:rPr>
      </w:pPr>
      <w:r>
        <w:t>43</w:t>
      </w:r>
      <w:r w:rsidRPr="003A10DE">
        <w:rPr>
          <w:snapToGrid w:val="0"/>
        </w:rPr>
        <w:t>.</w:t>
      </w:r>
      <w:r w:rsidRPr="003A10DE">
        <w:rPr>
          <w:snapToGrid w:val="0"/>
        </w:rPr>
        <w:tab/>
        <w:t>Savings for repealed regulations</w:t>
      </w:r>
      <w:r>
        <w:tab/>
      </w:r>
      <w:r>
        <w:fldChar w:fldCharType="begin"/>
      </w:r>
      <w:r>
        <w:instrText xml:space="preserve"> PAGEREF _Toc75759099 \h </w:instrText>
      </w:r>
      <w:r>
        <w:fldChar w:fldCharType="separate"/>
      </w:r>
      <w:r w:rsidR="00655B25">
        <w:t>36</w:t>
      </w:r>
      <w:r>
        <w:fldChar w:fldCharType="end"/>
      </w:r>
    </w:p>
    <w:p w:rsidR="00313D44" w:rsidRDefault="00313D44">
      <w:pPr>
        <w:pStyle w:val="TOC8"/>
        <w:rPr>
          <w:rFonts w:asciiTheme="minorHAnsi" w:eastAsiaTheme="minorEastAsia" w:hAnsiTheme="minorHAnsi" w:cstheme="minorBidi"/>
          <w:szCs w:val="22"/>
        </w:rPr>
      </w:pPr>
      <w:r>
        <w:t>44.</w:t>
      </w:r>
      <w:r>
        <w:tab/>
        <w:t>Repeal</w:t>
      </w:r>
      <w:r>
        <w:tab/>
      </w:r>
      <w:r>
        <w:fldChar w:fldCharType="begin"/>
      </w:r>
      <w:r>
        <w:instrText xml:space="preserve"> PAGEREF _Toc75759100 \h </w:instrText>
      </w:r>
      <w:r>
        <w:fldChar w:fldCharType="separate"/>
      </w:r>
      <w:r w:rsidR="00655B25">
        <w:t>36</w:t>
      </w:r>
      <w:r>
        <w:fldChar w:fldCharType="end"/>
      </w:r>
    </w:p>
    <w:p w:rsidR="00313D44" w:rsidRDefault="00313D44">
      <w:pPr>
        <w:pStyle w:val="TOC2"/>
        <w:tabs>
          <w:tab w:val="right" w:leader="dot" w:pos="7077"/>
        </w:tabs>
        <w:rPr>
          <w:rFonts w:asciiTheme="minorHAnsi" w:eastAsiaTheme="minorEastAsia" w:hAnsiTheme="minorHAnsi" w:cstheme="minorBidi"/>
          <w:b w:val="0"/>
          <w:sz w:val="22"/>
          <w:szCs w:val="22"/>
        </w:rPr>
      </w:pPr>
      <w:r>
        <w:t>Schedule 2 — Forms</w:t>
      </w:r>
    </w:p>
    <w:p w:rsidR="00313D44" w:rsidRDefault="00313D44">
      <w:pPr>
        <w:pStyle w:val="TOC2"/>
        <w:tabs>
          <w:tab w:val="right" w:leader="dot" w:pos="7077"/>
        </w:tabs>
        <w:rPr>
          <w:rFonts w:asciiTheme="minorHAnsi" w:eastAsiaTheme="minorEastAsia" w:hAnsiTheme="minorHAnsi" w:cstheme="minorBidi"/>
          <w:b w:val="0"/>
          <w:sz w:val="22"/>
          <w:szCs w:val="22"/>
        </w:rPr>
      </w:pPr>
      <w:r>
        <w:t>Schedule 3 — Witness fees and allowances</w:t>
      </w:r>
    </w:p>
    <w:p w:rsidR="00313D44" w:rsidRDefault="00313D44">
      <w:pPr>
        <w:pStyle w:val="TOC8"/>
        <w:rPr>
          <w:rFonts w:asciiTheme="minorHAnsi" w:eastAsiaTheme="minorEastAsia" w:hAnsiTheme="minorHAnsi" w:cstheme="minorBidi"/>
          <w:szCs w:val="22"/>
        </w:rPr>
      </w:pPr>
      <w:r>
        <w:t>1.</w:t>
      </w:r>
      <w:r>
        <w:tab/>
        <w:t>Daily allowance</w:t>
      </w:r>
      <w:r>
        <w:tab/>
      </w:r>
      <w:r>
        <w:fldChar w:fldCharType="begin"/>
      </w:r>
      <w:r>
        <w:instrText xml:space="preserve"> PAGEREF _Toc75759103 \h </w:instrText>
      </w:r>
      <w:r>
        <w:fldChar w:fldCharType="separate"/>
      </w:r>
      <w:r w:rsidR="00655B25">
        <w:t>41</w:t>
      </w:r>
      <w:r>
        <w:fldChar w:fldCharType="end"/>
      </w:r>
    </w:p>
    <w:p w:rsidR="00313D44" w:rsidRDefault="00313D44">
      <w:pPr>
        <w:pStyle w:val="TOC8"/>
        <w:rPr>
          <w:rFonts w:asciiTheme="minorHAnsi" w:eastAsiaTheme="minorEastAsia" w:hAnsiTheme="minorHAnsi" w:cstheme="minorBidi"/>
          <w:szCs w:val="22"/>
        </w:rPr>
      </w:pPr>
      <w:r>
        <w:t>2.</w:t>
      </w:r>
      <w:r>
        <w:tab/>
        <w:t>Expenses</w:t>
      </w:r>
      <w:r>
        <w:tab/>
      </w:r>
      <w:r>
        <w:fldChar w:fldCharType="begin"/>
      </w:r>
      <w:r>
        <w:instrText xml:space="preserve"> PAGEREF _Toc75759104 \h </w:instrText>
      </w:r>
      <w:r>
        <w:fldChar w:fldCharType="separate"/>
      </w:r>
      <w:r w:rsidR="00655B25">
        <w:t>41</w:t>
      </w:r>
      <w:r>
        <w:fldChar w:fldCharType="end"/>
      </w:r>
    </w:p>
    <w:p w:rsidR="00313D44" w:rsidRDefault="00313D44">
      <w:pPr>
        <w:pStyle w:val="TOC8"/>
        <w:rPr>
          <w:rFonts w:asciiTheme="minorHAnsi" w:eastAsiaTheme="minorEastAsia" w:hAnsiTheme="minorHAnsi" w:cstheme="minorBidi"/>
          <w:szCs w:val="22"/>
        </w:rPr>
      </w:pPr>
      <w:r>
        <w:t>3.</w:t>
      </w:r>
      <w:r>
        <w:tab/>
        <w:t>Expert evidence</w:t>
      </w:r>
      <w:r>
        <w:tab/>
      </w:r>
      <w:r>
        <w:fldChar w:fldCharType="begin"/>
      </w:r>
      <w:r>
        <w:instrText xml:space="preserve"> PAGEREF _Toc75759105 \h </w:instrText>
      </w:r>
      <w:r>
        <w:fldChar w:fldCharType="separate"/>
      </w:r>
      <w:r w:rsidR="00655B25">
        <w:t>41</w:t>
      </w:r>
      <w:r>
        <w:fldChar w:fldCharType="end"/>
      </w:r>
    </w:p>
    <w:p w:rsidR="00313D44" w:rsidRDefault="00313D44">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rsidR="00313D44" w:rsidRDefault="00313D44">
      <w:pPr>
        <w:pStyle w:val="TOC2"/>
        <w:tabs>
          <w:tab w:val="right" w:leader="dot" w:pos="7077"/>
        </w:tabs>
        <w:rPr>
          <w:rFonts w:asciiTheme="minorHAnsi" w:eastAsiaTheme="minorEastAsia" w:hAnsiTheme="minorHAnsi" w:cstheme="minorBidi"/>
          <w:b w:val="0"/>
          <w:sz w:val="22"/>
          <w:szCs w:val="22"/>
        </w:rPr>
      </w:pPr>
      <w:r>
        <w:t>Schedule 5 — Classes of gasfitting work</w:t>
      </w:r>
    </w:p>
    <w:p w:rsidR="00313D44" w:rsidRDefault="00313D44">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rsidR="00313D44" w:rsidRDefault="00313D44">
      <w:pPr>
        <w:pStyle w:val="TOC4"/>
        <w:tabs>
          <w:tab w:val="right" w:leader="dot" w:pos="7077"/>
        </w:tabs>
        <w:rPr>
          <w:rFonts w:asciiTheme="minorHAnsi" w:eastAsiaTheme="minorEastAsia" w:hAnsiTheme="minorHAnsi" w:cstheme="minorBidi"/>
          <w:b w:val="0"/>
          <w:szCs w:val="22"/>
        </w:rPr>
      </w:pPr>
      <w:r>
        <w:t>Division 1 — Interpretation</w:t>
      </w:r>
    </w:p>
    <w:p w:rsidR="00313D44" w:rsidRDefault="00313D44">
      <w:pPr>
        <w:pStyle w:val="TOC8"/>
        <w:rPr>
          <w:rFonts w:asciiTheme="minorHAnsi" w:eastAsiaTheme="minorEastAsia" w:hAnsiTheme="minorHAnsi" w:cstheme="minorBidi"/>
          <w:szCs w:val="22"/>
        </w:rPr>
      </w:pPr>
      <w:r>
        <w:t>101.</w:t>
      </w:r>
      <w:r>
        <w:tab/>
        <w:t>Terms used</w:t>
      </w:r>
      <w:r>
        <w:tab/>
      </w:r>
      <w:r>
        <w:fldChar w:fldCharType="begin"/>
      </w:r>
      <w:r>
        <w:instrText xml:space="preserve"> PAGEREF _Toc75759110 \h </w:instrText>
      </w:r>
      <w:r>
        <w:fldChar w:fldCharType="separate"/>
      </w:r>
      <w:r w:rsidR="00655B25">
        <w:t>44</w:t>
      </w:r>
      <w:r>
        <w:fldChar w:fldCharType="end"/>
      </w:r>
    </w:p>
    <w:p w:rsidR="00313D44" w:rsidRDefault="00313D44">
      <w:pPr>
        <w:pStyle w:val="TOC4"/>
        <w:tabs>
          <w:tab w:val="right" w:leader="dot" w:pos="7077"/>
        </w:tabs>
        <w:rPr>
          <w:rFonts w:asciiTheme="minorHAnsi" w:eastAsiaTheme="minorEastAsia" w:hAnsiTheme="minorHAnsi" w:cstheme="minorBidi"/>
          <w:b w:val="0"/>
          <w:szCs w:val="22"/>
        </w:rPr>
      </w:pPr>
      <w:r>
        <w:lastRenderedPageBreak/>
        <w:t>Division 3 — LPG cylinders and tanks</w:t>
      </w:r>
    </w:p>
    <w:p w:rsidR="00313D44" w:rsidRDefault="00313D44">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_Toc75759112 \h </w:instrText>
      </w:r>
      <w:r>
        <w:fldChar w:fldCharType="separate"/>
      </w:r>
      <w:r w:rsidR="00655B25">
        <w:t>44</w:t>
      </w:r>
      <w:r>
        <w:fldChar w:fldCharType="end"/>
      </w:r>
    </w:p>
    <w:p w:rsidR="00313D44" w:rsidRDefault="00313D44">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_Toc75759113 \h </w:instrText>
      </w:r>
      <w:r>
        <w:fldChar w:fldCharType="separate"/>
      </w:r>
      <w:r w:rsidR="00655B25">
        <w:t>45</w:t>
      </w:r>
      <w:r>
        <w:fldChar w:fldCharType="end"/>
      </w:r>
    </w:p>
    <w:p w:rsidR="00313D44" w:rsidRDefault="00313D44">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_Toc75759114 \h </w:instrText>
      </w:r>
      <w:r>
        <w:fldChar w:fldCharType="separate"/>
      </w:r>
      <w:r w:rsidR="00655B25">
        <w:t>45</w:t>
      </w:r>
      <w:r>
        <w:fldChar w:fldCharType="end"/>
      </w:r>
    </w:p>
    <w:p w:rsidR="00313D44" w:rsidRDefault="00313D44">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_Toc75759115 \h </w:instrText>
      </w:r>
      <w:r>
        <w:fldChar w:fldCharType="separate"/>
      </w:r>
      <w:r w:rsidR="00655B25">
        <w:t>45</w:t>
      </w:r>
      <w:r>
        <w:fldChar w:fldCharType="end"/>
      </w:r>
    </w:p>
    <w:p w:rsidR="00313D44" w:rsidRDefault="00313D44">
      <w:pPr>
        <w:pStyle w:val="TOC4"/>
        <w:tabs>
          <w:tab w:val="right" w:leader="dot" w:pos="7077"/>
        </w:tabs>
        <w:rPr>
          <w:rFonts w:asciiTheme="minorHAnsi" w:eastAsiaTheme="minorEastAsia" w:hAnsiTheme="minorHAnsi" w:cstheme="minorBidi"/>
          <w:b w:val="0"/>
          <w:szCs w:val="22"/>
        </w:rPr>
      </w:pPr>
      <w:r>
        <w:t>Division 4 — Fitting lines and fittings</w:t>
      </w:r>
    </w:p>
    <w:p w:rsidR="00313D44" w:rsidRDefault="00313D44">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_Toc75759117 \h </w:instrText>
      </w:r>
      <w:r>
        <w:fldChar w:fldCharType="separate"/>
      </w:r>
      <w:r w:rsidR="00655B25">
        <w:t>46</w:t>
      </w:r>
      <w:r>
        <w:fldChar w:fldCharType="end"/>
      </w:r>
    </w:p>
    <w:p w:rsidR="00313D44" w:rsidRDefault="00313D44">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_Toc75759118 \h </w:instrText>
      </w:r>
      <w:r>
        <w:fldChar w:fldCharType="separate"/>
      </w:r>
      <w:r w:rsidR="00655B25">
        <w:t>46</w:t>
      </w:r>
      <w:r>
        <w:fldChar w:fldCharType="end"/>
      </w:r>
    </w:p>
    <w:p w:rsidR="00313D44" w:rsidRDefault="00313D44">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_Toc75759119 \h </w:instrText>
      </w:r>
      <w:r>
        <w:fldChar w:fldCharType="separate"/>
      </w:r>
      <w:r w:rsidR="00655B25">
        <w:t>46</w:t>
      </w:r>
      <w:r>
        <w:fldChar w:fldCharType="end"/>
      </w:r>
    </w:p>
    <w:p w:rsidR="00313D44" w:rsidRDefault="00313D44">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_Toc75759120 \h </w:instrText>
      </w:r>
      <w:r>
        <w:fldChar w:fldCharType="separate"/>
      </w:r>
      <w:r w:rsidR="00655B25">
        <w:t>47</w:t>
      </w:r>
      <w:r>
        <w:fldChar w:fldCharType="end"/>
      </w:r>
    </w:p>
    <w:p w:rsidR="00313D44" w:rsidRDefault="00313D44">
      <w:pPr>
        <w:pStyle w:val="TOC4"/>
        <w:tabs>
          <w:tab w:val="right" w:leader="dot" w:pos="7077"/>
        </w:tabs>
        <w:rPr>
          <w:rFonts w:asciiTheme="minorHAnsi" w:eastAsiaTheme="minorEastAsia" w:hAnsiTheme="minorHAnsi" w:cstheme="minorBidi"/>
          <w:b w:val="0"/>
          <w:szCs w:val="22"/>
        </w:rPr>
      </w:pPr>
      <w:r>
        <w:t>Division 5 — Appliances generally</w:t>
      </w:r>
    </w:p>
    <w:p w:rsidR="00313D44" w:rsidRDefault="00313D44">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_Toc75759122 \h </w:instrText>
      </w:r>
      <w:r>
        <w:fldChar w:fldCharType="separate"/>
      </w:r>
      <w:r w:rsidR="00655B25">
        <w:t>47</w:t>
      </w:r>
      <w:r>
        <w:fldChar w:fldCharType="end"/>
      </w:r>
    </w:p>
    <w:p w:rsidR="00313D44" w:rsidRDefault="00313D44">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_Toc75759123 \h </w:instrText>
      </w:r>
      <w:r>
        <w:fldChar w:fldCharType="separate"/>
      </w:r>
      <w:r w:rsidR="00655B25">
        <w:t>48</w:t>
      </w:r>
      <w:r>
        <w:fldChar w:fldCharType="end"/>
      </w:r>
    </w:p>
    <w:p w:rsidR="00313D44" w:rsidRDefault="00313D44">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_Toc75759124 \h </w:instrText>
      </w:r>
      <w:r>
        <w:fldChar w:fldCharType="separate"/>
      </w:r>
      <w:r w:rsidR="00655B25">
        <w:t>48</w:t>
      </w:r>
      <w:r>
        <w:fldChar w:fldCharType="end"/>
      </w:r>
    </w:p>
    <w:p w:rsidR="00313D44" w:rsidRDefault="00313D44">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_Toc75759125 \h </w:instrText>
      </w:r>
      <w:r>
        <w:fldChar w:fldCharType="separate"/>
      </w:r>
      <w:r w:rsidR="00655B25">
        <w:t>48</w:t>
      </w:r>
      <w:r>
        <w:fldChar w:fldCharType="end"/>
      </w:r>
    </w:p>
    <w:p w:rsidR="00313D44" w:rsidRDefault="00313D44">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_Toc75759126 \h </w:instrText>
      </w:r>
      <w:r>
        <w:fldChar w:fldCharType="separate"/>
      </w:r>
      <w:r w:rsidR="00655B25">
        <w:t>49</w:t>
      </w:r>
      <w:r>
        <w:fldChar w:fldCharType="end"/>
      </w:r>
    </w:p>
    <w:p w:rsidR="00313D44" w:rsidRDefault="00313D44">
      <w:pPr>
        <w:pStyle w:val="TOC8"/>
        <w:rPr>
          <w:rFonts w:asciiTheme="minorHAnsi" w:eastAsiaTheme="minorEastAsia" w:hAnsiTheme="minorHAnsi" w:cstheme="minorBidi"/>
          <w:szCs w:val="22"/>
        </w:rPr>
      </w:pPr>
      <w:r>
        <w:t>506.</w:t>
      </w:r>
      <w:r>
        <w:tab/>
        <w:t>Flues</w:t>
      </w:r>
      <w:r>
        <w:tab/>
      </w:r>
      <w:r>
        <w:fldChar w:fldCharType="begin"/>
      </w:r>
      <w:r>
        <w:instrText xml:space="preserve"> PAGEREF _Toc75759127 \h </w:instrText>
      </w:r>
      <w:r>
        <w:fldChar w:fldCharType="separate"/>
      </w:r>
      <w:r w:rsidR="00655B25">
        <w:t>49</w:t>
      </w:r>
      <w:r>
        <w:fldChar w:fldCharType="end"/>
      </w:r>
    </w:p>
    <w:p w:rsidR="00313D44" w:rsidRDefault="00313D44">
      <w:pPr>
        <w:pStyle w:val="TOC8"/>
        <w:rPr>
          <w:rFonts w:asciiTheme="minorHAnsi" w:eastAsiaTheme="minorEastAsia" w:hAnsiTheme="minorHAnsi" w:cstheme="minorBidi"/>
          <w:szCs w:val="22"/>
        </w:rPr>
      </w:pPr>
      <w:r>
        <w:t>507</w:t>
      </w:r>
      <w:r w:rsidRPr="003A10DE">
        <w:rPr>
          <w:snapToGrid w:val="0"/>
        </w:rPr>
        <w:t>.</w:t>
      </w:r>
      <w:r w:rsidRPr="003A10DE">
        <w:rPr>
          <w:snapToGrid w:val="0"/>
        </w:rPr>
        <w:tab/>
      </w:r>
      <w:r>
        <w:t>Hoods or canopies</w:t>
      </w:r>
      <w:r>
        <w:tab/>
      </w:r>
      <w:r>
        <w:fldChar w:fldCharType="begin"/>
      </w:r>
      <w:r>
        <w:instrText xml:space="preserve"> PAGEREF _Toc75759128 \h </w:instrText>
      </w:r>
      <w:r>
        <w:fldChar w:fldCharType="separate"/>
      </w:r>
      <w:r w:rsidR="00655B25">
        <w:t>50</w:t>
      </w:r>
      <w:r>
        <w:fldChar w:fldCharType="end"/>
      </w:r>
    </w:p>
    <w:p w:rsidR="00313D44" w:rsidRDefault="00313D44">
      <w:pPr>
        <w:pStyle w:val="TOC8"/>
        <w:rPr>
          <w:rFonts w:asciiTheme="minorHAnsi" w:eastAsiaTheme="minorEastAsia" w:hAnsiTheme="minorHAnsi" w:cstheme="minorBidi"/>
          <w:szCs w:val="22"/>
        </w:rPr>
      </w:pPr>
      <w:r>
        <w:t>508</w:t>
      </w:r>
      <w:r w:rsidRPr="003A10DE">
        <w:rPr>
          <w:snapToGrid w:val="0"/>
        </w:rPr>
        <w:t>.</w:t>
      </w:r>
      <w:r w:rsidRPr="003A10DE">
        <w:rPr>
          <w:snapToGrid w:val="0"/>
        </w:rPr>
        <w:tab/>
      </w:r>
      <w:r>
        <w:t>Electrical apparatus in appliances</w:t>
      </w:r>
      <w:r>
        <w:tab/>
      </w:r>
      <w:r>
        <w:fldChar w:fldCharType="begin"/>
      </w:r>
      <w:r>
        <w:instrText xml:space="preserve"> PAGEREF _Toc75759129 \h </w:instrText>
      </w:r>
      <w:r>
        <w:fldChar w:fldCharType="separate"/>
      </w:r>
      <w:r w:rsidR="00655B25">
        <w:t>50</w:t>
      </w:r>
      <w:r>
        <w:fldChar w:fldCharType="end"/>
      </w:r>
    </w:p>
    <w:p w:rsidR="00313D44" w:rsidRDefault="00313D44">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rsidR="00313D44" w:rsidRDefault="00313D44">
      <w:pPr>
        <w:pStyle w:val="TOC8"/>
        <w:rPr>
          <w:rFonts w:asciiTheme="minorHAnsi" w:eastAsiaTheme="minorEastAsia" w:hAnsiTheme="minorHAnsi" w:cstheme="minorBidi"/>
          <w:szCs w:val="22"/>
        </w:rPr>
      </w:pPr>
      <w:r>
        <w:t>601</w:t>
      </w:r>
      <w:r w:rsidRPr="003A10DE">
        <w:rPr>
          <w:snapToGrid w:val="0"/>
        </w:rPr>
        <w:t>.</w:t>
      </w:r>
      <w:r w:rsidRPr="003A10DE">
        <w:rPr>
          <w:snapToGrid w:val="0"/>
        </w:rPr>
        <w:tab/>
        <w:t>Cooking appliances, fryers etc.</w:t>
      </w:r>
      <w:r>
        <w:tab/>
      </w:r>
      <w:r>
        <w:fldChar w:fldCharType="begin"/>
      </w:r>
      <w:r>
        <w:instrText xml:space="preserve"> PAGEREF _Toc75759131 \h </w:instrText>
      </w:r>
      <w:r>
        <w:fldChar w:fldCharType="separate"/>
      </w:r>
      <w:r w:rsidR="00655B25">
        <w:t>51</w:t>
      </w:r>
      <w:r>
        <w:fldChar w:fldCharType="end"/>
      </w:r>
    </w:p>
    <w:p w:rsidR="00313D44" w:rsidRDefault="00313D44">
      <w:pPr>
        <w:pStyle w:val="TOC8"/>
        <w:rPr>
          <w:rFonts w:asciiTheme="minorHAnsi" w:eastAsiaTheme="minorEastAsia" w:hAnsiTheme="minorHAnsi" w:cstheme="minorBidi"/>
          <w:szCs w:val="22"/>
        </w:rPr>
      </w:pPr>
      <w:r>
        <w:t>602</w:t>
      </w:r>
      <w:r w:rsidRPr="003A10DE">
        <w:rPr>
          <w:snapToGrid w:val="0"/>
        </w:rPr>
        <w:t>.</w:t>
      </w:r>
      <w:r w:rsidRPr="003A10DE">
        <w:rPr>
          <w:snapToGrid w:val="0"/>
        </w:rPr>
        <w:tab/>
        <w:t>Water heaters</w:t>
      </w:r>
      <w:r>
        <w:tab/>
      </w:r>
      <w:r>
        <w:fldChar w:fldCharType="begin"/>
      </w:r>
      <w:r>
        <w:instrText xml:space="preserve"> PAGEREF _Toc75759132 \h </w:instrText>
      </w:r>
      <w:r>
        <w:fldChar w:fldCharType="separate"/>
      </w:r>
      <w:r w:rsidR="00655B25">
        <w:t>51</w:t>
      </w:r>
      <w:r>
        <w:fldChar w:fldCharType="end"/>
      </w:r>
    </w:p>
    <w:p w:rsidR="00313D44" w:rsidRDefault="00313D44">
      <w:pPr>
        <w:pStyle w:val="TOC8"/>
        <w:rPr>
          <w:rFonts w:asciiTheme="minorHAnsi" w:eastAsiaTheme="minorEastAsia" w:hAnsiTheme="minorHAnsi" w:cstheme="minorBidi"/>
          <w:szCs w:val="22"/>
        </w:rPr>
      </w:pPr>
      <w:r>
        <w:t>603</w:t>
      </w:r>
      <w:r w:rsidRPr="003A10DE">
        <w:rPr>
          <w:snapToGrid w:val="0"/>
        </w:rPr>
        <w:t>.</w:t>
      </w:r>
      <w:r w:rsidRPr="003A10DE">
        <w:rPr>
          <w:snapToGrid w:val="0"/>
        </w:rPr>
        <w:tab/>
        <w:t>Space heating appliances</w:t>
      </w:r>
      <w:r>
        <w:tab/>
      </w:r>
      <w:r>
        <w:fldChar w:fldCharType="begin"/>
      </w:r>
      <w:r>
        <w:instrText xml:space="preserve"> PAGEREF _Toc75759133 \h </w:instrText>
      </w:r>
      <w:r>
        <w:fldChar w:fldCharType="separate"/>
      </w:r>
      <w:r w:rsidR="00655B25">
        <w:t>52</w:t>
      </w:r>
      <w:r>
        <w:fldChar w:fldCharType="end"/>
      </w:r>
    </w:p>
    <w:p w:rsidR="00313D44" w:rsidRDefault="00313D44">
      <w:pPr>
        <w:pStyle w:val="TOC8"/>
        <w:rPr>
          <w:rFonts w:asciiTheme="minorHAnsi" w:eastAsiaTheme="minorEastAsia" w:hAnsiTheme="minorHAnsi" w:cstheme="minorBidi"/>
          <w:szCs w:val="22"/>
        </w:rPr>
      </w:pPr>
      <w:r>
        <w:t>604A.</w:t>
      </w:r>
      <w:r w:rsidRPr="003A10DE">
        <w:tab/>
      </w:r>
      <w:r>
        <w:t>Flueless gas space heaters in schools and child care centres</w:t>
      </w:r>
      <w:r>
        <w:tab/>
      </w:r>
      <w:r>
        <w:fldChar w:fldCharType="begin"/>
      </w:r>
      <w:r>
        <w:instrText xml:space="preserve"> PAGEREF _Toc75759134 \h </w:instrText>
      </w:r>
      <w:r>
        <w:fldChar w:fldCharType="separate"/>
      </w:r>
      <w:r w:rsidR="00655B25">
        <w:t>53</w:t>
      </w:r>
      <w:r>
        <w:fldChar w:fldCharType="end"/>
      </w:r>
    </w:p>
    <w:p w:rsidR="00313D44" w:rsidRDefault="00313D44">
      <w:pPr>
        <w:pStyle w:val="TOC8"/>
        <w:rPr>
          <w:rFonts w:asciiTheme="minorHAnsi" w:eastAsiaTheme="minorEastAsia" w:hAnsiTheme="minorHAnsi" w:cstheme="minorBidi"/>
          <w:szCs w:val="22"/>
        </w:rPr>
      </w:pPr>
      <w:r>
        <w:t>604</w:t>
      </w:r>
      <w:r w:rsidRPr="003A10DE">
        <w:rPr>
          <w:snapToGrid w:val="0"/>
        </w:rPr>
        <w:t>.</w:t>
      </w:r>
      <w:r w:rsidRPr="003A10DE">
        <w:rPr>
          <w:snapToGrid w:val="0"/>
        </w:rPr>
        <w:tab/>
        <w:t>Swimming pool heaters</w:t>
      </w:r>
      <w:r>
        <w:tab/>
      </w:r>
      <w:r>
        <w:fldChar w:fldCharType="begin"/>
      </w:r>
      <w:r>
        <w:instrText xml:space="preserve"> PAGEREF _Toc75759135 \h </w:instrText>
      </w:r>
      <w:r>
        <w:fldChar w:fldCharType="separate"/>
      </w:r>
      <w:r w:rsidR="00655B25">
        <w:t>53</w:t>
      </w:r>
      <w:r>
        <w:fldChar w:fldCharType="end"/>
      </w:r>
    </w:p>
    <w:p w:rsidR="00313D44" w:rsidRDefault="00313D44">
      <w:pPr>
        <w:pStyle w:val="TOC4"/>
        <w:tabs>
          <w:tab w:val="right" w:leader="dot" w:pos="7077"/>
        </w:tabs>
        <w:rPr>
          <w:rFonts w:asciiTheme="minorHAnsi" w:eastAsiaTheme="minorEastAsia" w:hAnsiTheme="minorHAnsi" w:cstheme="minorBidi"/>
          <w:b w:val="0"/>
          <w:szCs w:val="22"/>
        </w:rPr>
      </w:pPr>
      <w:r>
        <w:t>Division 7</w:t>
      </w:r>
      <w:r w:rsidRPr="003A10DE">
        <w:rPr>
          <w:snapToGrid w:val="0"/>
        </w:rPr>
        <w:t xml:space="preserve"> — </w:t>
      </w:r>
      <w:r>
        <w:t>Caravans</w:t>
      </w:r>
    </w:p>
    <w:p w:rsidR="00313D44" w:rsidRDefault="00313D44">
      <w:pPr>
        <w:pStyle w:val="TOC8"/>
        <w:rPr>
          <w:rFonts w:asciiTheme="minorHAnsi" w:eastAsiaTheme="minorEastAsia" w:hAnsiTheme="minorHAnsi" w:cstheme="minorBidi"/>
          <w:szCs w:val="22"/>
        </w:rPr>
      </w:pPr>
      <w:r>
        <w:t>701</w:t>
      </w:r>
      <w:r w:rsidRPr="003A10DE">
        <w:rPr>
          <w:snapToGrid w:val="0"/>
        </w:rPr>
        <w:t>.</w:t>
      </w:r>
      <w:r w:rsidRPr="003A10DE">
        <w:rPr>
          <w:snapToGrid w:val="0"/>
        </w:rPr>
        <w:tab/>
        <w:t>Application of this Division</w:t>
      </w:r>
      <w:r>
        <w:tab/>
      </w:r>
      <w:r>
        <w:fldChar w:fldCharType="begin"/>
      </w:r>
      <w:r>
        <w:instrText xml:space="preserve"> PAGEREF _Toc75759137 \h </w:instrText>
      </w:r>
      <w:r>
        <w:fldChar w:fldCharType="separate"/>
      </w:r>
      <w:r w:rsidR="00655B25">
        <w:t>54</w:t>
      </w:r>
      <w:r>
        <w:fldChar w:fldCharType="end"/>
      </w:r>
    </w:p>
    <w:p w:rsidR="00313D44" w:rsidRDefault="00313D44">
      <w:pPr>
        <w:pStyle w:val="TOC8"/>
        <w:rPr>
          <w:rFonts w:asciiTheme="minorHAnsi" w:eastAsiaTheme="minorEastAsia" w:hAnsiTheme="minorHAnsi" w:cstheme="minorBidi"/>
          <w:szCs w:val="22"/>
        </w:rPr>
      </w:pPr>
      <w:r>
        <w:t>703</w:t>
      </w:r>
      <w:r w:rsidRPr="003A10DE">
        <w:rPr>
          <w:snapToGrid w:val="0"/>
        </w:rPr>
        <w:t>.</w:t>
      </w:r>
      <w:r w:rsidRPr="003A10DE">
        <w:rPr>
          <w:snapToGrid w:val="0"/>
        </w:rPr>
        <w:tab/>
        <w:t>Location of appliances</w:t>
      </w:r>
      <w:r>
        <w:tab/>
      </w:r>
      <w:r>
        <w:fldChar w:fldCharType="begin"/>
      </w:r>
      <w:r>
        <w:instrText xml:space="preserve"> PAGEREF _Toc75759138 \h </w:instrText>
      </w:r>
      <w:r>
        <w:fldChar w:fldCharType="separate"/>
      </w:r>
      <w:r w:rsidR="00655B25">
        <w:t>54</w:t>
      </w:r>
      <w:r>
        <w:fldChar w:fldCharType="end"/>
      </w:r>
    </w:p>
    <w:p w:rsidR="00313D44" w:rsidRDefault="00313D44">
      <w:pPr>
        <w:pStyle w:val="TOC8"/>
        <w:rPr>
          <w:rFonts w:asciiTheme="minorHAnsi" w:eastAsiaTheme="minorEastAsia" w:hAnsiTheme="minorHAnsi" w:cstheme="minorBidi"/>
          <w:szCs w:val="22"/>
        </w:rPr>
      </w:pPr>
      <w:r>
        <w:t>704</w:t>
      </w:r>
      <w:r w:rsidRPr="003A10DE">
        <w:rPr>
          <w:snapToGrid w:val="0"/>
        </w:rPr>
        <w:t>.</w:t>
      </w:r>
      <w:r w:rsidRPr="003A10DE">
        <w:rPr>
          <w:snapToGrid w:val="0"/>
        </w:rPr>
        <w:tab/>
        <w:t>Pressure</w:t>
      </w:r>
      <w:r>
        <w:tab/>
      </w:r>
      <w:r>
        <w:fldChar w:fldCharType="begin"/>
      </w:r>
      <w:r>
        <w:instrText xml:space="preserve"> PAGEREF _Toc75759139 \h </w:instrText>
      </w:r>
      <w:r>
        <w:fldChar w:fldCharType="separate"/>
      </w:r>
      <w:r w:rsidR="00655B25">
        <w:t>54</w:t>
      </w:r>
      <w:r>
        <w:fldChar w:fldCharType="end"/>
      </w:r>
    </w:p>
    <w:p w:rsidR="00313D44" w:rsidRDefault="00313D44">
      <w:pPr>
        <w:pStyle w:val="TOC8"/>
        <w:rPr>
          <w:rFonts w:asciiTheme="minorHAnsi" w:eastAsiaTheme="minorEastAsia" w:hAnsiTheme="minorHAnsi" w:cstheme="minorBidi"/>
          <w:szCs w:val="22"/>
        </w:rPr>
      </w:pPr>
      <w:r>
        <w:t>705</w:t>
      </w:r>
      <w:r w:rsidRPr="003A10DE">
        <w:rPr>
          <w:snapToGrid w:val="0"/>
        </w:rPr>
        <w:t>.</w:t>
      </w:r>
      <w:r w:rsidRPr="003A10DE">
        <w:rPr>
          <w:snapToGrid w:val="0"/>
        </w:rPr>
        <w:tab/>
        <w:t>Warnings</w:t>
      </w:r>
      <w:r>
        <w:tab/>
      </w:r>
      <w:r>
        <w:fldChar w:fldCharType="begin"/>
      </w:r>
      <w:r>
        <w:instrText xml:space="preserve"> PAGEREF _Toc75759140 \h </w:instrText>
      </w:r>
      <w:r>
        <w:fldChar w:fldCharType="separate"/>
      </w:r>
      <w:r w:rsidR="00655B25">
        <w:t>55</w:t>
      </w:r>
      <w:r>
        <w:fldChar w:fldCharType="end"/>
      </w:r>
    </w:p>
    <w:p w:rsidR="00313D44" w:rsidRDefault="00313D44">
      <w:pPr>
        <w:pStyle w:val="TOC4"/>
        <w:tabs>
          <w:tab w:val="right" w:leader="dot" w:pos="7077"/>
        </w:tabs>
        <w:rPr>
          <w:rFonts w:asciiTheme="minorHAnsi" w:eastAsiaTheme="minorEastAsia" w:hAnsiTheme="minorHAnsi" w:cstheme="minorBidi"/>
          <w:b w:val="0"/>
          <w:szCs w:val="22"/>
        </w:rPr>
      </w:pPr>
      <w:r>
        <w:t>Division 8 — Marine craft</w:t>
      </w:r>
    </w:p>
    <w:p w:rsidR="00313D44" w:rsidRDefault="00313D44">
      <w:pPr>
        <w:pStyle w:val="TOC8"/>
        <w:rPr>
          <w:rFonts w:asciiTheme="minorHAnsi" w:eastAsiaTheme="minorEastAsia" w:hAnsiTheme="minorHAnsi" w:cstheme="minorBidi"/>
          <w:szCs w:val="22"/>
        </w:rPr>
      </w:pPr>
      <w:r>
        <w:t>801</w:t>
      </w:r>
      <w:r w:rsidRPr="003A10DE">
        <w:rPr>
          <w:snapToGrid w:val="0"/>
        </w:rPr>
        <w:t>.</w:t>
      </w:r>
      <w:r w:rsidRPr="003A10DE">
        <w:rPr>
          <w:snapToGrid w:val="0"/>
        </w:rPr>
        <w:tab/>
        <w:t>Application of this Division</w:t>
      </w:r>
      <w:r>
        <w:tab/>
      </w:r>
      <w:r>
        <w:fldChar w:fldCharType="begin"/>
      </w:r>
      <w:r>
        <w:instrText xml:space="preserve"> PAGEREF _Toc75759142 \h </w:instrText>
      </w:r>
      <w:r>
        <w:fldChar w:fldCharType="separate"/>
      </w:r>
      <w:r w:rsidR="00655B25">
        <w:t>56</w:t>
      </w:r>
      <w:r>
        <w:fldChar w:fldCharType="end"/>
      </w:r>
    </w:p>
    <w:p w:rsidR="00313D44" w:rsidRDefault="00313D44">
      <w:pPr>
        <w:pStyle w:val="TOC8"/>
        <w:rPr>
          <w:rFonts w:asciiTheme="minorHAnsi" w:eastAsiaTheme="minorEastAsia" w:hAnsiTheme="minorHAnsi" w:cstheme="minorBidi"/>
          <w:szCs w:val="22"/>
        </w:rPr>
      </w:pPr>
      <w:r>
        <w:lastRenderedPageBreak/>
        <w:t>802</w:t>
      </w:r>
      <w:r w:rsidRPr="003A10DE">
        <w:rPr>
          <w:snapToGrid w:val="0"/>
        </w:rPr>
        <w:t>.</w:t>
      </w:r>
      <w:r w:rsidRPr="003A10DE">
        <w:rPr>
          <w:snapToGrid w:val="0"/>
        </w:rPr>
        <w:tab/>
        <w:t>Cylinders and their valves to be accessible</w:t>
      </w:r>
      <w:r>
        <w:tab/>
      </w:r>
      <w:r>
        <w:fldChar w:fldCharType="begin"/>
      </w:r>
      <w:r>
        <w:instrText xml:space="preserve"> PAGEREF _Toc75759143 \h </w:instrText>
      </w:r>
      <w:r>
        <w:fldChar w:fldCharType="separate"/>
      </w:r>
      <w:r w:rsidR="00655B25">
        <w:t>56</w:t>
      </w:r>
      <w:r>
        <w:fldChar w:fldCharType="end"/>
      </w:r>
    </w:p>
    <w:p w:rsidR="00313D44" w:rsidRDefault="00313D44">
      <w:pPr>
        <w:pStyle w:val="TOC8"/>
        <w:rPr>
          <w:rFonts w:asciiTheme="minorHAnsi" w:eastAsiaTheme="minorEastAsia" w:hAnsiTheme="minorHAnsi" w:cstheme="minorBidi"/>
          <w:szCs w:val="22"/>
        </w:rPr>
      </w:pPr>
      <w:r>
        <w:t>803</w:t>
      </w:r>
      <w:r w:rsidRPr="003A10DE">
        <w:rPr>
          <w:snapToGrid w:val="0"/>
        </w:rPr>
        <w:t>.</w:t>
      </w:r>
      <w:r w:rsidRPr="003A10DE">
        <w:rPr>
          <w:snapToGrid w:val="0"/>
        </w:rPr>
        <w:tab/>
        <w:t>Cylinders and their compartments</w:t>
      </w:r>
      <w:r>
        <w:tab/>
      </w:r>
      <w:r>
        <w:fldChar w:fldCharType="begin"/>
      </w:r>
      <w:r>
        <w:instrText xml:space="preserve"> PAGEREF _Toc75759144 \h </w:instrText>
      </w:r>
      <w:r>
        <w:fldChar w:fldCharType="separate"/>
      </w:r>
      <w:r w:rsidR="00655B25">
        <w:t>56</w:t>
      </w:r>
      <w:r>
        <w:fldChar w:fldCharType="end"/>
      </w:r>
    </w:p>
    <w:p w:rsidR="00313D44" w:rsidRDefault="00313D44">
      <w:pPr>
        <w:pStyle w:val="TOC8"/>
        <w:rPr>
          <w:rFonts w:asciiTheme="minorHAnsi" w:eastAsiaTheme="minorEastAsia" w:hAnsiTheme="minorHAnsi" w:cstheme="minorBidi"/>
          <w:szCs w:val="22"/>
        </w:rPr>
      </w:pPr>
      <w:r>
        <w:t>804</w:t>
      </w:r>
      <w:r w:rsidRPr="003A10DE">
        <w:rPr>
          <w:snapToGrid w:val="0"/>
        </w:rPr>
        <w:t>.</w:t>
      </w:r>
      <w:r w:rsidRPr="003A10DE">
        <w:rPr>
          <w:snapToGrid w:val="0"/>
        </w:rPr>
        <w:tab/>
        <w:t>Appliances etc. not be installed in some places</w:t>
      </w:r>
      <w:r>
        <w:tab/>
      </w:r>
      <w:r>
        <w:fldChar w:fldCharType="begin"/>
      </w:r>
      <w:r>
        <w:instrText xml:space="preserve"> PAGEREF _Toc75759145 \h </w:instrText>
      </w:r>
      <w:r>
        <w:fldChar w:fldCharType="separate"/>
      </w:r>
      <w:r w:rsidR="00655B25">
        <w:t>56</w:t>
      </w:r>
      <w:r>
        <w:fldChar w:fldCharType="end"/>
      </w:r>
    </w:p>
    <w:p w:rsidR="00313D44" w:rsidRDefault="00313D44">
      <w:pPr>
        <w:pStyle w:val="TOC8"/>
        <w:rPr>
          <w:rFonts w:asciiTheme="minorHAnsi" w:eastAsiaTheme="minorEastAsia" w:hAnsiTheme="minorHAnsi" w:cstheme="minorBidi"/>
          <w:szCs w:val="22"/>
        </w:rPr>
      </w:pPr>
      <w:r>
        <w:t>805</w:t>
      </w:r>
      <w:r w:rsidRPr="003A10DE">
        <w:rPr>
          <w:snapToGrid w:val="0"/>
        </w:rPr>
        <w:t>.</w:t>
      </w:r>
      <w:r w:rsidRPr="003A10DE">
        <w:rPr>
          <w:snapToGrid w:val="0"/>
        </w:rPr>
        <w:tab/>
        <w:t>Fitting lines, location of</w:t>
      </w:r>
      <w:r>
        <w:tab/>
      </w:r>
      <w:r>
        <w:fldChar w:fldCharType="begin"/>
      </w:r>
      <w:r>
        <w:instrText xml:space="preserve"> PAGEREF _Toc75759146 \h </w:instrText>
      </w:r>
      <w:r>
        <w:fldChar w:fldCharType="separate"/>
      </w:r>
      <w:r w:rsidR="00655B25">
        <w:t>57</w:t>
      </w:r>
      <w:r>
        <w:fldChar w:fldCharType="end"/>
      </w:r>
    </w:p>
    <w:p w:rsidR="00313D44" w:rsidRDefault="00313D44">
      <w:pPr>
        <w:pStyle w:val="TOC8"/>
        <w:rPr>
          <w:rFonts w:asciiTheme="minorHAnsi" w:eastAsiaTheme="minorEastAsia" w:hAnsiTheme="minorHAnsi" w:cstheme="minorBidi"/>
          <w:szCs w:val="22"/>
        </w:rPr>
      </w:pPr>
      <w:r>
        <w:t>806</w:t>
      </w:r>
      <w:r w:rsidRPr="003A10DE">
        <w:rPr>
          <w:snapToGrid w:val="0"/>
        </w:rPr>
        <w:t>.</w:t>
      </w:r>
      <w:r w:rsidRPr="003A10DE">
        <w:rPr>
          <w:snapToGrid w:val="0"/>
        </w:rPr>
        <w:tab/>
        <w:t>Appliances, location of</w:t>
      </w:r>
      <w:r>
        <w:tab/>
      </w:r>
      <w:r>
        <w:fldChar w:fldCharType="begin"/>
      </w:r>
      <w:r>
        <w:instrText xml:space="preserve"> PAGEREF _Toc75759147 \h </w:instrText>
      </w:r>
      <w:r>
        <w:fldChar w:fldCharType="separate"/>
      </w:r>
      <w:r w:rsidR="00655B25">
        <w:t>57</w:t>
      </w:r>
      <w:r>
        <w:fldChar w:fldCharType="end"/>
      </w:r>
    </w:p>
    <w:p w:rsidR="00313D44" w:rsidRDefault="00313D44">
      <w:pPr>
        <w:pStyle w:val="TOC8"/>
        <w:rPr>
          <w:rFonts w:asciiTheme="minorHAnsi" w:eastAsiaTheme="minorEastAsia" w:hAnsiTheme="minorHAnsi" w:cstheme="minorBidi"/>
          <w:szCs w:val="22"/>
        </w:rPr>
      </w:pPr>
      <w:r>
        <w:t>807</w:t>
      </w:r>
      <w:r w:rsidRPr="003A10DE">
        <w:rPr>
          <w:snapToGrid w:val="0"/>
        </w:rPr>
        <w:t>.</w:t>
      </w:r>
      <w:r w:rsidRPr="003A10DE">
        <w:rPr>
          <w:snapToGrid w:val="0"/>
        </w:rPr>
        <w:tab/>
        <w:t>Pressure</w:t>
      </w:r>
      <w:r>
        <w:tab/>
      </w:r>
      <w:r>
        <w:fldChar w:fldCharType="begin"/>
      </w:r>
      <w:r>
        <w:instrText xml:space="preserve"> PAGEREF _Toc75759148 \h </w:instrText>
      </w:r>
      <w:r>
        <w:fldChar w:fldCharType="separate"/>
      </w:r>
      <w:r w:rsidR="00655B25">
        <w:t>57</w:t>
      </w:r>
      <w:r>
        <w:fldChar w:fldCharType="end"/>
      </w:r>
    </w:p>
    <w:p w:rsidR="00313D44" w:rsidRDefault="00313D44">
      <w:pPr>
        <w:pStyle w:val="TOC8"/>
        <w:rPr>
          <w:rFonts w:asciiTheme="minorHAnsi" w:eastAsiaTheme="minorEastAsia" w:hAnsiTheme="minorHAnsi" w:cstheme="minorBidi"/>
          <w:szCs w:val="22"/>
        </w:rPr>
      </w:pPr>
      <w:r>
        <w:t>808</w:t>
      </w:r>
      <w:r w:rsidRPr="003A10DE">
        <w:rPr>
          <w:snapToGrid w:val="0"/>
        </w:rPr>
        <w:t>.</w:t>
      </w:r>
      <w:r w:rsidRPr="003A10DE">
        <w:rPr>
          <w:snapToGrid w:val="0"/>
        </w:rPr>
        <w:tab/>
        <w:t>Ventilation</w:t>
      </w:r>
      <w:r>
        <w:tab/>
      </w:r>
      <w:r>
        <w:fldChar w:fldCharType="begin"/>
      </w:r>
      <w:r>
        <w:instrText xml:space="preserve"> PAGEREF _Toc75759149 \h </w:instrText>
      </w:r>
      <w:r>
        <w:fldChar w:fldCharType="separate"/>
      </w:r>
      <w:r w:rsidR="00655B25">
        <w:t>58</w:t>
      </w:r>
      <w:r>
        <w:fldChar w:fldCharType="end"/>
      </w:r>
    </w:p>
    <w:p w:rsidR="00313D44" w:rsidRDefault="00313D44">
      <w:pPr>
        <w:pStyle w:val="TOC8"/>
        <w:rPr>
          <w:rFonts w:asciiTheme="minorHAnsi" w:eastAsiaTheme="minorEastAsia" w:hAnsiTheme="minorHAnsi" w:cstheme="minorBidi"/>
          <w:szCs w:val="22"/>
        </w:rPr>
      </w:pPr>
      <w:r>
        <w:t>809</w:t>
      </w:r>
      <w:r w:rsidRPr="003A10DE">
        <w:rPr>
          <w:snapToGrid w:val="0"/>
        </w:rPr>
        <w:t>.</w:t>
      </w:r>
      <w:r w:rsidRPr="003A10DE">
        <w:rPr>
          <w:snapToGrid w:val="0"/>
        </w:rPr>
        <w:tab/>
        <w:t>Flues</w:t>
      </w:r>
      <w:r>
        <w:tab/>
      </w:r>
      <w:r>
        <w:fldChar w:fldCharType="begin"/>
      </w:r>
      <w:r>
        <w:instrText xml:space="preserve"> PAGEREF _Toc75759150 \h </w:instrText>
      </w:r>
      <w:r>
        <w:fldChar w:fldCharType="separate"/>
      </w:r>
      <w:r w:rsidR="00655B25">
        <w:t>59</w:t>
      </w:r>
      <w:r>
        <w:fldChar w:fldCharType="end"/>
      </w:r>
    </w:p>
    <w:p w:rsidR="00313D44" w:rsidRDefault="00313D44">
      <w:pPr>
        <w:pStyle w:val="TOC8"/>
        <w:rPr>
          <w:rFonts w:asciiTheme="minorHAnsi" w:eastAsiaTheme="minorEastAsia" w:hAnsiTheme="minorHAnsi" w:cstheme="minorBidi"/>
          <w:szCs w:val="22"/>
        </w:rPr>
      </w:pPr>
      <w:r>
        <w:t>810</w:t>
      </w:r>
      <w:r w:rsidRPr="003A10DE">
        <w:rPr>
          <w:snapToGrid w:val="0"/>
        </w:rPr>
        <w:t>.</w:t>
      </w:r>
      <w:r w:rsidRPr="003A10DE">
        <w:rPr>
          <w:snapToGrid w:val="0"/>
        </w:rPr>
        <w:tab/>
        <w:t>Water or room heaters</w:t>
      </w:r>
      <w:r>
        <w:tab/>
      </w:r>
      <w:r>
        <w:fldChar w:fldCharType="begin"/>
      </w:r>
      <w:r>
        <w:instrText xml:space="preserve"> PAGEREF _Toc75759151 \h </w:instrText>
      </w:r>
      <w:r>
        <w:fldChar w:fldCharType="separate"/>
      </w:r>
      <w:r w:rsidR="00655B25">
        <w:t>59</w:t>
      </w:r>
      <w:r>
        <w:fldChar w:fldCharType="end"/>
      </w:r>
    </w:p>
    <w:p w:rsidR="00313D44" w:rsidRDefault="00313D44">
      <w:pPr>
        <w:pStyle w:val="TOC8"/>
        <w:rPr>
          <w:rFonts w:asciiTheme="minorHAnsi" w:eastAsiaTheme="minorEastAsia" w:hAnsiTheme="minorHAnsi" w:cstheme="minorBidi"/>
          <w:szCs w:val="22"/>
        </w:rPr>
      </w:pPr>
      <w:r>
        <w:t>811</w:t>
      </w:r>
      <w:r w:rsidRPr="003A10DE">
        <w:rPr>
          <w:snapToGrid w:val="0"/>
        </w:rPr>
        <w:t>.</w:t>
      </w:r>
      <w:r w:rsidRPr="003A10DE">
        <w:rPr>
          <w:snapToGrid w:val="0"/>
        </w:rPr>
        <w:tab/>
        <w:t>Cooking appliances</w:t>
      </w:r>
      <w:r>
        <w:tab/>
      </w:r>
      <w:r>
        <w:fldChar w:fldCharType="begin"/>
      </w:r>
      <w:r>
        <w:instrText xml:space="preserve"> PAGEREF _Toc75759152 \h </w:instrText>
      </w:r>
      <w:r>
        <w:fldChar w:fldCharType="separate"/>
      </w:r>
      <w:r w:rsidR="00655B25">
        <w:t>59</w:t>
      </w:r>
      <w:r>
        <w:fldChar w:fldCharType="end"/>
      </w:r>
    </w:p>
    <w:p w:rsidR="00313D44" w:rsidRDefault="00313D44">
      <w:pPr>
        <w:pStyle w:val="TOC8"/>
        <w:rPr>
          <w:rFonts w:asciiTheme="minorHAnsi" w:eastAsiaTheme="minorEastAsia" w:hAnsiTheme="minorHAnsi" w:cstheme="minorBidi"/>
          <w:szCs w:val="22"/>
        </w:rPr>
      </w:pPr>
      <w:r>
        <w:t>812</w:t>
      </w:r>
      <w:r w:rsidRPr="003A10DE">
        <w:rPr>
          <w:snapToGrid w:val="0"/>
        </w:rPr>
        <w:t>.</w:t>
      </w:r>
      <w:r w:rsidRPr="003A10DE">
        <w:rPr>
          <w:snapToGrid w:val="0"/>
        </w:rPr>
        <w:tab/>
        <w:t>Warnings</w:t>
      </w:r>
      <w:r>
        <w:tab/>
      </w:r>
      <w:r>
        <w:fldChar w:fldCharType="begin"/>
      </w:r>
      <w:r>
        <w:instrText xml:space="preserve"> PAGEREF _Toc75759153 \h </w:instrText>
      </w:r>
      <w:r>
        <w:fldChar w:fldCharType="separate"/>
      </w:r>
      <w:r w:rsidR="00655B25">
        <w:t>60</w:t>
      </w:r>
      <w:r>
        <w:fldChar w:fldCharType="end"/>
      </w:r>
    </w:p>
    <w:p w:rsidR="00313D44" w:rsidRDefault="00313D44">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rsidR="00313D44" w:rsidRDefault="00313D44">
      <w:pPr>
        <w:pStyle w:val="TOC2"/>
        <w:tabs>
          <w:tab w:val="right" w:leader="dot" w:pos="7077"/>
        </w:tabs>
        <w:rPr>
          <w:rFonts w:asciiTheme="minorHAnsi" w:eastAsiaTheme="minorEastAsia" w:hAnsiTheme="minorHAnsi" w:cstheme="minorBidi"/>
          <w:b w:val="0"/>
          <w:sz w:val="22"/>
          <w:szCs w:val="22"/>
        </w:rPr>
      </w:pPr>
      <w:r>
        <w:t>Notes</w:t>
      </w:r>
    </w:p>
    <w:p w:rsidR="00313D44" w:rsidRDefault="00313D44" w:rsidP="00313D44">
      <w:pPr>
        <w:pStyle w:val="TOC8"/>
        <w:rPr>
          <w:rFonts w:asciiTheme="minorHAnsi" w:eastAsiaTheme="minorEastAsia" w:hAnsiTheme="minorHAnsi" w:cstheme="minorBidi"/>
          <w:szCs w:val="22"/>
        </w:rPr>
      </w:pPr>
      <w:r>
        <w:tab/>
        <w:t>Compilation table</w:t>
      </w:r>
      <w:r>
        <w:tab/>
      </w:r>
      <w:r>
        <w:fldChar w:fldCharType="begin"/>
      </w:r>
      <w:r>
        <w:instrText xml:space="preserve"> PAGEREF _Toc75759156 \h </w:instrText>
      </w:r>
      <w:r>
        <w:fldChar w:fldCharType="separate"/>
      </w:r>
      <w:r w:rsidR="00655B25">
        <w:t>63</w:t>
      </w:r>
      <w:r>
        <w:fldChar w:fldCharType="end"/>
      </w:r>
    </w:p>
    <w:p w:rsidR="00313D44" w:rsidRDefault="00313D44" w:rsidP="00313D44">
      <w:pPr>
        <w:pStyle w:val="TOC8"/>
        <w:rPr>
          <w:rFonts w:asciiTheme="minorHAnsi" w:eastAsiaTheme="minorEastAsia" w:hAnsiTheme="minorHAnsi" w:cstheme="minorBidi"/>
          <w:szCs w:val="22"/>
        </w:rPr>
      </w:pPr>
      <w:r>
        <w:tab/>
        <w:t>Other notes</w:t>
      </w:r>
      <w:r>
        <w:tab/>
      </w:r>
      <w:r>
        <w:fldChar w:fldCharType="begin"/>
      </w:r>
      <w:r>
        <w:instrText xml:space="preserve"> PAGEREF _Toc75759157 \h </w:instrText>
      </w:r>
      <w:r>
        <w:fldChar w:fldCharType="separate"/>
      </w:r>
      <w:r w:rsidR="00655B25">
        <w:t>66</w:t>
      </w:r>
      <w:r>
        <w:fldChar w:fldCharType="end"/>
      </w:r>
    </w:p>
    <w:p w:rsidR="00313D44" w:rsidRDefault="00313D44">
      <w:pPr>
        <w:pStyle w:val="TOC2"/>
        <w:tabs>
          <w:tab w:val="right" w:leader="dot" w:pos="7077"/>
        </w:tabs>
        <w:rPr>
          <w:rFonts w:asciiTheme="minorHAnsi" w:eastAsiaTheme="minorEastAsia" w:hAnsiTheme="minorHAnsi" w:cstheme="minorBidi"/>
          <w:b w:val="0"/>
          <w:sz w:val="22"/>
          <w:szCs w:val="22"/>
        </w:rPr>
      </w:pPr>
      <w:r>
        <w:t>Defined terms</w:t>
      </w:r>
    </w:p>
    <w:p w:rsidR="00EA2503" w:rsidRDefault="00AE6AE5">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A2503" w:rsidRDefault="00EA2503">
      <w:pPr>
        <w:pStyle w:val="NoteHeading"/>
        <w:sectPr w:rsidR="00EA250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A2503" w:rsidRDefault="00AE6AE5">
      <w:pPr>
        <w:pStyle w:val="PrincipalActReg"/>
        <w:spacing w:after="720"/>
      </w:pPr>
      <w:r>
        <w:lastRenderedPageBreak/>
        <w:t>Gas Standards Act 1972</w:t>
      </w:r>
    </w:p>
    <w:p w:rsidR="00EA2503" w:rsidRDefault="00AE6AE5">
      <w:pPr>
        <w:pStyle w:val="NameofActReg"/>
        <w:spacing w:before="0" w:after="720"/>
        <w:ind w:right="10"/>
      </w:pPr>
      <w:r>
        <w:t>Gas Standards (Gasfitting and Consumer Gas Installations) Regulations 1999</w:t>
      </w:r>
    </w:p>
    <w:p w:rsidR="00EA2503" w:rsidRDefault="00AE6AE5">
      <w:pPr>
        <w:pStyle w:val="Heading2"/>
        <w:pageBreakBefore w:val="0"/>
        <w:spacing w:before="300"/>
      </w:pPr>
      <w:bookmarkStart w:id="3" w:name="_Toc75416319"/>
      <w:bookmarkStart w:id="4" w:name="_Toc75416812"/>
      <w:bookmarkStart w:id="5" w:name="_Toc7575904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rsidR="00EA2503" w:rsidRDefault="00AE6AE5">
      <w:pPr>
        <w:pStyle w:val="Heading5"/>
      </w:pPr>
      <w:bookmarkStart w:id="6" w:name="_Toc75759041"/>
      <w:r>
        <w:rPr>
          <w:rStyle w:val="CharSectno"/>
        </w:rPr>
        <w:t>1</w:t>
      </w:r>
      <w:r>
        <w:t>.</w:t>
      </w:r>
      <w:r>
        <w:tab/>
        <w:t>Citation</w:t>
      </w:r>
      <w:bookmarkEnd w:id="6"/>
    </w:p>
    <w:p w:rsidR="00EA2503" w:rsidRDefault="00AE6AE5">
      <w:pPr>
        <w:pStyle w:val="Subsection"/>
      </w:pPr>
      <w:r>
        <w:tab/>
      </w:r>
      <w:r>
        <w:tab/>
        <w:t xml:space="preserve">These regulations may be cited as the </w:t>
      </w:r>
      <w:r>
        <w:rPr>
          <w:i/>
        </w:rPr>
        <w:t>Gas Standards (Gasfitting and Consumer Gas Installations) Regulations 1999</w:t>
      </w:r>
      <w:r>
        <w:rPr>
          <w:iCs/>
        </w:rPr>
        <w:t>.</w:t>
      </w:r>
    </w:p>
    <w:p w:rsidR="00EA2503" w:rsidRDefault="00AE6AE5">
      <w:pPr>
        <w:pStyle w:val="Heading5"/>
      </w:pPr>
      <w:bookmarkStart w:id="7" w:name="_Toc75759042"/>
      <w:r>
        <w:rPr>
          <w:rStyle w:val="CharSectno"/>
        </w:rPr>
        <w:t>2</w:t>
      </w:r>
      <w:r>
        <w:t>.</w:t>
      </w:r>
      <w:r>
        <w:tab/>
        <w:t>Commencement</w:t>
      </w:r>
      <w:bookmarkEnd w:id="7"/>
    </w:p>
    <w:p w:rsidR="00EA2503" w:rsidRDefault="00AE6AE5">
      <w:pPr>
        <w:pStyle w:val="Subsection"/>
        <w:keepNext/>
      </w:pPr>
      <w:r>
        <w:tab/>
      </w:r>
      <w:r>
        <w:tab/>
        <w:t xml:space="preserve">These regulations come into operation on the day on which they are published in the </w:t>
      </w:r>
      <w:r>
        <w:rPr>
          <w:i/>
        </w:rPr>
        <w:t>Gazette</w:t>
      </w:r>
      <w:r>
        <w:t>.</w:t>
      </w:r>
    </w:p>
    <w:p w:rsidR="00EA2503" w:rsidRDefault="00AE6AE5">
      <w:pPr>
        <w:pStyle w:val="Heading5"/>
      </w:pPr>
      <w:bookmarkStart w:id="8" w:name="_Toc75759043"/>
      <w:r>
        <w:rPr>
          <w:rStyle w:val="CharSectno"/>
        </w:rPr>
        <w:t>3</w:t>
      </w:r>
      <w:r>
        <w:t>.</w:t>
      </w:r>
      <w:r>
        <w:tab/>
        <w:t>Terms used</w:t>
      </w:r>
      <w:bookmarkEnd w:id="8"/>
    </w:p>
    <w:p w:rsidR="00EA2503" w:rsidRDefault="00AE6AE5">
      <w:pPr>
        <w:pStyle w:val="Subsection"/>
      </w:pPr>
      <w:r>
        <w:tab/>
        <w:t>(1)</w:t>
      </w:r>
      <w:r>
        <w:tab/>
        <w:t>In these regulations, unless the contrary intention appears —</w:t>
      </w:r>
    </w:p>
    <w:p w:rsidR="00EA2503" w:rsidRDefault="00AE6AE5">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rsidR="00EA2503" w:rsidRDefault="00AE6AE5">
      <w:pPr>
        <w:pStyle w:val="Defstart"/>
      </w:pPr>
      <w:r>
        <w:tab/>
      </w:r>
      <w:r>
        <w:rPr>
          <w:rStyle w:val="CharDefText"/>
        </w:rPr>
        <w:t>appliance</w:t>
      </w:r>
      <w:r>
        <w:t xml:space="preserve"> means an appliance that consumes gas for any purpose;</w:t>
      </w:r>
    </w:p>
    <w:p w:rsidR="00EA2503" w:rsidRDefault="00AE6AE5">
      <w:pPr>
        <w:pStyle w:val="Defstart"/>
      </w:pPr>
      <w:r>
        <w:tab/>
      </w:r>
      <w:r>
        <w:rPr>
          <w:rStyle w:val="CharDefText"/>
        </w:rPr>
        <w:t>approved</w:t>
      </w:r>
      <w:r>
        <w:t xml:space="preserve"> means approved by the Director;</w:t>
      </w:r>
    </w:p>
    <w:p w:rsidR="00EA2503" w:rsidRDefault="00AE6AE5">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rsidR="00EA2503" w:rsidRDefault="00AE6AE5">
      <w:pPr>
        <w:pStyle w:val="Defstart"/>
      </w:pPr>
      <w:r>
        <w:tab/>
      </w:r>
      <w:r>
        <w:rPr>
          <w:rStyle w:val="CharDefText"/>
        </w:rPr>
        <w:t>AS/NZS</w:t>
      </w:r>
      <w:r>
        <w:t xml:space="preserve"> followed by a designation consisting of a number, refers to the text, as from time to time amended and for the time </w:t>
      </w:r>
      <w:r>
        <w:lastRenderedPageBreak/>
        <w:t>being in force, of the document so designated, jointly published by Standards Australia and Standards New Zealand;</w:t>
      </w:r>
    </w:p>
    <w:p w:rsidR="00EA2503" w:rsidRDefault="00AE6AE5">
      <w:pPr>
        <w:pStyle w:val="Defstart"/>
      </w:pPr>
      <w:r>
        <w:tab/>
      </w:r>
      <w:r>
        <w:rPr>
          <w:rStyle w:val="CharDefText"/>
        </w:rPr>
        <w:t>authorisation</w:t>
      </w:r>
      <w:r>
        <w:t xml:space="preserve"> means an authorisation issued under regulation 12 or continued in force under regulation 43;</w:t>
      </w:r>
    </w:p>
    <w:p w:rsidR="00EA2503" w:rsidRDefault="00AE6AE5">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rsidR="00EA2503" w:rsidRDefault="00AE6AE5">
      <w:pPr>
        <w:pStyle w:val="Defpara"/>
      </w:pPr>
      <w:r>
        <w:tab/>
        <w:t>(a)</w:t>
      </w:r>
      <w:r>
        <w:tab/>
        <w:t>a self</w:t>
      </w:r>
      <w:r>
        <w:noBreakHyphen/>
        <w:t>propelled recreational vehicle or mobile home;</w:t>
      </w:r>
    </w:p>
    <w:p w:rsidR="00EA2503" w:rsidRDefault="00AE6AE5">
      <w:pPr>
        <w:pStyle w:val="Defpara"/>
      </w:pPr>
      <w:r>
        <w:tab/>
        <w:t>(b)</w:t>
      </w:r>
      <w:r>
        <w:tab/>
        <w:t>an associated annex or similar structure whether permanently or temporarily attached to or adjoining the main part of the structure;</w:t>
      </w:r>
    </w:p>
    <w:p w:rsidR="00EA2503" w:rsidRDefault="00AE6AE5">
      <w:pPr>
        <w:pStyle w:val="Defstart"/>
      </w:pPr>
      <w:r>
        <w:tab/>
      </w:r>
      <w:r>
        <w:rPr>
          <w:rStyle w:val="CharDefText"/>
        </w:rPr>
        <w:t>certificate of competency</w:t>
      </w:r>
      <w:r>
        <w:t xml:space="preserve"> means a certificate of competency continued in force under regulation 43;</w:t>
      </w:r>
    </w:p>
    <w:p w:rsidR="00EA2503" w:rsidRDefault="00AE6AE5">
      <w:pPr>
        <w:pStyle w:val="Defstart"/>
        <w:rPr>
          <w:snapToGrid/>
        </w:rPr>
      </w:pPr>
      <w:r>
        <w:tab/>
      </w:r>
      <w:r>
        <w:rPr>
          <w:rStyle w:val="CharDefText"/>
        </w:rPr>
        <w:t xml:space="preserve">Class I permit </w:t>
      </w:r>
      <w:r>
        <w:t>means a permit that is designated to be a Class I permit under regulation 13;</w:t>
      </w:r>
    </w:p>
    <w:p w:rsidR="00EA2503" w:rsidRDefault="00AE6AE5">
      <w:pPr>
        <w:pStyle w:val="Defstart"/>
      </w:pPr>
      <w:r>
        <w:tab/>
      </w:r>
      <w:r>
        <w:rPr>
          <w:rStyle w:val="CharDefText"/>
        </w:rPr>
        <w:t>fitting</w:t>
      </w:r>
      <w:r>
        <w:t xml:space="preserve"> means a device used —</w:t>
      </w:r>
    </w:p>
    <w:p w:rsidR="00EA2503" w:rsidRDefault="00AE6AE5">
      <w:pPr>
        <w:pStyle w:val="Defpara"/>
      </w:pPr>
      <w:r>
        <w:tab/>
        <w:t>(a)</w:t>
      </w:r>
      <w:r>
        <w:tab/>
        <w:t>to join pipes or flues; or</w:t>
      </w:r>
    </w:p>
    <w:p w:rsidR="00EA2503" w:rsidRDefault="00AE6AE5">
      <w:pPr>
        <w:pStyle w:val="Defpara"/>
      </w:pPr>
      <w:r>
        <w:tab/>
        <w:t>(b)</w:t>
      </w:r>
      <w:r>
        <w:tab/>
        <w:t>to change the direction or diameter of a pipe or flue; or</w:t>
      </w:r>
    </w:p>
    <w:p w:rsidR="00EA2503" w:rsidRDefault="00AE6AE5">
      <w:pPr>
        <w:pStyle w:val="Defpara"/>
      </w:pPr>
      <w:r>
        <w:tab/>
        <w:t>(c)</w:t>
      </w:r>
      <w:r>
        <w:tab/>
        <w:t>to provide a branch in a pipe or flue; or</w:t>
      </w:r>
    </w:p>
    <w:p w:rsidR="00EA2503" w:rsidRDefault="00AE6AE5">
      <w:pPr>
        <w:pStyle w:val="Defpara"/>
      </w:pPr>
      <w:r>
        <w:tab/>
        <w:t>(d)</w:t>
      </w:r>
      <w:r>
        <w:tab/>
        <w:t>to terminate a pipe or flue;</w:t>
      </w:r>
    </w:p>
    <w:p w:rsidR="00EA2503" w:rsidRDefault="00AE6AE5">
      <w:pPr>
        <w:pStyle w:val="Defstart"/>
      </w:pPr>
      <w:r>
        <w:tab/>
      </w:r>
      <w:r>
        <w:rPr>
          <w:rStyle w:val="CharDefText"/>
        </w:rPr>
        <w:t>fitting line</w:t>
      </w:r>
      <w:r>
        <w:t xml:space="preserve"> means —</w:t>
      </w:r>
    </w:p>
    <w:p w:rsidR="00EA2503" w:rsidRDefault="00AE6AE5">
      <w:pPr>
        <w:pStyle w:val="Defpara"/>
      </w:pPr>
      <w:r>
        <w:tab/>
        <w:t>(a)</w:t>
      </w:r>
      <w:r>
        <w:tab/>
        <w:t>if gas is supplied through a cylinder, any pipe, fitting, or any part of a pipe or fitting, beyond the cylinder; or</w:t>
      </w:r>
    </w:p>
    <w:p w:rsidR="00EA2503" w:rsidRDefault="00AE6AE5">
      <w:pPr>
        <w:pStyle w:val="Defpara"/>
      </w:pPr>
      <w:r>
        <w:tab/>
        <w:t>(b)</w:t>
      </w:r>
      <w:r>
        <w:tab/>
        <w:t>if gas is supplied from a reticulated system, any pipe or fitting, or any part of a pipe or fitting, beyond the point of supply that is used or intended to be used to convey gas;</w:t>
      </w:r>
    </w:p>
    <w:p w:rsidR="00EA2503" w:rsidRDefault="00AE6AE5">
      <w:pPr>
        <w:pStyle w:val="Defstart"/>
      </w:pPr>
      <w:r>
        <w:tab/>
      </w:r>
      <w:r>
        <w:rPr>
          <w:rStyle w:val="CharDefText"/>
        </w:rPr>
        <w:t>flue</w:t>
      </w:r>
      <w:r>
        <w:t xml:space="preserve"> means the duct, conduit or passage through which products of combustion are or are intended to be conveyed to a flue terminal;</w:t>
      </w:r>
    </w:p>
    <w:p w:rsidR="00EA2503" w:rsidRDefault="00AE6AE5">
      <w:pPr>
        <w:pStyle w:val="Defstart"/>
      </w:pPr>
      <w:r>
        <w:tab/>
      </w:r>
      <w:r>
        <w:rPr>
          <w:rStyle w:val="CharDefText"/>
        </w:rPr>
        <w:t>flue gas</w:t>
      </w:r>
      <w:r>
        <w:t xml:space="preserve"> means the products of combustion produced by an appliance that is designed to discharge products of combustion through a flue;</w:t>
      </w:r>
    </w:p>
    <w:p w:rsidR="00EA2503" w:rsidRDefault="00AE6AE5">
      <w:pPr>
        <w:pStyle w:val="Defstart"/>
      </w:pPr>
      <w:r>
        <w:lastRenderedPageBreak/>
        <w:tab/>
      </w:r>
      <w:r>
        <w:rPr>
          <w:rStyle w:val="CharDefText"/>
        </w:rPr>
        <w:t>flue terminal</w:t>
      </w:r>
      <w:r>
        <w:t xml:space="preserve"> means the point at which flue gas discharges from the flue;</w:t>
      </w:r>
    </w:p>
    <w:p w:rsidR="00EA2503" w:rsidRDefault="00AE6AE5">
      <w:pPr>
        <w:pStyle w:val="Defstart"/>
      </w:pPr>
      <w:r>
        <w:tab/>
      </w:r>
      <w:r>
        <w:rPr>
          <w:rStyle w:val="CharDefText"/>
        </w:rPr>
        <w:t>gas fitter</w:t>
      </w:r>
      <w:r>
        <w:t xml:space="preserve"> means —</w:t>
      </w:r>
    </w:p>
    <w:p w:rsidR="00EA2503" w:rsidRDefault="00AE6AE5">
      <w:pPr>
        <w:pStyle w:val="Defpara"/>
        <w:spacing w:before="60"/>
      </w:pPr>
      <w:r>
        <w:tab/>
        <w:t>(a)</w:t>
      </w:r>
      <w:r>
        <w:tab/>
        <w:t>a registered gas fitter; or</w:t>
      </w:r>
    </w:p>
    <w:p w:rsidR="00EA2503" w:rsidRDefault="00AE6AE5">
      <w:pPr>
        <w:pStyle w:val="Defpara"/>
        <w:spacing w:before="60"/>
      </w:pPr>
      <w:r>
        <w:tab/>
        <w:t>(b)</w:t>
      </w:r>
      <w:r>
        <w:tab/>
        <w:t>a supervised gas fitter;</w:t>
      </w:r>
    </w:p>
    <w:p w:rsidR="00EA2503" w:rsidRDefault="00AE6AE5">
      <w:pPr>
        <w:pStyle w:val="Defstart"/>
      </w:pPr>
      <w:r>
        <w:tab/>
      </w:r>
      <w:r>
        <w:rPr>
          <w:rStyle w:val="CharDefText"/>
        </w:rPr>
        <w:t>gas supplier</w:t>
      </w:r>
      <w:r>
        <w:t xml:space="preserve"> means —</w:t>
      </w:r>
    </w:p>
    <w:p w:rsidR="00EA2503" w:rsidRDefault="00AE6AE5">
      <w:pPr>
        <w:pStyle w:val="Defpara"/>
        <w:spacing w:before="60"/>
      </w:pPr>
      <w:r>
        <w:tab/>
        <w:t>(a)</w:t>
      </w:r>
      <w:r>
        <w:tab/>
        <w:t>an undertaker; or</w:t>
      </w:r>
    </w:p>
    <w:p w:rsidR="00EA2503" w:rsidRDefault="00AE6AE5">
      <w:pPr>
        <w:pStyle w:val="Defpara"/>
        <w:spacing w:before="60"/>
      </w:pPr>
      <w:r>
        <w:tab/>
        <w:t>(b)</w:t>
      </w:r>
      <w:r>
        <w:tab/>
        <w:t>a pipeline licensee; or</w:t>
      </w:r>
    </w:p>
    <w:p w:rsidR="00EA2503" w:rsidRDefault="00AE6AE5">
      <w:pPr>
        <w:pStyle w:val="Defpara"/>
        <w:spacing w:before="60"/>
      </w:pPr>
      <w:r>
        <w:tab/>
        <w:t>(c)</w:t>
      </w:r>
      <w:r>
        <w:tab/>
        <w:t>an operator of a reticulated gas supply system; or</w:t>
      </w:r>
    </w:p>
    <w:p w:rsidR="00EA2503" w:rsidRDefault="00AE6AE5">
      <w:pPr>
        <w:pStyle w:val="Defpara"/>
        <w:spacing w:before="60"/>
      </w:pPr>
      <w:r>
        <w:tab/>
        <w:t>(d)</w:t>
      </w:r>
      <w:r>
        <w:tab/>
        <w:t>a person who supplies gas through a pressurized container;</w:t>
      </w:r>
    </w:p>
    <w:p w:rsidR="00EA2503" w:rsidRDefault="00AE6AE5">
      <w:pPr>
        <w:pStyle w:val="Defstart"/>
      </w:pPr>
      <w:r>
        <w:tab/>
      </w:r>
      <w:r>
        <w:rPr>
          <w:rStyle w:val="CharDefText"/>
        </w:rPr>
        <w:t>LPG</w:t>
      </w:r>
      <w:r>
        <w:t xml:space="preserve"> means a mixture of hydrocarbons in liquid or vapour form, consisting mainly of butane, butene, propane, or propene, or any mixture of those substances;</w:t>
      </w:r>
    </w:p>
    <w:p w:rsidR="00EA2503" w:rsidRDefault="00AE6AE5">
      <w:pPr>
        <w:pStyle w:val="Defstart"/>
      </w:pPr>
      <w:r>
        <w:tab/>
      </w:r>
      <w:r>
        <w:rPr>
          <w:rStyle w:val="CharDefText"/>
        </w:rPr>
        <w:t>master meter</w:t>
      </w:r>
      <w:r>
        <w:t xml:space="preserve"> means a meter used to measure the amount of gas supplied to the point at which delivery of the gas is made to the consumer;</w:t>
      </w:r>
    </w:p>
    <w:p w:rsidR="00EA2503" w:rsidRDefault="00AE6AE5">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rsidR="00EA2503" w:rsidRDefault="00AE6AE5">
      <w:pPr>
        <w:pStyle w:val="Defstart"/>
      </w:pPr>
      <w:r>
        <w:tab/>
      </w:r>
      <w:r>
        <w:rPr>
          <w:rStyle w:val="CharDefText"/>
        </w:rPr>
        <w:t>meter</w:t>
      </w:r>
      <w:r>
        <w:t xml:space="preserve"> means a device used to measure the amount of gas passing through the device;</w:t>
      </w:r>
    </w:p>
    <w:p w:rsidR="00EA2503" w:rsidRDefault="00AE6AE5">
      <w:pPr>
        <w:pStyle w:val="Defstart"/>
        <w:keepNext/>
      </w:pPr>
      <w:r>
        <w:tab/>
      </w:r>
      <w:r>
        <w:rPr>
          <w:rStyle w:val="CharDefText"/>
        </w:rPr>
        <w:t>mobile engine</w:t>
      </w:r>
      <w:r>
        <w:t xml:space="preserve"> means a gas</w:t>
      </w:r>
      <w:r>
        <w:noBreakHyphen/>
        <w:t>fuelled engine that —</w:t>
      </w:r>
    </w:p>
    <w:p w:rsidR="00EA2503" w:rsidRDefault="00AE6AE5">
      <w:pPr>
        <w:pStyle w:val="Defpara"/>
        <w:spacing w:before="60"/>
      </w:pPr>
      <w:r>
        <w:tab/>
        <w:t>(a)</w:t>
      </w:r>
      <w:r>
        <w:tab/>
        <w:t>is mounted in or on any vehicle, craft or portable appliance; and</w:t>
      </w:r>
    </w:p>
    <w:p w:rsidR="00EA2503" w:rsidRDefault="00AE6AE5">
      <w:pPr>
        <w:pStyle w:val="Defpara"/>
        <w:spacing w:before="60"/>
      </w:pPr>
      <w:r>
        <w:tab/>
        <w:t>(b)</w:t>
      </w:r>
      <w:r>
        <w:tab/>
        <w:t>is supplied by fuel from a cylinder or tank mounted on or in the vehicle, craft or portable appliance;</w:t>
      </w:r>
    </w:p>
    <w:p w:rsidR="00EA2503" w:rsidRDefault="00AE6AE5">
      <w:pPr>
        <w:pStyle w:val="Defstart"/>
      </w:pPr>
      <w:r>
        <w:tab/>
      </w:r>
      <w:r>
        <w:rPr>
          <w:rStyle w:val="CharDefText"/>
        </w:rPr>
        <w:t>natural gas</w:t>
      </w:r>
      <w:r>
        <w:t xml:space="preserve"> means a hydrocarbon gas, in liquefied or vapour form, consisting mainly of methane;</w:t>
      </w:r>
    </w:p>
    <w:p w:rsidR="00EA2503" w:rsidRDefault="00AE6AE5">
      <w:pPr>
        <w:pStyle w:val="Defstart"/>
      </w:pPr>
      <w:r>
        <w:tab/>
      </w:r>
      <w:r>
        <w:rPr>
          <w:rStyle w:val="CharDefText"/>
        </w:rPr>
        <w:t>notice of completion</w:t>
      </w:r>
      <w:r>
        <w:t xml:space="preserve"> means a notice of completion under regulation 28(3);</w:t>
      </w:r>
    </w:p>
    <w:p w:rsidR="00EA2503" w:rsidRDefault="00AE6AE5">
      <w:pPr>
        <w:pStyle w:val="Defstart"/>
      </w:pPr>
      <w:r>
        <w:lastRenderedPageBreak/>
        <w:tab/>
      </w:r>
      <w:r>
        <w:rPr>
          <w:rStyle w:val="CharDefText"/>
        </w:rPr>
        <w:t>permit</w:t>
      </w:r>
      <w:r>
        <w:t xml:space="preserve"> means a permit issued under regulation 12 or continued in force under regulation 43;</w:t>
      </w:r>
    </w:p>
    <w:p w:rsidR="00EA2503" w:rsidRDefault="00AE6AE5">
      <w:pPr>
        <w:pStyle w:val="Defstart"/>
      </w:pPr>
      <w:r>
        <w:tab/>
      </w:r>
      <w:r>
        <w:rPr>
          <w:rStyle w:val="CharDefText"/>
        </w:rPr>
        <w:t>pressure raising device</w:t>
      </w:r>
      <w:r>
        <w:t>, in relation to a consumer’s gas installation, means —</w:t>
      </w:r>
    </w:p>
    <w:p w:rsidR="00EA2503" w:rsidRDefault="00AE6AE5">
      <w:pPr>
        <w:pStyle w:val="Defpara"/>
      </w:pPr>
      <w:r>
        <w:tab/>
        <w:t>(a)</w:t>
      </w:r>
      <w:r>
        <w:tab/>
        <w:t>a fan, blower or other device to enable the pressure of the gas in the installation, or any part of it, to be raised; or</w:t>
      </w:r>
    </w:p>
    <w:p w:rsidR="00EA2503" w:rsidRDefault="00AE6AE5">
      <w:pPr>
        <w:pStyle w:val="Defpara"/>
      </w:pPr>
      <w:r>
        <w:tab/>
        <w:t>(b)</w:t>
      </w:r>
      <w:r>
        <w:tab/>
        <w:t>any device that may reduce the pressure at the inlet to the master meter;</w:t>
      </w:r>
    </w:p>
    <w:p w:rsidR="00EA2503" w:rsidRDefault="00AE6AE5">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rsidR="00EA2503" w:rsidRDefault="00AE6AE5">
      <w:pPr>
        <w:pStyle w:val="Defstart"/>
      </w:pPr>
      <w:r>
        <w:tab/>
      </w:r>
      <w:r>
        <w:rPr>
          <w:rStyle w:val="CharDefText"/>
        </w:rPr>
        <w:t>regulator</w:t>
      </w:r>
      <w:r>
        <w:t xml:space="preserve"> means a device that automatically controls the pressure or volume of gas available beyond the point at which the device is installed;</w:t>
      </w:r>
    </w:p>
    <w:p w:rsidR="00EA2503" w:rsidRDefault="00AE6AE5">
      <w:pPr>
        <w:pStyle w:val="Defstart"/>
        <w:keepNext/>
        <w:keepLines/>
      </w:pPr>
      <w:r>
        <w:tab/>
      </w:r>
      <w:r>
        <w:rPr>
          <w:rStyle w:val="CharDefText"/>
        </w:rPr>
        <w:t>servicing</w:t>
      </w:r>
      <w:r>
        <w:t>, in relation to a consumer’s gas installation, means —</w:t>
      </w:r>
    </w:p>
    <w:p w:rsidR="00EA2503" w:rsidRDefault="00AE6AE5">
      <w:pPr>
        <w:pStyle w:val="Defpara"/>
        <w:keepNext/>
        <w:keepLines/>
      </w:pPr>
      <w:r>
        <w:tab/>
        <w:t>(a)</w:t>
      </w:r>
      <w:r>
        <w:tab/>
        <w:t>maintenance involving the adjustment and cleaning of any appliance or apparatus in the installation in accordance with the recommendations of the manufacturer; or</w:t>
      </w:r>
    </w:p>
    <w:p w:rsidR="00EA2503" w:rsidRDefault="00AE6AE5">
      <w:pPr>
        <w:pStyle w:val="Defpara"/>
      </w:pPr>
      <w:r>
        <w:tab/>
        <w:t>(b)</w:t>
      </w:r>
      <w:r>
        <w:tab/>
        <w:t>repair involving the exchange of components but not requiring modification of the installation;</w:t>
      </w:r>
    </w:p>
    <w:p w:rsidR="00EA2503" w:rsidRDefault="00AE6AE5">
      <w:pPr>
        <w:pStyle w:val="Defstart"/>
      </w:pPr>
      <w:r>
        <w:tab/>
      </w:r>
      <w:r>
        <w:rPr>
          <w:rStyle w:val="CharDefText"/>
        </w:rPr>
        <w:t>supervised gas fitter</w:t>
      </w:r>
      <w:r>
        <w:t>, in relation to gasfitting work, means a person who does the work in a prescribed capacity under regulation 6;</w:t>
      </w:r>
    </w:p>
    <w:p w:rsidR="00EA2503" w:rsidRDefault="00AE6AE5">
      <w:pPr>
        <w:pStyle w:val="Defstart"/>
        <w:keepNext/>
      </w:pPr>
      <w:r>
        <w:tab/>
      </w:r>
      <w:r>
        <w:rPr>
          <w:rStyle w:val="CharDefText"/>
        </w:rPr>
        <w:t>supervising gas fitter</w:t>
      </w:r>
      <w:r>
        <w:t>, in relation to —</w:t>
      </w:r>
    </w:p>
    <w:p w:rsidR="00EA2503" w:rsidRDefault="00AE6AE5">
      <w:pPr>
        <w:pStyle w:val="Defpara"/>
      </w:pPr>
      <w:r>
        <w:tab/>
        <w:t>(a)</w:t>
      </w:r>
      <w:r>
        <w:tab/>
        <w:t>a supervised gas fitter; and</w:t>
      </w:r>
    </w:p>
    <w:p w:rsidR="00EA2503" w:rsidRDefault="00AE6AE5">
      <w:pPr>
        <w:pStyle w:val="Defpara"/>
      </w:pPr>
      <w:r>
        <w:tab/>
        <w:t>(b)</w:t>
      </w:r>
      <w:r>
        <w:tab/>
        <w:t>gasfitting work,</w:t>
      </w:r>
    </w:p>
    <w:p w:rsidR="00EA2503" w:rsidRDefault="00AE6AE5">
      <w:pPr>
        <w:pStyle w:val="Defstart"/>
      </w:pPr>
      <w:r>
        <w:tab/>
        <w:t>means a person who is authorised under these regulations to supervise that gas fitter while the gas fitter is doing that work;</w:t>
      </w:r>
    </w:p>
    <w:p w:rsidR="00EA2503" w:rsidRDefault="00AE6AE5">
      <w:pPr>
        <w:pStyle w:val="Defstart"/>
      </w:pPr>
      <w:r>
        <w:lastRenderedPageBreak/>
        <w:tab/>
      </w:r>
      <w:r>
        <w:rPr>
          <w:rStyle w:val="CharDefText"/>
        </w:rPr>
        <w:t>Type B appliance</w:t>
      </w:r>
      <w:r>
        <w:t xml:space="preserve"> means an appliance that has a maximum hourly input rate exceeding 10 MJ but is neither a Type A gas appliance nor a mobile engine;</w:t>
      </w:r>
    </w:p>
    <w:p w:rsidR="00EA2503" w:rsidRDefault="00AE6AE5">
      <w:pPr>
        <w:pStyle w:val="Defstart"/>
      </w:pPr>
      <w:r>
        <w:tab/>
      </w:r>
      <w:r>
        <w:rPr>
          <w:rStyle w:val="CharDefText"/>
        </w:rPr>
        <w:t>valve</w:t>
      </w:r>
      <w:r>
        <w:t xml:space="preserve"> means a device for controlling or shutting off the flow of gas.</w:t>
      </w:r>
    </w:p>
    <w:p w:rsidR="00EA2503" w:rsidRDefault="00AE6AE5">
      <w:pPr>
        <w:pStyle w:val="Subsection"/>
        <w:spacing w:before="100"/>
      </w:pPr>
      <w:r>
        <w:tab/>
        <w:t>(2)</w:t>
      </w:r>
      <w:r>
        <w:tab/>
        <w:t>In these regulations, unless the contrary intention appears, the numerical values prescribed are subject to tolerances according to normal trade practice.</w:t>
      </w:r>
    </w:p>
    <w:p w:rsidR="00EA2503" w:rsidRDefault="00AE6AE5">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rsidR="00EA2503" w:rsidRDefault="00AE6AE5">
      <w:pPr>
        <w:pStyle w:val="Footnotesection"/>
      </w:pPr>
      <w:r>
        <w:tab/>
        <w:t>[Regulation 3 amended: Gazette 19 Dec 2000 p. 7275; 21 Apr 2006 p. 1575; 30 Nov 2007 p. 5934; 26 Nov 2010 p. 5929; 8 Jan 2015 p. 99</w:t>
      </w:r>
      <w:r>
        <w:noBreakHyphen/>
        <w:t>100; SL 2020/196 r. 31</w:t>
      </w:r>
      <w:r w:rsidR="00A8438C">
        <w:t>; SL 2021/86 r. 35</w:t>
      </w:r>
      <w:r>
        <w:t>.]</w:t>
      </w:r>
    </w:p>
    <w:p w:rsidR="00EA2503" w:rsidRDefault="00AE6AE5">
      <w:pPr>
        <w:pStyle w:val="Heading5"/>
      </w:pPr>
      <w:bookmarkStart w:id="9" w:name="_Toc75759044"/>
      <w:r>
        <w:rPr>
          <w:rStyle w:val="CharSectno"/>
        </w:rPr>
        <w:t>4</w:t>
      </w:r>
      <w:r>
        <w:t>.</w:t>
      </w:r>
      <w:r>
        <w:tab/>
        <w:t>Gasfitting work, defined</w:t>
      </w:r>
      <w:bookmarkEnd w:id="9"/>
    </w:p>
    <w:p w:rsidR="00EA2503" w:rsidRDefault="00AE6AE5">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rsidR="00EA2503" w:rsidRDefault="00AE6AE5">
      <w:pPr>
        <w:pStyle w:val="Indenta"/>
      </w:pPr>
      <w:r>
        <w:tab/>
        <w:t>(a)</w:t>
      </w:r>
      <w:r>
        <w:tab/>
        <w:t>the replacement of LPG cylinders, compressed natural gas cylinders or liquefied natural gas cylinders; or</w:t>
      </w:r>
    </w:p>
    <w:p w:rsidR="00EA2503" w:rsidRDefault="00AE6AE5">
      <w:pPr>
        <w:pStyle w:val="Indenta"/>
      </w:pPr>
      <w:r>
        <w:tab/>
        <w:t>(b)</w:t>
      </w:r>
      <w:r>
        <w:tab/>
        <w:t>any operation, work or process in relation to a mobile engine that does not involve or affect any fitting line or apparatus; or</w:t>
      </w:r>
    </w:p>
    <w:p w:rsidR="00EA2503" w:rsidRDefault="00AE6AE5">
      <w:pPr>
        <w:pStyle w:val="Indenta"/>
      </w:pPr>
      <w:r>
        <w:tab/>
        <w:t>(c)</w:t>
      </w:r>
      <w:r>
        <w:tab/>
        <w:t>an adjustment of the air</w:t>
      </w:r>
      <w:r>
        <w:noBreakHyphen/>
        <w:t>fuel ratio of a mobile engine that does not involve the disconnection or dismantling of any fitting line or apparatus; or</w:t>
      </w:r>
    </w:p>
    <w:p w:rsidR="00EA2503" w:rsidRDefault="00AE6AE5">
      <w:pPr>
        <w:pStyle w:val="Indenta"/>
      </w:pPr>
      <w:r>
        <w:tab/>
        <w:t>(d)</w:t>
      </w:r>
      <w:r>
        <w:tab/>
        <w:t>an operation, work or process carried out in connection with a reticulated supply system for the gas supplier.</w:t>
      </w:r>
    </w:p>
    <w:p w:rsidR="00EA2503" w:rsidRDefault="00AE6AE5">
      <w:pPr>
        <w:pStyle w:val="Footnotesection"/>
      </w:pPr>
      <w:r>
        <w:tab/>
        <w:t>[Regulation 4 amended: Gazette 21 Apr 2006 p. 1575.]</w:t>
      </w:r>
    </w:p>
    <w:p w:rsidR="00EA2503" w:rsidRDefault="00AE6AE5">
      <w:pPr>
        <w:pStyle w:val="Heading5"/>
      </w:pPr>
      <w:bookmarkStart w:id="10" w:name="_Toc75759045"/>
      <w:r>
        <w:rPr>
          <w:rStyle w:val="CharSectno"/>
        </w:rPr>
        <w:lastRenderedPageBreak/>
        <w:t>5</w:t>
      </w:r>
      <w:r>
        <w:t>.</w:t>
      </w:r>
      <w:r>
        <w:tab/>
        <w:t>Work etc. in nature of gasfitting prescribed (Act s. 13A(2))</w:t>
      </w:r>
      <w:bookmarkEnd w:id="10"/>
    </w:p>
    <w:p w:rsidR="00EA2503" w:rsidRDefault="00AE6AE5">
      <w:pPr>
        <w:pStyle w:val="Subsection"/>
      </w:pPr>
      <w:r>
        <w:tab/>
      </w:r>
      <w:r>
        <w:tab/>
        <w:t>For the purposes of section 13A(2) of the Act, doing or supervising any gasfitting work is of the nature of gasfitting.</w:t>
      </w:r>
    </w:p>
    <w:p w:rsidR="00EA2503" w:rsidRDefault="00AE6AE5">
      <w:pPr>
        <w:pStyle w:val="Heading5"/>
      </w:pPr>
      <w:bookmarkStart w:id="11" w:name="_Toc75759046"/>
      <w:r>
        <w:rPr>
          <w:rStyle w:val="CharSectno"/>
        </w:rPr>
        <w:t>6</w:t>
      </w:r>
      <w:r>
        <w:t>.</w:t>
      </w:r>
      <w:r>
        <w:tab/>
        <w:t>Capacity prescribed (Act s. 13A(2))</w:t>
      </w:r>
      <w:bookmarkEnd w:id="11"/>
    </w:p>
    <w:p w:rsidR="00EA2503" w:rsidRDefault="00AE6AE5">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rsidR="00EA2503" w:rsidRDefault="00AE6AE5">
      <w:pPr>
        <w:pStyle w:val="Indenta"/>
      </w:pPr>
      <w:r>
        <w:tab/>
        <w:t>(a)</w:t>
      </w:r>
      <w:r>
        <w:tab/>
        <w:t>the person does the work under the supervision of a supervising gas fitter; and</w:t>
      </w:r>
    </w:p>
    <w:p w:rsidR="00EA2503" w:rsidRDefault="00AE6AE5">
      <w:pPr>
        <w:pStyle w:val="Indenta"/>
      </w:pPr>
      <w:r>
        <w:tab/>
        <w:t>(b)</w:t>
      </w:r>
      <w:r>
        <w:tab/>
        <w:t>the supervising gas fitter is authorised to supervise the work under these regulations.</w:t>
      </w:r>
    </w:p>
    <w:p w:rsidR="00EA2503" w:rsidRDefault="00AE6AE5">
      <w:pPr>
        <w:pStyle w:val="Footnotesection"/>
      </w:pPr>
      <w:r>
        <w:tab/>
        <w:t>[Regulation 6 amended: Gazette 26 Nov 2010 p. 5929.]</w:t>
      </w:r>
    </w:p>
    <w:p w:rsidR="00EA2503" w:rsidRDefault="00AE6AE5">
      <w:pPr>
        <w:pStyle w:val="Heading2"/>
      </w:pPr>
      <w:bookmarkStart w:id="12" w:name="_Toc75416326"/>
      <w:bookmarkStart w:id="13" w:name="_Toc75416819"/>
      <w:bookmarkStart w:id="14" w:name="_Toc75759047"/>
      <w:r>
        <w:rPr>
          <w:rStyle w:val="CharPartNo"/>
        </w:rPr>
        <w:lastRenderedPageBreak/>
        <w:t>Part 2</w:t>
      </w:r>
      <w:r>
        <w:rPr>
          <w:rStyle w:val="CharDivNo"/>
        </w:rPr>
        <w:t xml:space="preserve"> </w:t>
      </w:r>
      <w:r>
        <w:t>—</w:t>
      </w:r>
      <w:r>
        <w:rPr>
          <w:rStyle w:val="CharDivText"/>
        </w:rPr>
        <w:t xml:space="preserve"> </w:t>
      </w:r>
      <w:r>
        <w:rPr>
          <w:rStyle w:val="CharPartText"/>
        </w:rPr>
        <w:t>Administration</w:t>
      </w:r>
      <w:bookmarkEnd w:id="12"/>
      <w:bookmarkEnd w:id="13"/>
      <w:bookmarkEnd w:id="14"/>
    </w:p>
    <w:p w:rsidR="00EA2503" w:rsidRDefault="00AE6AE5">
      <w:pPr>
        <w:pStyle w:val="Heading5"/>
      </w:pPr>
      <w:bookmarkStart w:id="15" w:name="_Toc75759048"/>
      <w:r>
        <w:rPr>
          <w:rStyle w:val="CharSectno"/>
        </w:rPr>
        <w:t>7</w:t>
      </w:r>
      <w:r>
        <w:t>.</w:t>
      </w:r>
      <w:r>
        <w:tab/>
        <w:t>Particulars for register prescribed (Act s. 13A(4))</w:t>
      </w:r>
      <w:bookmarkEnd w:id="15"/>
    </w:p>
    <w:p w:rsidR="00EA2503" w:rsidRDefault="00AE6AE5">
      <w:pPr>
        <w:pStyle w:val="Subsection"/>
      </w:pPr>
      <w:r>
        <w:tab/>
      </w:r>
      <w:r>
        <w:tab/>
        <w:t>For the purposes of section 13A(4) of the Act, the register must contain the following particulars for each registered person —</w:t>
      </w:r>
    </w:p>
    <w:p w:rsidR="00EA2503" w:rsidRDefault="00AE6AE5">
      <w:pPr>
        <w:pStyle w:val="Indenta"/>
      </w:pPr>
      <w:r>
        <w:tab/>
        <w:t>(a)</w:t>
      </w:r>
      <w:r>
        <w:tab/>
        <w:t>the name and residential address of the person;</w:t>
      </w:r>
    </w:p>
    <w:p w:rsidR="00EA2503" w:rsidRDefault="00AE6AE5">
      <w:pPr>
        <w:pStyle w:val="Indenta"/>
      </w:pPr>
      <w:r>
        <w:tab/>
        <w:t>(b)</w:t>
      </w:r>
      <w:r>
        <w:tab/>
        <w:t>the identifying number and the grade or kind of the certificate of competency, permit or authorisation, as the case may be;</w:t>
      </w:r>
    </w:p>
    <w:p w:rsidR="00EA2503" w:rsidRDefault="00AE6AE5">
      <w:pPr>
        <w:pStyle w:val="Indenta"/>
      </w:pPr>
      <w:r>
        <w:tab/>
        <w:t>(c)</w:t>
      </w:r>
      <w:r>
        <w:tab/>
        <w:t>the date on which the certificate, permit, or authorisation was issued and, if applicable, the date on which it will expire.</w:t>
      </w:r>
    </w:p>
    <w:p w:rsidR="00EA2503" w:rsidRDefault="00AE6AE5">
      <w:pPr>
        <w:pStyle w:val="Heading5"/>
      </w:pPr>
      <w:bookmarkStart w:id="16" w:name="_Toc75759049"/>
      <w:r>
        <w:rPr>
          <w:rStyle w:val="CharSectno"/>
        </w:rPr>
        <w:t>8</w:t>
      </w:r>
      <w:r>
        <w:t>.</w:t>
      </w:r>
      <w:r>
        <w:tab/>
        <w:t>Change of address, notice of to be given</w:t>
      </w:r>
      <w:bookmarkEnd w:id="16"/>
    </w:p>
    <w:p w:rsidR="00EA2503" w:rsidRDefault="00AE6AE5">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rsidR="00EA2503" w:rsidRDefault="00AE6AE5">
      <w:pPr>
        <w:pStyle w:val="Heading5"/>
      </w:pPr>
      <w:bookmarkStart w:id="17" w:name="_Toc75759050"/>
      <w:r>
        <w:rPr>
          <w:rStyle w:val="CharSectno"/>
        </w:rPr>
        <w:t>9</w:t>
      </w:r>
      <w:r>
        <w:t>.</w:t>
      </w:r>
      <w:r>
        <w:tab/>
        <w:t>Inquiries etc., matters prescribed for (Act s. 13A)</w:t>
      </w:r>
      <w:bookmarkEnd w:id="17"/>
    </w:p>
    <w:p w:rsidR="00EA2503" w:rsidRDefault="00AE6AE5">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rsidR="00EA2503" w:rsidRDefault="00AE6AE5">
      <w:pPr>
        <w:pStyle w:val="Subsection"/>
      </w:pPr>
      <w:r>
        <w:tab/>
        <w:t>(2)</w:t>
      </w:r>
      <w:r>
        <w:tab/>
        <w:t>For the purposes of section 13A(12)(c) of the Act, a summons requiring the attendance of a holder as defined in section 13A(12) of the Act must be in the form of Form 1 in Schedule 2.</w:t>
      </w:r>
    </w:p>
    <w:p w:rsidR="00EA2503" w:rsidRDefault="00AE6AE5">
      <w:pPr>
        <w:pStyle w:val="Subsection"/>
      </w:pPr>
      <w:r>
        <w:tab/>
        <w:t>(3)</w:t>
      </w:r>
      <w:r>
        <w:tab/>
        <w:t>For the purposes of section 13A(12)(c) of the Act, a summons requiring the attendance of a person to give evidence or produce documents at proceedings must be in the form of Form 2 in Schedule 2.</w:t>
      </w:r>
    </w:p>
    <w:p w:rsidR="00EA2503" w:rsidRDefault="00AE6AE5">
      <w:pPr>
        <w:pStyle w:val="Subsection"/>
      </w:pPr>
      <w:r>
        <w:lastRenderedPageBreak/>
        <w:tab/>
        <w:t>(4)</w:t>
      </w:r>
      <w:r>
        <w:tab/>
        <w:t>A person who attends at proceedings under section 13A of the Act is entitled to receive a fee or allowance in accordance with Schedule 3.</w:t>
      </w:r>
    </w:p>
    <w:p w:rsidR="00EA2503" w:rsidRDefault="00AE6AE5">
      <w:pPr>
        <w:pStyle w:val="Footnotesection"/>
      </w:pPr>
      <w:r>
        <w:tab/>
        <w:t>[Regulation 9 amended: Gazette 30 Dec 2004 p. 6988</w:t>
      </w:r>
      <w:r>
        <w:noBreakHyphen/>
        <w:t>9.]</w:t>
      </w:r>
    </w:p>
    <w:p w:rsidR="00EA2503" w:rsidRDefault="00AE6AE5">
      <w:pPr>
        <w:pStyle w:val="Ednotesection"/>
      </w:pPr>
      <w:r>
        <w:t>[</w:t>
      </w:r>
      <w:r>
        <w:rPr>
          <w:b/>
        </w:rPr>
        <w:t>10.</w:t>
      </w:r>
      <w:r>
        <w:tab/>
        <w:t>Deleted: Gazette 30 Dec 2004 p. 6989.]</w:t>
      </w:r>
    </w:p>
    <w:p w:rsidR="00EA2503" w:rsidRDefault="00AE6AE5">
      <w:pPr>
        <w:pStyle w:val="Heading2"/>
      </w:pPr>
      <w:bookmarkStart w:id="18" w:name="_Toc75416330"/>
      <w:bookmarkStart w:id="19" w:name="_Toc75416823"/>
      <w:bookmarkStart w:id="20" w:name="_Toc75759051"/>
      <w:r>
        <w:rPr>
          <w:rStyle w:val="CharPartNo"/>
        </w:rPr>
        <w:lastRenderedPageBreak/>
        <w:t>Part 3</w:t>
      </w:r>
      <w:r>
        <w:rPr>
          <w:rStyle w:val="CharDivNo"/>
        </w:rPr>
        <w:t xml:space="preserve"> </w:t>
      </w:r>
      <w:r>
        <w:t>—</w:t>
      </w:r>
      <w:r>
        <w:rPr>
          <w:rStyle w:val="CharDivText"/>
        </w:rPr>
        <w:t xml:space="preserve"> </w:t>
      </w:r>
      <w:r>
        <w:rPr>
          <w:rStyle w:val="CharPartText"/>
        </w:rPr>
        <w:t>Permits and authorisations</w:t>
      </w:r>
      <w:bookmarkEnd w:id="18"/>
      <w:bookmarkEnd w:id="19"/>
      <w:bookmarkEnd w:id="20"/>
    </w:p>
    <w:p w:rsidR="00EA2503" w:rsidRDefault="00AE6AE5">
      <w:pPr>
        <w:pStyle w:val="Heading5"/>
      </w:pPr>
      <w:bookmarkStart w:id="21" w:name="_Toc75759052"/>
      <w:r>
        <w:rPr>
          <w:rStyle w:val="CharSectno"/>
        </w:rPr>
        <w:t>11</w:t>
      </w:r>
      <w:r>
        <w:t>.</w:t>
      </w:r>
      <w:r>
        <w:tab/>
        <w:t>Applications for permits and authorisations (Act s. 13A(6))</w:t>
      </w:r>
      <w:bookmarkEnd w:id="21"/>
    </w:p>
    <w:p w:rsidR="00EA2503" w:rsidRDefault="00AE6AE5">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rsidR="00EA2503" w:rsidRDefault="00AE6AE5">
      <w:pPr>
        <w:pStyle w:val="Indenta"/>
      </w:pPr>
      <w:r>
        <w:tab/>
        <w:t>(a)</w:t>
      </w:r>
      <w:r>
        <w:tab/>
        <w:t>if the application is for a permit — the relevant application and issuance fees set out in Schedule 4; and</w:t>
      </w:r>
    </w:p>
    <w:p w:rsidR="00EA2503" w:rsidRDefault="00AE6AE5">
      <w:pPr>
        <w:pStyle w:val="Indenta"/>
      </w:pPr>
      <w:r>
        <w:tab/>
        <w:t>(b)</w:t>
      </w:r>
      <w:r>
        <w:tab/>
        <w:t>if the application is for an authorisation — the relevant application fee set out in Schedule 4.</w:t>
      </w:r>
    </w:p>
    <w:p w:rsidR="00EA2503" w:rsidRDefault="00AE6AE5">
      <w:pPr>
        <w:pStyle w:val="Footnotesection"/>
      </w:pPr>
      <w:r>
        <w:tab/>
        <w:t>[Regulation 11 amended: Gazette 22 Dec 2017 p. 5987; SL 2020/196 r. 32.]</w:t>
      </w:r>
    </w:p>
    <w:p w:rsidR="00EA2503" w:rsidRDefault="00AE6AE5">
      <w:pPr>
        <w:pStyle w:val="Heading5"/>
      </w:pPr>
      <w:bookmarkStart w:id="22" w:name="_Toc75759053"/>
      <w:r>
        <w:rPr>
          <w:rStyle w:val="CharSectno"/>
        </w:rPr>
        <w:t>12</w:t>
      </w:r>
      <w:r>
        <w:t>.</w:t>
      </w:r>
      <w:r>
        <w:tab/>
        <w:t>Issue of permits and authorisation</w:t>
      </w:r>
      <w:bookmarkEnd w:id="22"/>
    </w:p>
    <w:p w:rsidR="00EA2503" w:rsidRDefault="00AE6AE5">
      <w:pPr>
        <w:pStyle w:val="Subsection"/>
      </w:pPr>
      <w:r>
        <w:tab/>
        <w:t>(1)</w:t>
      </w:r>
      <w:r>
        <w:tab/>
        <w:t>The Director may issue a permit or an authorisation to an applicant to carry out the gasfitting specified in the permit or authorisation if the Director is satisfied that the applicant —</w:t>
      </w:r>
    </w:p>
    <w:p w:rsidR="00EA2503" w:rsidRDefault="00AE6AE5">
      <w:pPr>
        <w:pStyle w:val="Indenta"/>
      </w:pPr>
      <w:r>
        <w:tab/>
        <w:t>(a)</w:t>
      </w:r>
      <w:r>
        <w:tab/>
        <w:t>has adequate theoretical and practical knowledge and adequate skills, to carry out the gasfitting; and</w:t>
      </w:r>
    </w:p>
    <w:p w:rsidR="00EA2503" w:rsidRDefault="00AE6AE5">
      <w:pPr>
        <w:pStyle w:val="Indenta"/>
      </w:pPr>
      <w:r>
        <w:tab/>
        <w:t>(b)</w:t>
      </w:r>
      <w:r>
        <w:tab/>
        <w:t>has an adequate knowledge of the Act and these regulations; and</w:t>
      </w:r>
    </w:p>
    <w:p w:rsidR="00EA2503" w:rsidRDefault="00AE6AE5">
      <w:pPr>
        <w:pStyle w:val="Indenta"/>
      </w:pPr>
      <w:r>
        <w:tab/>
        <w:t>(c)</w:t>
      </w:r>
      <w:r>
        <w:tab/>
        <w:t>is otherwise a fit and proper person to carry out the gasfitting.</w:t>
      </w:r>
    </w:p>
    <w:p w:rsidR="00EA2503" w:rsidRDefault="00AE6AE5">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rsidR="00EA2503" w:rsidRDefault="00AE6AE5">
      <w:pPr>
        <w:pStyle w:val="Subsection"/>
      </w:pPr>
      <w:r>
        <w:tab/>
        <w:t>(3)</w:t>
      </w:r>
      <w:r>
        <w:tab/>
        <w:t>A permit or an authorisation has effect only for the period specified in the permit or the authorisation.</w:t>
      </w:r>
    </w:p>
    <w:p w:rsidR="00EA2503" w:rsidRDefault="00AE6AE5">
      <w:pPr>
        <w:pStyle w:val="Heading5"/>
      </w:pPr>
      <w:bookmarkStart w:id="23" w:name="_Toc75759054"/>
      <w:r>
        <w:rPr>
          <w:rStyle w:val="CharSectno"/>
        </w:rPr>
        <w:lastRenderedPageBreak/>
        <w:t>13A</w:t>
      </w:r>
      <w:r>
        <w:t>.</w:t>
      </w:r>
      <w:r>
        <w:tab/>
        <w:t>Replacing lost etc. permits and authorisations</w:t>
      </w:r>
      <w:bookmarkEnd w:id="23"/>
    </w:p>
    <w:p w:rsidR="00EA2503" w:rsidRDefault="00AE6AE5">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rsidR="00EA2503" w:rsidRDefault="00AE6AE5">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rsidR="00EA2503" w:rsidRDefault="00AE6AE5">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rsidR="00EA2503" w:rsidRDefault="00AE6AE5">
      <w:pPr>
        <w:pStyle w:val="Footnotesection"/>
      </w:pPr>
      <w:r>
        <w:tab/>
        <w:t>[Regulation 13A inserted: Gazette 26 Nov 2010 p. 5929-30.]</w:t>
      </w:r>
    </w:p>
    <w:p w:rsidR="00EA2503" w:rsidRDefault="00AE6AE5">
      <w:pPr>
        <w:pStyle w:val="Heading5"/>
      </w:pPr>
      <w:bookmarkStart w:id="24" w:name="_Toc75759055"/>
      <w:r>
        <w:rPr>
          <w:rStyle w:val="CharSectno"/>
        </w:rPr>
        <w:t>13</w:t>
      </w:r>
      <w:r>
        <w:t>.</w:t>
      </w:r>
      <w:r>
        <w:tab/>
        <w:t>Grades of permit or authorisation</w:t>
      </w:r>
      <w:bookmarkEnd w:id="24"/>
    </w:p>
    <w:p w:rsidR="00EA2503" w:rsidRDefault="00AE6AE5">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rsidR="00EA2503" w:rsidRDefault="00AE6AE5">
      <w:pPr>
        <w:pStyle w:val="Subsection"/>
      </w:pPr>
      <w:r>
        <w:tab/>
        <w:t>(2)</w:t>
      </w:r>
      <w:r>
        <w:tab/>
        <w:t>For the purposes of these regulations gasfitting work is to be regarded as of one of the classes set out in Schedule 5.</w:t>
      </w:r>
    </w:p>
    <w:p w:rsidR="00EA2503" w:rsidRDefault="00AE6AE5">
      <w:pPr>
        <w:pStyle w:val="Heading5"/>
      </w:pPr>
      <w:bookmarkStart w:id="25" w:name="_Toc75759056"/>
      <w:r>
        <w:rPr>
          <w:rStyle w:val="CharSectno"/>
        </w:rPr>
        <w:t>14</w:t>
      </w:r>
      <w:r>
        <w:t>.</w:t>
      </w:r>
      <w:r>
        <w:tab/>
        <w:t>Restrictions etc. on permits or authorisations</w:t>
      </w:r>
      <w:bookmarkEnd w:id="25"/>
    </w:p>
    <w:p w:rsidR="00EA2503" w:rsidRDefault="00AE6AE5">
      <w:pPr>
        <w:pStyle w:val="Subsection"/>
      </w:pPr>
      <w:r>
        <w:tab/>
      </w:r>
      <w:r>
        <w:tab/>
        <w:t>The Director may endorse on any permit or authorisation any restriction, limitation, condition or extension as to the authority conferred in the permit or authorisation.</w:t>
      </w:r>
    </w:p>
    <w:p w:rsidR="00EA2503" w:rsidRDefault="00AE6AE5">
      <w:pPr>
        <w:pStyle w:val="Heading5"/>
      </w:pPr>
      <w:bookmarkStart w:id="26" w:name="_Toc75759057"/>
      <w:r>
        <w:rPr>
          <w:rStyle w:val="CharSectno"/>
        </w:rPr>
        <w:t>15</w:t>
      </w:r>
      <w:r>
        <w:t>.</w:t>
      </w:r>
      <w:r>
        <w:tab/>
        <w:t>Permits, effect of</w:t>
      </w:r>
      <w:bookmarkEnd w:id="26"/>
    </w:p>
    <w:p w:rsidR="00EA2503" w:rsidRDefault="00AE6AE5">
      <w:pPr>
        <w:pStyle w:val="Subsection"/>
      </w:pPr>
      <w:r>
        <w:tab/>
        <w:t>(1)</w:t>
      </w:r>
      <w:r>
        <w:tab/>
        <w:t>A permit authorises the holder to do the gasfitting work specified in the permit.</w:t>
      </w:r>
    </w:p>
    <w:p w:rsidR="00EA2503" w:rsidRDefault="00AE6AE5">
      <w:pPr>
        <w:pStyle w:val="Subsection"/>
      </w:pPr>
      <w:r>
        <w:lastRenderedPageBreak/>
        <w:tab/>
        <w:t>(2)</w:t>
      </w:r>
      <w:r>
        <w:tab/>
        <w:t>The permit authorises the holder to supervise the gasfitting work specified in the permit if it is being done by a person who —</w:t>
      </w:r>
    </w:p>
    <w:p w:rsidR="00EA2503" w:rsidRDefault="00AE6AE5">
      <w:pPr>
        <w:pStyle w:val="Indenta"/>
      </w:pPr>
      <w:r>
        <w:tab/>
        <w:t>(a)</w:t>
      </w:r>
      <w:r>
        <w:tab/>
        <w:t>has a permit to do the work; or</w:t>
      </w:r>
    </w:p>
    <w:p w:rsidR="00EA2503" w:rsidRDefault="00AE6AE5">
      <w:pPr>
        <w:pStyle w:val="Indenta"/>
      </w:pPr>
      <w:r>
        <w:tab/>
        <w:t>(b)</w:t>
      </w:r>
      <w:r>
        <w:tab/>
        <w:t>is a supervised gas fitter.</w:t>
      </w:r>
    </w:p>
    <w:p w:rsidR="00EA2503" w:rsidRDefault="00AE6AE5">
      <w:pPr>
        <w:pStyle w:val="Subsection"/>
      </w:pPr>
      <w:r>
        <w:tab/>
        <w:t>(3)</w:t>
      </w:r>
      <w:r>
        <w:tab/>
        <w:t>A Class I permit also authorises the holder to supervise the gasfitting work specified in the permit if it is being done by a gas fitter.</w:t>
      </w:r>
    </w:p>
    <w:p w:rsidR="00EA2503" w:rsidRDefault="00AE6AE5">
      <w:pPr>
        <w:pStyle w:val="Subsection"/>
      </w:pPr>
      <w:r>
        <w:tab/>
        <w:t>(4)</w:t>
      </w:r>
      <w:r>
        <w:tab/>
        <w:t>A permit continues to have effect on and from the day on which it was issued or renewed for the period, not exceeding 5 years, specified in the permit.</w:t>
      </w:r>
    </w:p>
    <w:p w:rsidR="00EA2503" w:rsidRDefault="00AE6AE5">
      <w:pPr>
        <w:pStyle w:val="Footnotesection"/>
      </w:pPr>
      <w:r>
        <w:tab/>
        <w:t>[Regulation 15 amended: Gazette 26 Nov 2010 p. 5930; 22 Dec 2017 p. 5987; 2 Oct 2018 p. 3784.]</w:t>
      </w:r>
    </w:p>
    <w:p w:rsidR="00EA2503" w:rsidRDefault="00AE6AE5">
      <w:pPr>
        <w:pStyle w:val="Heading5"/>
      </w:pPr>
      <w:bookmarkStart w:id="27" w:name="_Toc75759058"/>
      <w:r>
        <w:rPr>
          <w:rStyle w:val="CharSectno"/>
        </w:rPr>
        <w:t>15A</w:t>
      </w:r>
      <w:r>
        <w:t>.</w:t>
      </w:r>
      <w:r>
        <w:tab/>
        <w:t>Renewal of permits</w:t>
      </w:r>
      <w:bookmarkEnd w:id="27"/>
    </w:p>
    <w:p w:rsidR="00EA2503" w:rsidRDefault="00AE6AE5">
      <w:pPr>
        <w:pStyle w:val="Subsection"/>
      </w:pPr>
      <w:r>
        <w:tab/>
        <w:t>(1)</w:t>
      </w:r>
      <w:r>
        <w:tab/>
        <w:t>The Director may renew a permit on an application made not earlier than 90 days before, and not later than 30 days after, the date of the expiry of the permit.</w:t>
      </w:r>
    </w:p>
    <w:p w:rsidR="00EA2503" w:rsidRDefault="00AE6AE5">
      <w:pPr>
        <w:pStyle w:val="Subsection"/>
      </w:pPr>
      <w:r>
        <w:tab/>
        <w:t>(2)</w:t>
      </w:r>
      <w:r>
        <w:tab/>
        <w:t>An application is made under subregulation (1) by submitting to the Director, together with the appropriate fee set out in Schedule 4, the form, duly completed, made available by the Director.</w:t>
      </w:r>
    </w:p>
    <w:p w:rsidR="00EA2503" w:rsidRDefault="00AE6AE5">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rsidR="00EA2503" w:rsidRDefault="00AE6AE5">
      <w:pPr>
        <w:pStyle w:val="Subsection"/>
      </w:pPr>
      <w:r>
        <w:tab/>
        <w:t>(4)</w:t>
      </w:r>
      <w:r>
        <w:tab/>
        <w:t>Subject to subregulation (5), if a permit is renewed under subregulation (1), the renewal has effect from the time when, but for the renewal, the permit would have expired.</w:t>
      </w:r>
    </w:p>
    <w:p w:rsidR="00EA2503" w:rsidRDefault="00AE6AE5">
      <w:pPr>
        <w:pStyle w:val="Subsection"/>
      </w:pPr>
      <w:r>
        <w:lastRenderedPageBreak/>
        <w:tab/>
        <w:t>(5)</w:t>
      </w:r>
      <w:r>
        <w:tab/>
        <w:t xml:space="preserve">Where a permit is renewed under subregulation (1) on an application made within 30 days after the permit expires, the renewal — </w:t>
      </w:r>
    </w:p>
    <w:p w:rsidR="00EA2503" w:rsidRDefault="00AE6AE5">
      <w:pPr>
        <w:pStyle w:val="Indenta"/>
      </w:pPr>
      <w:r>
        <w:tab/>
        <w:t>(a)</w:t>
      </w:r>
      <w:r>
        <w:tab/>
        <w:t xml:space="preserve">has effect only for the balance of the period specified in the permit remaining after the registration is renewed; and </w:t>
      </w:r>
    </w:p>
    <w:p w:rsidR="00EA2503" w:rsidRDefault="00AE6AE5">
      <w:pPr>
        <w:pStyle w:val="Indenta"/>
      </w:pPr>
      <w:r>
        <w:tab/>
        <w:t>(b)</w:t>
      </w:r>
      <w:r>
        <w:tab/>
        <w:t>does not affect the illegality of anything done after the registration expired and before the renewal took effect.</w:t>
      </w:r>
    </w:p>
    <w:p w:rsidR="00EA2503" w:rsidRDefault="00AE6AE5">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rsidR="00EA2503" w:rsidRDefault="00AE6AE5">
      <w:pPr>
        <w:pStyle w:val="Footnotesection"/>
      </w:pPr>
      <w:r>
        <w:tab/>
        <w:t>[Regulation 15A inserted: Gazette 22 Dec 2017 p. 5988.]</w:t>
      </w:r>
    </w:p>
    <w:p w:rsidR="00EA2503" w:rsidRDefault="00AE6AE5">
      <w:pPr>
        <w:pStyle w:val="Heading5"/>
      </w:pPr>
      <w:bookmarkStart w:id="28" w:name="_Toc75759059"/>
      <w:r>
        <w:rPr>
          <w:rStyle w:val="CharSectno"/>
        </w:rPr>
        <w:t>16</w:t>
      </w:r>
      <w:r>
        <w:t>.</w:t>
      </w:r>
      <w:r>
        <w:tab/>
        <w:t>Authorisations, effect of</w:t>
      </w:r>
      <w:bookmarkEnd w:id="28"/>
    </w:p>
    <w:p w:rsidR="00EA2503" w:rsidRDefault="00AE6AE5">
      <w:pPr>
        <w:pStyle w:val="Subsection"/>
      </w:pPr>
      <w:r>
        <w:tab/>
        <w:t>(1)</w:t>
      </w:r>
      <w:r>
        <w:tab/>
        <w:t>An authorisation authorises the holder to do the specified gasfitting work for the specified employer.</w:t>
      </w:r>
    </w:p>
    <w:p w:rsidR="00EA2503" w:rsidRDefault="00AE6AE5">
      <w:pPr>
        <w:pStyle w:val="Subsection"/>
      </w:pPr>
      <w:r>
        <w:tab/>
        <w:t>(2)</w:t>
      </w:r>
      <w:r>
        <w:tab/>
        <w:t>The authorisation authorises the holder to supervise the specified gasfitting work for the specified employer if the work is being done by no more than the specified number of gas fitters.</w:t>
      </w:r>
    </w:p>
    <w:p w:rsidR="00EA2503" w:rsidRDefault="00AE6AE5">
      <w:pPr>
        <w:pStyle w:val="Subsection"/>
      </w:pPr>
      <w:r>
        <w:tab/>
        <w:t>(3)</w:t>
      </w:r>
      <w:r>
        <w:tab/>
        <w:t>In this regulation —</w:t>
      </w:r>
    </w:p>
    <w:p w:rsidR="00EA2503" w:rsidRDefault="00AE6AE5">
      <w:pPr>
        <w:pStyle w:val="Defstart"/>
      </w:pPr>
      <w:r>
        <w:tab/>
      </w:r>
      <w:r>
        <w:rPr>
          <w:rStyle w:val="CharDefText"/>
        </w:rPr>
        <w:t>employer</w:t>
      </w:r>
      <w:r>
        <w:t>, in relation to the holder of an authorisation, includes a person who has engaged the holder under a contract for services;</w:t>
      </w:r>
    </w:p>
    <w:p w:rsidR="00EA2503" w:rsidRDefault="00AE6AE5">
      <w:pPr>
        <w:pStyle w:val="Defstart"/>
      </w:pPr>
      <w:r>
        <w:tab/>
      </w:r>
      <w:r>
        <w:rPr>
          <w:rStyle w:val="CharDefText"/>
        </w:rPr>
        <w:t>specified</w:t>
      </w:r>
      <w:r>
        <w:t xml:space="preserve"> means specified in the authorisation.</w:t>
      </w:r>
    </w:p>
    <w:p w:rsidR="00A8438C" w:rsidRPr="00A8438C" w:rsidRDefault="00A8438C" w:rsidP="00313D44">
      <w:pPr>
        <w:pStyle w:val="Ednotesection"/>
      </w:pPr>
      <w:r>
        <w:t>[</w:t>
      </w:r>
      <w:r>
        <w:rPr>
          <w:b/>
        </w:rPr>
        <w:t>16A.</w:t>
      </w:r>
      <w:r>
        <w:tab/>
        <w:t>Deleted: SL 2021/86 r. 36.]</w:t>
      </w:r>
    </w:p>
    <w:p w:rsidR="00EA2503" w:rsidRDefault="00AE6AE5">
      <w:pPr>
        <w:pStyle w:val="Heading2"/>
      </w:pPr>
      <w:bookmarkStart w:id="29" w:name="_Toc75416340"/>
      <w:bookmarkStart w:id="30" w:name="_Toc75416832"/>
      <w:bookmarkStart w:id="31" w:name="_Toc75759060"/>
      <w:r>
        <w:rPr>
          <w:rStyle w:val="CharPartNo"/>
        </w:rPr>
        <w:lastRenderedPageBreak/>
        <w:t>Part 4</w:t>
      </w:r>
      <w:r>
        <w:t xml:space="preserve"> — </w:t>
      </w:r>
      <w:r>
        <w:rPr>
          <w:rStyle w:val="CharPartText"/>
        </w:rPr>
        <w:t>Performance of gasfitting</w:t>
      </w:r>
      <w:bookmarkEnd w:id="29"/>
      <w:bookmarkEnd w:id="30"/>
      <w:bookmarkEnd w:id="31"/>
    </w:p>
    <w:p w:rsidR="00EA2503" w:rsidRDefault="00AE6AE5">
      <w:pPr>
        <w:pStyle w:val="Heading5"/>
      </w:pPr>
      <w:bookmarkStart w:id="32" w:name="_Toc75759061"/>
      <w:r>
        <w:rPr>
          <w:rStyle w:val="CharSectno"/>
        </w:rPr>
        <w:t>17</w:t>
      </w:r>
      <w:r>
        <w:t>.</w:t>
      </w:r>
      <w:r>
        <w:tab/>
        <w:t>Terms used</w:t>
      </w:r>
      <w:bookmarkEnd w:id="32"/>
    </w:p>
    <w:p w:rsidR="00EA2503" w:rsidRDefault="00AE6AE5">
      <w:pPr>
        <w:pStyle w:val="Subsection"/>
      </w:pPr>
      <w:r>
        <w:tab/>
      </w:r>
      <w:r>
        <w:tab/>
        <w:t>In this Part —</w:t>
      </w:r>
    </w:p>
    <w:p w:rsidR="00EA2503" w:rsidRDefault="00AE6AE5">
      <w:pPr>
        <w:pStyle w:val="Defstart"/>
      </w:pPr>
      <w:r>
        <w:tab/>
      </w:r>
      <w:r>
        <w:rPr>
          <w:rStyle w:val="CharDefText"/>
        </w:rPr>
        <w:t>commission</w:t>
      </w:r>
      <w:r>
        <w:t>, in relation to a gas installation, means connect the installation so that it is available for use;</w:t>
      </w:r>
    </w:p>
    <w:p w:rsidR="00EA2503" w:rsidRDefault="00AE6AE5">
      <w:pPr>
        <w:pStyle w:val="Defstart"/>
      </w:pPr>
      <w:r>
        <w:tab/>
      </w:r>
      <w:r>
        <w:rPr>
          <w:rStyle w:val="CharDefText"/>
          <w:spacing w:val="-4"/>
        </w:rPr>
        <w:t>notice of defects</w:t>
      </w:r>
      <w:r>
        <w:t xml:space="preserve"> means a notice of defects under regulation 29.</w:t>
      </w:r>
    </w:p>
    <w:p w:rsidR="00EA2503" w:rsidRDefault="00AE6AE5">
      <w:pPr>
        <w:pStyle w:val="Heading5"/>
      </w:pPr>
      <w:bookmarkStart w:id="33" w:name="_Toc75759062"/>
      <w:r>
        <w:rPr>
          <w:rStyle w:val="CharSectno"/>
        </w:rPr>
        <w:t>18</w:t>
      </w:r>
      <w:r>
        <w:t>.</w:t>
      </w:r>
      <w:r>
        <w:tab/>
        <w:t>Gas fitters, duties of as to gasfitting work</w:t>
      </w:r>
      <w:bookmarkEnd w:id="33"/>
    </w:p>
    <w:p w:rsidR="00EA2503" w:rsidRDefault="00AE6AE5">
      <w:pPr>
        <w:pStyle w:val="Subsection"/>
      </w:pPr>
      <w:r>
        <w:tab/>
        <w:t>(1)</w:t>
      </w:r>
      <w:r>
        <w:tab/>
        <w:t>A gas fitter who does gasfitting work on a gas installation must ensure that the work is done in a safe manner.</w:t>
      </w:r>
    </w:p>
    <w:p w:rsidR="00EA2503" w:rsidRDefault="00AE6AE5">
      <w:pPr>
        <w:pStyle w:val="Subsection"/>
      </w:pPr>
      <w:r>
        <w:tab/>
        <w:t>(2)</w:t>
      </w:r>
      <w:r>
        <w:tab/>
        <w:t>The gas fitter must ensure that —</w:t>
      </w:r>
    </w:p>
    <w:p w:rsidR="00EA2503" w:rsidRDefault="00AE6AE5">
      <w:pPr>
        <w:pStyle w:val="Indenta"/>
      </w:pPr>
      <w:r>
        <w:tab/>
        <w:t>(a)</w:t>
      </w:r>
      <w:r>
        <w:tab/>
        <w:t>every part of the gas installation on which the work was done or that is affected by the work —</w:t>
      </w:r>
    </w:p>
    <w:p w:rsidR="00EA2503" w:rsidRDefault="00AE6AE5">
      <w:pPr>
        <w:pStyle w:val="Indenti"/>
      </w:pPr>
      <w:r>
        <w:tab/>
        <w:t>(i)</w:t>
      </w:r>
      <w:r>
        <w:tab/>
        <w:t>complies with the requirements referred to in regulation 32; and</w:t>
      </w:r>
    </w:p>
    <w:p w:rsidR="00EA2503" w:rsidRDefault="00AE6AE5">
      <w:pPr>
        <w:pStyle w:val="Indenti"/>
      </w:pPr>
      <w:r>
        <w:tab/>
        <w:t>(ii)</w:t>
      </w:r>
      <w:r>
        <w:tab/>
        <w:t>is safe to use;</w:t>
      </w:r>
    </w:p>
    <w:p w:rsidR="00EA2503" w:rsidRDefault="00AE6AE5">
      <w:pPr>
        <w:pStyle w:val="Indenta"/>
      </w:pPr>
      <w:r>
        <w:tab/>
      </w:r>
      <w:r>
        <w:tab/>
        <w:t>and</w:t>
      </w:r>
    </w:p>
    <w:p w:rsidR="00EA2503" w:rsidRDefault="00AE6AE5">
      <w:pPr>
        <w:pStyle w:val="Indenta"/>
      </w:pPr>
      <w:r>
        <w:tab/>
        <w:t>(b)</w:t>
      </w:r>
      <w:r>
        <w:tab/>
        <w:t>the work is completed to a trade finish.</w:t>
      </w:r>
    </w:p>
    <w:p w:rsidR="00EA2503" w:rsidRDefault="00AE6AE5">
      <w:pPr>
        <w:pStyle w:val="Subsection"/>
      </w:pPr>
      <w:r>
        <w:tab/>
        <w:t>(3)</w:t>
      </w:r>
      <w:r>
        <w:tab/>
        <w:t>Subregulation (2) does not require the gas fitter to make an assessment about —</w:t>
      </w:r>
    </w:p>
    <w:p w:rsidR="00EA2503" w:rsidRDefault="00AE6AE5">
      <w:pPr>
        <w:pStyle w:val="Indenta"/>
      </w:pPr>
      <w:r>
        <w:tab/>
        <w:t>(a)</w:t>
      </w:r>
      <w:r>
        <w:tab/>
        <w:t>whether the design of an appliance complies with the requirements referred to in regulation 32; or</w:t>
      </w:r>
    </w:p>
    <w:p w:rsidR="00EA2503" w:rsidRDefault="00AE6AE5">
      <w:pPr>
        <w:pStyle w:val="Indenta"/>
      </w:pPr>
      <w:r>
        <w:tab/>
        <w:t>(b)</w:t>
      </w:r>
      <w:r>
        <w:tab/>
        <w:t>the efficacy of the design of an appliance.</w:t>
      </w:r>
    </w:p>
    <w:p w:rsidR="00EA2503" w:rsidRDefault="00AE6AE5">
      <w:pPr>
        <w:pStyle w:val="Footnotesection"/>
      </w:pPr>
      <w:r>
        <w:tab/>
        <w:t>[Regulation 18 inserted: Gazette 19 Dec 2000 p. 7275</w:t>
      </w:r>
      <w:r>
        <w:noBreakHyphen/>
        <w:t>6.]</w:t>
      </w:r>
    </w:p>
    <w:p w:rsidR="00EA2503" w:rsidRDefault="00AE6AE5">
      <w:pPr>
        <w:pStyle w:val="Heading5"/>
      </w:pPr>
      <w:bookmarkStart w:id="34" w:name="_Toc75759063"/>
      <w:r>
        <w:rPr>
          <w:rStyle w:val="CharSectno"/>
        </w:rPr>
        <w:t>19</w:t>
      </w:r>
      <w:r>
        <w:t>.</w:t>
      </w:r>
      <w:r>
        <w:tab/>
        <w:t>Supervising gas fitter, duties of</w:t>
      </w:r>
      <w:bookmarkEnd w:id="34"/>
    </w:p>
    <w:p w:rsidR="00EA2503" w:rsidRDefault="00AE6AE5">
      <w:pPr>
        <w:pStyle w:val="Subsection"/>
      </w:pPr>
      <w:r>
        <w:tab/>
      </w:r>
      <w:r>
        <w:tab/>
        <w:t>A supervising gas fitter must ensure that —</w:t>
      </w:r>
    </w:p>
    <w:p w:rsidR="00EA2503" w:rsidRDefault="00AE6AE5">
      <w:pPr>
        <w:pStyle w:val="Indenta"/>
      </w:pPr>
      <w:r>
        <w:tab/>
        <w:t>(a)</w:t>
      </w:r>
      <w:r>
        <w:tab/>
        <w:t>the supervised gas fitter complies with these regulations; and</w:t>
      </w:r>
    </w:p>
    <w:p w:rsidR="00EA2503" w:rsidRDefault="00AE6AE5">
      <w:pPr>
        <w:pStyle w:val="Indenta"/>
      </w:pPr>
      <w:r>
        <w:lastRenderedPageBreak/>
        <w:tab/>
        <w:t>(b)</w:t>
      </w:r>
      <w:r>
        <w:tab/>
        <w:t>the work done by the supervised gas fitter is work that the supervising gas fitter is authorised to supervise under these regulations.</w:t>
      </w:r>
    </w:p>
    <w:p w:rsidR="00EA2503" w:rsidRDefault="00AE6AE5">
      <w:pPr>
        <w:pStyle w:val="Footnotesection"/>
      </w:pPr>
      <w:r>
        <w:tab/>
        <w:t>[Regulation 19 amended: Gazette 26 Nov 2010 p. 5930.]</w:t>
      </w:r>
    </w:p>
    <w:p w:rsidR="00EA2503" w:rsidRDefault="00AE6AE5">
      <w:pPr>
        <w:pStyle w:val="Heading5"/>
      </w:pPr>
      <w:bookmarkStart w:id="35" w:name="_Toc75759064"/>
      <w:r>
        <w:rPr>
          <w:rStyle w:val="CharSectno"/>
        </w:rPr>
        <w:t>20</w:t>
      </w:r>
      <w:r>
        <w:t>.</w:t>
      </w:r>
      <w:r>
        <w:tab/>
        <w:t>Installing etc. appliances etc., gas fitters’ duties as to</w:t>
      </w:r>
      <w:bookmarkEnd w:id="35"/>
    </w:p>
    <w:p w:rsidR="00EA2503" w:rsidRDefault="00AE6AE5">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rsidR="00EA2503" w:rsidRDefault="00AE6AE5">
      <w:pPr>
        <w:pStyle w:val="Indenta"/>
        <w:spacing w:before="60"/>
      </w:pPr>
      <w:r>
        <w:tab/>
        <w:t>(a)</w:t>
      </w:r>
      <w:r>
        <w:tab/>
        <w:t>in a suitable place; and</w:t>
      </w:r>
    </w:p>
    <w:p w:rsidR="00EA2503" w:rsidRDefault="00AE6AE5">
      <w:pPr>
        <w:pStyle w:val="Indenta"/>
        <w:spacing w:before="60"/>
      </w:pPr>
      <w:r>
        <w:tab/>
        <w:t>(b)</w:t>
      </w:r>
      <w:r>
        <w:tab/>
        <w:t>in accordance with any instructions or recommendations of the manufacturer or designer relating to the installation of that appliance, apparatus or part.</w:t>
      </w:r>
    </w:p>
    <w:p w:rsidR="00EA2503" w:rsidRDefault="00AE6AE5">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rsidR="00EA2503" w:rsidRDefault="00AE6AE5">
      <w:pPr>
        <w:pStyle w:val="Subsection"/>
        <w:spacing w:before="120"/>
      </w:pPr>
      <w:r>
        <w:tab/>
        <w:t>(3)</w:t>
      </w:r>
      <w:r>
        <w:tab/>
        <w:t>When a gas fitter installs a used appliance the gas fitter must endorse on the notice of completion a note to the effect that the gas fitter ascertained that it was operating safely.</w:t>
      </w:r>
    </w:p>
    <w:p w:rsidR="00EA2503" w:rsidRDefault="00AE6AE5">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rsidR="00EA2503" w:rsidRDefault="00AE6AE5">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rsidR="00EA2503" w:rsidRDefault="00AE6AE5">
      <w:pPr>
        <w:pStyle w:val="Subsection"/>
        <w:spacing w:before="120"/>
      </w:pPr>
      <w:r>
        <w:tab/>
        <w:t>(5)</w:t>
      </w:r>
      <w:r>
        <w:tab/>
        <w:t>A gas fitter must not install in a consumer’s gas installation an appliance that uses, in addition to the gas supplied from a reticulated system, any gas that is under pressure unless —</w:t>
      </w:r>
    </w:p>
    <w:p w:rsidR="00EA2503" w:rsidRDefault="00AE6AE5">
      <w:pPr>
        <w:pStyle w:val="Indenta"/>
        <w:spacing w:before="60"/>
      </w:pPr>
      <w:r>
        <w:tab/>
        <w:t>(a)</w:t>
      </w:r>
      <w:r>
        <w:tab/>
        <w:t>the gas supplier has approved the installation of the appliance; and</w:t>
      </w:r>
    </w:p>
    <w:p w:rsidR="00EA2503" w:rsidRDefault="00AE6AE5">
      <w:pPr>
        <w:pStyle w:val="Indenta"/>
      </w:pPr>
      <w:r>
        <w:lastRenderedPageBreak/>
        <w:tab/>
        <w:t>(b)</w:t>
      </w:r>
      <w:r>
        <w:tab/>
        <w:t>the appliance is fitted with a device approved by the gas supplier to prevent the entry into the reticulated supply system of the gas; and</w:t>
      </w:r>
    </w:p>
    <w:p w:rsidR="00EA2503" w:rsidRDefault="00AE6AE5">
      <w:pPr>
        <w:pStyle w:val="Indenta"/>
      </w:pPr>
      <w:r>
        <w:tab/>
        <w:t>(c)</w:t>
      </w:r>
      <w:r>
        <w:tab/>
        <w:t>the gas fitter has notified the consumer of the consumer’s obligation under regulation 36(4) to permit the gas supplier to inspect and test the appliance.</w:t>
      </w:r>
    </w:p>
    <w:p w:rsidR="00EA2503" w:rsidRDefault="00AE6AE5">
      <w:pPr>
        <w:pStyle w:val="Subsection"/>
      </w:pPr>
      <w:r>
        <w:tab/>
        <w:t>(6)</w:t>
      </w:r>
      <w:r>
        <w:tab/>
        <w:t>A gas fitter must not install a pressure raising device in a consumer’s gas installation unless —</w:t>
      </w:r>
    </w:p>
    <w:p w:rsidR="00EA2503" w:rsidRDefault="00AE6AE5">
      <w:pPr>
        <w:pStyle w:val="Indenta"/>
      </w:pPr>
      <w:r>
        <w:tab/>
        <w:t>(a)</w:t>
      </w:r>
      <w:r>
        <w:tab/>
        <w:t>the gas supplier has approved the installation; and</w:t>
      </w:r>
    </w:p>
    <w:p w:rsidR="00EA2503" w:rsidRDefault="00AE6AE5">
      <w:pPr>
        <w:pStyle w:val="Indenta"/>
      </w:pPr>
      <w:r>
        <w:tab/>
        <w:t>(b)</w:t>
      </w:r>
      <w:r>
        <w:tab/>
        <w:t>any safety device required by the gas supplier is fitted to the satisfaction of the gas supplier; and</w:t>
      </w:r>
    </w:p>
    <w:p w:rsidR="00EA2503" w:rsidRDefault="00AE6AE5">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rsidR="00EA2503" w:rsidRDefault="00AE6AE5">
      <w:pPr>
        <w:pStyle w:val="Footnotesection"/>
      </w:pPr>
      <w:r>
        <w:tab/>
        <w:t>[Regulation 20 amended: Gazette 19 Dec 2000 p. 7276.]</w:t>
      </w:r>
    </w:p>
    <w:p w:rsidR="00EA2503" w:rsidRDefault="00AE6AE5">
      <w:pPr>
        <w:pStyle w:val="Heading5"/>
      </w:pPr>
      <w:bookmarkStart w:id="36" w:name="_Toc75759065"/>
      <w:r>
        <w:rPr>
          <w:rStyle w:val="CharSectno"/>
        </w:rPr>
        <w:t>21</w:t>
      </w:r>
      <w:r>
        <w:t>.</w:t>
      </w:r>
      <w:r>
        <w:tab/>
        <w:t>Commissioning appliances, gas fitters’ duties as to</w:t>
      </w:r>
      <w:bookmarkEnd w:id="36"/>
    </w:p>
    <w:p w:rsidR="00EA2503" w:rsidRDefault="00AE6AE5">
      <w:pPr>
        <w:pStyle w:val="Subsection"/>
      </w:pPr>
      <w:r>
        <w:tab/>
      </w:r>
      <w:r>
        <w:tab/>
        <w:t>When a gas fitter commissions an appliance the gas fitter must —</w:t>
      </w:r>
    </w:p>
    <w:p w:rsidR="00EA2503" w:rsidRDefault="00AE6AE5">
      <w:pPr>
        <w:pStyle w:val="Indenta"/>
      </w:pPr>
      <w:r>
        <w:tab/>
        <w:t>(a)</w:t>
      </w:r>
      <w:r>
        <w:tab/>
        <w:t>adjust it for safe and correct operation; and</w:t>
      </w:r>
    </w:p>
    <w:p w:rsidR="00EA2503" w:rsidRDefault="00AE6AE5">
      <w:pPr>
        <w:pStyle w:val="Indenta"/>
        <w:keepNext/>
      </w:pPr>
      <w:r>
        <w:tab/>
        <w:t>(b)</w:t>
      </w:r>
      <w:r>
        <w:tab/>
        <w:t>if the consumer is present, demonstrate to the consumer the correct method of operating the appliance; and</w:t>
      </w:r>
    </w:p>
    <w:p w:rsidR="00EA2503" w:rsidRDefault="00AE6AE5">
      <w:pPr>
        <w:pStyle w:val="Indenta"/>
      </w:pPr>
      <w:r>
        <w:tab/>
        <w:t>(c)</w:t>
      </w:r>
      <w:r>
        <w:tab/>
        <w:t>attach to the appliance in a conspicuous position all instructions issued by the manufacturer as to the correct method of operating the appliance.</w:t>
      </w:r>
    </w:p>
    <w:p w:rsidR="00EA2503" w:rsidRDefault="00AE6AE5">
      <w:pPr>
        <w:pStyle w:val="Heading5"/>
      </w:pPr>
      <w:bookmarkStart w:id="37" w:name="_Toc75759066"/>
      <w:r>
        <w:rPr>
          <w:rStyle w:val="CharSectno"/>
        </w:rPr>
        <w:t>22</w:t>
      </w:r>
      <w:r>
        <w:t>.</w:t>
      </w:r>
      <w:r>
        <w:tab/>
        <w:t>Type B appliances, permanent connection of</w:t>
      </w:r>
      <w:bookmarkEnd w:id="37"/>
    </w:p>
    <w:p w:rsidR="00EA2503" w:rsidRDefault="00AE6AE5">
      <w:pPr>
        <w:pStyle w:val="Subsection"/>
      </w:pPr>
      <w:r>
        <w:tab/>
        <w:t>(1)</w:t>
      </w:r>
      <w:r>
        <w:tab/>
        <w:t>A gas fitter must not leave a Type B appliance permanently connected in a consumer’s gas installation unless an inspector has issued a certificate of compliance for the appliance under regulation 22A.</w:t>
      </w:r>
    </w:p>
    <w:p w:rsidR="00EA2503" w:rsidRDefault="00AE6AE5">
      <w:pPr>
        <w:pStyle w:val="Subsection"/>
        <w:keepLines/>
      </w:pPr>
      <w:r>
        <w:lastRenderedPageBreak/>
        <w:tab/>
        <w:t>(2)</w:t>
      </w:r>
      <w:r>
        <w:tab/>
        <w:t>For the purposes of subregulation (1), an appliance is not to be regarded as permanently connected if it is connected for a period approved in writing by an inspector pending inspection of the appliance by that inspector.</w:t>
      </w:r>
    </w:p>
    <w:p w:rsidR="00EA2503" w:rsidRDefault="00AE6AE5">
      <w:pPr>
        <w:pStyle w:val="Subsection"/>
      </w:pPr>
      <w:r>
        <w:tab/>
        <w:t>(3)</w:t>
      </w:r>
      <w:r>
        <w:tab/>
        <w:t>For the purposes of subregulation (2), an inspector may approve a period of no more than —</w:t>
      </w:r>
    </w:p>
    <w:p w:rsidR="00EA2503" w:rsidRDefault="00AE6AE5">
      <w:pPr>
        <w:pStyle w:val="Indenta"/>
      </w:pPr>
      <w:r>
        <w:tab/>
        <w:t>(a)</w:t>
      </w:r>
      <w:r>
        <w:tab/>
        <w:t>28 days; or</w:t>
      </w:r>
    </w:p>
    <w:p w:rsidR="00EA2503" w:rsidRDefault="00AE6AE5">
      <w:pPr>
        <w:pStyle w:val="Indenta"/>
      </w:pPr>
      <w:r>
        <w:tab/>
        <w:t>(b)</w:t>
      </w:r>
      <w:r>
        <w:tab/>
        <w:t>if in a particular case a longer period is required and the inspector gives written notice to the Director of the approval — 90 days.</w:t>
      </w:r>
    </w:p>
    <w:p w:rsidR="00EA2503" w:rsidRDefault="00AE6AE5">
      <w:pPr>
        <w:pStyle w:val="Subsection"/>
      </w:pPr>
      <w:r>
        <w:tab/>
        <w:t>(4)</w:t>
      </w:r>
      <w:r>
        <w:tab/>
        <w:t>The Director may, in a particular case, extend a period approved under subregulation (3)(a) or (b).</w:t>
      </w:r>
    </w:p>
    <w:p w:rsidR="00EA2503" w:rsidRDefault="00AE6AE5">
      <w:pPr>
        <w:pStyle w:val="Footnotesection"/>
      </w:pPr>
      <w:r>
        <w:tab/>
        <w:t>[Regulation 22 inserted: Gazette 19 Dec 2000 p. 7276</w:t>
      </w:r>
      <w:r>
        <w:noBreakHyphen/>
        <w:t>7.]</w:t>
      </w:r>
    </w:p>
    <w:p w:rsidR="00EA2503" w:rsidRDefault="00AE6AE5">
      <w:pPr>
        <w:pStyle w:val="Heading5"/>
      </w:pPr>
      <w:bookmarkStart w:id="38" w:name="_Toc75759067"/>
      <w:r>
        <w:rPr>
          <w:rStyle w:val="CharSectno"/>
        </w:rPr>
        <w:t>22A</w:t>
      </w:r>
      <w:r>
        <w:t>.</w:t>
      </w:r>
      <w:r>
        <w:tab/>
        <w:t>Type B appliances, inspection and certification of</w:t>
      </w:r>
      <w:bookmarkEnd w:id="38"/>
    </w:p>
    <w:p w:rsidR="00EA2503" w:rsidRDefault="00AE6AE5">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rsidR="00EA2503" w:rsidRDefault="00AE6AE5">
      <w:pPr>
        <w:pStyle w:val="Subsection"/>
      </w:pPr>
      <w:r>
        <w:tab/>
        <w:t>(2)</w:t>
      </w:r>
      <w:r>
        <w:tab/>
        <w:t>The certificate of compliance is issued by —</w:t>
      </w:r>
    </w:p>
    <w:p w:rsidR="00EA2503" w:rsidRDefault="00AE6AE5">
      <w:pPr>
        <w:pStyle w:val="Indenta"/>
      </w:pPr>
      <w:r>
        <w:tab/>
        <w:t>(a)</w:t>
      </w:r>
      <w:r>
        <w:tab/>
        <w:t>giving the certificate in an approved form to the Director; and</w:t>
      </w:r>
    </w:p>
    <w:p w:rsidR="00EA2503" w:rsidRDefault="00AE6AE5">
      <w:pPr>
        <w:pStyle w:val="Indenta"/>
      </w:pPr>
      <w:r>
        <w:tab/>
        <w:t>(b)</w:t>
      </w:r>
      <w:r>
        <w:tab/>
        <w:t>giving copies of the certificate to the relevant persons under subregulation (4) or (5); and</w:t>
      </w:r>
    </w:p>
    <w:p w:rsidR="00EA2503" w:rsidRDefault="00AE6AE5">
      <w:pPr>
        <w:pStyle w:val="Indenta"/>
      </w:pPr>
      <w:r>
        <w:tab/>
        <w:t>(c)</w:t>
      </w:r>
      <w:r>
        <w:tab/>
        <w:t>attaching an approved badge or label to the appliance in a conspicuous position.</w:t>
      </w:r>
    </w:p>
    <w:p w:rsidR="00EA2503" w:rsidRDefault="00AE6AE5">
      <w:pPr>
        <w:pStyle w:val="Subsection"/>
      </w:pPr>
      <w:r>
        <w:tab/>
        <w:t>(3)</w:t>
      </w:r>
      <w:r>
        <w:tab/>
        <w:t>The appliance may be inspected —</w:t>
      </w:r>
    </w:p>
    <w:p w:rsidR="00EA2503" w:rsidRDefault="00AE6AE5">
      <w:pPr>
        <w:pStyle w:val="Indenta"/>
      </w:pPr>
      <w:r>
        <w:tab/>
        <w:t>(a)</w:t>
      </w:r>
      <w:r>
        <w:tab/>
        <w:t>at the place where the appliance is installed and commissioned; or</w:t>
      </w:r>
    </w:p>
    <w:p w:rsidR="00EA2503" w:rsidRDefault="00AE6AE5">
      <w:pPr>
        <w:pStyle w:val="Indenta"/>
      </w:pPr>
      <w:r>
        <w:tab/>
        <w:t>(b)</w:t>
      </w:r>
      <w:r>
        <w:tab/>
        <w:t>if the Director so approves, at any other place.</w:t>
      </w:r>
    </w:p>
    <w:p w:rsidR="00EA2503" w:rsidRDefault="00AE6AE5">
      <w:pPr>
        <w:pStyle w:val="Subsection"/>
      </w:pPr>
      <w:r>
        <w:lastRenderedPageBreak/>
        <w:tab/>
        <w:t>(4)</w:t>
      </w:r>
      <w:r>
        <w:tab/>
        <w:t>If the inspection is carried out at the place where the appliance is installed and commissioned, a copy of the certificate of compliance is to be given to each of the following persons —</w:t>
      </w:r>
    </w:p>
    <w:p w:rsidR="00EA2503" w:rsidRDefault="00AE6AE5">
      <w:pPr>
        <w:pStyle w:val="Indenta"/>
        <w:spacing w:before="60"/>
      </w:pPr>
      <w:r>
        <w:tab/>
        <w:t>(a)</w:t>
      </w:r>
      <w:r>
        <w:tab/>
        <w:t>the gas fitter who commissioned the appliance;</w:t>
      </w:r>
    </w:p>
    <w:p w:rsidR="00EA2503" w:rsidRDefault="00AE6AE5">
      <w:pPr>
        <w:pStyle w:val="Indenta"/>
        <w:spacing w:before="60"/>
      </w:pPr>
      <w:r>
        <w:tab/>
        <w:t>(b)</w:t>
      </w:r>
      <w:r>
        <w:tab/>
        <w:t>the consumer for whom the appliance was installed and commissioned;</w:t>
      </w:r>
    </w:p>
    <w:p w:rsidR="00EA2503" w:rsidRDefault="00AE6AE5">
      <w:pPr>
        <w:pStyle w:val="Indenta"/>
        <w:spacing w:before="60"/>
      </w:pPr>
      <w:r>
        <w:tab/>
        <w:t>(c)</w:t>
      </w:r>
      <w:r>
        <w:tab/>
        <w:t>the gas supplier.</w:t>
      </w:r>
    </w:p>
    <w:p w:rsidR="00EA2503" w:rsidRDefault="00AE6AE5">
      <w:pPr>
        <w:pStyle w:val="Subsection"/>
      </w:pPr>
      <w:r>
        <w:tab/>
        <w:t>(5)</w:t>
      </w:r>
      <w:r>
        <w:tab/>
        <w:t>If the inspection is carried out at any other place under subregulation (3)(b), 3 copies of the certificate of compliance are to be given to the manufacturer.</w:t>
      </w:r>
    </w:p>
    <w:p w:rsidR="00EA2503" w:rsidRDefault="00AE6AE5">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rsidR="00EA2503" w:rsidRDefault="00AE6AE5">
      <w:pPr>
        <w:pStyle w:val="Indenta"/>
        <w:spacing w:before="60"/>
      </w:pPr>
      <w:r>
        <w:tab/>
        <w:t>(a)</w:t>
      </w:r>
      <w:r>
        <w:tab/>
        <w:t>the gas fitter who commissioned the appliance;</w:t>
      </w:r>
    </w:p>
    <w:p w:rsidR="00EA2503" w:rsidRDefault="00AE6AE5">
      <w:pPr>
        <w:pStyle w:val="Indenta"/>
        <w:spacing w:before="60"/>
      </w:pPr>
      <w:r>
        <w:tab/>
        <w:t>(b)</w:t>
      </w:r>
      <w:r>
        <w:tab/>
        <w:t>the consumer for whom the appliance was installed and commissioned;</w:t>
      </w:r>
    </w:p>
    <w:p w:rsidR="00EA2503" w:rsidRDefault="00AE6AE5">
      <w:pPr>
        <w:pStyle w:val="Indenta"/>
        <w:spacing w:before="60"/>
      </w:pPr>
      <w:r>
        <w:tab/>
        <w:t>(c)</w:t>
      </w:r>
      <w:r>
        <w:tab/>
        <w:t>the gas supplier.</w:t>
      </w:r>
    </w:p>
    <w:p w:rsidR="00EA2503" w:rsidRDefault="00AE6AE5">
      <w:pPr>
        <w:pStyle w:val="Footnotesection"/>
        <w:spacing w:before="100"/>
      </w:pPr>
      <w:r>
        <w:tab/>
        <w:t>[Regulation 22A inserted: Gazette 19 Dec 2000 p. 7277.]</w:t>
      </w:r>
    </w:p>
    <w:p w:rsidR="00EA2503" w:rsidRDefault="00AE6AE5">
      <w:pPr>
        <w:pStyle w:val="Heading5"/>
      </w:pPr>
      <w:bookmarkStart w:id="39" w:name="_Toc75759068"/>
      <w:r>
        <w:rPr>
          <w:rStyle w:val="CharSectno"/>
        </w:rPr>
        <w:t>23</w:t>
      </w:r>
      <w:r>
        <w:t>.</w:t>
      </w:r>
      <w:r>
        <w:tab/>
        <w:t>Servicing gas installations, gas fitters’ duties as to</w:t>
      </w:r>
      <w:bookmarkEnd w:id="39"/>
    </w:p>
    <w:p w:rsidR="00EA2503" w:rsidRDefault="00AE6AE5">
      <w:pPr>
        <w:pStyle w:val="Subsection"/>
        <w:spacing w:before="150"/>
      </w:pPr>
      <w:r>
        <w:tab/>
        <w:t>(1)</w:t>
      </w:r>
      <w:r>
        <w:tab/>
        <w:t>When a gas fitter services a consumer’s gas installation the gas fitter must record the service information.</w:t>
      </w:r>
    </w:p>
    <w:p w:rsidR="00EA2503" w:rsidRDefault="00AE6AE5">
      <w:pPr>
        <w:pStyle w:val="Subsection"/>
        <w:spacing w:before="150"/>
      </w:pPr>
      <w:r>
        <w:tab/>
        <w:t>(2)</w:t>
      </w:r>
      <w:r>
        <w:tab/>
        <w:t>The service information must be —</w:t>
      </w:r>
    </w:p>
    <w:p w:rsidR="00EA2503" w:rsidRDefault="00AE6AE5">
      <w:pPr>
        <w:pStyle w:val="Indenta"/>
        <w:spacing w:before="60"/>
      </w:pPr>
      <w:r>
        <w:tab/>
        <w:t>(a)</w:t>
      </w:r>
      <w:r>
        <w:tab/>
        <w:t>clearly and legibly displayed in permanent form on a badge or label attached to the consumer’s gas installation; or</w:t>
      </w:r>
    </w:p>
    <w:p w:rsidR="00EA2503" w:rsidRDefault="00AE6AE5">
      <w:pPr>
        <w:pStyle w:val="Indenta"/>
        <w:spacing w:before="60"/>
      </w:pPr>
      <w:r>
        <w:tab/>
        <w:t>(b)</w:t>
      </w:r>
      <w:r>
        <w:tab/>
        <w:t>recorded in accordance with an approval under subregulation (3).</w:t>
      </w:r>
    </w:p>
    <w:p w:rsidR="00EA2503" w:rsidRDefault="00AE6AE5">
      <w:pPr>
        <w:pStyle w:val="Subsection"/>
        <w:spacing w:before="150"/>
      </w:pPr>
      <w:r>
        <w:tab/>
        <w:t>(3)</w:t>
      </w:r>
      <w:r>
        <w:tab/>
        <w:t>The Director may, in a particular case or class of case, approve in writing another means of recording service information for a consumer’s gas installation.</w:t>
      </w:r>
    </w:p>
    <w:p w:rsidR="00EA2503" w:rsidRDefault="00AE6AE5">
      <w:pPr>
        <w:pStyle w:val="Subsection"/>
        <w:spacing w:before="120"/>
      </w:pPr>
      <w:r>
        <w:lastRenderedPageBreak/>
        <w:tab/>
        <w:t>(4)</w:t>
      </w:r>
      <w:r>
        <w:tab/>
        <w:t>In this regulation —</w:t>
      </w:r>
    </w:p>
    <w:p w:rsidR="00EA2503" w:rsidRDefault="00AE6AE5">
      <w:pPr>
        <w:pStyle w:val="Defstart"/>
      </w:pPr>
      <w:r>
        <w:tab/>
      </w:r>
      <w:r>
        <w:rPr>
          <w:rStyle w:val="CharDefText"/>
        </w:rPr>
        <w:t>service information</w:t>
      </w:r>
      <w:r>
        <w:t>, in relation to the servicing of a consumer’s gas installation, means —</w:t>
      </w:r>
    </w:p>
    <w:p w:rsidR="00EA2503" w:rsidRDefault="00AE6AE5">
      <w:pPr>
        <w:pStyle w:val="Defpara"/>
      </w:pPr>
      <w:r>
        <w:tab/>
        <w:t>(a)</w:t>
      </w:r>
      <w:r>
        <w:tab/>
        <w:t>the date that the servicing took place; and</w:t>
      </w:r>
    </w:p>
    <w:p w:rsidR="00EA2503" w:rsidRDefault="00AE6AE5">
      <w:pPr>
        <w:pStyle w:val="Defpara"/>
      </w:pPr>
      <w:r>
        <w:tab/>
        <w:t>(b)</w:t>
      </w:r>
      <w:r>
        <w:tab/>
        <w:t>the identification number endorsed on the certificate of competency, permit or authorisation held by the registered gas fitter who did or supervised the servicing.</w:t>
      </w:r>
    </w:p>
    <w:p w:rsidR="00EA2503" w:rsidRDefault="00AE6AE5">
      <w:pPr>
        <w:pStyle w:val="Heading5"/>
      </w:pPr>
      <w:bookmarkStart w:id="40" w:name="_Toc75759069"/>
      <w:r>
        <w:rPr>
          <w:rStyle w:val="CharSectno"/>
        </w:rPr>
        <w:t>24</w:t>
      </w:r>
      <w:r>
        <w:t>.</w:t>
      </w:r>
      <w:r>
        <w:tab/>
        <w:t>Inaccessible fitting lines, gas fitters’ duties as to</w:t>
      </w:r>
      <w:bookmarkEnd w:id="40"/>
    </w:p>
    <w:p w:rsidR="00EA2503" w:rsidRDefault="00AE6AE5">
      <w:pPr>
        <w:pStyle w:val="Subsection"/>
      </w:pPr>
      <w:r>
        <w:tab/>
      </w:r>
      <w:r>
        <w:tab/>
        <w:t>If a fitting line is in a location where it will not be readily accessible when in use, the gas fitter must ensure that before the fitting line becomes inaccessible —</w:t>
      </w:r>
    </w:p>
    <w:p w:rsidR="00EA2503" w:rsidRDefault="00AE6AE5">
      <w:pPr>
        <w:pStyle w:val="Indenta"/>
      </w:pPr>
      <w:r>
        <w:tab/>
        <w:t>(a)</w:t>
      </w:r>
      <w:r>
        <w:tab/>
        <w:t>all joints are welded or brazed; and</w:t>
      </w:r>
    </w:p>
    <w:p w:rsidR="00EA2503" w:rsidRDefault="00AE6AE5">
      <w:pPr>
        <w:pStyle w:val="Indenta"/>
      </w:pPr>
      <w:r>
        <w:tab/>
        <w:t>(b)</w:t>
      </w:r>
      <w:r>
        <w:tab/>
        <w:t>the line is pressure tested in accordance with these regulations.</w:t>
      </w:r>
    </w:p>
    <w:p w:rsidR="00EA2503" w:rsidRDefault="00AE6AE5">
      <w:pPr>
        <w:pStyle w:val="Heading5"/>
      </w:pPr>
      <w:bookmarkStart w:id="41" w:name="_Toc75759070"/>
      <w:r>
        <w:rPr>
          <w:rStyle w:val="CharSectno"/>
        </w:rPr>
        <w:t>25</w:t>
      </w:r>
      <w:r>
        <w:t>.</w:t>
      </w:r>
      <w:r>
        <w:tab/>
        <w:t>Fitting lines to be clean</w:t>
      </w:r>
      <w:bookmarkEnd w:id="41"/>
    </w:p>
    <w:p w:rsidR="00EA2503" w:rsidRDefault="00AE6AE5">
      <w:pPr>
        <w:pStyle w:val="Subsection"/>
      </w:pPr>
      <w:r>
        <w:tab/>
        <w:t>(1)</w:t>
      </w:r>
      <w:r>
        <w:tab/>
        <w:t>A gas fitter must ensure that a fitting line is thoroughly clean inside before it is installed.</w:t>
      </w:r>
    </w:p>
    <w:p w:rsidR="00EA2503" w:rsidRDefault="00AE6AE5">
      <w:pPr>
        <w:pStyle w:val="Subsection"/>
      </w:pPr>
      <w:r>
        <w:tab/>
        <w:t>(2)</w:t>
      </w:r>
      <w:r>
        <w:tab/>
        <w:t>At the end of each day’s work on a consumer’s gas installation the gas fitter must ensure that —</w:t>
      </w:r>
    </w:p>
    <w:p w:rsidR="00EA2503" w:rsidRDefault="00AE6AE5">
      <w:pPr>
        <w:pStyle w:val="Indenta"/>
      </w:pPr>
      <w:r>
        <w:tab/>
        <w:t>(a)</w:t>
      </w:r>
      <w:r>
        <w:tab/>
        <w:t>any open end of any fitting line is temporarily sealed against the entry of foreign matter; and</w:t>
      </w:r>
    </w:p>
    <w:p w:rsidR="00EA2503" w:rsidRDefault="00AE6AE5">
      <w:pPr>
        <w:pStyle w:val="Indenta"/>
      </w:pPr>
      <w:r>
        <w:tab/>
        <w:t>(b)</w:t>
      </w:r>
      <w:r>
        <w:tab/>
        <w:t>such other precautions are taken as are necessary to prevent the entry of foreign matter into the fitting line.</w:t>
      </w:r>
    </w:p>
    <w:p w:rsidR="00EA2503" w:rsidRDefault="00AE6AE5">
      <w:pPr>
        <w:pStyle w:val="Heading5"/>
        <w:keepNext w:val="0"/>
        <w:keepLines w:val="0"/>
      </w:pPr>
      <w:bookmarkStart w:id="42" w:name="_Toc75759071"/>
      <w:r>
        <w:rPr>
          <w:rStyle w:val="CharSectno"/>
        </w:rPr>
        <w:t>26</w:t>
      </w:r>
      <w:r>
        <w:t>.</w:t>
      </w:r>
      <w:r>
        <w:tab/>
        <w:t>Pressure testing gas installations</w:t>
      </w:r>
      <w:bookmarkEnd w:id="42"/>
    </w:p>
    <w:p w:rsidR="00EA2503" w:rsidRDefault="00AE6AE5">
      <w:pPr>
        <w:pStyle w:val="Subsection"/>
      </w:pPr>
      <w:r>
        <w:tab/>
        <w:t>(1)</w:t>
      </w:r>
      <w:r>
        <w:tab/>
        <w:t>If a gas fitter installs or does any work on a consumer’s gas installation, the gas fitter must ensure that, before the installation is commissioned —</w:t>
      </w:r>
    </w:p>
    <w:p w:rsidR="00EA2503" w:rsidRDefault="00AE6AE5">
      <w:pPr>
        <w:pStyle w:val="Indenta"/>
      </w:pPr>
      <w:r>
        <w:tab/>
        <w:t>(a)</w:t>
      </w:r>
      <w:r>
        <w:tab/>
        <w:t>the requirements of these regulations as to pressure testing are satisfied and the system is made gas</w:t>
      </w:r>
      <w:r>
        <w:noBreakHyphen/>
        <w:t>tight; and</w:t>
      </w:r>
    </w:p>
    <w:p w:rsidR="00EA2503" w:rsidRDefault="00AE6AE5">
      <w:pPr>
        <w:pStyle w:val="Indenta"/>
      </w:pPr>
      <w:r>
        <w:lastRenderedPageBreak/>
        <w:tab/>
        <w:t>(b)</w:t>
      </w:r>
      <w:r>
        <w:tab/>
        <w:t>if the gas supply is available for connection, the system is purged of all air or other gas except the gas on which the system is to operate.</w:t>
      </w:r>
    </w:p>
    <w:p w:rsidR="00EA2503" w:rsidRDefault="00AE6AE5">
      <w:pPr>
        <w:pStyle w:val="Subsection"/>
      </w:pPr>
      <w:r>
        <w:tab/>
        <w:t>(2)</w:t>
      </w:r>
      <w:r>
        <w:tab/>
        <w:t>The gas fitter must not use a medium except one of the following for pressure testing or for locating a leak in a consumer’s gas installation —</w:t>
      </w:r>
    </w:p>
    <w:p w:rsidR="00EA2503" w:rsidRDefault="00AE6AE5">
      <w:pPr>
        <w:pStyle w:val="Indenta"/>
      </w:pPr>
      <w:r>
        <w:tab/>
        <w:t>(a)</w:t>
      </w:r>
      <w:r>
        <w:tab/>
        <w:t>air;</w:t>
      </w:r>
    </w:p>
    <w:p w:rsidR="00EA2503" w:rsidRDefault="00AE6AE5">
      <w:pPr>
        <w:pStyle w:val="Indenta"/>
      </w:pPr>
      <w:r>
        <w:tab/>
        <w:t>(b)</w:t>
      </w:r>
      <w:r>
        <w:tab/>
        <w:t>carbon dioxide;</w:t>
      </w:r>
    </w:p>
    <w:p w:rsidR="00EA2503" w:rsidRDefault="00AE6AE5">
      <w:pPr>
        <w:pStyle w:val="Indenta"/>
      </w:pPr>
      <w:r>
        <w:tab/>
        <w:t>(c)</w:t>
      </w:r>
      <w:r>
        <w:tab/>
        <w:t>nitrogen;</w:t>
      </w:r>
    </w:p>
    <w:p w:rsidR="00EA2503" w:rsidRDefault="00AE6AE5">
      <w:pPr>
        <w:pStyle w:val="Indenta"/>
      </w:pPr>
      <w:r>
        <w:tab/>
        <w:t>(d)</w:t>
      </w:r>
      <w:r>
        <w:tab/>
        <w:t>the gas proposed to be used in the consumer’s gas installation;</w:t>
      </w:r>
    </w:p>
    <w:p w:rsidR="00EA2503" w:rsidRDefault="00AE6AE5">
      <w:pPr>
        <w:pStyle w:val="Indenta"/>
        <w:keepNext/>
      </w:pPr>
      <w:r>
        <w:tab/>
        <w:t>(e)</w:t>
      </w:r>
      <w:r>
        <w:tab/>
        <w:t>such other medium as is approved in writing by the Director or an authority recognized by the Director as a competent authority for that purpose.</w:t>
      </w:r>
    </w:p>
    <w:p w:rsidR="00EA2503" w:rsidRDefault="00AE6AE5">
      <w:pPr>
        <w:pStyle w:val="Subsection"/>
      </w:pPr>
      <w:r>
        <w:tab/>
        <w:t>(3)</w:t>
      </w:r>
      <w:r>
        <w:tab/>
        <w:t>If the use of water is approved under subregulation (2)(e), the person testing the consumer’s gas installation must ensure that the water is thoroughly removed from the installation before it is commissioned.</w:t>
      </w:r>
    </w:p>
    <w:p w:rsidR="00EA2503" w:rsidRDefault="00AE6AE5">
      <w:pPr>
        <w:pStyle w:val="Ednotesection"/>
      </w:pPr>
      <w:r>
        <w:t>[</w:t>
      </w:r>
      <w:r>
        <w:rPr>
          <w:b/>
        </w:rPr>
        <w:t>27.</w:t>
      </w:r>
      <w:r>
        <w:tab/>
        <w:t>Deleted: Gazette 21 Apr 2006 p. 1576.]</w:t>
      </w:r>
    </w:p>
    <w:p w:rsidR="00EA2503" w:rsidRDefault="00AE6AE5">
      <w:pPr>
        <w:pStyle w:val="Heading5"/>
      </w:pPr>
      <w:bookmarkStart w:id="43" w:name="_Toc75759072"/>
      <w:r>
        <w:rPr>
          <w:rStyle w:val="CharSectno"/>
        </w:rPr>
        <w:t>28</w:t>
      </w:r>
      <w:r>
        <w:t>.</w:t>
      </w:r>
      <w:r>
        <w:tab/>
        <w:t>Completion of gasfitting work, gas fitters’ duties on</w:t>
      </w:r>
      <w:bookmarkEnd w:id="43"/>
    </w:p>
    <w:p w:rsidR="00EA2503" w:rsidRDefault="00AE6AE5">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rsidR="00EA2503" w:rsidRDefault="00AE6AE5">
      <w:pPr>
        <w:pStyle w:val="Indenta"/>
      </w:pPr>
      <w:r>
        <w:rPr>
          <w:snapToGrid w:val="0"/>
        </w:rPr>
        <w:tab/>
        <w:t>(a)</w:t>
      </w:r>
      <w:r>
        <w:rPr>
          <w:snapToGrid w:val="0"/>
        </w:rPr>
        <w:tab/>
      </w:r>
      <w:r>
        <w:t>servicing a consumer’s gas installation; or</w:t>
      </w:r>
    </w:p>
    <w:p w:rsidR="00EA2503" w:rsidRDefault="00AE6AE5">
      <w:pPr>
        <w:pStyle w:val="Indenta"/>
        <w:rPr>
          <w:snapToGrid w:val="0"/>
        </w:rPr>
      </w:pPr>
      <w:r>
        <w:rPr>
          <w:snapToGrid w:val="0"/>
        </w:rPr>
        <w:tab/>
        <w:t>(b)</w:t>
      </w:r>
      <w:r>
        <w:rPr>
          <w:snapToGrid w:val="0"/>
        </w:rPr>
        <w:tab/>
      </w:r>
      <w:r>
        <w:t>gasfitting work to rectify a defect specified in a notice of defects</w:t>
      </w:r>
      <w:r>
        <w:rPr>
          <w:snapToGrid w:val="0"/>
        </w:rPr>
        <w:t>.</w:t>
      </w:r>
    </w:p>
    <w:p w:rsidR="00EA2503" w:rsidRDefault="00AE6AE5">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rsidR="00EA2503" w:rsidRDefault="00AE6AE5">
      <w:pPr>
        <w:pStyle w:val="Subsection"/>
      </w:pPr>
      <w:r>
        <w:lastRenderedPageBreak/>
        <w:tab/>
        <w:t>(3)</w:t>
      </w:r>
      <w:r>
        <w:tab/>
        <w:t>The registered gas fitter must give a notice of completion of the gasfitting work in accordance with this regulation.</w:t>
      </w:r>
    </w:p>
    <w:p w:rsidR="00EA2503" w:rsidRDefault="00AE6AE5">
      <w:pPr>
        <w:pStyle w:val="Subsection"/>
      </w:pPr>
      <w:r>
        <w:tab/>
        <w:t>(3a)</w:t>
      </w:r>
      <w:r>
        <w:tab/>
        <w:t>The notice of completion must be given within 48 hours of the completion of the gasfitting work to each of the following —</w:t>
      </w:r>
    </w:p>
    <w:p w:rsidR="00EA2503" w:rsidRDefault="00AE6AE5">
      <w:pPr>
        <w:pStyle w:val="Indenta"/>
      </w:pPr>
      <w:r>
        <w:tab/>
        <w:t>(a)</w:t>
      </w:r>
      <w:r>
        <w:tab/>
        <w:t>if the work was done on a mobile gas installation, or the gas supplier cannot be identified — the Director;</w:t>
      </w:r>
    </w:p>
    <w:p w:rsidR="00EA2503" w:rsidRDefault="00AE6AE5">
      <w:pPr>
        <w:pStyle w:val="Indenta"/>
      </w:pPr>
      <w:r>
        <w:tab/>
        <w:t>(b)</w:t>
      </w:r>
      <w:r>
        <w:tab/>
        <w:t>if the gas supplier can be identified and the work was not done on a mobile gas installation — the gas supplier;</w:t>
      </w:r>
    </w:p>
    <w:p w:rsidR="00EA2503" w:rsidRDefault="00AE6AE5">
      <w:pPr>
        <w:pStyle w:val="Indenta"/>
      </w:pPr>
      <w:r>
        <w:tab/>
        <w:t>(c)</w:t>
      </w:r>
      <w:r>
        <w:tab/>
        <w:t>the person for whom the gasfitting work was done,</w:t>
      </w:r>
    </w:p>
    <w:p w:rsidR="00EA2503" w:rsidRDefault="00AE6AE5">
      <w:pPr>
        <w:pStyle w:val="Subsection"/>
      </w:pPr>
      <w:r>
        <w:tab/>
      </w:r>
      <w:r>
        <w:tab/>
        <w:t>or as the Director otherwise approves in a particular case or class of case.</w:t>
      </w:r>
    </w:p>
    <w:p w:rsidR="00EA2503" w:rsidRDefault="00AE6AE5">
      <w:pPr>
        <w:pStyle w:val="Subsection"/>
      </w:pPr>
      <w:r>
        <w:tab/>
        <w:t>(4)</w:t>
      </w:r>
      <w:r>
        <w:tab/>
        <w:t>In the notice of completion, the registered gas fitter must certify that he or she has complied with the requirements in regulation 18(2).</w:t>
      </w:r>
    </w:p>
    <w:p w:rsidR="00EA2503" w:rsidRDefault="00AE6AE5">
      <w:pPr>
        <w:pStyle w:val="Subsection"/>
      </w:pPr>
      <w:r>
        <w:tab/>
        <w:t>(5)</w:t>
      </w:r>
      <w:r>
        <w:tab/>
        <w:t>The notice of completion is to be in an approved form.</w:t>
      </w:r>
    </w:p>
    <w:p w:rsidR="00EA2503" w:rsidRDefault="00AE6AE5">
      <w:pPr>
        <w:pStyle w:val="Subsection"/>
      </w:pPr>
      <w:r>
        <w:tab/>
        <w:t>(6)</w:t>
      </w:r>
      <w:r>
        <w:tab/>
        <w:t>The Director may, in a particular case or class of case, exempt a registered gas fitter from subregulation (2) or (3).</w:t>
      </w:r>
    </w:p>
    <w:p w:rsidR="00EA2503" w:rsidRDefault="00AE6AE5">
      <w:pPr>
        <w:pStyle w:val="Footnotesection"/>
      </w:pPr>
      <w:r>
        <w:tab/>
        <w:t>[Regulation 28 amended: Gazette 19 Dec 2000 p. 7278.]</w:t>
      </w:r>
    </w:p>
    <w:p w:rsidR="00EA2503" w:rsidRDefault="00AE6AE5">
      <w:pPr>
        <w:pStyle w:val="Heading5"/>
      </w:pPr>
      <w:bookmarkStart w:id="44" w:name="_Toc75759073"/>
      <w:r>
        <w:rPr>
          <w:rStyle w:val="CharSectno"/>
        </w:rPr>
        <w:t>29</w:t>
      </w:r>
      <w:r>
        <w:t>.</w:t>
      </w:r>
      <w:r>
        <w:tab/>
        <w:t>Defective gasfitting work, notice of defects to gas fitter</w:t>
      </w:r>
      <w:bookmarkEnd w:id="44"/>
    </w:p>
    <w:p w:rsidR="00EA2503" w:rsidRDefault="00AE6AE5">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rsidR="00EA2503" w:rsidRDefault="00AE6AE5">
      <w:pPr>
        <w:pStyle w:val="Subsection"/>
      </w:pPr>
      <w:r>
        <w:rPr>
          <w:snapToGrid w:val="0"/>
        </w:rPr>
        <w:tab/>
        <w:t>(2)</w:t>
      </w:r>
      <w:r>
        <w:rPr>
          <w:snapToGrid w:val="0"/>
        </w:rPr>
        <w:tab/>
        <w:t>The n</w:t>
      </w:r>
      <w:r>
        <w:t>otice of defects is to be in an approved form.</w:t>
      </w:r>
    </w:p>
    <w:p w:rsidR="00EA2503" w:rsidRDefault="00AE6AE5">
      <w:pPr>
        <w:pStyle w:val="Heading5"/>
        <w:keepNext w:val="0"/>
        <w:keepLines w:val="0"/>
      </w:pPr>
      <w:bookmarkStart w:id="45" w:name="_Toc75759074"/>
      <w:r>
        <w:rPr>
          <w:rStyle w:val="CharSectno"/>
        </w:rPr>
        <w:t>30</w:t>
      </w:r>
      <w:r>
        <w:t>.</w:t>
      </w:r>
      <w:r>
        <w:tab/>
        <w:t>Notice of defects, gas fitter’s duties as to</w:t>
      </w:r>
      <w:bookmarkEnd w:id="45"/>
    </w:p>
    <w:p w:rsidR="00EA2503" w:rsidRDefault="00AE6AE5">
      <w:pPr>
        <w:pStyle w:val="Subsection"/>
        <w:rPr>
          <w:snapToGrid w:val="0"/>
        </w:rPr>
      </w:pPr>
      <w:r>
        <w:tab/>
        <w:t>(1)</w:t>
      </w:r>
      <w:r>
        <w:tab/>
      </w:r>
      <w:r>
        <w:rPr>
          <w:snapToGrid w:val="0"/>
        </w:rPr>
        <w:t>Unless the registered gas fitter appeals under regulation 31 against a notice of defects, the registered gas fitter must within 7 days —</w:t>
      </w:r>
    </w:p>
    <w:p w:rsidR="00EA2503" w:rsidRDefault="00AE6AE5">
      <w:pPr>
        <w:pStyle w:val="Indenta"/>
      </w:pPr>
      <w:r>
        <w:tab/>
        <w:t>(a)</w:t>
      </w:r>
      <w:r>
        <w:tab/>
      </w:r>
      <w:r>
        <w:rPr>
          <w:snapToGrid w:val="0"/>
        </w:rPr>
        <w:t>ensure that the gasfitting work is made to comply with these regulations; and</w:t>
      </w:r>
    </w:p>
    <w:p w:rsidR="00EA2503" w:rsidRDefault="00AE6AE5">
      <w:pPr>
        <w:pStyle w:val="Indenta"/>
        <w:rPr>
          <w:snapToGrid w:val="0"/>
        </w:rPr>
      </w:pPr>
      <w:r>
        <w:lastRenderedPageBreak/>
        <w:tab/>
        <w:t>(b)</w:t>
      </w:r>
      <w:r>
        <w:tab/>
      </w:r>
      <w:r>
        <w:rPr>
          <w:snapToGrid w:val="0"/>
        </w:rPr>
        <w:t>give a notice of rectification to the inspector that the work has been made to so comply.</w:t>
      </w:r>
    </w:p>
    <w:p w:rsidR="00EA2503" w:rsidRDefault="00AE6AE5">
      <w:pPr>
        <w:pStyle w:val="Subsection"/>
      </w:pPr>
      <w:r>
        <w:rPr>
          <w:snapToGrid w:val="0"/>
        </w:rPr>
        <w:tab/>
        <w:t>(2)</w:t>
      </w:r>
      <w:r>
        <w:rPr>
          <w:snapToGrid w:val="0"/>
        </w:rPr>
        <w:tab/>
        <w:t>The n</w:t>
      </w:r>
      <w:r>
        <w:t>otice of rectification is to be in an approved form.</w:t>
      </w:r>
    </w:p>
    <w:p w:rsidR="00EA2503" w:rsidRDefault="00AE6AE5">
      <w:pPr>
        <w:pStyle w:val="Heading5"/>
      </w:pPr>
      <w:bookmarkStart w:id="46" w:name="_Toc75759075"/>
      <w:r>
        <w:rPr>
          <w:rStyle w:val="CharSectno"/>
        </w:rPr>
        <w:t>31</w:t>
      </w:r>
      <w:r>
        <w:rPr>
          <w:snapToGrid w:val="0"/>
        </w:rPr>
        <w:t>.</w:t>
      </w:r>
      <w:r>
        <w:rPr>
          <w:snapToGrid w:val="0"/>
        </w:rPr>
        <w:tab/>
        <w:t>Appeal against notice of defects</w:t>
      </w:r>
      <w:bookmarkEnd w:id="46"/>
    </w:p>
    <w:p w:rsidR="00EA2503" w:rsidRDefault="00AE6AE5">
      <w:pPr>
        <w:pStyle w:val="Subsection"/>
      </w:pPr>
      <w:r>
        <w:tab/>
        <w:t>(1)</w:t>
      </w:r>
      <w:r>
        <w:tab/>
        <w:t>A registered gas fitter may, within 48 hours of receiving a notice of defects, appeal in writing to the Director against the notice.</w:t>
      </w:r>
    </w:p>
    <w:p w:rsidR="00EA2503" w:rsidRDefault="00AE6AE5">
      <w:pPr>
        <w:pStyle w:val="Subsection"/>
      </w:pPr>
      <w:r>
        <w:tab/>
        <w:t>(2)</w:t>
      </w:r>
      <w:r>
        <w:tab/>
        <w:t>On an appeal under subregulation (1), the Director may confirm, vary or cancel the notice of defects and the Director’s decision is final.</w:t>
      </w:r>
    </w:p>
    <w:p w:rsidR="00EA2503" w:rsidRDefault="00AE6AE5">
      <w:pPr>
        <w:pStyle w:val="Subsection"/>
      </w:pPr>
      <w:r>
        <w:tab/>
        <w:t>(3)</w:t>
      </w:r>
      <w:r>
        <w:tab/>
        <w:t>The person must comply with the final decision within 7 days.</w:t>
      </w:r>
    </w:p>
    <w:p w:rsidR="00EA2503" w:rsidRDefault="00AE6AE5">
      <w:pPr>
        <w:pStyle w:val="Heading2"/>
      </w:pPr>
      <w:bookmarkStart w:id="47" w:name="_Toc75416356"/>
      <w:bookmarkStart w:id="48" w:name="_Toc75416848"/>
      <w:bookmarkStart w:id="49" w:name="_Toc75759076"/>
      <w:r>
        <w:rPr>
          <w:rStyle w:val="CharPartNo"/>
        </w:rPr>
        <w:lastRenderedPageBreak/>
        <w:t>Part 4A</w:t>
      </w:r>
      <w:r>
        <w:t> — </w:t>
      </w:r>
      <w:r>
        <w:rPr>
          <w:rStyle w:val="CharPartText"/>
        </w:rPr>
        <w:t>Appeals under section 13N(1)(b) of the Act</w:t>
      </w:r>
      <w:bookmarkEnd w:id="47"/>
      <w:bookmarkEnd w:id="48"/>
      <w:bookmarkEnd w:id="49"/>
    </w:p>
    <w:p w:rsidR="00EA2503" w:rsidRDefault="00AE6AE5">
      <w:pPr>
        <w:pStyle w:val="Footnoteheading"/>
      </w:pPr>
      <w:r>
        <w:tab/>
        <w:t>[Heading inserted: Gazette 30 Nov 2007 p. 5934.]</w:t>
      </w:r>
    </w:p>
    <w:p w:rsidR="00EA2503" w:rsidRDefault="00AE6AE5">
      <w:pPr>
        <w:pStyle w:val="Heading5"/>
      </w:pPr>
      <w:bookmarkStart w:id="50" w:name="_Toc75759077"/>
      <w:r>
        <w:rPr>
          <w:rStyle w:val="CharSectno"/>
        </w:rPr>
        <w:t>31A</w:t>
      </w:r>
      <w:r>
        <w:t>.</w:t>
      </w:r>
      <w:r>
        <w:tab/>
        <w:t>Terms used</w:t>
      </w:r>
      <w:bookmarkEnd w:id="50"/>
    </w:p>
    <w:p w:rsidR="00EA2503" w:rsidRDefault="00AE6AE5">
      <w:pPr>
        <w:pStyle w:val="Subsection"/>
      </w:pPr>
      <w:r>
        <w:tab/>
      </w:r>
      <w:r>
        <w:tab/>
        <w:t xml:space="preserve">In this Part — </w:t>
      </w:r>
    </w:p>
    <w:p w:rsidR="00EA2503" w:rsidRDefault="00AE6AE5">
      <w:pPr>
        <w:pStyle w:val="Defstart"/>
      </w:pPr>
      <w:r>
        <w:tab/>
      </w:r>
      <w:r>
        <w:rPr>
          <w:rStyle w:val="CharDefText"/>
        </w:rPr>
        <w:t>appeal</w:t>
      </w:r>
      <w:r>
        <w:t xml:space="preserve"> means an appeal under section 13N(1)(b) of the Act;</w:t>
      </w:r>
    </w:p>
    <w:p w:rsidR="00EA2503" w:rsidRDefault="00AE6AE5">
      <w:pPr>
        <w:pStyle w:val="Defstart"/>
      </w:pPr>
      <w:r>
        <w:tab/>
      </w:r>
      <w:r>
        <w:rPr>
          <w:rStyle w:val="CharDefText"/>
        </w:rPr>
        <w:t>appellant</w:t>
      </w:r>
      <w:r>
        <w:t xml:space="preserve"> means a person aggrieved who commences an appeal;</w:t>
      </w:r>
    </w:p>
    <w:p w:rsidR="00EA2503" w:rsidRDefault="00AE6AE5">
      <w:pPr>
        <w:pStyle w:val="Defstart"/>
      </w:pPr>
      <w:r>
        <w:tab/>
      </w:r>
      <w:r>
        <w:rPr>
          <w:rStyle w:val="CharDefText"/>
        </w:rPr>
        <w:t>technical review panel</w:t>
      </w:r>
      <w:r>
        <w:t xml:space="preserve"> means a panel mentioned in section 13N(1)(b) of the Act.</w:t>
      </w:r>
    </w:p>
    <w:p w:rsidR="00EA2503" w:rsidRDefault="00AE6AE5">
      <w:pPr>
        <w:pStyle w:val="Footnotesection"/>
      </w:pPr>
      <w:r>
        <w:tab/>
        <w:t>[Regulation 31A inserted: Gazette 30 Nov 2007 p. 5934.]</w:t>
      </w:r>
    </w:p>
    <w:p w:rsidR="00EA2503" w:rsidRDefault="00AE6AE5">
      <w:pPr>
        <w:pStyle w:val="Heading5"/>
      </w:pPr>
      <w:bookmarkStart w:id="51" w:name="_Toc75759078"/>
      <w:r>
        <w:rPr>
          <w:rStyle w:val="CharSectno"/>
        </w:rPr>
        <w:t>31B</w:t>
      </w:r>
      <w:r>
        <w:t>.</w:t>
      </w:r>
      <w:r>
        <w:tab/>
        <w:t>Technical review panel, convening of etc.</w:t>
      </w:r>
      <w:bookmarkEnd w:id="51"/>
    </w:p>
    <w:p w:rsidR="00EA2503" w:rsidRDefault="00AE6AE5">
      <w:pPr>
        <w:pStyle w:val="Subsection"/>
      </w:pPr>
      <w:r>
        <w:tab/>
        <w:t>(1)</w:t>
      </w:r>
      <w:r>
        <w:tab/>
        <w:t>If an appeal is made under section 13N(1)(b) of the Act, the chief executive officer must convene a technical review panel.</w:t>
      </w:r>
    </w:p>
    <w:p w:rsidR="00EA2503" w:rsidRDefault="00AE6AE5">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rsidR="00EA2503" w:rsidRDefault="00AE6AE5">
      <w:pPr>
        <w:pStyle w:val="Subsection"/>
      </w:pPr>
      <w:r>
        <w:tab/>
        <w:t>(3)</w:t>
      </w:r>
      <w:r>
        <w:tab/>
        <w:t>The chief executive officer must appoint one of the members of the technical review panel to be the chairperson.</w:t>
      </w:r>
    </w:p>
    <w:p w:rsidR="00EA2503" w:rsidRDefault="00AE6AE5">
      <w:pPr>
        <w:pStyle w:val="Subsection"/>
      </w:pPr>
      <w:r>
        <w:tab/>
        <w:t>(4)</w:t>
      </w:r>
      <w:r>
        <w:tab/>
        <w:t xml:space="preserve">The chief executive officer may — </w:t>
      </w:r>
    </w:p>
    <w:p w:rsidR="00EA2503" w:rsidRDefault="00AE6AE5">
      <w:pPr>
        <w:pStyle w:val="Indenta"/>
      </w:pPr>
      <w:r>
        <w:tab/>
        <w:t>(a)</w:t>
      </w:r>
      <w:r>
        <w:tab/>
        <w:t>direct that the members of the technical review panel are to be paid remuneration; and</w:t>
      </w:r>
    </w:p>
    <w:p w:rsidR="00EA2503" w:rsidRDefault="00AE6AE5">
      <w:pPr>
        <w:pStyle w:val="Indenta"/>
      </w:pPr>
      <w:r>
        <w:tab/>
        <w:t>(b)</w:t>
      </w:r>
      <w:r>
        <w:tab/>
        <w:t>determine the amount of any such payments on the recommendation of the Public Sector Commissioner.</w:t>
      </w:r>
    </w:p>
    <w:p w:rsidR="00EA2503" w:rsidRDefault="00AE6AE5">
      <w:pPr>
        <w:pStyle w:val="Subsection"/>
      </w:pPr>
      <w:r>
        <w:tab/>
        <w:t>(5)</w:t>
      </w:r>
      <w:r>
        <w:tab/>
        <w:t>The chief executive officer must provide the technical review panel with such support services as it may reasonably require.</w:t>
      </w:r>
    </w:p>
    <w:p w:rsidR="00EA2503" w:rsidRDefault="00AE6AE5">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rsidR="00EA2503" w:rsidRDefault="00AE6AE5">
      <w:pPr>
        <w:pStyle w:val="Heading5"/>
      </w:pPr>
      <w:bookmarkStart w:id="52" w:name="_Toc75759079"/>
      <w:r>
        <w:rPr>
          <w:rStyle w:val="CharSectno"/>
        </w:rPr>
        <w:lastRenderedPageBreak/>
        <w:t>31C</w:t>
      </w:r>
      <w:r>
        <w:t>.</w:t>
      </w:r>
      <w:r>
        <w:tab/>
        <w:t>Procedure for appeals</w:t>
      </w:r>
      <w:bookmarkEnd w:id="52"/>
    </w:p>
    <w:p w:rsidR="00EA2503" w:rsidRDefault="00AE6AE5">
      <w:pPr>
        <w:pStyle w:val="Subsection"/>
      </w:pPr>
      <w:r>
        <w:tab/>
        <w:t>(1)</w:t>
      </w:r>
      <w:r>
        <w:tab/>
        <w:t>An appeal must be commenced by the appellant giving the chief executive officer a notice of appeal.</w:t>
      </w:r>
    </w:p>
    <w:p w:rsidR="00EA2503" w:rsidRDefault="00AE6AE5">
      <w:pPr>
        <w:pStyle w:val="Subsection"/>
      </w:pPr>
      <w:r>
        <w:tab/>
        <w:t>(2)</w:t>
      </w:r>
      <w:r>
        <w:tab/>
        <w:t xml:space="preserve">The notice of appeal must — </w:t>
      </w:r>
    </w:p>
    <w:p w:rsidR="00EA2503" w:rsidRDefault="00AE6AE5">
      <w:pPr>
        <w:pStyle w:val="Indenta"/>
      </w:pPr>
      <w:r>
        <w:tab/>
        <w:t>(a)</w:t>
      </w:r>
      <w:r>
        <w:tab/>
        <w:t>be in writing; and</w:t>
      </w:r>
    </w:p>
    <w:p w:rsidR="00EA2503" w:rsidRDefault="00AE6AE5">
      <w:pPr>
        <w:pStyle w:val="Indenta"/>
      </w:pPr>
      <w:r>
        <w:tab/>
        <w:t>(b)</w:t>
      </w:r>
      <w:r>
        <w:tab/>
        <w:t>set out the grounds of appeal; and</w:t>
      </w:r>
    </w:p>
    <w:p w:rsidR="00EA2503" w:rsidRDefault="00AE6AE5">
      <w:pPr>
        <w:pStyle w:val="Indenta"/>
      </w:pPr>
      <w:r>
        <w:tab/>
        <w:t>(c)</w:t>
      </w:r>
      <w:r>
        <w:tab/>
        <w:t>set out any representations that the appellant wishes to make in support of the appeal.</w:t>
      </w:r>
    </w:p>
    <w:p w:rsidR="00EA2503" w:rsidRDefault="00AE6AE5">
      <w:pPr>
        <w:pStyle w:val="Subsection"/>
      </w:pPr>
      <w:r>
        <w:tab/>
        <w:t>(3)</w:t>
      </w:r>
      <w:r>
        <w:tab/>
        <w:t>The notice of appeal must be given to the chief executive officer within 30 days after the day on which the appellant received written notice of the Director’s determination under section 13M(4) of the Act.</w:t>
      </w:r>
    </w:p>
    <w:p w:rsidR="00EA2503" w:rsidRDefault="00AE6AE5">
      <w:pPr>
        <w:pStyle w:val="Subsection"/>
      </w:pPr>
      <w:r>
        <w:tab/>
        <w:t>(4)</w:t>
      </w:r>
      <w:r>
        <w:tab/>
        <w:t>The chief executive officer must give the technical review panel the notice of appeal as soon as practicable after the technical review panel is convened.</w:t>
      </w:r>
    </w:p>
    <w:p w:rsidR="00EA2503" w:rsidRDefault="00AE6AE5">
      <w:pPr>
        <w:pStyle w:val="Subsection"/>
      </w:pPr>
      <w:r>
        <w:tab/>
        <w:t>(5)</w:t>
      </w:r>
      <w:r>
        <w:tab/>
        <w:t>Subject to subregulation (6), the technical review panel may determine its own procedure.</w:t>
      </w:r>
    </w:p>
    <w:p w:rsidR="00EA2503" w:rsidRDefault="00AE6AE5">
      <w:pPr>
        <w:pStyle w:val="Subsection"/>
      </w:pPr>
      <w:r>
        <w:tab/>
        <w:t>(6)</w:t>
      </w:r>
      <w:r>
        <w:tab/>
        <w:t xml:space="preserve">The technical review panel must give the Director — </w:t>
      </w:r>
    </w:p>
    <w:p w:rsidR="00EA2503" w:rsidRDefault="00AE6AE5">
      <w:pPr>
        <w:pStyle w:val="Indenta"/>
      </w:pPr>
      <w:r>
        <w:tab/>
        <w:t>(a)</w:t>
      </w:r>
      <w:r>
        <w:tab/>
        <w:t>a copy of the notice of appeal; and</w:t>
      </w:r>
    </w:p>
    <w:p w:rsidR="00EA2503" w:rsidRDefault="00AE6AE5">
      <w:pPr>
        <w:pStyle w:val="Indenta"/>
      </w:pPr>
      <w:r>
        <w:tab/>
        <w:t>(b)</w:t>
      </w:r>
      <w:r>
        <w:tab/>
        <w:t>a reasonable opportunity to make submissions in relation to the appeal.</w:t>
      </w:r>
    </w:p>
    <w:p w:rsidR="00EA2503" w:rsidRDefault="00AE6AE5">
      <w:pPr>
        <w:pStyle w:val="Subsection"/>
      </w:pPr>
      <w:r>
        <w:tab/>
        <w:t>(7)</w:t>
      </w:r>
      <w:r>
        <w:tab/>
        <w:t>The technical review panel must complete the review by making a decision under section 13N(3) of the Act within the period specified by the chief executive officer in writing.</w:t>
      </w:r>
    </w:p>
    <w:p w:rsidR="00EA2503" w:rsidRDefault="00AE6AE5">
      <w:pPr>
        <w:pStyle w:val="Subsection"/>
      </w:pPr>
      <w:r>
        <w:tab/>
        <w:t>(8)</w:t>
      </w:r>
      <w:r>
        <w:tab/>
        <w:t>The technical review panel must give the appellant and the Director written notice of its decision made under section 13N(3) of the Act.</w:t>
      </w:r>
    </w:p>
    <w:p w:rsidR="00EA2503" w:rsidRDefault="00AE6AE5">
      <w:pPr>
        <w:pStyle w:val="Footnotesection"/>
      </w:pPr>
      <w:r>
        <w:tab/>
        <w:t>[Regulation 31C inserted: Gazette 30 Nov 2007 p. 5935.]</w:t>
      </w:r>
    </w:p>
    <w:p w:rsidR="00EA2503" w:rsidRDefault="00AE6AE5">
      <w:pPr>
        <w:pStyle w:val="Heading2"/>
      </w:pPr>
      <w:bookmarkStart w:id="53" w:name="_Toc75416360"/>
      <w:bookmarkStart w:id="54" w:name="_Toc75416852"/>
      <w:bookmarkStart w:id="55" w:name="_Toc75759080"/>
      <w:r>
        <w:rPr>
          <w:rStyle w:val="CharPartNo"/>
        </w:rPr>
        <w:lastRenderedPageBreak/>
        <w:t>Part 5</w:t>
      </w:r>
      <w:r>
        <w:rPr>
          <w:rStyle w:val="CharDivNo"/>
        </w:rPr>
        <w:t xml:space="preserve"> </w:t>
      </w:r>
      <w:r>
        <w:t>—</w:t>
      </w:r>
      <w:r>
        <w:rPr>
          <w:rStyle w:val="CharDivText"/>
        </w:rPr>
        <w:t xml:space="preserve"> </w:t>
      </w:r>
      <w:r>
        <w:rPr>
          <w:rStyle w:val="CharPartText"/>
        </w:rPr>
        <w:t>Requirements for consumers’ gas installations</w:t>
      </w:r>
      <w:bookmarkEnd w:id="53"/>
      <w:bookmarkEnd w:id="54"/>
      <w:bookmarkEnd w:id="55"/>
    </w:p>
    <w:p w:rsidR="00EA2503" w:rsidRDefault="00AE6AE5">
      <w:pPr>
        <w:pStyle w:val="Heading5"/>
        <w:spacing w:before="180"/>
      </w:pPr>
      <w:bookmarkStart w:id="56" w:name="_Toc75759081"/>
      <w:r>
        <w:rPr>
          <w:rStyle w:val="CharSectno"/>
        </w:rPr>
        <w:t>32</w:t>
      </w:r>
      <w:r>
        <w:t>.</w:t>
      </w:r>
      <w:r>
        <w:tab/>
        <w:t>Consumer’s gas installations, requirements for prescribed (Act s. 13)</w:t>
      </w:r>
      <w:bookmarkEnd w:id="56"/>
    </w:p>
    <w:p w:rsidR="00EA2503" w:rsidRDefault="00AE6AE5">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rsidR="00EA2503" w:rsidRDefault="00AE6AE5">
      <w:pPr>
        <w:pStyle w:val="Indenta"/>
        <w:spacing w:before="60"/>
      </w:pPr>
      <w:r>
        <w:tab/>
        <w:t>(a)</w:t>
      </w:r>
      <w:r>
        <w:tab/>
        <w:t>Schedule 6; and</w:t>
      </w:r>
    </w:p>
    <w:p w:rsidR="00EA2503" w:rsidRDefault="00AE6AE5">
      <w:pPr>
        <w:pStyle w:val="Indenta"/>
        <w:spacing w:before="60"/>
        <w:rPr>
          <w:snapToGrid w:val="0"/>
        </w:rPr>
      </w:pPr>
      <w:r>
        <w:tab/>
        <w:t>(b)</w:t>
      </w:r>
      <w:r>
        <w:tab/>
      </w:r>
      <w:r>
        <w:rPr>
          <w:snapToGrid w:val="0"/>
        </w:rPr>
        <w:t>a code or standard set out in Schedule 7 relating to that installation.</w:t>
      </w:r>
    </w:p>
    <w:p w:rsidR="00EA2503" w:rsidRDefault="00AE6AE5">
      <w:pPr>
        <w:pStyle w:val="Subsection"/>
        <w:spacing w:before="120"/>
        <w:rPr>
          <w:snapToGrid w:val="0"/>
        </w:rPr>
      </w:pPr>
      <w:r>
        <w:tab/>
        <w:t>(2)</w:t>
      </w:r>
      <w:r>
        <w:tab/>
      </w:r>
      <w:r>
        <w:rPr>
          <w:snapToGrid w:val="0"/>
        </w:rPr>
        <w:t>To the extent that Schedule 6 modifies, replaces or is inconsistent with the code or standard, Schedule 6 prevails.</w:t>
      </w:r>
    </w:p>
    <w:p w:rsidR="00EA2503" w:rsidRDefault="00AE6AE5">
      <w:pPr>
        <w:pStyle w:val="Subsection"/>
        <w:spacing w:before="120"/>
        <w:rPr>
          <w:snapToGrid w:val="0"/>
        </w:rPr>
      </w:pPr>
      <w:r>
        <w:tab/>
        <w:t>(3)</w:t>
      </w:r>
      <w:r>
        <w:tab/>
      </w:r>
      <w:r>
        <w:rPr>
          <w:snapToGrid w:val="0"/>
        </w:rPr>
        <w:t>The Director may, in relation to a consumer’s gas installation or type of consumer’s gas installation —</w:t>
      </w:r>
    </w:p>
    <w:p w:rsidR="00EA2503" w:rsidRDefault="00AE6AE5">
      <w:pPr>
        <w:pStyle w:val="Indenta"/>
        <w:spacing w:before="50"/>
        <w:rPr>
          <w:snapToGrid w:val="0"/>
        </w:rPr>
      </w:pPr>
      <w:r>
        <w:tab/>
        <w:t>(a)</w:t>
      </w:r>
      <w:r>
        <w:tab/>
      </w:r>
      <w:r>
        <w:rPr>
          <w:snapToGrid w:val="0"/>
        </w:rPr>
        <w:t>vary a requirement prescribed under subregulation (1); or</w:t>
      </w:r>
    </w:p>
    <w:p w:rsidR="00EA2503" w:rsidRDefault="00AE6AE5">
      <w:pPr>
        <w:pStyle w:val="Indenta"/>
        <w:spacing w:before="50"/>
      </w:pPr>
      <w:r>
        <w:tab/>
        <w:t>(b)</w:t>
      </w:r>
      <w:r>
        <w:tab/>
      </w:r>
      <w:r>
        <w:rPr>
          <w:snapToGrid w:val="0"/>
        </w:rPr>
        <w:t>specify that a requirement prescribed under subregulation (1) does not apply; or</w:t>
      </w:r>
    </w:p>
    <w:p w:rsidR="00EA2503" w:rsidRDefault="00AE6AE5">
      <w:pPr>
        <w:pStyle w:val="Indenta"/>
        <w:spacing w:before="50"/>
        <w:rPr>
          <w:snapToGrid w:val="0"/>
        </w:rPr>
      </w:pPr>
      <w:r>
        <w:tab/>
        <w:t>(c)</w:t>
      </w:r>
      <w:r>
        <w:tab/>
      </w:r>
      <w:r>
        <w:rPr>
          <w:snapToGrid w:val="0"/>
        </w:rPr>
        <w:t>specify a requirement in addition to the requirements prescribed under subregulation (1).</w:t>
      </w:r>
    </w:p>
    <w:p w:rsidR="00EA2503" w:rsidRDefault="00AE6AE5">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rsidR="00EA2503" w:rsidRDefault="00AE6AE5">
      <w:pPr>
        <w:pStyle w:val="Subsection"/>
        <w:spacing w:before="120"/>
      </w:pPr>
      <w:r>
        <w:tab/>
        <w:t>(5)</w:t>
      </w:r>
      <w:r>
        <w:tab/>
        <w:t>In subregulation (4), the reference to an amendment to Schedule 7 includes a reference to any amendments to these regulations consequential upon the amendment.</w:t>
      </w:r>
    </w:p>
    <w:p w:rsidR="00EA2503" w:rsidRDefault="00AE6AE5">
      <w:pPr>
        <w:pStyle w:val="Footnotesection"/>
        <w:spacing w:before="80"/>
        <w:ind w:left="890" w:hanging="890"/>
      </w:pPr>
      <w:r>
        <w:tab/>
        <w:t>[Regulation 32 amended: Gazette 21 Apr 2006 p. 1576; 26 Nov 2010 p. 5930-1.]</w:t>
      </w:r>
    </w:p>
    <w:p w:rsidR="00EA2503" w:rsidRDefault="00AE6AE5">
      <w:pPr>
        <w:pStyle w:val="Heading5"/>
      </w:pPr>
      <w:bookmarkStart w:id="57" w:name="_Toc75759082"/>
      <w:r>
        <w:rPr>
          <w:rStyle w:val="CharSectno"/>
        </w:rPr>
        <w:lastRenderedPageBreak/>
        <w:t>32A</w:t>
      </w:r>
      <w:r>
        <w:t>.</w:t>
      </w:r>
      <w:r>
        <w:tab/>
        <w:t>Gas installations outside consumer’s land, plan required for</w:t>
      </w:r>
      <w:bookmarkEnd w:id="57"/>
    </w:p>
    <w:p w:rsidR="00EA2503" w:rsidRDefault="00AE6AE5">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rsidR="00EA2503" w:rsidRDefault="00AE6AE5">
      <w:pPr>
        <w:pStyle w:val="Subsection"/>
      </w:pPr>
      <w:r>
        <w:tab/>
        <w:t>(2)</w:t>
      </w:r>
      <w:r>
        <w:tab/>
        <w:t>The Director may approve a plan or, if the Director considers that a plan submitted to the Director for approval is inadequate, the Director may direct that the plan be amended before it is implemented.</w:t>
      </w:r>
    </w:p>
    <w:p w:rsidR="00EA2503" w:rsidRDefault="00AE6AE5">
      <w:pPr>
        <w:pStyle w:val="Subsection"/>
      </w:pPr>
      <w:r>
        <w:tab/>
        <w:t>(3)</w:t>
      </w:r>
      <w:r>
        <w:tab/>
        <w:t>If the Director directs that a plan be amended, the plan is to be amended and resubmitted for approval before work on that part of the installation commences.</w:t>
      </w:r>
    </w:p>
    <w:p w:rsidR="00EA2503" w:rsidRDefault="00AE6AE5">
      <w:pPr>
        <w:pStyle w:val="Subsection"/>
      </w:pPr>
      <w:r>
        <w:tab/>
        <w:t>(4)</w:t>
      </w:r>
      <w:r>
        <w:tab/>
        <w:t>The part of the consumer’s gas installation that is subject to a plan must be constructed, operated and maintained in accordance with the plan approved by the Director.</w:t>
      </w:r>
    </w:p>
    <w:p w:rsidR="00EA2503" w:rsidRDefault="00AE6AE5">
      <w:pPr>
        <w:pStyle w:val="Footnotesection"/>
      </w:pPr>
      <w:r>
        <w:tab/>
        <w:t>[Regulation 32A inserted: Gazette 21 Apr 2006 p. 1576.]</w:t>
      </w:r>
    </w:p>
    <w:p w:rsidR="00EA2503" w:rsidRDefault="00AE6AE5">
      <w:pPr>
        <w:pStyle w:val="Heading5"/>
      </w:pPr>
      <w:bookmarkStart w:id="58" w:name="_Toc75759083"/>
      <w:r>
        <w:rPr>
          <w:rStyle w:val="CharSectno"/>
        </w:rPr>
        <w:t>33</w:t>
      </w:r>
      <w:r>
        <w:rPr>
          <w:snapToGrid w:val="0"/>
        </w:rPr>
        <w:t>.</w:t>
      </w:r>
      <w:r>
        <w:rPr>
          <w:snapToGrid w:val="0"/>
        </w:rPr>
        <w:tab/>
        <w:t>Terms used in codes and standards</w:t>
      </w:r>
      <w:bookmarkEnd w:id="58"/>
    </w:p>
    <w:p w:rsidR="00EA2503" w:rsidRDefault="00AE6AE5">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rsidR="00EA2503" w:rsidRDefault="00AE6AE5">
      <w:pPr>
        <w:pStyle w:val="Subsection"/>
        <w:rPr>
          <w:snapToGrid w:val="0"/>
        </w:rPr>
      </w:pPr>
      <w:r>
        <w:tab/>
        <w:t>(2)</w:t>
      </w:r>
      <w:r>
        <w:tab/>
      </w:r>
      <w:r>
        <w:rPr>
          <w:snapToGrid w:val="0"/>
        </w:rPr>
        <w:t>A reference in a code or standard to an “Authority” is to be read as a reference to —</w:t>
      </w:r>
    </w:p>
    <w:p w:rsidR="00EA2503" w:rsidRDefault="00AE6AE5">
      <w:pPr>
        <w:pStyle w:val="Indenta"/>
      </w:pPr>
      <w:r>
        <w:tab/>
        <w:t>(a)</w:t>
      </w:r>
      <w:r>
        <w:tab/>
      </w:r>
      <w:r>
        <w:rPr>
          <w:snapToGrid w:val="0"/>
        </w:rPr>
        <w:t>the Director; or</w:t>
      </w:r>
    </w:p>
    <w:p w:rsidR="00EA2503" w:rsidRDefault="00AE6AE5">
      <w:pPr>
        <w:pStyle w:val="Indenta"/>
        <w:rPr>
          <w:snapToGrid w:val="0"/>
        </w:rPr>
      </w:pPr>
      <w:r>
        <w:tab/>
        <w:t>(b)</w:t>
      </w:r>
      <w:r>
        <w:tab/>
      </w:r>
      <w:r>
        <w:rPr>
          <w:snapToGrid w:val="0"/>
        </w:rPr>
        <w:t>if the Director so approves, an inspector.</w:t>
      </w:r>
    </w:p>
    <w:p w:rsidR="00EA2503" w:rsidRDefault="00AE6AE5">
      <w:pPr>
        <w:pStyle w:val="Subsection"/>
        <w:rPr>
          <w:snapToGrid w:val="0"/>
        </w:rPr>
      </w:pPr>
      <w:r>
        <w:tab/>
        <w:t>(3)</w:t>
      </w:r>
      <w:r>
        <w:tab/>
      </w:r>
      <w:r>
        <w:rPr>
          <w:snapToGrid w:val="0"/>
        </w:rPr>
        <w:t xml:space="preserve">In </w:t>
      </w:r>
      <w:r>
        <w:t>AS/NZS 5601</w:t>
      </w:r>
      <w:r>
        <w:rPr>
          <w:snapToGrid w:val="0"/>
        </w:rPr>
        <w:t> —</w:t>
      </w:r>
    </w:p>
    <w:p w:rsidR="00EA2503" w:rsidRDefault="00AE6AE5">
      <w:pPr>
        <w:pStyle w:val="Indenta"/>
      </w:pPr>
      <w:r>
        <w:tab/>
        <w:t>(a)</w:t>
      </w:r>
      <w:r>
        <w:tab/>
      </w:r>
      <w:r>
        <w:rPr>
          <w:snapToGrid w:val="0"/>
        </w:rPr>
        <w:t>a reference to a “consumer billing meter” is to be read as a reference to a master meter; and</w:t>
      </w:r>
    </w:p>
    <w:p w:rsidR="00EA2503" w:rsidRDefault="00AE6AE5">
      <w:pPr>
        <w:pStyle w:val="Indenta"/>
        <w:keepNext/>
        <w:rPr>
          <w:snapToGrid w:val="0"/>
        </w:rPr>
      </w:pPr>
      <w:r>
        <w:lastRenderedPageBreak/>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rsidR="00EA2503" w:rsidRDefault="00AE6AE5">
      <w:pPr>
        <w:pStyle w:val="Footnotesection"/>
      </w:pPr>
      <w:r>
        <w:tab/>
        <w:t>[Regulation 33 amended: Gazette 19 Dec 2000 p. 7278; 31 Jan 2003 p. 280; 21 Apr 2006 p. 1576; 18 Jan 2011 p. 147.]</w:t>
      </w:r>
    </w:p>
    <w:p w:rsidR="00EA2503" w:rsidRDefault="00AE6AE5">
      <w:pPr>
        <w:pStyle w:val="Heading2"/>
      </w:pPr>
      <w:bookmarkStart w:id="59" w:name="_Toc75416364"/>
      <w:bookmarkStart w:id="60" w:name="_Toc75416856"/>
      <w:bookmarkStart w:id="61" w:name="_Toc75759084"/>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59"/>
      <w:bookmarkEnd w:id="60"/>
      <w:bookmarkEnd w:id="61"/>
    </w:p>
    <w:p w:rsidR="00EA2503" w:rsidRDefault="00AE6AE5">
      <w:pPr>
        <w:pStyle w:val="Heading5"/>
      </w:pPr>
      <w:bookmarkStart w:id="62" w:name="_Toc75759085"/>
      <w:r>
        <w:rPr>
          <w:rStyle w:val="CharSectno"/>
        </w:rPr>
        <w:t>34</w:t>
      </w:r>
      <w:r>
        <w:t>.</w:t>
      </w:r>
      <w:r>
        <w:tab/>
        <w:t>Records about gas fitters, employers to keep</w:t>
      </w:r>
      <w:bookmarkEnd w:id="62"/>
    </w:p>
    <w:p w:rsidR="00EA2503" w:rsidRDefault="00AE6AE5">
      <w:pPr>
        <w:pStyle w:val="Subsection"/>
      </w:pPr>
      <w:r>
        <w:tab/>
        <w:t>(1)</w:t>
      </w:r>
      <w:r>
        <w:tab/>
        <w:t>An employer must keep a record in relation to each gas fitter employed to do gasfitting work.</w:t>
      </w:r>
    </w:p>
    <w:p w:rsidR="00EA2503" w:rsidRDefault="00AE6AE5">
      <w:pPr>
        <w:pStyle w:val="Subsection"/>
      </w:pPr>
      <w:r>
        <w:tab/>
        <w:t>(2)</w:t>
      </w:r>
      <w:r>
        <w:tab/>
        <w:t>A record must contain —</w:t>
      </w:r>
    </w:p>
    <w:p w:rsidR="00EA2503" w:rsidRDefault="00AE6AE5">
      <w:pPr>
        <w:pStyle w:val="Indenta"/>
      </w:pPr>
      <w:r>
        <w:tab/>
        <w:t>(a)</w:t>
      </w:r>
      <w:r>
        <w:tab/>
        <w:t>the name and address of the gas fitter; and</w:t>
      </w:r>
    </w:p>
    <w:p w:rsidR="00EA2503" w:rsidRDefault="00AE6AE5">
      <w:pPr>
        <w:pStyle w:val="Indenta"/>
      </w:pPr>
      <w:r>
        <w:tab/>
        <w:t>(b)</w:t>
      </w:r>
      <w:r>
        <w:tab/>
        <w:t>the identifying number and grade of the gas fitter’s certificate of competency, permit or authorisation and any restrictions, limitations, conditions or restrictions on the certificate, permit or authorisation.</w:t>
      </w:r>
    </w:p>
    <w:p w:rsidR="00EA2503" w:rsidRDefault="00AE6AE5">
      <w:pPr>
        <w:pStyle w:val="Subsection"/>
      </w:pPr>
      <w:r>
        <w:tab/>
        <w:t>(3)</w:t>
      </w:r>
      <w:r>
        <w:tab/>
        <w:t>The employer must keep a record for at least 2 years after the gas fitter stops being an employee.</w:t>
      </w:r>
    </w:p>
    <w:p w:rsidR="00EA2503" w:rsidRDefault="00AE6AE5">
      <w:pPr>
        <w:pStyle w:val="Subsection"/>
      </w:pPr>
      <w:r>
        <w:tab/>
        <w:t>(4)</w:t>
      </w:r>
      <w:r>
        <w:tab/>
        <w:t>The employer must make a record available for inspection by an inspector during normal office hours.</w:t>
      </w:r>
    </w:p>
    <w:p w:rsidR="00EA2503" w:rsidRDefault="00AE6AE5">
      <w:pPr>
        <w:pStyle w:val="Heading5"/>
      </w:pPr>
      <w:bookmarkStart w:id="63" w:name="_Toc75759086"/>
      <w:r>
        <w:rPr>
          <w:rStyle w:val="CharSectno"/>
        </w:rPr>
        <w:t>35</w:t>
      </w:r>
      <w:r>
        <w:t>.</w:t>
      </w:r>
      <w:r>
        <w:tab/>
        <w:t>Gas suppliers’ duties after gasfitting work on installation that only has Type A gas appliance</w:t>
      </w:r>
      <w:bookmarkEnd w:id="63"/>
    </w:p>
    <w:p w:rsidR="00EA2503" w:rsidRDefault="00AE6AE5">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rsidR="00EA2503" w:rsidRDefault="00AE6AE5">
      <w:pPr>
        <w:pStyle w:val="Subsection"/>
      </w:pPr>
      <w:r>
        <w:tab/>
        <w:t>(2)</w:t>
      </w:r>
      <w:r>
        <w:tab/>
        <w:t>Subregulation (1) does not apply to gasfitting work done on a consumer’s gas installation associated with a caravan, marine craft or mobile engine.</w:t>
      </w:r>
    </w:p>
    <w:p w:rsidR="00EA2503" w:rsidRDefault="00AE6AE5">
      <w:pPr>
        <w:pStyle w:val="Subsection"/>
      </w:pPr>
      <w:r>
        <w:tab/>
        <w:t>(3)</w:t>
      </w:r>
      <w:r>
        <w:tab/>
        <w:t>The Director may, in a particular case or class of case, exempt a gas supplier from subregulation (1).</w:t>
      </w:r>
    </w:p>
    <w:p w:rsidR="00EA2503" w:rsidRDefault="00AE6AE5">
      <w:pPr>
        <w:pStyle w:val="Footnotesection"/>
      </w:pPr>
      <w:r>
        <w:tab/>
        <w:t>[Regulation 35 amended: Gazette 19 Dec 2000 p. 7278; 30 Nov 2007 p. 5936.]</w:t>
      </w:r>
    </w:p>
    <w:p w:rsidR="00EA2503" w:rsidRDefault="00AE6AE5">
      <w:pPr>
        <w:pStyle w:val="Heading5"/>
      </w:pPr>
      <w:bookmarkStart w:id="64" w:name="_Toc75759087"/>
      <w:r>
        <w:rPr>
          <w:rStyle w:val="CharSectno"/>
        </w:rPr>
        <w:lastRenderedPageBreak/>
        <w:t>35A</w:t>
      </w:r>
      <w:r>
        <w:t>.</w:t>
      </w:r>
      <w:r>
        <w:tab/>
        <w:t>Gas suppliers’ duties after gasfitting work on installation that includes Type B appliance</w:t>
      </w:r>
      <w:bookmarkEnd w:id="64"/>
    </w:p>
    <w:p w:rsidR="00EA2503" w:rsidRDefault="00AE6AE5">
      <w:pPr>
        <w:pStyle w:val="Subsection"/>
      </w:pPr>
      <w:r>
        <w:tab/>
        <w:t>(1)</w:t>
      </w:r>
      <w:r>
        <w:tab/>
        <w:t>If gasfitting work is done on a consumer’s gas installation that includes a Type B appliance and that is not supplied with gas, a gas supplier must not supply gas to the installation unless the gas supplier —</w:t>
      </w:r>
    </w:p>
    <w:p w:rsidR="00EA2503" w:rsidRDefault="00AE6AE5">
      <w:pPr>
        <w:pStyle w:val="Indenta"/>
      </w:pPr>
      <w:r>
        <w:tab/>
        <w:t>(a)</w:t>
      </w:r>
      <w:r>
        <w:tab/>
        <w:t>has received the notice or all notices of completion of the work; and</w:t>
      </w:r>
    </w:p>
    <w:p w:rsidR="00EA2503" w:rsidRDefault="00AE6AE5">
      <w:pPr>
        <w:pStyle w:val="Indenta"/>
      </w:pPr>
      <w:r>
        <w:tab/>
        <w:t>(b)</w:t>
      </w:r>
      <w:r>
        <w:tab/>
        <w:t>is satisfied that each appliance in the gas installation complies with clause 501 of Schedule 6.</w:t>
      </w:r>
    </w:p>
    <w:p w:rsidR="00EA2503" w:rsidRDefault="00AE6AE5">
      <w:pPr>
        <w:pStyle w:val="Subsection"/>
      </w:pPr>
      <w:r>
        <w:tab/>
        <w:t>(2)</w:t>
      </w:r>
      <w:r>
        <w:tab/>
        <w:t>To avoid doubt, the gas supplier is not prevented by this regulation from imposing other requirements consistent with the Act and these regulations before it supplies gas.</w:t>
      </w:r>
    </w:p>
    <w:p w:rsidR="00EA2503" w:rsidRDefault="00AE6AE5">
      <w:pPr>
        <w:pStyle w:val="Footnotesection"/>
      </w:pPr>
      <w:r>
        <w:tab/>
        <w:t>[Regulation 35A inserted: Gazette 19 Dec 2000 p. 7278</w:t>
      </w:r>
      <w:r>
        <w:noBreakHyphen/>
        <w:t>9.]</w:t>
      </w:r>
    </w:p>
    <w:p w:rsidR="00EA2503" w:rsidRDefault="00AE6AE5">
      <w:pPr>
        <w:pStyle w:val="Heading5"/>
      </w:pPr>
      <w:bookmarkStart w:id="65" w:name="_Toc75759088"/>
      <w:r>
        <w:rPr>
          <w:rStyle w:val="CharSectno"/>
        </w:rPr>
        <w:t>35B</w:t>
      </w:r>
      <w:r>
        <w:t>.</w:t>
      </w:r>
      <w:r>
        <w:tab/>
        <w:t>Gas suppliers’ duties as to Type B appliance in existing gas installation</w:t>
      </w:r>
      <w:bookmarkEnd w:id="65"/>
    </w:p>
    <w:p w:rsidR="00EA2503" w:rsidRDefault="00AE6AE5">
      <w:pPr>
        <w:pStyle w:val="Subsection"/>
      </w:pPr>
      <w:r>
        <w:tab/>
        <w:t>(1)</w:t>
      </w:r>
      <w:r>
        <w:tab/>
        <w:t>If —</w:t>
      </w:r>
    </w:p>
    <w:p w:rsidR="00EA2503" w:rsidRDefault="00AE6AE5">
      <w:pPr>
        <w:pStyle w:val="Indenta"/>
      </w:pPr>
      <w:r>
        <w:tab/>
        <w:t>(a)</w:t>
      </w:r>
      <w:r>
        <w:tab/>
        <w:t>a Type B appliance is installed in a gas installation that is supplied with gas; or</w:t>
      </w:r>
    </w:p>
    <w:p w:rsidR="00EA2503" w:rsidRDefault="00AE6AE5">
      <w:pPr>
        <w:pStyle w:val="Indenta"/>
      </w:pPr>
      <w:r>
        <w:tab/>
        <w:t>(b)</w:t>
      </w:r>
      <w:r>
        <w:tab/>
        <w:t>a Type B appliance, that is installed in a gas installation that is supplied with gas, is modified after a certificate of compliance in relation to the appliance has been issued under regulation 22A,</w:t>
      </w:r>
    </w:p>
    <w:p w:rsidR="00EA2503" w:rsidRDefault="00AE6AE5">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rsidR="00EA2503" w:rsidRDefault="00AE6AE5">
      <w:pPr>
        <w:pStyle w:val="Subsection"/>
        <w:keepNext/>
      </w:pPr>
      <w:r>
        <w:tab/>
        <w:t>(2)</w:t>
      </w:r>
      <w:r>
        <w:tab/>
        <w:t>The gas supplier may only give permission for gas to be supplied to the appliance if the gas supplier —</w:t>
      </w:r>
    </w:p>
    <w:p w:rsidR="00EA2503" w:rsidRDefault="00AE6AE5">
      <w:pPr>
        <w:pStyle w:val="Indenta"/>
      </w:pPr>
      <w:r>
        <w:tab/>
        <w:t>(a)</w:t>
      </w:r>
      <w:r>
        <w:tab/>
        <w:t>has received the notice or all notices of completion of the work to install or modify the appliance; and</w:t>
      </w:r>
    </w:p>
    <w:p w:rsidR="00EA2503" w:rsidRDefault="00AE6AE5">
      <w:pPr>
        <w:pStyle w:val="Indenta"/>
      </w:pPr>
      <w:r>
        <w:lastRenderedPageBreak/>
        <w:tab/>
        <w:t>(b)</w:t>
      </w:r>
      <w:r>
        <w:tab/>
        <w:t>if subregulation (1)(a) applies — is satisfied that each appliance in the gas installation complies with clause 501 of Schedule 6; and</w:t>
      </w:r>
    </w:p>
    <w:p w:rsidR="00EA2503" w:rsidRDefault="00AE6AE5">
      <w:pPr>
        <w:pStyle w:val="Indenta"/>
      </w:pPr>
      <w:r>
        <w:tab/>
        <w:t>(c)</w:t>
      </w:r>
      <w:r>
        <w:tab/>
        <w:t>if subregulation (1)(b) applies — has received a copy of the approval of the modification under regulation 20.</w:t>
      </w:r>
    </w:p>
    <w:p w:rsidR="00EA2503" w:rsidRDefault="00AE6AE5">
      <w:pPr>
        <w:pStyle w:val="Subsection"/>
      </w:pPr>
      <w:r>
        <w:tab/>
        <w:t>(3)</w:t>
      </w:r>
      <w:r>
        <w:tab/>
        <w:t>To avoid doubt, the gas supplier is not prevented by this regulation from imposing other requirements consistent with the Act and these regulations before it permits the supply of gas.</w:t>
      </w:r>
    </w:p>
    <w:p w:rsidR="00EA2503" w:rsidRDefault="00AE6AE5">
      <w:pPr>
        <w:pStyle w:val="Footnotesection"/>
      </w:pPr>
      <w:r>
        <w:tab/>
        <w:t>[Regulation 35B inserted: Gazette 19 Dec 2000 p. 7279.]</w:t>
      </w:r>
    </w:p>
    <w:p w:rsidR="00EA2503" w:rsidRDefault="00AE6AE5">
      <w:pPr>
        <w:pStyle w:val="Heading5"/>
      </w:pPr>
      <w:bookmarkStart w:id="66" w:name="_Toc75759089"/>
      <w:r>
        <w:rPr>
          <w:rStyle w:val="CharSectno"/>
        </w:rPr>
        <w:t>36</w:t>
      </w:r>
      <w:r>
        <w:t>.</w:t>
      </w:r>
      <w:r>
        <w:tab/>
        <w:t>Consumers’ duties as to gas installations</w:t>
      </w:r>
      <w:bookmarkEnd w:id="66"/>
    </w:p>
    <w:p w:rsidR="00EA2503" w:rsidRDefault="00AE6AE5">
      <w:pPr>
        <w:pStyle w:val="Subsection"/>
      </w:pPr>
      <w:r>
        <w:tab/>
        <w:t>(1)</w:t>
      </w:r>
      <w:r>
        <w:tab/>
        <w:t>The consumer for whom a Type B appliance is installed must ensure that the appliance is not used until an inspector has issued a certificate of compliance in relation to the appliance under regulation 22A.</w:t>
      </w:r>
    </w:p>
    <w:p w:rsidR="00EA2503" w:rsidRDefault="00AE6AE5">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rsidR="00EA2503" w:rsidRDefault="00AE6AE5">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rsidR="00EA2503" w:rsidRDefault="00AE6AE5">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rsidR="00EA2503" w:rsidRDefault="00AE6AE5">
      <w:pPr>
        <w:pStyle w:val="Indenta"/>
      </w:pPr>
      <w:r>
        <w:tab/>
        <w:t>(a)</w:t>
      </w:r>
      <w:r>
        <w:tab/>
        <w:t>within 2 years after the device or fitting line regulator is installed; and</w:t>
      </w:r>
    </w:p>
    <w:p w:rsidR="00EA2503" w:rsidRDefault="00AE6AE5">
      <w:pPr>
        <w:pStyle w:val="Indenta"/>
      </w:pPr>
      <w:r>
        <w:tab/>
        <w:t>(b)</w:t>
      </w:r>
      <w:r>
        <w:tab/>
        <w:t>thereafter within 2 years after it was last serviced in accordance with this subregulation.</w:t>
      </w:r>
    </w:p>
    <w:p w:rsidR="00EA2503" w:rsidRDefault="00AE6AE5">
      <w:pPr>
        <w:pStyle w:val="Subsection"/>
        <w:spacing w:before="100"/>
      </w:pPr>
      <w:r>
        <w:lastRenderedPageBreak/>
        <w:tab/>
        <w:t>(3)</w:t>
      </w:r>
      <w:r>
        <w:tab/>
        <w:t>If a consumer’s gas installation is a mobile engine that uses LPG or natural gas as fuel, the consumer must ensure that the apparatus in the installation is maintained and serviced by a registered gas fitter in accordance with —</w:t>
      </w:r>
    </w:p>
    <w:p w:rsidR="00EA2503" w:rsidRDefault="00AE6AE5">
      <w:pPr>
        <w:pStyle w:val="Indenta"/>
      </w:pPr>
      <w:r>
        <w:tab/>
        <w:t>(a)</w:t>
      </w:r>
      <w:r>
        <w:tab/>
        <w:t>in the case of a vehicle mobile engine that uses LPG, AS/NZS 1425; or</w:t>
      </w:r>
    </w:p>
    <w:p w:rsidR="00EA2503" w:rsidRDefault="00AE6AE5">
      <w:pPr>
        <w:pStyle w:val="Indenta"/>
      </w:pPr>
      <w:r>
        <w:tab/>
        <w:t>(b)</w:t>
      </w:r>
      <w:r>
        <w:tab/>
        <w:t>in the case of a vehicle mobile engine that uses compressed natural gas, AS 2739; or</w:t>
      </w:r>
    </w:p>
    <w:p w:rsidR="00EA2503" w:rsidRDefault="00AE6AE5">
      <w:pPr>
        <w:pStyle w:val="Indenta"/>
      </w:pPr>
      <w:r>
        <w:tab/>
        <w:t>(c)</w:t>
      </w:r>
      <w:r>
        <w:tab/>
        <w:t>in the case of a marine mobile engine that uses LPG, AS 4732; or</w:t>
      </w:r>
    </w:p>
    <w:p w:rsidR="00EA2503" w:rsidRDefault="00AE6AE5">
      <w:pPr>
        <w:pStyle w:val="Indenta"/>
      </w:pPr>
      <w:r>
        <w:tab/>
        <w:t>(d)</w:t>
      </w:r>
      <w:r>
        <w:tab/>
        <w:t>in the case of a forklift mobile engine that uses compressed natural gas or LPG, AS 4983.</w:t>
      </w:r>
    </w:p>
    <w:p w:rsidR="00EA2503" w:rsidRDefault="00AE6AE5">
      <w:pPr>
        <w:pStyle w:val="Subsection"/>
      </w:pPr>
      <w:r>
        <w:tab/>
        <w:t>(4A)</w:t>
      </w:r>
      <w:r>
        <w:tab/>
        <w:t>If a consumer’s gas installation includes a Type B appliance, the consumer must ensure that the appliance is maintained and serviced by a registered gas fitter in accordance with AS 3814.</w:t>
      </w:r>
    </w:p>
    <w:p w:rsidR="00EA2503" w:rsidRDefault="00AE6AE5">
      <w:pPr>
        <w:pStyle w:val="Subsection"/>
      </w:pPr>
      <w:r>
        <w:tab/>
        <w:t>(4B)</w:t>
      </w:r>
      <w:r>
        <w:tab/>
        <w:t>Subregulation (4A) does not apply to a gas installation to which subregulation (3) applies.</w:t>
      </w:r>
    </w:p>
    <w:p w:rsidR="00EA2503" w:rsidRDefault="00AE6AE5">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rsidR="00EA2503" w:rsidRDefault="00AE6AE5">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rsidR="00EA2503" w:rsidRDefault="00AE6AE5">
      <w:pPr>
        <w:pStyle w:val="Subsection"/>
        <w:spacing w:before="100"/>
      </w:pPr>
      <w:r>
        <w:tab/>
        <w:t>(6)</w:t>
      </w:r>
      <w:r>
        <w:tab/>
        <w:t>A consumer required by subregulation (2), (3) or (4A) to ensure that the consumer’s gas installation is serviced must make and maintain a record of —</w:t>
      </w:r>
    </w:p>
    <w:p w:rsidR="00EA2503" w:rsidRDefault="00AE6AE5">
      <w:pPr>
        <w:pStyle w:val="Indenta"/>
      </w:pPr>
      <w:r>
        <w:tab/>
        <w:t>(a)</w:t>
      </w:r>
      <w:r>
        <w:tab/>
        <w:t>the date on which each service was carried out; and</w:t>
      </w:r>
    </w:p>
    <w:p w:rsidR="00EA2503" w:rsidRDefault="00AE6AE5">
      <w:pPr>
        <w:pStyle w:val="Indenta"/>
      </w:pPr>
      <w:r>
        <w:tab/>
        <w:t>(b)</w:t>
      </w:r>
      <w:r>
        <w:tab/>
        <w:t>the registered gas fitter by whom each service was carried out.</w:t>
      </w:r>
    </w:p>
    <w:p w:rsidR="00EA2503" w:rsidRDefault="00AE6AE5">
      <w:pPr>
        <w:pStyle w:val="Subsection"/>
      </w:pPr>
      <w:r>
        <w:lastRenderedPageBreak/>
        <w:tab/>
        <w:t>(7)</w:t>
      </w:r>
      <w:r>
        <w:tab/>
        <w:t>A consumer must make a record under subregulation (6) available for inspection by an inspector upon reasonable request.</w:t>
      </w:r>
    </w:p>
    <w:p w:rsidR="00EA2503" w:rsidRDefault="00AE6AE5">
      <w:pPr>
        <w:pStyle w:val="Subsection"/>
        <w:spacing w:before="120"/>
      </w:pPr>
      <w:r>
        <w:tab/>
        <w:t>(8)</w:t>
      </w:r>
      <w:r>
        <w:tab/>
        <w:t>A record is not required by subregulation (6) to be kept of a service carried out more than 2 years previously.</w:t>
      </w:r>
    </w:p>
    <w:p w:rsidR="00EA2503" w:rsidRDefault="00AE6AE5">
      <w:pPr>
        <w:pStyle w:val="Footnotesection"/>
      </w:pPr>
      <w:r>
        <w:tab/>
        <w:t>[Regulation 36 amended: Gazette 19 Dec 2000 p. 7279</w:t>
      </w:r>
      <w:r>
        <w:noBreakHyphen/>
        <w:t>80; 21 Apr 2006 p. 1576</w:t>
      </w:r>
      <w:r>
        <w:noBreakHyphen/>
        <w:t>7; 26 Nov 2010 p. 5931.]</w:t>
      </w:r>
    </w:p>
    <w:p w:rsidR="00EA2503" w:rsidRDefault="00AE6AE5">
      <w:pPr>
        <w:pStyle w:val="Heading5"/>
      </w:pPr>
      <w:bookmarkStart w:id="67" w:name="_Toc75759090"/>
      <w:r>
        <w:rPr>
          <w:rStyle w:val="CharSectno"/>
        </w:rPr>
        <w:t>37</w:t>
      </w:r>
      <w:r>
        <w:t>.</w:t>
      </w:r>
      <w:r>
        <w:tab/>
        <w:t>Service apparatus not to be installed etc. without owner’s authority</w:t>
      </w:r>
      <w:bookmarkEnd w:id="67"/>
    </w:p>
    <w:p w:rsidR="00EA2503" w:rsidRDefault="00AE6AE5">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rsidR="00EA2503" w:rsidRDefault="00AE6AE5">
      <w:pPr>
        <w:pStyle w:val="Subsection"/>
        <w:spacing w:before="120"/>
      </w:pPr>
      <w:r>
        <w:tab/>
        <w:t>(2)</w:t>
      </w:r>
      <w:r>
        <w:tab/>
        <w:t>In subregulation (1) —</w:t>
      </w:r>
    </w:p>
    <w:p w:rsidR="00EA2503" w:rsidRDefault="00AE6AE5">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rsidR="00EA2503" w:rsidRDefault="00AE6AE5">
      <w:pPr>
        <w:pStyle w:val="Heading5"/>
      </w:pPr>
      <w:bookmarkStart w:id="68" w:name="_Toc75759091"/>
      <w:r>
        <w:rPr>
          <w:rStyle w:val="CharSectno"/>
        </w:rPr>
        <w:t>38</w:t>
      </w:r>
      <w:r>
        <w:t>.</w:t>
      </w:r>
      <w:r>
        <w:tab/>
        <w:t>Misleading statements etc. by gas fitters etc.</w:t>
      </w:r>
      <w:bookmarkEnd w:id="68"/>
    </w:p>
    <w:p w:rsidR="00EA2503" w:rsidRDefault="00AE6AE5">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rsidR="00EA2503" w:rsidRDefault="00AE6AE5">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rsidR="00EA2503" w:rsidRDefault="00AE6AE5">
      <w:pPr>
        <w:pStyle w:val="Indenta"/>
        <w:spacing w:before="60"/>
      </w:pPr>
      <w:r>
        <w:tab/>
        <w:t>(a)</w:t>
      </w:r>
      <w:r>
        <w:tab/>
      </w:r>
      <w:r>
        <w:rPr>
          <w:snapToGrid w:val="0"/>
        </w:rPr>
        <w:t>to be approved by any person or body; or</w:t>
      </w:r>
    </w:p>
    <w:p w:rsidR="00EA2503" w:rsidRDefault="00AE6AE5">
      <w:pPr>
        <w:pStyle w:val="Indenta"/>
        <w:rPr>
          <w:snapToGrid w:val="0"/>
        </w:rPr>
      </w:pPr>
      <w:r>
        <w:lastRenderedPageBreak/>
        <w:tab/>
        <w:t>(b)</w:t>
      </w:r>
      <w:r>
        <w:tab/>
      </w:r>
      <w:r>
        <w:rPr>
          <w:snapToGrid w:val="0"/>
        </w:rPr>
        <w:t>to be of a type that is approved by any person or body,</w:t>
      </w:r>
    </w:p>
    <w:p w:rsidR="00EA2503" w:rsidRDefault="00AE6AE5">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rsidR="00EA2503" w:rsidRDefault="00AE6AE5">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rsidR="00EA2503" w:rsidRDefault="00AE6AE5">
      <w:pPr>
        <w:pStyle w:val="Heading5"/>
        <w:spacing w:before="190"/>
      </w:pPr>
      <w:bookmarkStart w:id="69" w:name="_Toc75759092"/>
      <w:r>
        <w:rPr>
          <w:rStyle w:val="CharSectno"/>
        </w:rPr>
        <w:t>39</w:t>
      </w:r>
      <w:r>
        <w:t>.</w:t>
      </w:r>
      <w:r>
        <w:tab/>
        <w:t>Improper use of marks signifying Director’s approval</w:t>
      </w:r>
      <w:bookmarkEnd w:id="69"/>
    </w:p>
    <w:p w:rsidR="00EA2503" w:rsidRDefault="00AE6AE5">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rsidR="00EA2503" w:rsidRDefault="00AE6AE5">
      <w:pPr>
        <w:pStyle w:val="Heading5"/>
        <w:spacing w:before="190"/>
      </w:pPr>
      <w:bookmarkStart w:id="70" w:name="_Toc75759093"/>
      <w:r>
        <w:rPr>
          <w:rStyle w:val="CharSectno"/>
        </w:rPr>
        <w:t>40</w:t>
      </w:r>
      <w:r>
        <w:t>.</w:t>
      </w:r>
      <w:r>
        <w:tab/>
        <w:t>Operators of appliances etc., duties of</w:t>
      </w:r>
      <w:bookmarkEnd w:id="70"/>
    </w:p>
    <w:p w:rsidR="00EA2503" w:rsidRDefault="00AE6AE5">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rsidR="00EA2503" w:rsidRDefault="00AE6AE5">
      <w:pPr>
        <w:pStyle w:val="Heading5"/>
        <w:spacing w:before="190"/>
      </w:pPr>
      <w:bookmarkStart w:id="71" w:name="_Toc75759094"/>
      <w:r>
        <w:rPr>
          <w:rStyle w:val="CharSectno"/>
        </w:rPr>
        <w:t>41</w:t>
      </w:r>
      <w:r>
        <w:t>.</w:t>
      </w:r>
      <w:r>
        <w:tab/>
        <w:t>Boats left unattended, duties of master etc.</w:t>
      </w:r>
      <w:bookmarkEnd w:id="71"/>
    </w:p>
    <w:p w:rsidR="00EA2503" w:rsidRDefault="00AE6AE5">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rsidR="00EA2503" w:rsidRDefault="00AE6AE5">
      <w:pPr>
        <w:pStyle w:val="Heading5"/>
        <w:spacing w:before="190"/>
      </w:pPr>
      <w:bookmarkStart w:id="72" w:name="_Toc75759095"/>
      <w:r>
        <w:rPr>
          <w:rStyle w:val="CharSectno"/>
        </w:rPr>
        <w:t>42</w:t>
      </w:r>
      <w:r>
        <w:t>.</w:t>
      </w:r>
      <w:r>
        <w:tab/>
        <w:t>Certain incidents, duty to report</w:t>
      </w:r>
      <w:bookmarkEnd w:id="72"/>
    </w:p>
    <w:p w:rsidR="00EA2503" w:rsidRDefault="00AE6AE5">
      <w:pPr>
        <w:pStyle w:val="Subsection"/>
        <w:spacing w:before="120"/>
      </w:pPr>
      <w:r>
        <w:tab/>
        <w:t>(1)</w:t>
      </w:r>
      <w:r>
        <w:tab/>
        <w:t>If an incident that causes or is likely to cause injury to a person or damage to property occurs, a person who is aware of the incident must immediately report it —</w:t>
      </w:r>
    </w:p>
    <w:p w:rsidR="00EA2503" w:rsidRDefault="00AE6AE5">
      <w:pPr>
        <w:pStyle w:val="Indenta"/>
        <w:spacing w:before="60"/>
      </w:pPr>
      <w:r>
        <w:tab/>
        <w:t>(a)</w:t>
      </w:r>
      <w:r>
        <w:tab/>
      </w:r>
      <w:r>
        <w:rPr>
          <w:snapToGrid w:val="0"/>
        </w:rPr>
        <w:t>to the relevant gas supplier and the Director; or</w:t>
      </w:r>
    </w:p>
    <w:p w:rsidR="00EA2503" w:rsidRDefault="00AE6AE5">
      <w:pPr>
        <w:pStyle w:val="Indenta"/>
        <w:keepNext/>
      </w:pPr>
      <w:r>
        <w:lastRenderedPageBreak/>
        <w:tab/>
        <w:t>(b)</w:t>
      </w:r>
      <w:r>
        <w:tab/>
      </w:r>
      <w:r>
        <w:rPr>
          <w:snapToGrid w:val="0"/>
        </w:rPr>
        <w:t>to the Director, if —</w:t>
      </w:r>
    </w:p>
    <w:p w:rsidR="00EA2503" w:rsidRDefault="00AE6AE5">
      <w:pPr>
        <w:pStyle w:val="Indenti"/>
        <w:keepNext/>
        <w:keepLines/>
      </w:pPr>
      <w:r>
        <w:tab/>
        <w:t>(i)</w:t>
      </w:r>
      <w:r>
        <w:tab/>
      </w:r>
      <w:r>
        <w:rPr>
          <w:snapToGrid w:val="0"/>
        </w:rPr>
        <w:t>the gas installation is a mobile engine or is on or in a caravan or marine craft; or</w:t>
      </w:r>
    </w:p>
    <w:p w:rsidR="00EA2503" w:rsidRDefault="00AE6AE5">
      <w:pPr>
        <w:pStyle w:val="Indenti"/>
        <w:rPr>
          <w:snapToGrid w:val="0"/>
        </w:rPr>
      </w:pPr>
      <w:r>
        <w:tab/>
        <w:t>(ii)</w:t>
      </w:r>
      <w:r>
        <w:tab/>
      </w:r>
      <w:r>
        <w:rPr>
          <w:snapToGrid w:val="0"/>
        </w:rPr>
        <w:t>the relevant gas supplier is not identifiable.</w:t>
      </w:r>
    </w:p>
    <w:p w:rsidR="00EA2503" w:rsidRDefault="00AE6AE5">
      <w:pPr>
        <w:pStyle w:val="Subsection"/>
        <w:keepNext/>
        <w:rPr>
          <w:snapToGrid w:val="0"/>
        </w:rPr>
      </w:pPr>
      <w:r>
        <w:tab/>
        <w:t>(2)</w:t>
      </w:r>
      <w:r>
        <w:tab/>
      </w:r>
      <w:r>
        <w:rPr>
          <w:snapToGrid w:val="0"/>
        </w:rPr>
        <w:t>Subregulation (1) does not apply —</w:t>
      </w:r>
    </w:p>
    <w:p w:rsidR="00EA2503" w:rsidRDefault="00AE6AE5">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rsidR="00EA2503" w:rsidRDefault="00AE6AE5">
      <w:pPr>
        <w:pStyle w:val="Indenta"/>
        <w:rPr>
          <w:snapToGrid w:val="0"/>
        </w:rPr>
      </w:pPr>
      <w:r>
        <w:tab/>
        <w:t>(b)</w:t>
      </w:r>
      <w:r>
        <w:tab/>
      </w:r>
      <w:r>
        <w:rPr>
          <w:snapToGrid w:val="0"/>
        </w:rPr>
        <w:t>to a supervised gas fitter —</w:t>
      </w:r>
    </w:p>
    <w:p w:rsidR="00EA2503" w:rsidRDefault="00AE6AE5">
      <w:pPr>
        <w:pStyle w:val="Indenti"/>
      </w:pPr>
      <w:r>
        <w:tab/>
        <w:t>(i)</w:t>
      </w:r>
      <w:r>
        <w:tab/>
      </w:r>
      <w:r>
        <w:rPr>
          <w:snapToGrid w:val="0"/>
        </w:rPr>
        <w:t>who becomes aware of the incident while doing gasfitting work; and</w:t>
      </w:r>
    </w:p>
    <w:p w:rsidR="00EA2503" w:rsidRDefault="00AE6AE5">
      <w:pPr>
        <w:pStyle w:val="Indenti"/>
        <w:rPr>
          <w:snapToGrid w:val="0"/>
        </w:rPr>
      </w:pPr>
      <w:r>
        <w:tab/>
        <w:t>(ii)</w:t>
      </w:r>
      <w:r>
        <w:tab/>
      </w:r>
      <w:r>
        <w:rPr>
          <w:snapToGrid w:val="0"/>
        </w:rPr>
        <w:t>who reports the incident to the supervising gas fitter.</w:t>
      </w:r>
    </w:p>
    <w:p w:rsidR="00EA2503" w:rsidRDefault="00AE6AE5">
      <w:pPr>
        <w:pStyle w:val="Subsection"/>
      </w:pPr>
      <w:r>
        <w:tab/>
        <w:t>(3)</w:t>
      </w:r>
      <w:r>
        <w:tab/>
        <w:t>In this regulation —</w:t>
      </w:r>
    </w:p>
    <w:p w:rsidR="00EA2503" w:rsidRDefault="00AE6AE5">
      <w:pPr>
        <w:pStyle w:val="Defstart"/>
      </w:pPr>
      <w:r>
        <w:tab/>
      </w:r>
      <w:r>
        <w:rPr>
          <w:rStyle w:val="CharDefText"/>
        </w:rPr>
        <w:t>incident</w:t>
      </w:r>
      <w:r>
        <w:t xml:space="preserve"> means an incident that involves the sudden discharge of gas or that otherwise relates to gas.</w:t>
      </w:r>
    </w:p>
    <w:p w:rsidR="00EA2503" w:rsidRDefault="00AE6AE5">
      <w:pPr>
        <w:pStyle w:val="Heading5"/>
      </w:pPr>
      <w:bookmarkStart w:id="73" w:name="_Toc75759096"/>
      <w:r>
        <w:rPr>
          <w:rStyle w:val="CharSectno"/>
        </w:rPr>
        <w:t>42A</w:t>
      </w:r>
      <w:r>
        <w:t>.</w:t>
      </w:r>
      <w:r>
        <w:tab/>
        <w:t>Unsafe gas installations, gas fitters to report</w:t>
      </w:r>
      <w:bookmarkEnd w:id="73"/>
    </w:p>
    <w:p w:rsidR="00EA2503" w:rsidRDefault="00AE6AE5">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rsidR="00EA2503" w:rsidRDefault="00AE6AE5">
      <w:pPr>
        <w:pStyle w:val="Indenta"/>
      </w:pPr>
      <w:r>
        <w:tab/>
        <w:t>(a)</w:t>
      </w:r>
      <w:r>
        <w:tab/>
        <w:t>the consumer for whom the gasfitting work was done;</w:t>
      </w:r>
    </w:p>
    <w:p w:rsidR="00EA2503" w:rsidRDefault="00AE6AE5">
      <w:pPr>
        <w:pStyle w:val="Indenta"/>
      </w:pPr>
      <w:r>
        <w:tab/>
        <w:t>(b)</w:t>
      </w:r>
      <w:r>
        <w:tab/>
        <w:t>the gas supplier or (if the gas installation is a mobile engine, is on or in a caravan or marine craft or the relevant gas supplier is not identifiable) the Director.</w:t>
      </w:r>
    </w:p>
    <w:p w:rsidR="00EA2503" w:rsidRDefault="00AE6AE5">
      <w:pPr>
        <w:pStyle w:val="Subsection"/>
      </w:pPr>
      <w:r>
        <w:tab/>
        <w:t>(2)</w:t>
      </w:r>
      <w:r>
        <w:tab/>
        <w:t>Subregulation (1) does not apply —</w:t>
      </w:r>
    </w:p>
    <w:p w:rsidR="00EA2503" w:rsidRDefault="00AE6AE5">
      <w:pPr>
        <w:pStyle w:val="Indenta"/>
      </w:pPr>
      <w:r>
        <w:tab/>
        <w:t>(a)</w:t>
      </w:r>
      <w:r>
        <w:tab/>
        <w:t>to a gas fitter who believes, on reasonable grounds, that the defect has already been notified in accordance with subregulation (1); or</w:t>
      </w:r>
    </w:p>
    <w:p w:rsidR="00EA2503" w:rsidRDefault="00AE6AE5">
      <w:pPr>
        <w:pStyle w:val="Indenta"/>
      </w:pPr>
      <w:r>
        <w:lastRenderedPageBreak/>
        <w:tab/>
        <w:t>(b)</w:t>
      </w:r>
      <w:r>
        <w:tab/>
        <w:t>to a supervised gas fitter who notifies the defect to the supervising gas fitter.</w:t>
      </w:r>
    </w:p>
    <w:p w:rsidR="00EA2503" w:rsidRDefault="00AE6AE5">
      <w:pPr>
        <w:pStyle w:val="Footnotesection"/>
      </w:pPr>
      <w:r>
        <w:tab/>
        <w:t>[Regulation 42A inserted: Gazette 19 Dec 2000 p. 7280.]</w:t>
      </w:r>
    </w:p>
    <w:p w:rsidR="00EA2503" w:rsidRDefault="00AE6AE5">
      <w:pPr>
        <w:pStyle w:val="Heading5"/>
      </w:pPr>
      <w:bookmarkStart w:id="74" w:name="_Toc75759097"/>
      <w:r>
        <w:rPr>
          <w:rStyle w:val="CharSectno"/>
        </w:rPr>
        <w:t>42B</w:t>
      </w:r>
      <w:r>
        <w:t>.</w:t>
      </w:r>
      <w:r>
        <w:tab/>
        <w:t>Type A gas appliances prescribed (Act s. 4)</w:t>
      </w:r>
      <w:bookmarkEnd w:id="74"/>
    </w:p>
    <w:p w:rsidR="00EA2503" w:rsidRDefault="00AE6AE5">
      <w:pPr>
        <w:pStyle w:val="Subsection"/>
      </w:pPr>
      <w:r>
        <w:tab/>
        <w:t>(1)</w:t>
      </w:r>
      <w:r>
        <w:tab/>
        <w:t xml:space="preserve">In this regulation — </w:t>
      </w:r>
    </w:p>
    <w:p w:rsidR="00EA2503" w:rsidRDefault="00AE6AE5">
      <w:pPr>
        <w:pStyle w:val="Defstart"/>
      </w:pPr>
      <w:r>
        <w:tab/>
      </w:r>
      <w:r>
        <w:rPr>
          <w:rStyle w:val="CharDefText"/>
        </w:rPr>
        <w:t>commercial</w:t>
      </w:r>
      <w:r>
        <w:t xml:space="preserve"> means designed and manufactured for commercial use, whether or not so used;</w:t>
      </w:r>
    </w:p>
    <w:p w:rsidR="00EA2503" w:rsidRDefault="00AE6AE5">
      <w:pPr>
        <w:pStyle w:val="Defstart"/>
      </w:pPr>
      <w:r>
        <w:tab/>
      </w:r>
      <w:r>
        <w:rPr>
          <w:rStyle w:val="CharDefText"/>
        </w:rPr>
        <w:t>domestic</w:t>
      </w:r>
      <w:r>
        <w:t xml:space="preserve"> means designed and manufactured for domestic use, whether or not so used.</w:t>
      </w:r>
    </w:p>
    <w:p w:rsidR="00EA2503" w:rsidRDefault="00AE6AE5">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rsidR="00EA2503" w:rsidRDefault="00AE6AE5">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rsidR="00EA2503">
        <w:tc>
          <w:tcPr>
            <w:tcW w:w="5986" w:type="dxa"/>
          </w:tcPr>
          <w:p w:rsidR="00EA2503" w:rsidRDefault="00AE6AE5">
            <w:pPr>
              <w:pStyle w:val="TableNAm"/>
              <w:spacing w:before="60" w:after="60"/>
              <w:ind w:left="612" w:hanging="612"/>
            </w:pPr>
            <w:r>
              <w:t>1.</w:t>
            </w:r>
            <w:r>
              <w:tab/>
              <w:t>Domestic cooking appliances</w:t>
            </w:r>
          </w:p>
        </w:tc>
      </w:tr>
      <w:tr w:rsidR="00EA2503">
        <w:tc>
          <w:tcPr>
            <w:tcW w:w="5986" w:type="dxa"/>
          </w:tcPr>
          <w:p w:rsidR="00EA2503" w:rsidRDefault="00AE6AE5">
            <w:pPr>
              <w:pStyle w:val="TableNAm"/>
              <w:spacing w:before="60" w:after="60"/>
              <w:ind w:left="612" w:hanging="612"/>
            </w:pPr>
            <w:r>
              <w:t>2.</w:t>
            </w:r>
            <w:r>
              <w:tab/>
              <w:t>Domestic space heating appliances having a maximum hourly input rate of 150 MJ</w:t>
            </w:r>
          </w:p>
        </w:tc>
      </w:tr>
      <w:tr w:rsidR="00EA2503">
        <w:tc>
          <w:tcPr>
            <w:tcW w:w="5986" w:type="dxa"/>
          </w:tcPr>
          <w:p w:rsidR="00EA2503" w:rsidRDefault="00AE6AE5">
            <w:pPr>
              <w:pStyle w:val="TableNAm"/>
              <w:spacing w:before="60" w:after="60"/>
              <w:ind w:left="612" w:hanging="612"/>
            </w:pPr>
            <w:r>
              <w:t>3.</w:t>
            </w:r>
            <w:r>
              <w:tab/>
              <w:t>Domestic refrigerators</w:t>
            </w:r>
          </w:p>
        </w:tc>
      </w:tr>
      <w:tr w:rsidR="00EA2503">
        <w:tc>
          <w:tcPr>
            <w:tcW w:w="5986" w:type="dxa"/>
          </w:tcPr>
          <w:p w:rsidR="00EA2503" w:rsidRDefault="00AE6AE5">
            <w:pPr>
              <w:pStyle w:val="TableNAm"/>
              <w:spacing w:before="60" w:after="60"/>
              <w:ind w:left="612" w:hanging="612"/>
            </w:pPr>
            <w:r>
              <w:t>4.</w:t>
            </w:r>
            <w:r>
              <w:tab/>
              <w:t>Domestic outdoor barbecue grillers</w:t>
            </w:r>
          </w:p>
        </w:tc>
      </w:tr>
      <w:tr w:rsidR="00EA2503">
        <w:tc>
          <w:tcPr>
            <w:tcW w:w="5986" w:type="dxa"/>
          </w:tcPr>
          <w:p w:rsidR="00EA2503" w:rsidRDefault="00AE6AE5">
            <w:pPr>
              <w:pStyle w:val="TableNAm"/>
              <w:spacing w:before="60" w:after="60"/>
              <w:ind w:left="612" w:hanging="612"/>
            </w:pPr>
            <w:r>
              <w:t>5.</w:t>
            </w:r>
            <w:r>
              <w:tab/>
              <w:t>Water heaters</w:t>
            </w:r>
          </w:p>
        </w:tc>
      </w:tr>
      <w:tr w:rsidR="00EA2503">
        <w:tc>
          <w:tcPr>
            <w:tcW w:w="5986" w:type="dxa"/>
          </w:tcPr>
          <w:p w:rsidR="00EA2503" w:rsidRDefault="00AE6AE5">
            <w:pPr>
              <w:pStyle w:val="TableNAm"/>
              <w:spacing w:before="60" w:after="60"/>
              <w:ind w:left="612" w:hanging="612"/>
            </w:pPr>
            <w:r>
              <w:t>6.</w:t>
            </w:r>
            <w:r>
              <w:tab/>
              <w:t>Swimming pool heaters</w:t>
            </w:r>
          </w:p>
        </w:tc>
      </w:tr>
      <w:tr w:rsidR="00EA2503">
        <w:tc>
          <w:tcPr>
            <w:tcW w:w="5986" w:type="dxa"/>
          </w:tcPr>
          <w:p w:rsidR="00EA2503" w:rsidRDefault="00AE6AE5">
            <w:pPr>
              <w:pStyle w:val="TableNAm"/>
              <w:spacing w:before="60" w:after="60"/>
              <w:ind w:left="612" w:hanging="612"/>
            </w:pPr>
            <w:r>
              <w:t>7.</w:t>
            </w:r>
            <w:r>
              <w:tab/>
              <w:t>Commercial catering equipment — boiling tables, open and closed top</w:t>
            </w:r>
          </w:p>
        </w:tc>
      </w:tr>
      <w:tr w:rsidR="00EA2503">
        <w:tc>
          <w:tcPr>
            <w:tcW w:w="5986" w:type="dxa"/>
          </w:tcPr>
          <w:p w:rsidR="00EA2503" w:rsidRDefault="00AE6AE5">
            <w:pPr>
              <w:pStyle w:val="TableNAm"/>
              <w:spacing w:before="60" w:after="60"/>
              <w:ind w:left="612" w:hanging="612"/>
            </w:pPr>
            <w:r>
              <w:t>8.</w:t>
            </w:r>
            <w:r>
              <w:tab/>
              <w:t>Catalytic spaceheaters having a maximum hourly input rate of 20 MJ</w:t>
            </w:r>
          </w:p>
        </w:tc>
      </w:tr>
      <w:tr w:rsidR="00EA2503">
        <w:tc>
          <w:tcPr>
            <w:tcW w:w="5986" w:type="dxa"/>
          </w:tcPr>
          <w:p w:rsidR="00EA2503" w:rsidRDefault="00AE6AE5">
            <w:pPr>
              <w:pStyle w:val="TableNAm"/>
              <w:spacing w:before="60" w:after="60"/>
              <w:ind w:left="612" w:hanging="612"/>
            </w:pPr>
            <w:r>
              <w:t>9.</w:t>
            </w:r>
            <w:r>
              <w:tab/>
              <w:t>Domestic decorative gas log fires having a maximum hourly input rate of 72 MJ</w:t>
            </w:r>
          </w:p>
        </w:tc>
      </w:tr>
      <w:tr w:rsidR="00EA2503">
        <w:tc>
          <w:tcPr>
            <w:tcW w:w="5986" w:type="dxa"/>
          </w:tcPr>
          <w:p w:rsidR="00EA2503" w:rsidRDefault="00AE6AE5">
            <w:pPr>
              <w:pStyle w:val="TableNAm"/>
              <w:spacing w:before="60" w:after="60"/>
              <w:ind w:left="612" w:hanging="612"/>
            </w:pPr>
            <w:r>
              <w:t>10.</w:t>
            </w:r>
            <w:r>
              <w:tab/>
              <w:t>Incinerating toilets</w:t>
            </w:r>
          </w:p>
        </w:tc>
      </w:tr>
      <w:tr w:rsidR="00EA2503">
        <w:tc>
          <w:tcPr>
            <w:tcW w:w="5986" w:type="dxa"/>
          </w:tcPr>
          <w:p w:rsidR="00EA2503" w:rsidRDefault="00AE6AE5">
            <w:pPr>
              <w:pStyle w:val="TableNAm"/>
              <w:keepNext/>
              <w:spacing w:before="60" w:after="60"/>
              <w:ind w:left="612" w:hanging="612"/>
            </w:pPr>
            <w:r>
              <w:lastRenderedPageBreak/>
              <w:t>11.</w:t>
            </w:r>
            <w:r>
              <w:tab/>
              <w:t>Cooking, lighting or heating appliances that use LPG and are designed for outdoor use</w:t>
            </w:r>
          </w:p>
        </w:tc>
      </w:tr>
      <w:tr w:rsidR="00EA2503">
        <w:tc>
          <w:tcPr>
            <w:tcW w:w="5986" w:type="dxa"/>
          </w:tcPr>
          <w:p w:rsidR="00EA2503" w:rsidRDefault="00AE6AE5">
            <w:pPr>
              <w:pStyle w:val="TableNAm"/>
              <w:spacing w:before="60" w:after="60"/>
              <w:ind w:left="612" w:hanging="612"/>
            </w:pPr>
            <w:r>
              <w:t>12.</w:t>
            </w:r>
            <w:r>
              <w:tab/>
              <w:t>Commercial catering equipment — salamanders and grillers</w:t>
            </w:r>
          </w:p>
        </w:tc>
      </w:tr>
      <w:tr w:rsidR="00EA2503">
        <w:tc>
          <w:tcPr>
            <w:tcW w:w="5986" w:type="dxa"/>
          </w:tcPr>
          <w:p w:rsidR="00EA2503" w:rsidRDefault="00AE6AE5">
            <w:pPr>
              <w:pStyle w:val="TableNAm"/>
              <w:spacing w:before="60" w:after="60"/>
              <w:ind w:left="612" w:hanging="612"/>
            </w:pPr>
            <w:r>
              <w:t>13.</w:t>
            </w:r>
            <w:r>
              <w:tab/>
              <w:t>Commercial catering equipment — solid griller plates, griddles</w:t>
            </w:r>
          </w:p>
        </w:tc>
      </w:tr>
      <w:tr w:rsidR="00EA2503">
        <w:tc>
          <w:tcPr>
            <w:tcW w:w="5986" w:type="dxa"/>
          </w:tcPr>
          <w:p w:rsidR="00EA2503" w:rsidRDefault="00AE6AE5">
            <w:pPr>
              <w:pStyle w:val="TableNAm"/>
              <w:spacing w:before="60" w:after="60"/>
            </w:pPr>
            <w:r>
              <w:t>14.</w:t>
            </w:r>
            <w:r>
              <w:tab/>
              <w:t>Commercial catering equipment — barbecue grillers</w:t>
            </w:r>
          </w:p>
        </w:tc>
      </w:tr>
      <w:tr w:rsidR="00EA2503">
        <w:tc>
          <w:tcPr>
            <w:tcW w:w="5986" w:type="dxa"/>
          </w:tcPr>
          <w:p w:rsidR="00EA2503" w:rsidRDefault="00AE6AE5">
            <w:pPr>
              <w:pStyle w:val="TableNAm"/>
              <w:spacing w:before="60" w:after="60"/>
              <w:ind w:left="612" w:hanging="612"/>
            </w:pPr>
            <w:r>
              <w:t>15.</w:t>
            </w:r>
            <w:r>
              <w:tab/>
              <w:t>Commercial catering equipment — ovens</w:t>
            </w:r>
          </w:p>
        </w:tc>
      </w:tr>
      <w:tr w:rsidR="00EA2503">
        <w:tc>
          <w:tcPr>
            <w:tcW w:w="5986" w:type="dxa"/>
          </w:tcPr>
          <w:p w:rsidR="00EA2503" w:rsidRDefault="00AE6AE5">
            <w:pPr>
              <w:pStyle w:val="TableNAm"/>
              <w:keepNext/>
              <w:keepLines/>
              <w:spacing w:before="60" w:after="60"/>
              <w:ind w:left="612" w:hanging="612"/>
            </w:pPr>
            <w:r>
              <w:t>16.</w:t>
            </w:r>
            <w:r>
              <w:tab/>
              <w:t>Commercial catering equipment — boiling water units</w:t>
            </w:r>
          </w:p>
        </w:tc>
      </w:tr>
      <w:tr w:rsidR="00EA2503">
        <w:tc>
          <w:tcPr>
            <w:tcW w:w="5986" w:type="dxa"/>
          </w:tcPr>
          <w:p w:rsidR="00EA2503" w:rsidRDefault="00AE6AE5">
            <w:pPr>
              <w:pStyle w:val="TableNAm"/>
              <w:spacing w:before="60" w:after="60"/>
              <w:ind w:left="612" w:hanging="612"/>
            </w:pPr>
            <w:r>
              <w:t>17.</w:t>
            </w:r>
            <w:r>
              <w:tab/>
              <w:t>Commercial catering equipment — stock pots</w:t>
            </w:r>
          </w:p>
        </w:tc>
      </w:tr>
      <w:tr w:rsidR="00EA2503">
        <w:tc>
          <w:tcPr>
            <w:tcW w:w="5986" w:type="dxa"/>
          </w:tcPr>
          <w:p w:rsidR="00EA2503" w:rsidRDefault="00AE6AE5">
            <w:pPr>
              <w:pStyle w:val="TableNAm"/>
              <w:spacing w:before="60" w:after="60"/>
              <w:ind w:left="612" w:hanging="612"/>
            </w:pPr>
            <w:r>
              <w:t>18.</w:t>
            </w:r>
            <w:r>
              <w:tab/>
              <w:t>Commercial catering equipment — atmospheric steamers</w:t>
            </w:r>
          </w:p>
        </w:tc>
      </w:tr>
      <w:tr w:rsidR="00EA2503">
        <w:tc>
          <w:tcPr>
            <w:tcW w:w="5986" w:type="dxa"/>
          </w:tcPr>
          <w:p w:rsidR="00EA2503" w:rsidRDefault="00AE6AE5">
            <w:pPr>
              <w:pStyle w:val="TableNAm"/>
              <w:spacing w:before="60" w:after="60"/>
              <w:ind w:left="612" w:hanging="612"/>
            </w:pPr>
            <w:r>
              <w:t>19.</w:t>
            </w:r>
            <w:r>
              <w:tab/>
              <w:t>Commercial catering equipment — fryers</w:t>
            </w:r>
          </w:p>
        </w:tc>
      </w:tr>
      <w:tr w:rsidR="00EA2503">
        <w:tc>
          <w:tcPr>
            <w:tcW w:w="5986" w:type="dxa"/>
          </w:tcPr>
          <w:p w:rsidR="00EA2503" w:rsidRDefault="00AE6AE5">
            <w:pPr>
              <w:pStyle w:val="TableNAm"/>
              <w:spacing w:before="60" w:after="60"/>
              <w:ind w:left="612" w:hanging="612"/>
            </w:pPr>
            <w:r>
              <w:t>20.</w:t>
            </w:r>
            <w:r>
              <w:tab/>
              <w:t>Commercial catering equipment — food warmers, Bain</w:t>
            </w:r>
            <w:r>
              <w:noBreakHyphen/>
              <w:t>Marie</w:t>
            </w:r>
          </w:p>
        </w:tc>
      </w:tr>
      <w:tr w:rsidR="00EA2503">
        <w:tc>
          <w:tcPr>
            <w:tcW w:w="5986" w:type="dxa"/>
          </w:tcPr>
          <w:p w:rsidR="00EA2503" w:rsidRDefault="00AE6AE5">
            <w:pPr>
              <w:pStyle w:val="TableNAm"/>
              <w:spacing w:before="60" w:after="60"/>
            </w:pPr>
            <w:r>
              <w:t>21.</w:t>
            </w:r>
            <w:r>
              <w:tab/>
              <w:t>Commercial catering equipment — convection ovens</w:t>
            </w:r>
          </w:p>
        </w:tc>
      </w:tr>
      <w:tr w:rsidR="00EA2503">
        <w:tc>
          <w:tcPr>
            <w:tcW w:w="5986" w:type="dxa"/>
          </w:tcPr>
          <w:p w:rsidR="00EA2503" w:rsidRDefault="00AE6AE5">
            <w:pPr>
              <w:pStyle w:val="TableNAm"/>
              <w:spacing w:before="60" w:after="60"/>
              <w:ind w:left="612" w:hanging="612"/>
            </w:pPr>
            <w:r>
              <w:t>22.</w:t>
            </w:r>
            <w:r>
              <w:tab/>
              <w:t>Laundry dryers</w:t>
            </w:r>
          </w:p>
        </w:tc>
      </w:tr>
      <w:tr w:rsidR="00EA2503">
        <w:tc>
          <w:tcPr>
            <w:tcW w:w="5986" w:type="dxa"/>
          </w:tcPr>
          <w:p w:rsidR="00EA2503" w:rsidRDefault="00AE6AE5">
            <w:pPr>
              <w:pStyle w:val="TableNAm"/>
              <w:spacing w:before="60" w:after="60"/>
              <w:ind w:left="612" w:hanging="612"/>
            </w:pPr>
            <w:r>
              <w:t>23.</w:t>
            </w:r>
            <w:r>
              <w:tab/>
              <w:t>Overhead heaters</w:t>
            </w:r>
          </w:p>
        </w:tc>
      </w:tr>
      <w:tr w:rsidR="00EA2503">
        <w:tc>
          <w:tcPr>
            <w:tcW w:w="5986" w:type="dxa"/>
          </w:tcPr>
          <w:p w:rsidR="00EA2503" w:rsidRDefault="00AE6AE5">
            <w:pPr>
              <w:pStyle w:val="TableNAm"/>
              <w:spacing w:before="60" w:after="60"/>
              <w:ind w:left="612" w:hanging="612"/>
            </w:pPr>
            <w:r>
              <w:t>24.</w:t>
            </w:r>
            <w:r>
              <w:tab/>
              <w:t>Industrial mobile air heaters</w:t>
            </w:r>
          </w:p>
        </w:tc>
      </w:tr>
      <w:tr w:rsidR="00EA2503">
        <w:tc>
          <w:tcPr>
            <w:tcW w:w="5986" w:type="dxa"/>
          </w:tcPr>
          <w:p w:rsidR="00EA2503" w:rsidRDefault="00AE6AE5">
            <w:pPr>
              <w:pStyle w:val="TableNAm"/>
              <w:spacing w:before="60" w:after="60"/>
              <w:ind w:left="612" w:hanging="612"/>
            </w:pPr>
            <w:r>
              <w:t>25.</w:t>
            </w:r>
            <w:r>
              <w:tab/>
              <w:t>Indirect fired air heaters</w:t>
            </w:r>
          </w:p>
        </w:tc>
      </w:tr>
      <w:tr w:rsidR="00EA2503">
        <w:tc>
          <w:tcPr>
            <w:tcW w:w="5986" w:type="dxa"/>
          </w:tcPr>
          <w:p w:rsidR="00EA2503" w:rsidRDefault="00AE6AE5">
            <w:pPr>
              <w:pStyle w:val="TableNAm"/>
              <w:spacing w:before="60" w:after="60"/>
              <w:ind w:left="612" w:hanging="612"/>
            </w:pPr>
            <w:r>
              <w:t>26.</w:t>
            </w:r>
            <w:r>
              <w:tab/>
              <w:t>Air conditioning units</w:t>
            </w:r>
          </w:p>
        </w:tc>
      </w:tr>
    </w:tbl>
    <w:p w:rsidR="00EA2503" w:rsidRDefault="00AE6AE5">
      <w:pPr>
        <w:pStyle w:val="Subsection"/>
      </w:pPr>
      <w:r>
        <w:tab/>
        <w:t>(3)</w:t>
      </w:r>
      <w:r>
        <w:tab/>
        <w:t>Unless otherwise specified, a reference to an appliance in the Table to subregulation (2) is a reference to an appliance having a maximum hourly input rate of 1 000 MJ.</w:t>
      </w:r>
    </w:p>
    <w:p w:rsidR="00EA2503" w:rsidRDefault="00AE6AE5">
      <w:pPr>
        <w:pStyle w:val="Footnotesection"/>
      </w:pPr>
      <w:r>
        <w:tab/>
        <w:t>[Regulation 42B inserted: Gazette 30 Nov 2007 p. 5936</w:t>
      </w:r>
      <w:r>
        <w:noBreakHyphen/>
        <w:t>7; amended: Gazette 25 Nov 2010 p. 5931.]</w:t>
      </w:r>
    </w:p>
    <w:p w:rsidR="00EA2503" w:rsidRDefault="00AE6AE5">
      <w:pPr>
        <w:pStyle w:val="Heading2"/>
      </w:pPr>
      <w:bookmarkStart w:id="75" w:name="_Toc75416378"/>
      <w:bookmarkStart w:id="76" w:name="_Toc75416870"/>
      <w:bookmarkStart w:id="77" w:name="_Toc75759098"/>
      <w:r>
        <w:rPr>
          <w:rStyle w:val="CharPartNo"/>
        </w:rPr>
        <w:lastRenderedPageBreak/>
        <w:t>Part 7</w:t>
      </w:r>
      <w:r>
        <w:rPr>
          <w:rStyle w:val="CharDivNo"/>
        </w:rPr>
        <w:t xml:space="preserve"> </w:t>
      </w:r>
      <w:r>
        <w:t>—</w:t>
      </w:r>
      <w:r>
        <w:rPr>
          <w:rStyle w:val="CharDivText"/>
        </w:rPr>
        <w:t xml:space="preserve"> </w:t>
      </w:r>
      <w:r>
        <w:rPr>
          <w:rStyle w:val="CharPartText"/>
        </w:rPr>
        <w:t>Saving and repeal</w:t>
      </w:r>
      <w:bookmarkEnd w:id="75"/>
      <w:bookmarkEnd w:id="76"/>
      <w:bookmarkEnd w:id="77"/>
    </w:p>
    <w:p w:rsidR="00EA2503" w:rsidRDefault="00AE6AE5">
      <w:pPr>
        <w:pStyle w:val="Heading5"/>
        <w:rPr>
          <w:snapToGrid w:val="0"/>
        </w:rPr>
      </w:pPr>
      <w:bookmarkStart w:id="78" w:name="_Toc75759099"/>
      <w:r>
        <w:rPr>
          <w:rStyle w:val="CharSectno"/>
        </w:rPr>
        <w:t>43</w:t>
      </w:r>
      <w:r>
        <w:rPr>
          <w:snapToGrid w:val="0"/>
        </w:rPr>
        <w:t>.</w:t>
      </w:r>
      <w:r>
        <w:rPr>
          <w:snapToGrid w:val="0"/>
        </w:rPr>
        <w:tab/>
        <w:t>Savings for repealed regulations</w:t>
      </w:r>
      <w:bookmarkEnd w:id="78"/>
    </w:p>
    <w:p w:rsidR="00EA2503" w:rsidRDefault="00AE6AE5">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rsidR="00EA2503" w:rsidRDefault="00AE6AE5">
      <w:pPr>
        <w:pStyle w:val="Subsection"/>
      </w:pPr>
      <w:r>
        <w:rPr>
          <w:snapToGrid w:val="0"/>
        </w:rPr>
        <w:tab/>
        <w:t>(2)</w:t>
      </w:r>
      <w:r>
        <w:rPr>
          <w:snapToGrid w:val="0"/>
        </w:rPr>
        <w:tab/>
      </w:r>
      <w:r>
        <w:t>In subregulation (1) —</w:t>
      </w:r>
    </w:p>
    <w:p w:rsidR="00EA2503" w:rsidRDefault="00AE6AE5">
      <w:pPr>
        <w:pStyle w:val="Defstart"/>
      </w:pPr>
      <w:r>
        <w:tab/>
      </w:r>
      <w:r>
        <w:rPr>
          <w:rStyle w:val="CharDefText"/>
        </w:rPr>
        <w:t>repealed regulations</w:t>
      </w:r>
      <w:r>
        <w:t xml:space="preserve"> means the regulations repealed by regulation 44.</w:t>
      </w:r>
    </w:p>
    <w:p w:rsidR="00EA2503" w:rsidRDefault="00AE6AE5">
      <w:pPr>
        <w:pStyle w:val="Heading5"/>
      </w:pPr>
      <w:bookmarkStart w:id="79" w:name="_Toc75759100"/>
      <w:r>
        <w:rPr>
          <w:rStyle w:val="CharSectno"/>
        </w:rPr>
        <w:t>44</w:t>
      </w:r>
      <w:r>
        <w:t>.</w:t>
      </w:r>
      <w:r>
        <w:tab/>
        <w:t>Repeal</w:t>
      </w:r>
      <w:bookmarkEnd w:id="79"/>
    </w:p>
    <w:p w:rsidR="00EA2503" w:rsidRDefault="00AE6AE5">
      <w:pPr>
        <w:pStyle w:val="Subsection"/>
      </w:pPr>
      <w:r>
        <w:tab/>
      </w:r>
      <w:r>
        <w:tab/>
        <w:t xml:space="preserve">The </w:t>
      </w:r>
      <w:r>
        <w:rPr>
          <w:i/>
        </w:rPr>
        <w:t>Gas Standards (Gasfitting and Consumers’ Gas Installations Regulations) 1999</w:t>
      </w:r>
      <w:r>
        <w:t xml:space="preserve"> are repealed.</w:t>
      </w:r>
    </w:p>
    <w:p w:rsidR="00EA2503" w:rsidRDefault="00AE6AE5">
      <w:pPr>
        <w:pStyle w:val="yEdnoteschedule"/>
      </w:pPr>
      <w:r>
        <w:t>[Schedule 1 deleted: Gazette 30 Nov 2007 p. 5937.]</w:t>
      </w:r>
    </w:p>
    <w:p w:rsidR="00EA2503" w:rsidRDefault="00EA2503">
      <w:pPr>
        <w:ind w:left="612" w:hanging="612"/>
        <w:sectPr w:rsidR="00EA2503">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EA2503" w:rsidRDefault="00AE6AE5">
      <w:pPr>
        <w:pStyle w:val="yScheduleHeading"/>
      </w:pPr>
      <w:bookmarkStart w:id="80" w:name="_Toc75416381"/>
      <w:bookmarkStart w:id="81" w:name="_Toc75416873"/>
      <w:bookmarkStart w:id="82" w:name="_Toc75759101"/>
      <w:r>
        <w:rPr>
          <w:rStyle w:val="CharSchNo"/>
        </w:rPr>
        <w:lastRenderedPageBreak/>
        <w:t>Schedule 2</w:t>
      </w:r>
      <w:r>
        <w:rPr>
          <w:rStyle w:val="CharSDivNo"/>
        </w:rPr>
        <w:t xml:space="preserve"> </w:t>
      </w:r>
      <w:r>
        <w:t>—</w:t>
      </w:r>
      <w:r>
        <w:rPr>
          <w:rStyle w:val="CharSDivText"/>
        </w:rPr>
        <w:t xml:space="preserve"> </w:t>
      </w:r>
      <w:r>
        <w:rPr>
          <w:rStyle w:val="CharSchText"/>
        </w:rPr>
        <w:t>Forms</w:t>
      </w:r>
      <w:bookmarkEnd w:id="80"/>
      <w:bookmarkEnd w:id="81"/>
      <w:bookmarkEnd w:id="82"/>
    </w:p>
    <w:p w:rsidR="00EA2503" w:rsidRDefault="00AE6AE5">
      <w:pPr>
        <w:pStyle w:val="yShoulderClause"/>
      </w:pPr>
      <w:r>
        <w:t>[r. 9(2) and 9(3)]</w:t>
      </w:r>
    </w:p>
    <w:p w:rsidR="00EA2503" w:rsidRDefault="00AE6AE5">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rsidR="00EA2503">
        <w:tc>
          <w:tcPr>
            <w:tcW w:w="5642" w:type="dxa"/>
            <w:gridSpan w:val="2"/>
            <w:tcBorders>
              <w:bottom w:val="single" w:sz="4" w:space="0" w:color="auto"/>
            </w:tcBorders>
            <w:shd w:val="pct20" w:color="C0C0C0" w:fill="FFFFFF"/>
          </w:tcPr>
          <w:p w:rsidR="00EA2503" w:rsidRDefault="00AE6AE5">
            <w:pPr>
              <w:pStyle w:val="yTableNAm"/>
            </w:pPr>
            <w:r>
              <w:rPr>
                <w:i/>
                <w:iCs/>
              </w:rPr>
              <w:t>Gas Standards (Gasfitting and Consumer Gas Installations) Regulations 1999</w:t>
            </w:r>
            <w:r>
              <w:t>, reg. 9(2)</w:t>
            </w:r>
          </w:p>
          <w:p w:rsidR="00EA2503" w:rsidRDefault="00AE6AE5">
            <w:pPr>
              <w:pStyle w:val="yTableNAm"/>
              <w:rPr>
                <w:b/>
                <w:sz w:val="28"/>
                <w:szCs w:val="28"/>
              </w:rPr>
            </w:pPr>
            <w:r>
              <w:rPr>
                <w:b/>
                <w:sz w:val="28"/>
                <w:szCs w:val="28"/>
              </w:rPr>
              <w:t>Summons to attend before the Director</w:t>
            </w:r>
          </w:p>
        </w:tc>
        <w:tc>
          <w:tcPr>
            <w:tcW w:w="1455" w:type="dxa"/>
            <w:tcBorders>
              <w:top w:val="nil"/>
              <w:bottom w:val="nil"/>
              <w:right w:val="nil"/>
            </w:tcBorders>
          </w:tcPr>
          <w:p w:rsidR="00EA2503" w:rsidRDefault="00EA2503">
            <w:pPr>
              <w:pStyle w:val="yTableNAm"/>
            </w:pPr>
          </w:p>
          <w:p w:rsidR="00EA2503" w:rsidRDefault="00AE6AE5">
            <w:pPr>
              <w:pStyle w:val="yTableNAm"/>
            </w:pPr>
            <w:r>
              <w:t>Form 1</w:t>
            </w:r>
          </w:p>
        </w:tc>
      </w:tr>
      <w:tr w:rsidR="00EA2503">
        <w:trPr>
          <w:cantSplit/>
        </w:trPr>
        <w:tc>
          <w:tcPr>
            <w:tcW w:w="1390" w:type="dxa"/>
            <w:tcBorders>
              <w:top w:val="nil"/>
              <w:left w:val="nil"/>
              <w:bottom w:val="nil"/>
              <w:right w:val="nil"/>
            </w:tcBorders>
          </w:tcPr>
          <w:p w:rsidR="00EA2503" w:rsidRDefault="00EA2503">
            <w:pPr>
              <w:pStyle w:val="yTableNAm"/>
              <w:rPr>
                <w:b/>
              </w:rPr>
            </w:pPr>
          </w:p>
        </w:tc>
        <w:tc>
          <w:tcPr>
            <w:tcW w:w="5707" w:type="dxa"/>
            <w:gridSpan w:val="2"/>
            <w:tcBorders>
              <w:top w:val="nil"/>
              <w:left w:val="nil"/>
              <w:bottom w:val="nil"/>
              <w:right w:val="nil"/>
            </w:tcBorders>
          </w:tcPr>
          <w:p w:rsidR="00EA2503" w:rsidRDefault="00EA2503">
            <w:pPr>
              <w:pStyle w:val="yTableNAm"/>
            </w:pPr>
          </w:p>
        </w:tc>
      </w:tr>
      <w:tr w:rsidR="00EA2503">
        <w:trPr>
          <w:cantSplit/>
        </w:trPr>
        <w:tc>
          <w:tcPr>
            <w:tcW w:w="1390" w:type="dxa"/>
            <w:vMerge w:val="restart"/>
            <w:tcBorders>
              <w:top w:val="single" w:sz="4" w:space="0" w:color="auto"/>
            </w:tcBorders>
            <w:shd w:val="pct20" w:color="C0C0C0" w:fill="FFFFFF"/>
          </w:tcPr>
          <w:p w:rsidR="00EA2503" w:rsidRDefault="00AE6AE5">
            <w:pPr>
              <w:pStyle w:val="yTableNAm"/>
              <w:rPr>
                <w:b/>
              </w:rPr>
            </w:pPr>
            <w:r>
              <w:rPr>
                <w:b/>
              </w:rPr>
              <w:t>Person summonsed</w:t>
            </w:r>
          </w:p>
        </w:tc>
        <w:tc>
          <w:tcPr>
            <w:tcW w:w="5707" w:type="dxa"/>
            <w:gridSpan w:val="2"/>
            <w:tcBorders>
              <w:top w:val="single" w:sz="4" w:space="0" w:color="auto"/>
            </w:tcBorders>
          </w:tcPr>
          <w:p w:rsidR="00EA2503" w:rsidRDefault="00AE6AE5">
            <w:pPr>
              <w:pStyle w:val="yTableNAm"/>
            </w:pPr>
            <w:r>
              <w:t>Name:</w:t>
            </w:r>
          </w:p>
        </w:tc>
      </w:tr>
      <w:tr w:rsidR="00EA2503">
        <w:trPr>
          <w:cantSplit/>
        </w:trPr>
        <w:tc>
          <w:tcPr>
            <w:tcW w:w="1390" w:type="dxa"/>
            <w:vMerge/>
            <w:shd w:val="pct20" w:color="C0C0C0" w:fill="FFFFFF"/>
          </w:tcPr>
          <w:p w:rsidR="00EA2503" w:rsidRDefault="00EA2503">
            <w:pPr>
              <w:pStyle w:val="yTableNAm"/>
            </w:pPr>
          </w:p>
        </w:tc>
        <w:tc>
          <w:tcPr>
            <w:tcW w:w="5707" w:type="dxa"/>
            <w:gridSpan w:val="2"/>
          </w:tcPr>
          <w:p w:rsidR="00EA2503" w:rsidRDefault="00AE6AE5">
            <w:pPr>
              <w:pStyle w:val="yTableNAm"/>
            </w:pPr>
            <w:r>
              <w:t>Address:</w:t>
            </w:r>
          </w:p>
        </w:tc>
      </w:tr>
      <w:tr w:rsidR="00EA2503">
        <w:trPr>
          <w:cantSplit/>
        </w:trPr>
        <w:tc>
          <w:tcPr>
            <w:tcW w:w="1390" w:type="dxa"/>
            <w:vMerge/>
            <w:shd w:val="pct20" w:color="C0C0C0" w:fill="FFFFFF"/>
          </w:tcPr>
          <w:p w:rsidR="00EA2503" w:rsidRDefault="00EA2503">
            <w:pPr>
              <w:pStyle w:val="yTableNAm"/>
            </w:pPr>
          </w:p>
        </w:tc>
        <w:tc>
          <w:tcPr>
            <w:tcW w:w="5707" w:type="dxa"/>
            <w:gridSpan w:val="2"/>
            <w:tcBorders>
              <w:bottom w:val="nil"/>
            </w:tcBorders>
          </w:tcPr>
          <w:p w:rsidR="00EA2503" w:rsidRDefault="00AE6AE5">
            <w:pPr>
              <w:pStyle w:val="yTableNAm"/>
              <w:tabs>
                <w:tab w:val="clear" w:pos="567"/>
                <w:tab w:val="left" w:pos="3719"/>
              </w:tabs>
            </w:pPr>
            <w:r>
              <w:tab/>
              <w:t>Postcode:</w:t>
            </w:r>
          </w:p>
        </w:tc>
      </w:tr>
      <w:tr w:rsidR="00EA2503">
        <w:trPr>
          <w:cantSplit/>
        </w:trPr>
        <w:tc>
          <w:tcPr>
            <w:tcW w:w="1390" w:type="dxa"/>
            <w:vMerge/>
            <w:tcBorders>
              <w:bottom w:val="single" w:sz="4" w:space="0" w:color="auto"/>
            </w:tcBorders>
            <w:shd w:val="pct20" w:color="C0C0C0" w:fill="FFFFFF"/>
          </w:tcPr>
          <w:p w:rsidR="00EA2503" w:rsidRDefault="00EA2503">
            <w:pPr>
              <w:pStyle w:val="yTableNAm"/>
            </w:pPr>
          </w:p>
        </w:tc>
        <w:tc>
          <w:tcPr>
            <w:tcW w:w="5707" w:type="dxa"/>
            <w:gridSpan w:val="2"/>
            <w:tcBorders>
              <w:bottom w:val="single" w:sz="4" w:space="0" w:color="auto"/>
            </w:tcBorders>
          </w:tcPr>
          <w:p w:rsidR="00EA2503" w:rsidRDefault="00AE6AE5">
            <w:pPr>
              <w:pStyle w:val="yTableNAm"/>
              <w:tabs>
                <w:tab w:val="left" w:pos="3152"/>
              </w:tabs>
            </w:pPr>
            <w:r>
              <w:t>Phone No. (h):</w:t>
            </w:r>
            <w:r>
              <w:tab/>
              <w:t>(w):</w:t>
            </w:r>
          </w:p>
        </w:tc>
      </w:tr>
      <w:tr w:rsidR="00EA2503">
        <w:tc>
          <w:tcPr>
            <w:tcW w:w="1390" w:type="dxa"/>
            <w:tcBorders>
              <w:top w:val="nil"/>
              <w:left w:val="nil"/>
              <w:bottom w:val="nil"/>
              <w:right w:val="nil"/>
            </w:tcBorders>
          </w:tcPr>
          <w:p w:rsidR="00EA2503" w:rsidRDefault="00EA2503">
            <w:pPr>
              <w:pStyle w:val="yTableNAm"/>
            </w:pPr>
          </w:p>
        </w:tc>
        <w:tc>
          <w:tcPr>
            <w:tcW w:w="5707" w:type="dxa"/>
            <w:gridSpan w:val="2"/>
            <w:tcBorders>
              <w:top w:val="nil"/>
              <w:left w:val="nil"/>
              <w:bottom w:val="nil"/>
              <w:right w:val="nil"/>
            </w:tcBorders>
          </w:tcPr>
          <w:p w:rsidR="00EA2503" w:rsidRDefault="00EA2503">
            <w:pPr>
              <w:pStyle w:val="yTableNAm"/>
            </w:pPr>
          </w:p>
        </w:tc>
      </w:tr>
      <w:tr w:rsidR="00EA2503">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rsidR="00EA2503" w:rsidRDefault="00AE6AE5">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rsidR="00EA2503" w:rsidRDefault="00AE6AE5">
            <w:pPr>
              <w:pStyle w:val="yTableNAm"/>
              <w:rPr>
                <w:b/>
                <w:szCs w:val="22"/>
              </w:rPr>
            </w:pPr>
            <w:r>
              <w:rPr>
                <w:b/>
                <w:szCs w:val="22"/>
              </w:rPr>
              <w:t>You are required to attend the proceedings.</w:t>
            </w:r>
          </w:p>
        </w:tc>
      </w:tr>
      <w:tr w:rsidR="00EA2503">
        <w:tc>
          <w:tcPr>
            <w:tcW w:w="1390" w:type="dxa"/>
            <w:tcBorders>
              <w:top w:val="nil"/>
              <w:left w:val="nil"/>
              <w:bottom w:val="nil"/>
              <w:right w:val="nil"/>
            </w:tcBorders>
          </w:tcPr>
          <w:p w:rsidR="00EA2503" w:rsidRDefault="00EA2503">
            <w:pPr>
              <w:pStyle w:val="yTableNAm"/>
            </w:pPr>
          </w:p>
        </w:tc>
        <w:tc>
          <w:tcPr>
            <w:tcW w:w="5707" w:type="dxa"/>
            <w:gridSpan w:val="2"/>
            <w:tcBorders>
              <w:top w:val="nil"/>
              <w:left w:val="nil"/>
              <w:right w:val="nil"/>
            </w:tcBorders>
          </w:tcPr>
          <w:p w:rsidR="00EA2503" w:rsidRDefault="00EA2503">
            <w:pPr>
              <w:pStyle w:val="yTableNAm"/>
            </w:pPr>
          </w:p>
        </w:tc>
      </w:tr>
      <w:tr w:rsidR="00EA2503">
        <w:trPr>
          <w:cantSplit/>
        </w:trPr>
        <w:tc>
          <w:tcPr>
            <w:tcW w:w="1390" w:type="dxa"/>
            <w:vMerge w:val="restart"/>
            <w:shd w:val="pct20" w:color="C0C0C0" w:fill="FFFFFF"/>
          </w:tcPr>
          <w:p w:rsidR="00EA2503" w:rsidRDefault="00AE6AE5">
            <w:pPr>
              <w:pStyle w:val="yTableNAm"/>
              <w:rPr>
                <w:rFonts w:ascii="Times" w:hAnsi="Times"/>
                <w:b/>
                <w:spacing w:val="-4"/>
              </w:rPr>
            </w:pPr>
            <w:r>
              <w:rPr>
                <w:b/>
              </w:rPr>
              <w:t>Proceedings</w:t>
            </w:r>
          </w:p>
        </w:tc>
        <w:tc>
          <w:tcPr>
            <w:tcW w:w="5707" w:type="dxa"/>
            <w:gridSpan w:val="2"/>
          </w:tcPr>
          <w:p w:rsidR="00EA2503" w:rsidRDefault="00AE6AE5">
            <w:pPr>
              <w:pStyle w:val="yTableNAm"/>
            </w:pPr>
            <w:r>
              <w:t>Place:</w:t>
            </w:r>
          </w:p>
        </w:tc>
      </w:tr>
      <w:tr w:rsidR="00EA2503">
        <w:trPr>
          <w:cantSplit/>
        </w:trPr>
        <w:tc>
          <w:tcPr>
            <w:tcW w:w="1390" w:type="dxa"/>
            <w:vMerge/>
            <w:shd w:val="pct20" w:color="C0C0C0" w:fill="FFFFFF"/>
          </w:tcPr>
          <w:p w:rsidR="00EA2503" w:rsidRDefault="00EA2503">
            <w:pPr>
              <w:pStyle w:val="yTableNAm"/>
            </w:pPr>
          </w:p>
        </w:tc>
        <w:tc>
          <w:tcPr>
            <w:tcW w:w="5707" w:type="dxa"/>
            <w:gridSpan w:val="2"/>
          </w:tcPr>
          <w:p w:rsidR="00EA2503" w:rsidRDefault="00AE6AE5">
            <w:pPr>
              <w:pStyle w:val="yTableNAm"/>
            </w:pPr>
            <w:r>
              <w:t>Address:</w:t>
            </w:r>
          </w:p>
        </w:tc>
      </w:tr>
      <w:tr w:rsidR="00EA2503">
        <w:trPr>
          <w:cantSplit/>
        </w:trPr>
        <w:tc>
          <w:tcPr>
            <w:tcW w:w="1390" w:type="dxa"/>
            <w:vMerge/>
            <w:tcBorders>
              <w:bottom w:val="single" w:sz="4" w:space="0" w:color="auto"/>
            </w:tcBorders>
            <w:shd w:val="pct20" w:color="C0C0C0" w:fill="FFFFFF"/>
          </w:tcPr>
          <w:p w:rsidR="00EA2503" w:rsidRDefault="00EA2503">
            <w:pPr>
              <w:pStyle w:val="yTableNAm"/>
            </w:pPr>
          </w:p>
        </w:tc>
        <w:tc>
          <w:tcPr>
            <w:tcW w:w="5707" w:type="dxa"/>
            <w:gridSpan w:val="2"/>
            <w:tcBorders>
              <w:bottom w:val="single" w:sz="4" w:space="0" w:color="auto"/>
            </w:tcBorders>
          </w:tcPr>
          <w:p w:rsidR="00EA2503" w:rsidRDefault="00AE6AE5">
            <w:pPr>
              <w:pStyle w:val="yTableNAm"/>
              <w:tabs>
                <w:tab w:val="clear" w:pos="567"/>
                <w:tab w:val="left" w:pos="2554"/>
              </w:tabs>
            </w:pPr>
            <w:r>
              <w:t>Date:</w:t>
            </w:r>
            <w:r>
              <w:tab/>
              <w:t>Time:</w:t>
            </w:r>
          </w:p>
        </w:tc>
      </w:tr>
      <w:tr w:rsidR="00EA2503">
        <w:trPr>
          <w:cantSplit/>
        </w:trPr>
        <w:tc>
          <w:tcPr>
            <w:tcW w:w="1390" w:type="dxa"/>
            <w:tcBorders>
              <w:left w:val="nil"/>
              <w:bottom w:val="single" w:sz="4" w:space="0" w:color="auto"/>
              <w:right w:val="nil"/>
            </w:tcBorders>
            <w:shd w:val="clear" w:color="C0C0C0" w:fill="FFFFFF"/>
          </w:tcPr>
          <w:p w:rsidR="00EA2503" w:rsidRDefault="00EA2503">
            <w:pPr>
              <w:pStyle w:val="yTableNAm"/>
              <w:rPr>
                <w:b/>
              </w:rPr>
            </w:pPr>
          </w:p>
        </w:tc>
        <w:tc>
          <w:tcPr>
            <w:tcW w:w="5707" w:type="dxa"/>
            <w:gridSpan w:val="2"/>
            <w:tcBorders>
              <w:top w:val="single" w:sz="4" w:space="0" w:color="auto"/>
              <w:left w:val="nil"/>
              <w:bottom w:val="single" w:sz="4" w:space="0" w:color="auto"/>
              <w:right w:val="nil"/>
            </w:tcBorders>
          </w:tcPr>
          <w:p w:rsidR="00EA2503" w:rsidRDefault="00EA2503">
            <w:pPr>
              <w:pStyle w:val="yTableNAm"/>
            </w:pPr>
          </w:p>
        </w:tc>
      </w:tr>
      <w:tr w:rsidR="00EA2503">
        <w:trPr>
          <w:cantSplit/>
          <w:trHeight w:val="817"/>
        </w:trPr>
        <w:tc>
          <w:tcPr>
            <w:tcW w:w="1390" w:type="dxa"/>
            <w:tcBorders>
              <w:bottom w:val="single" w:sz="4" w:space="0" w:color="auto"/>
            </w:tcBorders>
            <w:shd w:val="pct20" w:color="C0C0C0" w:fill="FFFFFF"/>
          </w:tcPr>
          <w:p w:rsidR="00EA2503" w:rsidRDefault="00AE6AE5">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rsidR="00EA2503" w:rsidRDefault="00AE6AE5">
            <w:pPr>
              <w:pStyle w:val="yTableNAm"/>
            </w:pPr>
            <w:r>
              <w:t xml:space="preserve">The proceedings are being held because: </w:t>
            </w:r>
          </w:p>
          <w:p w:rsidR="00EA2503" w:rsidRDefault="00EA2503">
            <w:pPr>
              <w:pStyle w:val="yTableNAm"/>
            </w:pPr>
          </w:p>
          <w:p w:rsidR="00EA2503" w:rsidRDefault="00EA2503">
            <w:pPr>
              <w:pStyle w:val="yTableNAm"/>
            </w:pPr>
          </w:p>
          <w:p w:rsidR="00EA2503" w:rsidRDefault="00EA2503">
            <w:pPr>
              <w:pStyle w:val="yTableNAm"/>
            </w:pPr>
          </w:p>
          <w:p w:rsidR="00EA2503" w:rsidRDefault="00EA2503">
            <w:pPr>
              <w:pStyle w:val="yTableNAm"/>
            </w:pPr>
          </w:p>
        </w:tc>
      </w:tr>
      <w:tr w:rsidR="00EA2503">
        <w:trPr>
          <w:cantSplit/>
          <w:trHeight w:val="267"/>
        </w:trPr>
        <w:tc>
          <w:tcPr>
            <w:tcW w:w="1390" w:type="dxa"/>
            <w:vMerge w:val="restart"/>
            <w:tcBorders>
              <w:top w:val="single" w:sz="4" w:space="0" w:color="auto"/>
              <w:bottom w:val="single" w:sz="4" w:space="0" w:color="auto"/>
            </w:tcBorders>
            <w:shd w:val="pct20" w:color="C0C0C0" w:fill="FFFFFF"/>
          </w:tcPr>
          <w:p w:rsidR="00EA2503" w:rsidRDefault="00AE6AE5">
            <w:pPr>
              <w:pStyle w:val="yTableNAm"/>
              <w:keepNext/>
              <w:keepLines/>
              <w:rPr>
                <w:b/>
              </w:rPr>
            </w:pPr>
            <w:r>
              <w:rPr>
                <w:b/>
              </w:rPr>
              <w:lastRenderedPageBreak/>
              <w:t>Person issuing summons</w:t>
            </w:r>
          </w:p>
        </w:tc>
        <w:tc>
          <w:tcPr>
            <w:tcW w:w="5707" w:type="dxa"/>
            <w:gridSpan w:val="2"/>
            <w:tcBorders>
              <w:top w:val="single" w:sz="4" w:space="0" w:color="auto"/>
              <w:bottom w:val="nil"/>
            </w:tcBorders>
          </w:tcPr>
          <w:p w:rsidR="00EA2503" w:rsidRDefault="00AE6AE5">
            <w:pPr>
              <w:pStyle w:val="yTableNAm"/>
              <w:keepNext/>
              <w:keepLines/>
            </w:pPr>
            <w:r>
              <w:t>Name:</w:t>
            </w:r>
          </w:p>
        </w:tc>
      </w:tr>
      <w:tr w:rsidR="00EA2503">
        <w:trPr>
          <w:cantSplit/>
          <w:trHeight w:val="265"/>
        </w:trPr>
        <w:tc>
          <w:tcPr>
            <w:tcW w:w="1390" w:type="dxa"/>
            <w:vMerge/>
            <w:tcBorders>
              <w:bottom w:val="single" w:sz="4" w:space="0" w:color="auto"/>
            </w:tcBorders>
            <w:shd w:val="pct20" w:color="C0C0C0" w:fill="FFFFFF"/>
          </w:tcPr>
          <w:p w:rsidR="00EA2503" w:rsidRDefault="00EA2503">
            <w:pPr>
              <w:pStyle w:val="yTableNAm"/>
              <w:keepNext/>
              <w:keepLines/>
            </w:pPr>
          </w:p>
        </w:tc>
        <w:tc>
          <w:tcPr>
            <w:tcW w:w="5707" w:type="dxa"/>
            <w:gridSpan w:val="2"/>
            <w:tcBorders>
              <w:bottom w:val="nil"/>
            </w:tcBorders>
          </w:tcPr>
          <w:p w:rsidR="00EA2503" w:rsidRDefault="00AE6AE5">
            <w:pPr>
              <w:pStyle w:val="yTableNAm"/>
              <w:keepNext/>
              <w:keepLines/>
            </w:pPr>
            <w:r>
              <w:t>Office:</w:t>
            </w:r>
          </w:p>
        </w:tc>
      </w:tr>
      <w:tr w:rsidR="00EA2503">
        <w:trPr>
          <w:cantSplit/>
          <w:trHeight w:val="265"/>
        </w:trPr>
        <w:tc>
          <w:tcPr>
            <w:tcW w:w="1390" w:type="dxa"/>
            <w:vMerge/>
            <w:tcBorders>
              <w:bottom w:val="single" w:sz="4" w:space="0" w:color="auto"/>
            </w:tcBorders>
            <w:shd w:val="pct20" w:color="C0C0C0" w:fill="FFFFFF"/>
          </w:tcPr>
          <w:p w:rsidR="00EA2503" w:rsidRDefault="00EA2503">
            <w:pPr>
              <w:pStyle w:val="yTableNAm"/>
              <w:keepNext/>
            </w:pPr>
          </w:p>
        </w:tc>
        <w:tc>
          <w:tcPr>
            <w:tcW w:w="5707" w:type="dxa"/>
            <w:gridSpan w:val="2"/>
            <w:tcBorders>
              <w:bottom w:val="single" w:sz="4" w:space="0" w:color="auto"/>
            </w:tcBorders>
          </w:tcPr>
          <w:p w:rsidR="00EA2503" w:rsidRDefault="00AE6AE5">
            <w:pPr>
              <w:pStyle w:val="yTableNAm"/>
              <w:keepNext/>
              <w:tabs>
                <w:tab w:val="clear" w:pos="567"/>
                <w:tab w:val="left" w:pos="2554"/>
              </w:tabs>
            </w:pPr>
            <w:r>
              <w:t>Signature:</w:t>
            </w:r>
            <w:r>
              <w:tab/>
            </w:r>
            <w:r>
              <w:tab/>
              <w:t>Date:</w:t>
            </w:r>
          </w:p>
        </w:tc>
      </w:tr>
    </w:tbl>
    <w:p w:rsidR="00EA2503" w:rsidRDefault="00AE6AE5">
      <w:pPr>
        <w:pStyle w:val="yFootnotesection"/>
      </w:pPr>
      <w:r>
        <w:tab/>
        <w:t>[Form 1 inserted: Gazette 21 Apr 2006 p. 1577.]</w:t>
      </w:r>
    </w:p>
    <w:p w:rsidR="00EA2503" w:rsidRDefault="00EA2503">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rsidR="00EA2503">
        <w:trPr>
          <w:gridBefore w:val="1"/>
          <w:wBefore w:w="14" w:type="dxa"/>
          <w:cantSplit/>
        </w:trPr>
        <w:tc>
          <w:tcPr>
            <w:tcW w:w="5642" w:type="dxa"/>
            <w:gridSpan w:val="3"/>
            <w:tcBorders>
              <w:bottom w:val="single" w:sz="4" w:space="0" w:color="auto"/>
            </w:tcBorders>
            <w:shd w:val="pct20" w:color="C0C0C0" w:fill="FFFFFF"/>
          </w:tcPr>
          <w:p w:rsidR="00EA2503" w:rsidRDefault="00AE6AE5">
            <w:pPr>
              <w:pStyle w:val="yTableNAm"/>
            </w:pPr>
            <w:r>
              <w:rPr>
                <w:i/>
                <w:iCs/>
              </w:rPr>
              <w:t>Gas Standards (Gasfitting and Consumer Gas Installations) Regulations 1999</w:t>
            </w:r>
            <w:r>
              <w:t>, reg. 9(3)</w:t>
            </w:r>
          </w:p>
          <w:p w:rsidR="00EA2503" w:rsidRDefault="00AE6AE5">
            <w:pPr>
              <w:pStyle w:val="yTableNAm"/>
              <w:rPr>
                <w:b/>
                <w:sz w:val="28"/>
                <w:szCs w:val="28"/>
              </w:rPr>
            </w:pPr>
            <w:r>
              <w:rPr>
                <w:b/>
                <w:sz w:val="28"/>
                <w:szCs w:val="28"/>
              </w:rPr>
              <w:t>Summons to give evidence at proceedings</w:t>
            </w:r>
          </w:p>
        </w:tc>
        <w:tc>
          <w:tcPr>
            <w:tcW w:w="1418" w:type="dxa"/>
            <w:tcBorders>
              <w:top w:val="nil"/>
              <w:bottom w:val="nil"/>
              <w:right w:val="nil"/>
            </w:tcBorders>
          </w:tcPr>
          <w:p w:rsidR="00EA2503" w:rsidRDefault="00EA2503">
            <w:pPr>
              <w:pStyle w:val="yTableNAm"/>
            </w:pPr>
          </w:p>
          <w:p w:rsidR="00EA2503" w:rsidRDefault="00AE6AE5">
            <w:pPr>
              <w:pStyle w:val="yTableNAm"/>
            </w:pPr>
            <w:r>
              <w:t>Form 2</w:t>
            </w:r>
          </w:p>
        </w:tc>
      </w:tr>
      <w:tr w:rsidR="00EA2503">
        <w:trPr>
          <w:gridBefore w:val="1"/>
          <w:wBefore w:w="14" w:type="dxa"/>
          <w:cantSplit/>
        </w:trPr>
        <w:tc>
          <w:tcPr>
            <w:tcW w:w="1344" w:type="dxa"/>
            <w:tcBorders>
              <w:top w:val="nil"/>
              <w:left w:val="nil"/>
              <w:bottom w:val="nil"/>
              <w:right w:val="nil"/>
            </w:tcBorders>
          </w:tcPr>
          <w:p w:rsidR="00EA2503" w:rsidRDefault="00EA2503">
            <w:pPr>
              <w:pStyle w:val="yTableNAm"/>
              <w:spacing w:before="80"/>
              <w:rPr>
                <w:b/>
                <w:sz w:val="18"/>
                <w:szCs w:val="18"/>
              </w:rPr>
            </w:pPr>
          </w:p>
        </w:tc>
        <w:tc>
          <w:tcPr>
            <w:tcW w:w="5716" w:type="dxa"/>
            <w:gridSpan w:val="3"/>
            <w:tcBorders>
              <w:top w:val="nil"/>
              <w:left w:val="nil"/>
              <w:bottom w:val="nil"/>
              <w:right w:val="nil"/>
            </w:tcBorders>
          </w:tcPr>
          <w:p w:rsidR="00EA2503" w:rsidRDefault="00EA2503">
            <w:pPr>
              <w:pStyle w:val="yTableNAm"/>
              <w:spacing w:before="80"/>
              <w:rPr>
                <w:sz w:val="18"/>
                <w:szCs w:val="18"/>
              </w:rPr>
            </w:pPr>
          </w:p>
        </w:tc>
      </w:tr>
      <w:tr w:rsidR="00EA2503">
        <w:trPr>
          <w:gridBefore w:val="1"/>
          <w:wBefore w:w="14" w:type="dxa"/>
          <w:cantSplit/>
        </w:trPr>
        <w:tc>
          <w:tcPr>
            <w:tcW w:w="1344" w:type="dxa"/>
            <w:vMerge w:val="restart"/>
            <w:tcBorders>
              <w:top w:val="single" w:sz="4" w:space="0" w:color="auto"/>
            </w:tcBorders>
            <w:shd w:val="pct20" w:color="C0C0C0" w:fill="FFFFFF"/>
          </w:tcPr>
          <w:p w:rsidR="00EA2503" w:rsidRDefault="00AE6AE5">
            <w:pPr>
              <w:pStyle w:val="yTableNAm"/>
              <w:rPr>
                <w:b/>
              </w:rPr>
            </w:pPr>
            <w:r>
              <w:rPr>
                <w:b/>
              </w:rPr>
              <w:t>Person summonsed</w:t>
            </w:r>
          </w:p>
        </w:tc>
        <w:tc>
          <w:tcPr>
            <w:tcW w:w="5716" w:type="dxa"/>
            <w:gridSpan w:val="3"/>
            <w:tcBorders>
              <w:top w:val="single" w:sz="4" w:space="0" w:color="auto"/>
            </w:tcBorders>
          </w:tcPr>
          <w:p w:rsidR="00EA2503" w:rsidRDefault="00AE6AE5">
            <w:pPr>
              <w:pStyle w:val="yTableNAm"/>
            </w:pPr>
            <w:r>
              <w:t>Name:</w:t>
            </w:r>
          </w:p>
        </w:tc>
      </w:tr>
      <w:tr w:rsidR="00EA2503">
        <w:trPr>
          <w:gridBefore w:val="1"/>
          <w:wBefore w:w="14" w:type="dxa"/>
          <w:cantSplit/>
        </w:trPr>
        <w:tc>
          <w:tcPr>
            <w:tcW w:w="1344" w:type="dxa"/>
            <w:vMerge/>
            <w:shd w:val="pct20" w:color="C0C0C0" w:fill="FFFFFF"/>
          </w:tcPr>
          <w:p w:rsidR="00EA2503" w:rsidRDefault="00EA2503">
            <w:pPr>
              <w:pStyle w:val="yTableNAm"/>
            </w:pPr>
          </w:p>
        </w:tc>
        <w:tc>
          <w:tcPr>
            <w:tcW w:w="5716" w:type="dxa"/>
            <w:gridSpan w:val="3"/>
          </w:tcPr>
          <w:p w:rsidR="00EA2503" w:rsidRDefault="00AE6AE5">
            <w:pPr>
              <w:pStyle w:val="yTableNAm"/>
            </w:pPr>
            <w:r>
              <w:t>Address:</w:t>
            </w:r>
          </w:p>
        </w:tc>
      </w:tr>
      <w:tr w:rsidR="00EA2503">
        <w:trPr>
          <w:gridBefore w:val="1"/>
          <w:wBefore w:w="14" w:type="dxa"/>
          <w:cantSplit/>
        </w:trPr>
        <w:tc>
          <w:tcPr>
            <w:tcW w:w="1344" w:type="dxa"/>
            <w:vMerge/>
            <w:shd w:val="pct20" w:color="C0C0C0" w:fill="FFFFFF"/>
          </w:tcPr>
          <w:p w:rsidR="00EA2503" w:rsidRDefault="00EA2503">
            <w:pPr>
              <w:pStyle w:val="yTableNAm"/>
            </w:pPr>
          </w:p>
        </w:tc>
        <w:tc>
          <w:tcPr>
            <w:tcW w:w="5716" w:type="dxa"/>
            <w:gridSpan w:val="3"/>
            <w:tcBorders>
              <w:bottom w:val="nil"/>
            </w:tcBorders>
          </w:tcPr>
          <w:p w:rsidR="00EA2503" w:rsidRDefault="00AE6AE5">
            <w:pPr>
              <w:pStyle w:val="yTableNAm"/>
              <w:tabs>
                <w:tab w:val="clear" w:pos="567"/>
                <w:tab w:val="left" w:pos="3765"/>
              </w:tabs>
            </w:pPr>
            <w:r>
              <w:tab/>
              <w:t>Postcode:</w:t>
            </w:r>
          </w:p>
        </w:tc>
      </w:tr>
      <w:tr w:rsidR="00EA2503">
        <w:trPr>
          <w:gridBefore w:val="1"/>
          <w:wBefore w:w="14" w:type="dxa"/>
          <w:cantSplit/>
        </w:trPr>
        <w:tc>
          <w:tcPr>
            <w:tcW w:w="1344" w:type="dxa"/>
            <w:vMerge/>
            <w:tcBorders>
              <w:bottom w:val="single" w:sz="4" w:space="0" w:color="auto"/>
            </w:tcBorders>
            <w:shd w:val="pct20" w:color="C0C0C0" w:fill="FFFFFF"/>
          </w:tcPr>
          <w:p w:rsidR="00EA2503" w:rsidRDefault="00EA2503">
            <w:pPr>
              <w:pStyle w:val="yTableNAm"/>
            </w:pPr>
          </w:p>
        </w:tc>
        <w:tc>
          <w:tcPr>
            <w:tcW w:w="5716" w:type="dxa"/>
            <w:gridSpan w:val="3"/>
            <w:tcBorders>
              <w:bottom w:val="single" w:sz="4" w:space="0" w:color="auto"/>
            </w:tcBorders>
          </w:tcPr>
          <w:p w:rsidR="00EA2503" w:rsidRDefault="00AE6AE5">
            <w:pPr>
              <w:pStyle w:val="yTableNAm"/>
              <w:tabs>
                <w:tab w:val="left" w:pos="3198"/>
              </w:tabs>
            </w:pPr>
            <w:r>
              <w:t>Phone No. (h):</w:t>
            </w:r>
            <w:r>
              <w:tab/>
              <w:t>(w):</w:t>
            </w:r>
          </w:p>
        </w:tc>
      </w:tr>
      <w:tr w:rsidR="00EA2503">
        <w:trPr>
          <w:gridBefore w:val="1"/>
          <w:wBefore w:w="14" w:type="dxa"/>
        </w:trPr>
        <w:tc>
          <w:tcPr>
            <w:tcW w:w="1344" w:type="dxa"/>
            <w:tcBorders>
              <w:top w:val="nil"/>
              <w:left w:val="nil"/>
              <w:bottom w:val="nil"/>
              <w:right w:val="nil"/>
            </w:tcBorders>
          </w:tcPr>
          <w:p w:rsidR="00EA2503" w:rsidRDefault="00EA2503">
            <w:pPr>
              <w:pStyle w:val="yTableNAm"/>
              <w:spacing w:before="80"/>
              <w:rPr>
                <w:sz w:val="18"/>
                <w:szCs w:val="18"/>
              </w:rPr>
            </w:pPr>
          </w:p>
        </w:tc>
        <w:tc>
          <w:tcPr>
            <w:tcW w:w="5716" w:type="dxa"/>
            <w:gridSpan w:val="3"/>
            <w:tcBorders>
              <w:top w:val="nil"/>
              <w:left w:val="nil"/>
              <w:bottom w:val="nil"/>
              <w:right w:val="nil"/>
            </w:tcBorders>
          </w:tcPr>
          <w:p w:rsidR="00EA2503" w:rsidRDefault="00EA2503">
            <w:pPr>
              <w:pStyle w:val="yTableNAm"/>
              <w:spacing w:before="80"/>
              <w:rPr>
                <w:sz w:val="18"/>
                <w:szCs w:val="18"/>
              </w:rPr>
            </w:pPr>
          </w:p>
        </w:tc>
      </w:tr>
      <w:tr w:rsidR="00EA2503">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rsidR="00EA2503" w:rsidRDefault="00AE6AE5">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rsidR="00EA2503" w:rsidRDefault="00AE6AE5">
            <w:pPr>
              <w:pStyle w:val="yTableNAm"/>
              <w:rPr>
                <w:szCs w:val="22"/>
              </w:rPr>
            </w:pPr>
            <w:r>
              <w:rPr>
                <w:b/>
                <w:szCs w:val="22"/>
              </w:rPr>
              <w:t>You are required to attend the proceedings to give evidence and to produce the documents listed below.</w:t>
            </w:r>
          </w:p>
        </w:tc>
      </w:tr>
      <w:tr w:rsidR="00EA2503">
        <w:trPr>
          <w:gridBefore w:val="1"/>
          <w:wBefore w:w="14" w:type="dxa"/>
        </w:trPr>
        <w:tc>
          <w:tcPr>
            <w:tcW w:w="1358" w:type="dxa"/>
            <w:gridSpan w:val="2"/>
            <w:tcBorders>
              <w:top w:val="nil"/>
              <w:left w:val="nil"/>
              <w:bottom w:val="nil"/>
              <w:right w:val="nil"/>
            </w:tcBorders>
          </w:tcPr>
          <w:p w:rsidR="00EA2503" w:rsidRDefault="00EA2503">
            <w:pPr>
              <w:pStyle w:val="yTableNAm"/>
              <w:spacing w:before="80"/>
              <w:rPr>
                <w:sz w:val="18"/>
                <w:szCs w:val="18"/>
              </w:rPr>
            </w:pPr>
          </w:p>
        </w:tc>
        <w:tc>
          <w:tcPr>
            <w:tcW w:w="5702" w:type="dxa"/>
            <w:gridSpan w:val="2"/>
            <w:tcBorders>
              <w:top w:val="nil"/>
              <w:left w:val="nil"/>
              <w:right w:val="nil"/>
            </w:tcBorders>
          </w:tcPr>
          <w:p w:rsidR="00EA2503" w:rsidRDefault="00EA2503">
            <w:pPr>
              <w:pStyle w:val="yTableNAm"/>
              <w:spacing w:before="80"/>
              <w:rPr>
                <w:sz w:val="18"/>
                <w:szCs w:val="18"/>
              </w:rPr>
            </w:pPr>
          </w:p>
        </w:tc>
      </w:tr>
      <w:tr w:rsidR="00EA2503">
        <w:trPr>
          <w:gridBefore w:val="1"/>
          <w:wBefore w:w="14" w:type="dxa"/>
          <w:cantSplit/>
        </w:trPr>
        <w:tc>
          <w:tcPr>
            <w:tcW w:w="1358" w:type="dxa"/>
            <w:gridSpan w:val="2"/>
            <w:vMerge w:val="restart"/>
            <w:shd w:val="pct20" w:color="C0C0C0" w:fill="FFFFFF"/>
          </w:tcPr>
          <w:p w:rsidR="00EA2503" w:rsidRDefault="00AE6AE5">
            <w:pPr>
              <w:pStyle w:val="yTableNAm"/>
              <w:rPr>
                <w:rFonts w:ascii="Times" w:hAnsi="Times"/>
                <w:b/>
                <w:spacing w:val="-4"/>
              </w:rPr>
            </w:pPr>
            <w:r>
              <w:rPr>
                <w:b/>
              </w:rPr>
              <w:t>Proceedings</w:t>
            </w:r>
          </w:p>
        </w:tc>
        <w:tc>
          <w:tcPr>
            <w:tcW w:w="5702" w:type="dxa"/>
            <w:gridSpan w:val="2"/>
          </w:tcPr>
          <w:p w:rsidR="00EA2503" w:rsidRDefault="00AE6AE5">
            <w:pPr>
              <w:pStyle w:val="yTableNAm"/>
            </w:pPr>
            <w:r>
              <w:t>Place:</w:t>
            </w:r>
          </w:p>
        </w:tc>
      </w:tr>
      <w:tr w:rsidR="00EA2503">
        <w:trPr>
          <w:gridBefore w:val="1"/>
          <w:wBefore w:w="14" w:type="dxa"/>
          <w:cantSplit/>
        </w:trPr>
        <w:tc>
          <w:tcPr>
            <w:tcW w:w="1358" w:type="dxa"/>
            <w:gridSpan w:val="2"/>
            <w:vMerge/>
            <w:shd w:val="pct20" w:color="C0C0C0" w:fill="FFFFFF"/>
          </w:tcPr>
          <w:p w:rsidR="00EA2503" w:rsidRDefault="00EA2503">
            <w:pPr>
              <w:pStyle w:val="yTableNAm"/>
            </w:pPr>
          </w:p>
        </w:tc>
        <w:tc>
          <w:tcPr>
            <w:tcW w:w="5702" w:type="dxa"/>
            <w:gridSpan w:val="2"/>
          </w:tcPr>
          <w:p w:rsidR="00EA2503" w:rsidRDefault="00AE6AE5">
            <w:pPr>
              <w:pStyle w:val="yTableNAm"/>
            </w:pPr>
            <w:r>
              <w:t>Address:</w:t>
            </w:r>
          </w:p>
        </w:tc>
      </w:tr>
      <w:tr w:rsidR="00EA2503">
        <w:trPr>
          <w:gridBefore w:val="1"/>
          <w:wBefore w:w="14" w:type="dxa"/>
          <w:cantSplit/>
        </w:trPr>
        <w:tc>
          <w:tcPr>
            <w:tcW w:w="1358" w:type="dxa"/>
            <w:gridSpan w:val="2"/>
            <w:vMerge/>
            <w:tcBorders>
              <w:bottom w:val="single" w:sz="4" w:space="0" w:color="auto"/>
            </w:tcBorders>
            <w:shd w:val="pct20" w:color="C0C0C0" w:fill="FFFFFF"/>
          </w:tcPr>
          <w:p w:rsidR="00EA2503" w:rsidRDefault="00EA2503">
            <w:pPr>
              <w:pStyle w:val="yTableNAm"/>
            </w:pPr>
          </w:p>
        </w:tc>
        <w:tc>
          <w:tcPr>
            <w:tcW w:w="5702" w:type="dxa"/>
            <w:gridSpan w:val="2"/>
            <w:tcBorders>
              <w:bottom w:val="single" w:sz="4" w:space="0" w:color="auto"/>
            </w:tcBorders>
          </w:tcPr>
          <w:p w:rsidR="00EA2503" w:rsidRDefault="00AE6AE5">
            <w:pPr>
              <w:pStyle w:val="yTableNAm"/>
              <w:tabs>
                <w:tab w:val="clear" w:pos="567"/>
                <w:tab w:val="left" w:pos="2586"/>
              </w:tabs>
            </w:pPr>
            <w:r>
              <w:t>Date:</w:t>
            </w:r>
            <w:r>
              <w:tab/>
              <w:t>Time:</w:t>
            </w:r>
          </w:p>
        </w:tc>
      </w:tr>
      <w:tr w:rsidR="00EA2503">
        <w:trPr>
          <w:gridBefore w:val="1"/>
          <w:wBefore w:w="14" w:type="dxa"/>
        </w:trPr>
        <w:tc>
          <w:tcPr>
            <w:tcW w:w="1358" w:type="dxa"/>
            <w:gridSpan w:val="2"/>
            <w:tcBorders>
              <w:top w:val="nil"/>
              <w:left w:val="nil"/>
              <w:bottom w:val="nil"/>
              <w:right w:val="nil"/>
            </w:tcBorders>
          </w:tcPr>
          <w:p w:rsidR="00EA2503" w:rsidRDefault="00EA2503">
            <w:pPr>
              <w:pStyle w:val="yTableNAm"/>
              <w:spacing w:before="80"/>
              <w:rPr>
                <w:sz w:val="18"/>
                <w:szCs w:val="18"/>
              </w:rPr>
            </w:pPr>
          </w:p>
        </w:tc>
        <w:tc>
          <w:tcPr>
            <w:tcW w:w="5702" w:type="dxa"/>
            <w:gridSpan w:val="2"/>
            <w:tcBorders>
              <w:left w:val="nil"/>
              <w:bottom w:val="nil"/>
              <w:right w:val="nil"/>
            </w:tcBorders>
          </w:tcPr>
          <w:p w:rsidR="00EA2503" w:rsidRDefault="00EA2503">
            <w:pPr>
              <w:pStyle w:val="yTableNAm"/>
              <w:spacing w:before="80"/>
              <w:rPr>
                <w:sz w:val="18"/>
                <w:szCs w:val="18"/>
              </w:rPr>
            </w:pPr>
          </w:p>
        </w:tc>
      </w:tr>
      <w:tr w:rsidR="00EA2503">
        <w:trPr>
          <w:cantSplit/>
        </w:trPr>
        <w:tc>
          <w:tcPr>
            <w:tcW w:w="1372" w:type="dxa"/>
            <w:gridSpan w:val="3"/>
            <w:shd w:val="pct20" w:color="C0C0C0" w:fill="FFFFFF"/>
          </w:tcPr>
          <w:p w:rsidR="00EA2503" w:rsidRDefault="00AE6AE5">
            <w:pPr>
              <w:pStyle w:val="yTableNAm"/>
              <w:rPr>
                <w:b/>
              </w:rPr>
            </w:pPr>
            <w:r>
              <w:rPr>
                <w:b/>
              </w:rPr>
              <w:t>Reason for proceedings</w:t>
            </w:r>
          </w:p>
        </w:tc>
        <w:tc>
          <w:tcPr>
            <w:tcW w:w="5702" w:type="dxa"/>
            <w:gridSpan w:val="2"/>
            <w:tcBorders>
              <w:bottom w:val="nil"/>
            </w:tcBorders>
          </w:tcPr>
          <w:p w:rsidR="00EA2503" w:rsidRDefault="00AE6AE5">
            <w:pPr>
              <w:pStyle w:val="yTableNAm"/>
              <w:keepNext/>
              <w:keepLines/>
            </w:pPr>
            <w:r>
              <w:t>The person who is the subject of the proceedings is:</w:t>
            </w:r>
          </w:p>
          <w:p w:rsidR="00EA2503" w:rsidRDefault="00EA2503">
            <w:pPr>
              <w:pStyle w:val="yTableNAm"/>
              <w:keepNext/>
              <w:keepLines/>
            </w:pPr>
          </w:p>
        </w:tc>
      </w:tr>
      <w:tr w:rsidR="00EA2503">
        <w:trPr>
          <w:cantSplit/>
        </w:trPr>
        <w:tc>
          <w:tcPr>
            <w:tcW w:w="1372" w:type="dxa"/>
            <w:gridSpan w:val="3"/>
            <w:shd w:val="pct20" w:color="C0C0C0" w:fill="FFFFFF"/>
          </w:tcPr>
          <w:p w:rsidR="00EA2503" w:rsidRDefault="00EA2503">
            <w:pPr>
              <w:pStyle w:val="yTableNAm"/>
              <w:rPr>
                <w:b/>
              </w:rPr>
            </w:pPr>
          </w:p>
        </w:tc>
        <w:tc>
          <w:tcPr>
            <w:tcW w:w="5702" w:type="dxa"/>
            <w:gridSpan w:val="2"/>
            <w:tcBorders>
              <w:bottom w:val="nil"/>
            </w:tcBorders>
          </w:tcPr>
          <w:p w:rsidR="00EA2503" w:rsidRDefault="00AE6AE5">
            <w:pPr>
              <w:pStyle w:val="yTableNAm"/>
            </w:pPr>
            <w:r>
              <w:t xml:space="preserve">The proceedings are being held because: </w:t>
            </w:r>
          </w:p>
          <w:p w:rsidR="00EA2503" w:rsidRDefault="00EA2503">
            <w:pPr>
              <w:pStyle w:val="yTableNAm"/>
              <w:spacing w:before="40"/>
            </w:pPr>
          </w:p>
          <w:p w:rsidR="00EA2503" w:rsidRDefault="00EA2503">
            <w:pPr>
              <w:pStyle w:val="yTableNAm"/>
              <w:spacing w:before="40"/>
            </w:pPr>
          </w:p>
          <w:p w:rsidR="00EA2503" w:rsidRDefault="00EA2503">
            <w:pPr>
              <w:pStyle w:val="yTableNAm"/>
              <w:spacing w:before="40"/>
            </w:pPr>
          </w:p>
          <w:p w:rsidR="00EA2503" w:rsidRDefault="00EA2503">
            <w:pPr>
              <w:pStyle w:val="yTableNAm"/>
            </w:pPr>
          </w:p>
        </w:tc>
      </w:tr>
      <w:tr w:rsidR="00EA2503">
        <w:tc>
          <w:tcPr>
            <w:tcW w:w="1372" w:type="dxa"/>
            <w:gridSpan w:val="3"/>
            <w:tcBorders>
              <w:left w:val="nil"/>
              <w:bottom w:val="nil"/>
              <w:right w:val="nil"/>
            </w:tcBorders>
          </w:tcPr>
          <w:p w:rsidR="00EA2503" w:rsidRDefault="00EA2503">
            <w:pPr>
              <w:pStyle w:val="yTableNAm"/>
              <w:spacing w:before="80"/>
            </w:pPr>
          </w:p>
        </w:tc>
        <w:tc>
          <w:tcPr>
            <w:tcW w:w="5702" w:type="dxa"/>
            <w:gridSpan w:val="2"/>
            <w:tcBorders>
              <w:left w:val="nil"/>
              <w:bottom w:val="nil"/>
              <w:right w:val="nil"/>
            </w:tcBorders>
          </w:tcPr>
          <w:p w:rsidR="00EA2503" w:rsidRDefault="00EA2503">
            <w:pPr>
              <w:pStyle w:val="yTableNAm"/>
              <w:spacing w:before="80"/>
            </w:pPr>
          </w:p>
        </w:tc>
      </w:tr>
      <w:tr w:rsidR="00EA2503">
        <w:trPr>
          <w:cantSplit/>
        </w:trPr>
        <w:tc>
          <w:tcPr>
            <w:tcW w:w="1372" w:type="dxa"/>
            <w:gridSpan w:val="3"/>
            <w:tcBorders>
              <w:left w:val="single" w:sz="4" w:space="0" w:color="auto"/>
              <w:bottom w:val="single" w:sz="4" w:space="0" w:color="auto"/>
              <w:right w:val="single" w:sz="4" w:space="0" w:color="auto"/>
            </w:tcBorders>
            <w:shd w:val="pct20" w:color="C0C0C0" w:fill="FFFFFF"/>
          </w:tcPr>
          <w:p w:rsidR="00EA2503" w:rsidRDefault="00AE6AE5">
            <w:pPr>
              <w:pStyle w:val="yTableNAm"/>
              <w:rPr>
                <w:b/>
              </w:rPr>
            </w:pPr>
            <w:r>
              <w:rPr>
                <w:b/>
              </w:rPr>
              <w:lastRenderedPageBreak/>
              <w:t>Documents to be produced (if any)</w:t>
            </w:r>
          </w:p>
        </w:tc>
        <w:tc>
          <w:tcPr>
            <w:tcW w:w="5702" w:type="dxa"/>
            <w:gridSpan w:val="2"/>
            <w:tcBorders>
              <w:left w:val="single" w:sz="4" w:space="0" w:color="auto"/>
              <w:bottom w:val="single" w:sz="4" w:space="0" w:color="auto"/>
              <w:right w:val="single" w:sz="4" w:space="0" w:color="auto"/>
            </w:tcBorders>
          </w:tcPr>
          <w:p w:rsidR="00EA2503" w:rsidRDefault="00EA2503">
            <w:pPr>
              <w:pStyle w:val="yTableNAm"/>
            </w:pPr>
          </w:p>
          <w:p w:rsidR="00EA2503" w:rsidRDefault="00EA2503">
            <w:pPr>
              <w:pStyle w:val="yTableNAm"/>
            </w:pPr>
          </w:p>
          <w:p w:rsidR="00EA2503" w:rsidRDefault="00EA2503">
            <w:pPr>
              <w:pStyle w:val="yTableNAm"/>
            </w:pPr>
          </w:p>
          <w:p w:rsidR="00EA2503" w:rsidRDefault="00EA2503">
            <w:pPr>
              <w:pStyle w:val="yTable"/>
            </w:pPr>
          </w:p>
        </w:tc>
      </w:tr>
      <w:tr w:rsidR="00EA2503">
        <w:tc>
          <w:tcPr>
            <w:tcW w:w="1372" w:type="dxa"/>
            <w:gridSpan w:val="3"/>
            <w:tcBorders>
              <w:top w:val="nil"/>
              <w:left w:val="nil"/>
              <w:bottom w:val="nil"/>
              <w:right w:val="nil"/>
            </w:tcBorders>
          </w:tcPr>
          <w:p w:rsidR="00EA2503" w:rsidRDefault="00EA2503">
            <w:pPr>
              <w:pStyle w:val="yTable"/>
            </w:pPr>
          </w:p>
        </w:tc>
        <w:tc>
          <w:tcPr>
            <w:tcW w:w="5702" w:type="dxa"/>
            <w:gridSpan w:val="2"/>
            <w:tcBorders>
              <w:top w:val="nil"/>
              <w:left w:val="nil"/>
              <w:bottom w:val="single" w:sz="4" w:space="0" w:color="auto"/>
              <w:right w:val="nil"/>
            </w:tcBorders>
          </w:tcPr>
          <w:p w:rsidR="00EA2503" w:rsidRDefault="00EA2503">
            <w:pPr>
              <w:pStyle w:val="yTable"/>
            </w:pPr>
          </w:p>
        </w:tc>
      </w:tr>
      <w:tr w:rsidR="00EA2503">
        <w:trPr>
          <w:cantSplit/>
          <w:trHeight w:val="267"/>
        </w:trPr>
        <w:tc>
          <w:tcPr>
            <w:tcW w:w="1372" w:type="dxa"/>
            <w:gridSpan w:val="3"/>
            <w:vMerge w:val="restart"/>
            <w:tcBorders>
              <w:bottom w:val="single" w:sz="4" w:space="0" w:color="auto"/>
            </w:tcBorders>
            <w:shd w:val="pct20" w:color="C0C0C0" w:fill="FFFFFF"/>
          </w:tcPr>
          <w:p w:rsidR="00EA2503" w:rsidRDefault="00AE6AE5">
            <w:pPr>
              <w:pStyle w:val="yTableNAm"/>
              <w:rPr>
                <w:b/>
              </w:rPr>
            </w:pPr>
            <w:r>
              <w:rPr>
                <w:b/>
              </w:rPr>
              <w:t>Person issuing summons</w:t>
            </w:r>
          </w:p>
        </w:tc>
        <w:tc>
          <w:tcPr>
            <w:tcW w:w="5702" w:type="dxa"/>
            <w:gridSpan w:val="2"/>
            <w:tcBorders>
              <w:bottom w:val="nil"/>
            </w:tcBorders>
          </w:tcPr>
          <w:p w:rsidR="00EA2503" w:rsidRDefault="00AE6AE5">
            <w:pPr>
              <w:pStyle w:val="yTableNAm"/>
            </w:pPr>
            <w:r>
              <w:t>Name:</w:t>
            </w:r>
          </w:p>
        </w:tc>
      </w:tr>
      <w:tr w:rsidR="00EA2503">
        <w:trPr>
          <w:cantSplit/>
          <w:trHeight w:val="265"/>
        </w:trPr>
        <w:tc>
          <w:tcPr>
            <w:tcW w:w="1372" w:type="dxa"/>
            <w:gridSpan w:val="3"/>
            <w:vMerge/>
            <w:tcBorders>
              <w:bottom w:val="single" w:sz="4" w:space="0" w:color="auto"/>
            </w:tcBorders>
            <w:shd w:val="pct20" w:color="C0C0C0" w:fill="FFFFFF"/>
          </w:tcPr>
          <w:p w:rsidR="00EA2503" w:rsidRDefault="00EA2503">
            <w:pPr>
              <w:pStyle w:val="yTable"/>
              <w:rPr>
                <w:b/>
              </w:rPr>
            </w:pPr>
          </w:p>
        </w:tc>
        <w:tc>
          <w:tcPr>
            <w:tcW w:w="5702" w:type="dxa"/>
            <w:gridSpan w:val="2"/>
            <w:tcBorders>
              <w:bottom w:val="nil"/>
            </w:tcBorders>
          </w:tcPr>
          <w:p w:rsidR="00EA2503" w:rsidRDefault="00AE6AE5">
            <w:pPr>
              <w:pStyle w:val="yTableNAm"/>
            </w:pPr>
            <w:r>
              <w:t>Office:</w:t>
            </w:r>
          </w:p>
        </w:tc>
      </w:tr>
      <w:tr w:rsidR="00EA2503">
        <w:trPr>
          <w:cantSplit/>
          <w:trHeight w:val="265"/>
        </w:trPr>
        <w:tc>
          <w:tcPr>
            <w:tcW w:w="1372" w:type="dxa"/>
            <w:gridSpan w:val="3"/>
            <w:vMerge/>
            <w:tcBorders>
              <w:bottom w:val="single" w:sz="4" w:space="0" w:color="auto"/>
            </w:tcBorders>
            <w:shd w:val="pct20" w:color="C0C0C0" w:fill="FFFFFF"/>
          </w:tcPr>
          <w:p w:rsidR="00EA2503" w:rsidRDefault="00EA2503">
            <w:pPr>
              <w:pStyle w:val="yTable"/>
              <w:rPr>
                <w:b/>
              </w:rPr>
            </w:pPr>
          </w:p>
        </w:tc>
        <w:tc>
          <w:tcPr>
            <w:tcW w:w="5702" w:type="dxa"/>
            <w:gridSpan w:val="2"/>
            <w:tcBorders>
              <w:bottom w:val="single" w:sz="4" w:space="0" w:color="auto"/>
            </w:tcBorders>
          </w:tcPr>
          <w:p w:rsidR="00EA2503" w:rsidRDefault="00AE6AE5">
            <w:pPr>
              <w:pStyle w:val="yTableNAm"/>
              <w:tabs>
                <w:tab w:val="left" w:pos="3326"/>
              </w:tabs>
            </w:pPr>
            <w:r>
              <w:t>Signature:</w:t>
            </w:r>
            <w:r>
              <w:tab/>
              <w:t>Date:</w:t>
            </w:r>
          </w:p>
        </w:tc>
      </w:tr>
    </w:tbl>
    <w:p w:rsidR="00EA2503" w:rsidRDefault="00AE6AE5">
      <w:pPr>
        <w:pStyle w:val="yFootnotesection"/>
      </w:pPr>
      <w:r>
        <w:tab/>
        <w:t>[Form 2 inserted: Gazette 21 Apr 2006 p. 1578.]</w:t>
      </w:r>
    </w:p>
    <w:p w:rsidR="00EA2503" w:rsidRDefault="00EA2503">
      <w:pPr>
        <w:sectPr w:rsidR="00EA2503">
          <w:headerReference w:type="even" r:id="rId24"/>
          <w:headerReference w:type="default" r:id="rId25"/>
          <w:pgSz w:w="11907" w:h="16840" w:code="9"/>
          <w:pgMar w:top="2376" w:right="2405" w:bottom="3542" w:left="2405" w:header="706" w:footer="3380" w:gutter="0"/>
          <w:cols w:space="720"/>
          <w:noEndnote/>
          <w:docGrid w:linePitch="326"/>
        </w:sectPr>
      </w:pPr>
    </w:p>
    <w:p w:rsidR="00EA2503" w:rsidRDefault="00AE6AE5">
      <w:pPr>
        <w:pStyle w:val="yScheduleHeading"/>
      </w:pPr>
      <w:bookmarkStart w:id="84" w:name="_Toc75416382"/>
      <w:bookmarkStart w:id="85" w:name="_Toc75416874"/>
      <w:bookmarkStart w:id="86" w:name="_Toc75759102"/>
      <w:r>
        <w:rPr>
          <w:rStyle w:val="CharSchNo"/>
        </w:rPr>
        <w:lastRenderedPageBreak/>
        <w:t>Schedule 3</w:t>
      </w:r>
      <w:r>
        <w:t xml:space="preserve"> — </w:t>
      </w:r>
      <w:r>
        <w:rPr>
          <w:rStyle w:val="CharSchText"/>
        </w:rPr>
        <w:t>Witness fees and allowances</w:t>
      </w:r>
      <w:bookmarkEnd w:id="84"/>
      <w:bookmarkEnd w:id="85"/>
      <w:bookmarkEnd w:id="86"/>
    </w:p>
    <w:p w:rsidR="00EA2503" w:rsidRDefault="00AE6AE5">
      <w:pPr>
        <w:pStyle w:val="yShoulderClause"/>
      </w:pPr>
      <w:r>
        <w:t>[r. 9(4)]</w:t>
      </w:r>
    </w:p>
    <w:p w:rsidR="00EA2503" w:rsidRDefault="00AE6AE5">
      <w:pPr>
        <w:pStyle w:val="yHeading5"/>
        <w:outlineLvl w:val="9"/>
      </w:pPr>
      <w:bookmarkStart w:id="87" w:name="_Toc75759103"/>
      <w:r>
        <w:rPr>
          <w:rStyle w:val="CharSClsNo"/>
        </w:rPr>
        <w:t>1</w:t>
      </w:r>
      <w:r>
        <w:t>.</w:t>
      </w:r>
      <w:r>
        <w:tab/>
        <w:t>Daily allowance</w:t>
      </w:r>
      <w:bookmarkEnd w:id="87"/>
    </w:p>
    <w:p w:rsidR="00EA2503" w:rsidRDefault="00AE6AE5">
      <w:pPr>
        <w:pStyle w:val="ySubsection"/>
      </w:pPr>
      <w:r>
        <w:tab/>
        <w:t>(1)</w:t>
      </w:r>
      <w:r>
        <w:tab/>
        <w:t>A person carrying on a profession or business as a principal is entitled to a daily allowance not exceeding $97.00.</w:t>
      </w:r>
    </w:p>
    <w:p w:rsidR="00EA2503" w:rsidRDefault="00AE6AE5">
      <w:pPr>
        <w:pStyle w:val="ySubsection"/>
      </w:pPr>
      <w:r>
        <w:tab/>
        <w:t>(2)</w:t>
      </w:r>
      <w:r>
        <w:tab/>
        <w:t>A person other than that referred to in subclause (1) is entitled to a daily allowance not exceeding $78.00.</w:t>
      </w:r>
    </w:p>
    <w:p w:rsidR="00EA2503" w:rsidRDefault="00AE6AE5">
      <w:pPr>
        <w:pStyle w:val="ySubsection"/>
      </w:pPr>
      <w:r>
        <w:tab/>
        <w:t>(3)</w:t>
      </w:r>
      <w:r>
        <w:tab/>
        <w:t>In fixing an allowance under subclause (2), the Director may have regard to the amount of salary or wages (if any) actually lost by the witness.</w:t>
      </w:r>
    </w:p>
    <w:p w:rsidR="00EA2503" w:rsidRDefault="00AE6AE5">
      <w:pPr>
        <w:pStyle w:val="yHeading5"/>
        <w:outlineLvl w:val="9"/>
      </w:pPr>
      <w:bookmarkStart w:id="88" w:name="_Toc75759104"/>
      <w:r>
        <w:rPr>
          <w:rStyle w:val="CharSClsNo"/>
        </w:rPr>
        <w:t>2</w:t>
      </w:r>
      <w:r>
        <w:t>.</w:t>
      </w:r>
      <w:r>
        <w:tab/>
        <w:t>Expenses</w:t>
      </w:r>
      <w:bookmarkEnd w:id="88"/>
    </w:p>
    <w:p w:rsidR="00EA2503" w:rsidRDefault="00AE6AE5">
      <w:pPr>
        <w:pStyle w:val="ySubsection"/>
      </w:pPr>
      <w:r>
        <w:tab/>
      </w:r>
      <w:r>
        <w:tab/>
        <w:t>A witness residing at a distance from the place of hearing is entitled to reasonable travelling expenses actually paid, and a reasonable amount for maintenance or sustenance.</w:t>
      </w:r>
    </w:p>
    <w:p w:rsidR="00EA2503" w:rsidRDefault="00AE6AE5">
      <w:pPr>
        <w:pStyle w:val="yHeading5"/>
        <w:outlineLvl w:val="9"/>
      </w:pPr>
      <w:bookmarkStart w:id="89" w:name="_Toc75759105"/>
      <w:r>
        <w:rPr>
          <w:rStyle w:val="CharSClsNo"/>
        </w:rPr>
        <w:t>3</w:t>
      </w:r>
      <w:r>
        <w:t>.</w:t>
      </w:r>
      <w:r>
        <w:tab/>
        <w:t>Expert evidence</w:t>
      </w:r>
      <w:bookmarkEnd w:id="89"/>
    </w:p>
    <w:p w:rsidR="00EA2503" w:rsidRDefault="00AE6AE5">
      <w:pPr>
        <w:pStyle w:val="ySubsection"/>
      </w:pPr>
      <w:r>
        <w:tab/>
        <w:t>(1)</w:t>
      </w:r>
      <w:r>
        <w:tab/>
        <w:t>A party is entitled to such amount as has been reasonably and properly incurred and paid to a witness for qualifying to give expert evidence.</w:t>
      </w:r>
    </w:p>
    <w:p w:rsidR="00EA2503" w:rsidRDefault="00AE6AE5">
      <w:pPr>
        <w:pStyle w:val="ySubsection"/>
      </w:pPr>
      <w:r>
        <w:tab/>
        <w:t>(2)</w:t>
      </w:r>
      <w:r>
        <w:tab/>
        <w:t>An expert witness is entitled to a reasonable fee for the witness’ attendance even if it exceeds the daily allowance under clause 1.</w:t>
      </w:r>
    </w:p>
    <w:p w:rsidR="00EA2503" w:rsidRDefault="00AE6AE5">
      <w:pPr>
        <w:pStyle w:val="ySubsection"/>
      </w:pPr>
      <w:r>
        <w:tab/>
        <w:t>(3)</w:t>
      </w:r>
      <w:r>
        <w:tab/>
        <w:t>An allowance is not to be made to an expert witness for the witness’ attendance to assist or advise counsel or the solicitor for a party during a hearing.</w:t>
      </w:r>
    </w:p>
    <w:p w:rsidR="00EA2503" w:rsidRDefault="00EA2503">
      <w:pPr>
        <w:sectPr w:rsidR="00EA2503">
          <w:headerReference w:type="even" r:id="rId26"/>
          <w:headerReference w:type="default" r:id="rId27"/>
          <w:pgSz w:w="11907" w:h="16840" w:code="9"/>
          <w:pgMar w:top="2376" w:right="2405" w:bottom="3542" w:left="2405" w:header="706" w:footer="3380" w:gutter="0"/>
          <w:cols w:space="720"/>
          <w:noEndnote/>
          <w:docGrid w:linePitch="326"/>
        </w:sectPr>
      </w:pPr>
    </w:p>
    <w:p w:rsidR="00A8438C" w:rsidRDefault="00A8438C" w:rsidP="00313D44">
      <w:pPr>
        <w:pStyle w:val="yScheduleHeading"/>
      </w:pPr>
      <w:bookmarkStart w:id="90" w:name="_Toc75416878"/>
      <w:bookmarkStart w:id="91" w:name="_Toc75759106"/>
      <w:bookmarkStart w:id="92" w:name="_Toc75416386"/>
      <w:r w:rsidRPr="00313D44">
        <w:rPr>
          <w:rStyle w:val="CharSchNo"/>
        </w:rPr>
        <w:lastRenderedPageBreak/>
        <w:t>Schedule 4</w:t>
      </w:r>
      <w:r>
        <w:t> — </w:t>
      </w:r>
      <w:r w:rsidRPr="00313D44">
        <w:rPr>
          <w:rStyle w:val="CharSchText"/>
        </w:rPr>
        <w:t>Fees for permits and authorisations</w:t>
      </w:r>
      <w:bookmarkEnd w:id="90"/>
      <w:bookmarkEnd w:id="91"/>
    </w:p>
    <w:p w:rsidR="00A8438C" w:rsidRDefault="00A8438C" w:rsidP="00A8438C">
      <w:pPr>
        <w:pStyle w:val="yShoulderClause"/>
      </w:pPr>
      <w:r>
        <w:t>[r. 11, 13A and 15A]</w:t>
      </w:r>
    </w:p>
    <w:p w:rsidR="00A8438C" w:rsidRPr="00313D44" w:rsidRDefault="00A8438C" w:rsidP="00313D44">
      <w:pPr>
        <w:pStyle w:val="yFootnoteheading"/>
        <w:spacing w:after="120"/>
      </w:pPr>
      <w:r>
        <w:tab/>
        <w:t>[Heading inserted: SL 2021/86 r. 37.]</w:t>
      </w:r>
    </w:p>
    <w:tbl>
      <w:tblPr>
        <w:tblW w:w="5103" w:type="dxa"/>
        <w:jc w:val="center"/>
        <w:tblLayout w:type="fixed"/>
        <w:tblLook w:val="0000" w:firstRow="0" w:lastRow="0" w:firstColumn="0" w:lastColumn="0" w:noHBand="0" w:noVBand="0"/>
      </w:tblPr>
      <w:tblGrid>
        <w:gridCol w:w="709"/>
        <w:gridCol w:w="2551"/>
        <w:gridCol w:w="1843"/>
      </w:tblGrid>
      <w:tr w:rsidR="00A8438C" w:rsidTr="00E4108F">
        <w:trPr>
          <w:cantSplit/>
          <w:tblHeader/>
          <w:jc w:val="center"/>
        </w:trPr>
        <w:tc>
          <w:tcPr>
            <w:tcW w:w="709" w:type="dxa"/>
            <w:tcBorders>
              <w:top w:val="single" w:sz="4" w:space="0" w:color="auto"/>
              <w:bottom w:val="single" w:sz="4" w:space="0" w:color="auto"/>
            </w:tcBorders>
            <w:noWrap/>
          </w:tcPr>
          <w:p w:rsidR="00A8438C" w:rsidRDefault="00A8438C" w:rsidP="00E4108F">
            <w:pPr>
              <w:pStyle w:val="yTableNAm"/>
              <w:jc w:val="center"/>
              <w:rPr>
                <w:b/>
              </w:rPr>
            </w:pPr>
            <w:r>
              <w:rPr>
                <w:b/>
              </w:rPr>
              <w:t>Item</w:t>
            </w:r>
          </w:p>
        </w:tc>
        <w:tc>
          <w:tcPr>
            <w:tcW w:w="2551" w:type="dxa"/>
            <w:tcBorders>
              <w:top w:val="single" w:sz="4" w:space="0" w:color="auto"/>
              <w:bottom w:val="single" w:sz="4" w:space="0" w:color="auto"/>
            </w:tcBorders>
            <w:noWrap/>
          </w:tcPr>
          <w:p w:rsidR="00A8438C" w:rsidRDefault="00A8438C" w:rsidP="00E4108F">
            <w:pPr>
              <w:pStyle w:val="yTableNAm"/>
              <w:jc w:val="center"/>
              <w:rPr>
                <w:b/>
                <w:bCs/>
              </w:rPr>
            </w:pPr>
            <w:r>
              <w:rPr>
                <w:b/>
                <w:bCs/>
              </w:rPr>
              <w:t>Column 1</w:t>
            </w:r>
          </w:p>
          <w:p w:rsidR="00A8438C" w:rsidRDefault="00A8438C" w:rsidP="00E4108F">
            <w:pPr>
              <w:pStyle w:val="yTableNAm"/>
              <w:jc w:val="center"/>
              <w:rPr>
                <w:b/>
                <w:bCs/>
              </w:rPr>
            </w:pPr>
            <w:r>
              <w:rPr>
                <w:b/>
                <w:bCs/>
              </w:rPr>
              <w:t>Matter</w:t>
            </w:r>
          </w:p>
        </w:tc>
        <w:tc>
          <w:tcPr>
            <w:tcW w:w="1843" w:type="dxa"/>
            <w:tcBorders>
              <w:top w:val="single" w:sz="4" w:space="0" w:color="auto"/>
              <w:bottom w:val="single" w:sz="4" w:space="0" w:color="auto"/>
            </w:tcBorders>
            <w:noWrap/>
          </w:tcPr>
          <w:p w:rsidR="00A8438C" w:rsidRDefault="00A8438C" w:rsidP="00E4108F">
            <w:pPr>
              <w:pStyle w:val="yTableNAm"/>
              <w:jc w:val="center"/>
              <w:rPr>
                <w:b/>
              </w:rPr>
            </w:pPr>
            <w:r>
              <w:rPr>
                <w:b/>
              </w:rPr>
              <w:t>Column 2</w:t>
            </w:r>
          </w:p>
          <w:p w:rsidR="00A8438C" w:rsidRDefault="00A8438C" w:rsidP="00E4108F">
            <w:pPr>
              <w:pStyle w:val="yTableNAm"/>
              <w:jc w:val="center"/>
            </w:pPr>
            <w:r>
              <w:rPr>
                <w:b/>
              </w:rPr>
              <w:t>Fee ($)</w:t>
            </w:r>
          </w:p>
        </w:tc>
      </w:tr>
      <w:tr w:rsidR="00A8438C" w:rsidTr="00E4108F">
        <w:trPr>
          <w:cantSplit/>
          <w:jc w:val="center"/>
        </w:trPr>
        <w:tc>
          <w:tcPr>
            <w:tcW w:w="709" w:type="dxa"/>
            <w:noWrap/>
          </w:tcPr>
          <w:p w:rsidR="00A8438C" w:rsidRDefault="00A8438C" w:rsidP="00E4108F">
            <w:pPr>
              <w:pStyle w:val="yTableNAm"/>
            </w:pPr>
            <w:r>
              <w:t>1.</w:t>
            </w:r>
          </w:p>
        </w:tc>
        <w:tc>
          <w:tcPr>
            <w:tcW w:w="2551" w:type="dxa"/>
            <w:noWrap/>
          </w:tcPr>
          <w:p w:rsidR="00A8438C" w:rsidRDefault="00A8438C" w:rsidP="00E4108F">
            <w:pPr>
              <w:pStyle w:val="yTableNAm"/>
            </w:pPr>
            <w:r>
              <w:t>Application for permit</w:t>
            </w:r>
          </w:p>
        </w:tc>
        <w:tc>
          <w:tcPr>
            <w:tcW w:w="1843" w:type="dxa"/>
            <w:noWrap/>
            <w:vAlign w:val="bottom"/>
          </w:tcPr>
          <w:p w:rsidR="00A8438C" w:rsidRDefault="00A8438C" w:rsidP="00E4108F">
            <w:pPr>
              <w:pStyle w:val="yTableNAm"/>
              <w:jc w:val="right"/>
            </w:pPr>
            <w:r>
              <w:t>56.50</w:t>
            </w:r>
          </w:p>
        </w:tc>
      </w:tr>
      <w:tr w:rsidR="00A8438C" w:rsidTr="00E4108F">
        <w:trPr>
          <w:cantSplit/>
          <w:jc w:val="center"/>
        </w:trPr>
        <w:tc>
          <w:tcPr>
            <w:tcW w:w="709" w:type="dxa"/>
            <w:noWrap/>
          </w:tcPr>
          <w:p w:rsidR="00A8438C" w:rsidRDefault="00A8438C" w:rsidP="00E4108F">
            <w:pPr>
              <w:pStyle w:val="yTableNAm"/>
            </w:pPr>
            <w:r>
              <w:t>2.</w:t>
            </w:r>
          </w:p>
        </w:tc>
        <w:tc>
          <w:tcPr>
            <w:tcW w:w="2551" w:type="dxa"/>
            <w:noWrap/>
          </w:tcPr>
          <w:p w:rsidR="00A8438C" w:rsidRDefault="00A8438C" w:rsidP="00E4108F">
            <w:pPr>
              <w:pStyle w:val="yTableNAm"/>
            </w:pPr>
            <w:r>
              <w:t>Issue or renewal of permit (for each year)</w:t>
            </w:r>
          </w:p>
        </w:tc>
        <w:tc>
          <w:tcPr>
            <w:tcW w:w="1843" w:type="dxa"/>
            <w:noWrap/>
          </w:tcPr>
          <w:p w:rsidR="00A8438C" w:rsidRDefault="00A8438C" w:rsidP="00E4108F">
            <w:pPr>
              <w:pStyle w:val="yTableNAm"/>
              <w:jc w:val="right"/>
            </w:pPr>
            <w:r>
              <w:t>60.00</w:t>
            </w:r>
          </w:p>
        </w:tc>
      </w:tr>
      <w:tr w:rsidR="00A8438C" w:rsidTr="00E4108F">
        <w:trPr>
          <w:cantSplit/>
          <w:jc w:val="center"/>
        </w:trPr>
        <w:tc>
          <w:tcPr>
            <w:tcW w:w="709" w:type="dxa"/>
            <w:noWrap/>
          </w:tcPr>
          <w:p w:rsidR="00A8438C" w:rsidRDefault="00A8438C" w:rsidP="00E4108F">
            <w:pPr>
              <w:pStyle w:val="yTableNAm"/>
            </w:pPr>
            <w:r>
              <w:t>3.</w:t>
            </w:r>
          </w:p>
        </w:tc>
        <w:tc>
          <w:tcPr>
            <w:tcW w:w="2551" w:type="dxa"/>
            <w:noWrap/>
          </w:tcPr>
          <w:p w:rsidR="00A8438C" w:rsidRDefault="00A8438C" w:rsidP="00E4108F">
            <w:pPr>
              <w:pStyle w:val="yTableNAm"/>
            </w:pPr>
            <w:r>
              <w:t>Application for authorisation</w:t>
            </w:r>
          </w:p>
        </w:tc>
        <w:tc>
          <w:tcPr>
            <w:tcW w:w="1843" w:type="dxa"/>
            <w:noWrap/>
            <w:vAlign w:val="bottom"/>
          </w:tcPr>
          <w:p w:rsidR="00A8438C" w:rsidRDefault="00A8438C" w:rsidP="00E4108F">
            <w:pPr>
              <w:pStyle w:val="yTableNAm"/>
              <w:jc w:val="right"/>
            </w:pPr>
            <w:r>
              <w:t>697.00</w:t>
            </w:r>
          </w:p>
        </w:tc>
      </w:tr>
      <w:tr w:rsidR="00A8438C" w:rsidTr="00E4108F">
        <w:trPr>
          <w:cantSplit/>
          <w:jc w:val="center"/>
        </w:trPr>
        <w:tc>
          <w:tcPr>
            <w:tcW w:w="709" w:type="dxa"/>
            <w:tcBorders>
              <w:bottom w:val="single" w:sz="4" w:space="0" w:color="auto"/>
            </w:tcBorders>
            <w:noWrap/>
          </w:tcPr>
          <w:p w:rsidR="00A8438C" w:rsidRDefault="00A8438C" w:rsidP="00E4108F">
            <w:pPr>
              <w:pStyle w:val="yTableNAm"/>
              <w:spacing w:after="120"/>
            </w:pPr>
            <w:r>
              <w:t>4.</w:t>
            </w:r>
          </w:p>
        </w:tc>
        <w:tc>
          <w:tcPr>
            <w:tcW w:w="2551" w:type="dxa"/>
            <w:tcBorders>
              <w:bottom w:val="single" w:sz="4" w:space="0" w:color="auto"/>
            </w:tcBorders>
            <w:noWrap/>
          </w:tcPr>
          <w:p w:rsidR="00A8438C" w:rsidRDefault="00A8438C" w:rsidP="00E4108F">
            <w:pPr>
              <w:pStyle w:val="yTableNAm"/>
              <w:spacing w:after="120"/>
            </w:pPr>
            <w:r>
              <w:t>Replacement permit or authorisation</w:t>
            </w:r>
          </w:p>
        </w:tc>
        <w:tc>
          <w:tcPr>
            <w:tcW w:w="1843" w:type="dxa"/>
            <w:tcBorders>
              <w:bottom w:val="single" w:sz="4" w:space="0" w:color="auto"/>
            </w:tcBorders>
            <w:noWrap/>
            <w:vAlign w:val="bottom"/>
          </w:tcPr>
          <w:p w:rsidR="00A8438C" w:rsidRDefault="00A8438C" w:rsidP="00E4108F">
            <w:pPr>
              <w:pStyle w:val="yTableNAm"/>
              <w:spacing w:after="120"/>
              <w:jc w:val="right"/>
            </w:pPr>
            <w:r>
              <w:t>116.00</w:t>
            </w:r>
          </w:p>
        </w:tc>
      </w:tr>
    </w:tbl>
    <w:p w:rsidR="00A8438C" w:rsidRPr="00313D44" w:rsidRDefault="00A8438C" w:rsidP="00313D44">
      <w:pPr>
        <w:pStyle w:val="yFootnotesection"/>
      </w:pPr>
      <w:r>
        <w:tab/>
        <w:t>[Schedule 4 inserted: SL 2021/86 r. 37.]</w:t>
      </w:r>
    </w:p>
    <w:p w:rsidR="00EA2503" w:rsidRDefault="00AE6AE5">
      <w:pPr>
        <w:pStyle w:val="yScheduleHeading"/>
      </w:pPr>
      <w:bookmarkStart w:id="93" w:name="_Toc75416387"/>
      <w:bookmarkStart w:id="94" w:name="_Toc75416879"/>
      <w:bookmarkStart w:id="95" w:name="_Toc75759107"/>
      <w:bookmarkEnd w:id="92"/>
      <w:r>
        <w:rPr>
          <w:rStyle w:val="CharSchNo"/>
        </w:rPr>
        <w:lastRenderedPageBreak/>
        <w:t>Schedule 5</w:t>
      </w:r>
      <w:r>
        <w:t xml:space="preserve"> — </w:t>
      </w:r>
      <w:r>
        <w:rPr>
          <w:rStyle w:val="CharSchText"/>
        </w:rPr>
        <w:t>Classes of gasfitting work</w:t>
      </w:r>
      <w:bookmarkEnd w:id="93"/>
      <w:bookmarkEnd w:id="94"/>
      <w:bookmarkEnd w:id="95"/>
    </w:p>
    <w:p w:rsidR="00EA2503" w:rsidRDefault="00AE6AE5">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rsidR="00EA2503">
        <w:tc>
          <w:tcPr>
            <w:tcW w:w="1275" w:type="dxa"/>
          </w:tcPr>
          <w:p w:rsidR="00EA2503" w:rsidRDefault="00AE6AE5">
            <w:pPr>
              <w:pStyle w:val="yTableNAm"/>
              <w:rPr>
                <w:b/>
                <w:bCs/>
                <w:iCs/>
              </w:rPr>
            </w:pPr>
            <w:r>
              <w:rPr>
                <w:b/>
                <w:bCs/>
                <w:iCs/>
              </w:rPr>
              <w:t>Class</w:t>
            </w:r>
          </w:p>
        </w:tc>
        <w:tc>
          <w:tcPr>
            <w:tcW w:w="6065" w:type="dxa"/>
          </w:tcPr>
          <w:p w:rsidR="00EA2503" w:rsidRDefault="00AE6AE5">
            <w:pPr>
              <w:pStyle w:val="yTableNAm"/>
              <w:rPr>
                <w:b/>
                <w:bCs/>
                <w:iCs/>
              </w:rPr>
            </w:pPr>
            <w:r>
              <w:rPr>
                <w:b/>
                <w:bCs/>
                <w:iCs/>
              </w:rPr>
              <w:t>Description</w:t>
            </w:r>
          </w:p>
        </w:tc>
      </w:tr>
      <w:tr w:rsidR="00EA2503">
        <w:tc>
          <w:tcPr>
            <w:tcW w:w="1275" w:type="dxa"/>
          </w:tcPr>
          <w:p w:rsidR="00EA2503" w:rsidRDefault="00AE6AE5">
            <w:pPr>
              <w:pStyle w:val="yTableNAm"/>
            </w:pPr>
            <w:r>
              <w:t>Class G</w:t>
            </w:r>
          </w:p>
        </w:tc>
        <w:tc>
          <w:tcPr>
            <w:tcW w:w="6065" w:type="dxa"/>
          </w:tcPr>
          <w:p w:rsidR="00EA2503" w:rsidRDefault="00AE6AE5">
            <w:pPr>
              <w:pStyle w:val="yTableNAm"/>
            </w:pPr>
            <w:r>
              <w:t>All gasfitting work except gasfitting work classed as Class I, E or P.</w:t>
            </w:r>
          </w:p>
        </w:tc>
      </w:tr>
      <w:tr w:rsidR="00EA2503">
        <w:tc>
          <w:tcPr>
            <w:tcW w:w="1275" w:type="dxa"/>
          </w:tcPr>
          <w:p w:rsidR="00EA2503" w:rsidRDefault="00AE6AE5">
            <w:pPr>
              <w:pStyle w:val="yTableNAm"/>
            </w:pPr>
            <w:r>
              <w:t>Class I</w:t>
            </w:r>
          </w:p>
        </w:tc>
        <w:tc>
          <w:tcPr>
            <w:tcW w:w="6065" w:type="dxa"/>
          </w:tcPr>
          <w:p w:rsidR="00EA2503" w:rsidRDefault="00AE6AE5">
            <w:pPr>
              <w:pStyle w:val="yTableNAm"/>
            </w:pPr>
            <w:r>
              <w:t>Gasfitting work —</w:t>
            </w:r>
          </w:p>
          <w:p w:rsidR="00EA2503" w:rsidRDefault="00AE6AE5">
            <w:pPr>
              <w:pStyle w:val="yTableNAm"/>
              <w:tabs>
                <w:tab w:val="clear" w:pos="567"/>
                <w:tab w:val="left" w:pos="406"/>
              </w:tabs>
              <w:ind w:left="406" w:hanging="406"/>
            </w:pPr>
            <w:r>
              <w:t>(a)</w:t>
            </w:r>
            <w:r>
              <w:tab/>
              <w:t>on a consumer’s gas installation associated with a Type B appliance; or</w:t>
            </w:r>
          </w:p>
          <w:p w:rsidR="00EA2503" w:rsidRDefault="00AE6AE5">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rsidR="00EA2503">
        <w:tc>
          <w:tcPr>
            <w:tcW w:w="1275" w:type="dxa"/>
          </w:tcPr>
          <w:p w:rsidR="00EA2503" w:rsidRDefault="00AE6AE5">
            <w:pPr>
              <w:pStyle w:val="yTableNAm"/>
            </w:pPr>
            <w:r>
              <w:t>Class E</w:t>
            </w:r>
          </w:p>
        </w:tc>
        <w:tc>
          <w:tcPr>
            <w:tcW w:w="6065" w:type="dxa"/>
          </w:tcPr>
          <w:p w:rsidR="00EA2503" w:rsidRDefault="00AE6AE5">
            <w:pPr>
              <w:pStyle w:val="yTableNAm"/>
            </w:pPr>
            <w:r>
              <w:t>Gasfitting work associated with a mobile engine.</w:t>
            </w:r>
          </w:p>
        </w:tc>
      </w:tr>
      <w:tr w:rsidR="00EA2503">
        <w:tc>
          <w:tcPr>
            <w:tcW w:w="1275" w:type="dxa"/>
          </w:tcPr>
          <w:p w:rsidR="00EA2503" w:rsidRDefault="00AE6AE5">
            <w:pPr>
              <w:pStyle w:val="yTableNAm"/>
            </w:pPr>
            <w:r>
              <w:t>Class P</w:t>
            </w:r>
          </w:p>
        </w:tc>
        <w:tc>
          <w:tcPr>
            <w:tcW w:w="6065" w:type="dxa"/>
          </w:tcPr>
          <w:p w:rsidR="00EA2503" w:rsidRDefault="00AE6AE5">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rsidR="00EA2503" w:rsidRDefault="00AE6AE5">
      <w:pPr>
        <w:pStyle w:val="yFootnotesection"/>
      </w:pPr>
      <w:r>
        <w:tab/>
        <w:t>[Schedule 5 amended: Gazette 8 Jan 2015 p. 100.]</w:t>
      </w:r>
    </w:p>
    <w:p w:rsidR="00EA2503" w:rsidRDefault="00EA2503">
      <w:pPr>
        <w:sectPr w:rsidR="00EA2503">
          <w:headerReference w:type="even" r:id="rId28"/>
          <w:headerReference w:type="default" r:id="rId29"/>
          <w:pgSz w:w="11907" w:h="16840" w:code="9"/>
          <w:pgMar w:top="2376" w:right="2405" w:bottom="3542" w:left="2405" w:header="706" w:footer="3380" w:gutter="0"/>
          <w:cols w:space="720"/>
          <w:noEndnote/>
          <w:docGrid w:linePitch="326"/>
        </w:sectPr>
      </w:pPr>
    </w:p>
    <w:p w:rsidR="00EA2503" w:rsidRDefault="00AE6AE5">
      <w:pPr>
        <w:pStyle w:val="yScheduleHeading"/>
      </w:pPr>
      <w:bookmarkStart w:id="96" w:name="_Toc75416388"/>
      <w:bookmarkStart w:id="97" w:name="_Toc75416880"/>
      <w:bookmarkStart w:id="98" w:name="_Toc75759108"/>
      <w:r>
        <w:rPr>
          <w:rStyle w:val="CharSchNo"/>
        </w:rPr>
        <w:lastRenderedPageBreak/>
        <w:t>Schedule 6</w:t>
      </w:r>
      <w:r>
        <w:t xml:space="preserve"> — </w:t>
      </w:r>
      <w:r>
        <w:rPr>
          <w:rStyle w:val="CharSchText"/>
        </w:rPr>
        <w:t>Certain requirements as to consumers’ gas installations</w:t>
      </w:r>
      <w:bookmarkEnd w:id="96"/>
      <w:bookmarkEnd w:id="97"/>
      <w:bookmarkEnd w:id="98"/>
    </w:p>
    <w:p w:rsidR="00EA2503" w:rsidRDefault="00AE6AE5">
      <w:pPr>
        <w:pStyle w:val="yShoulderClause"/>
      </w:pPr>
      <w:r>
        <w:t>[r. 32(1)(a)]</w:t>
      </w:r>
    </w:p>
    <w:p w:rsidR="00EA2503" w:rsidRDefault="00AE6AE5">
      <w:pPr>
        <w:pStyle w:val="yHeading3"/>
        <w:outlineLvl w:val="9"/>
      </w:pPr>
      <w:bookmarkStart w:id="99" w:name="_Toc75416389"/>
      <w:bookmarkStart w:id="100" w:name="_Toc75416881"/>
      <w:bookmarkStart w:id="101" w:name="_Toc75759109"/>
      <w:r>
        <w:rPr>
          <w:rStyle w:val="CharSDivNo"/>
        </w:rPr>
        <w:t>Division 1</w:t>
      </w:r>
      <w:r>
        <w:t xml:space="preserve"> — </w:t>
      </w:r>
      <w:r>
        <w:rPr>
          <w:rStyle w:val="CharSDivText"/>
        </w:rPr>
        <w:t>Interpretation</w:t>
      </w:r>
      <w:bookmarkEnd w:id="99"/>
      <w:bookmarkEnd w:id="100"/>
      <w:bookmarkEnd w:id="101"/>
    </w:p>
    <w:p w:rsidR="00EA2503" w:rsidRDefault="00AE6AE5">
      <w:pPr>
        <w:pStyle w:val="yHeading5"/>
        <w:outlineLvl w:val="9"/>
      </w:pPr>
      <w:bookmarkStart w:id="102" w:name="_Toc75759110"/>
      <w:r>
        <w:rPr>
          <w:rStyle w:val="CharSClsNo"/>
        </w:rPr>
        <w:t>101</w:t>
      </w:r>
      <w:r>
        <w:t>.</w:t>
      </w:r>
      <w:r>
        <w:tab/>
        <w:t>Terms used</w:t>
      </w:r>
      <w:bookmarkEnd w:id="102"/>
    </w:p>
    <w:p w:rsidR="00EA2503" w:rsidRDefault="00AE6AE5">
      <w:pPr>
        <w:pStyle w:val="ySubsection"/>
      </w:pPr>
      <w:r>
        <w:tab/>
      </w:r>
      <w:r>
        <w:tab/>
        <w:t>In this Schedule, unless the contrary intention appears —</w:t>
      </w:r>
    </w:p>
    <w:p w:rsidR="00EA2503" w:rsidRDefault="00AE6AE5">
      <w:pPr>
        <w:pStyle w:val="yDefstart"/>
      </w:pPr>
      <w:r>
        <w:tab/>
      </w:r>
      <w:r>
        <w:rPr>
          <w:rStyle w:val="CharDefText"/>
        </w:rPr>
        <w:t>approved</w:t>
      </w:r>
      <w:r>
        <w:t xml:space="preserve"> means approved by —</w:t>
      </w:r>
    </w:p>
    <w:p w:rsidR="00EA2503" w:rsidRDefault="00AE6AE5">
      <w:pPr>
        <w:pStyle w:val="yDefpara"/>
      </w:pPr>
      <w:r>
        <w:tab/>
        <w:t>(a)</w:t>
      </w:r>
      <w:r>
        <w:tab/>
        <w:t>the Director; or</w:t>
      </w:r>
    </w:p>
    <w:p w:rsidR="00EA2503" w:rsidRDefault="00AE6AE5">
      <w:pPr>
        <w:pStyle w:val="yDefpara"/>
      </w:pPr>
      <w:r>
        <w:tab/>
        <w:t>(b)</w:t>
      </w:r>
      <w:r>
        <w:tab/>
        <w:t>a person recognized by the Director as a competent authority for that purpose;</w:t>
      </w:r>
    </w:p>
    <w:p w:rsidR="00EA2503" w:rsidRDefault="00AE6AE5">
      <w:pPr>
        <w:pStyle w:val="yDefstart"/>
      </w:pPr>
      <w:r>
        <w:tab/>
      </w:r>
      <w:r>
        <w:rPr>
          <w:rStyle w:val="CharDefText"/>
        </w:rPr>
        <w:t>bedroom</w:t>
      </w:r>
      <w:r>
        <w:t xml:space="preserve"> means any room used or intended to be used as sleeping quarters;</w:t>
      </w:r>
    </w:p>
    <w:p w:rsidR="00EA2503" w:rsidRDefault="00AE6AE5">
      <w:pPr>
        <w:pStyle w:val="yDefstart"/>
      </w:pPr>
      <w:r>
        <w:tab/>
      </w:r>
      <w:r>
        <w:rPr>
          <w:rStyle w:val="CharDefText"/>
        </w:rPr>
        <w:t>flame safeguard system</w:t>
      </w:r>
      <w:r>
        <w:t xml:space="preserve"> means a system designed to detect flame failure and shut off the flow of gas when flame failure is detected;</w:t>
      </w:r>
    </w:p>
    <w:p w:rsidR="00EA2503" w:rsidRDefault="00AE6AE5">
      <w:pPr>
        <w:pStyle w:val="yDefstart"/>
      </w:pPr>
      <w:r>
        <w:tab/>
      </w:r>
      <w:r>
        <w:rPr>
          <w:rStyle w:val="CharDefText"/>
        </w:rPr>
        <w:t>prescribed pressure</w:t>
      </w:r>
      <w:r>
        <w:t xml:space="preserve"> means —</w:t>
      </w:r>
    </w:p>
    <w:p w:rsidR="00EA2503" w:rsidRDefault="00AE6AE5">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rsidR="00EA2503" w:rsidRDefault="00AE6AE5">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rsidR="00EA2503" w:rsidRDefault="00AE6AE5">
      <w:pPr>
        <w:pStyle w:val="yDefpara"/>
      </w:pPr>
      <w:r>
        <w:tab/>
        <w:t>(c)</w:t>
      </w:r>
      <w:r>
        <w:tab/>
        <w:t>2.75 kPa, in relation to a gas installation that uses or is to use LPG.</w:t>
      </w:r>
    </w:p>
    <w:p w:rsidR="00EA2503" w:rsidRDefault="00AE6AE5">
      <w:pPr>
        <w:pStyle w:val="yEdnotedivision"/>
        <w:tabs>
          <w:tab w:val="left" w:pos="2410"/>
        </w:tabs>
        <w:ind w:left="1134" w:hanging="1134"/>
      </w:pPr>
      <w:r>
        <w:tab/>
        <w:t xml:space="preserve">[Division 2:  </w:t>
      </w:r>
      <w:r>
        <w:tab/>
        <w:t>r.  201 deleted: Gazette 21 Apr 2006 p. 1578;.</w:t>
      </w:r>
      <w:r>
        <w:br/>
      </w:r>
      <w:r>
        <w:tab/>
        <w:t>r. 202-208 deleted: Gazette 2 Oct 2018 p. 3784.]</w:t>
      </w:r>
    </w:p>
    <w:p w:rsidR="00EA2503" w:rsidRDefault="00AE6AE5">
      <w:pPr>
        <w:pStyle w:val="yHeading3"/>
        <w:outlineLvl w:val="9"/>
      </w:pPr>
      <w:bookmarkStart w:id="103" w:name="_Toc75416391"/>
      <w:bookmarkStart w:id="104" w:name="_Toc75416883"/>
      <w:bookmarkStart w:id="105" w:name="_Toc75759111"/>
      <w:r>
        <w:rPr>
          <w:rStyle w:val="CharSDivNo"/>
        </w:rPr>
        <w:t>Division 3</w:t>
      </w:r>
      <w:r>
        <w:rPr>
          <w:rStyle w:val="CharDivNo"/>
        </w:rPr>
        <w:t xml:space="preserve"> — </w:t>
      </w:r>
      <w:r>
        <w:rPr>
          <w:rStyle w:val="CharSDivText"/>
        </w:rPr>
        <w:t>LPG cylinders and tanks</w:t>
      </w:r>
      <w:bookmarkEnd w:id="103"/>
      <w:bookmarkEnd w:id="104"/>
      <w:bookmarkEnd w:id="105"/>
    </w:p>
    <w:p w:rsidR="00EA2503" w:rsidRDefault="00AE6AE5">
      <w:pPr>
        <w:pStyle w:val="yHeading5"/>
        <w:outlineLvl w:val="9"/>
      </w:pPr>
      <w:bookmarkStart w:id="106" w:name="_Toc75759112"/>
      <w:r>
        <w:rPr>
          <w:rStyle w:val="CharSClsNo"/>
        </w:rPr>
        <w:t>301</w:t>
      </w:r>
      <w:r>
        <w:t>.</w:t>
      </w:r>
      <w:r>
        <w:tab/>
        <w:t>Location of cylinders, tanks and regulators</w:t>
      </w:r>
      <w:bookmarkEnd w:id="106"/>
    </w:p>
    <w:p w:rsidR="00EA2503" w:rsidRDefault="00AE6AE5">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rsidR="00EA2503" w:rsidRDefault="00AE6AE5">
      <w:pPr>
        <w:pStyle w:val="ySubsection"/>
        <w:rPr>
          <w:snapToGrid w:val="0"/>
        </w:rPr>
      </w:pPr>
      <w:r>
        <w:lastRenderedPageBreak/>
        <w:tab/>
        <w:t>(2)</w:t>
      </w:r>
      <w:r>
        <w:tab/>
      </w:r>
      <w:r>
        <w:rPr>
          <w:snapToGrid w:val="0"/>
        </w:rPr>
        <w:t>This clause applies in addition to</w:t>
      </w:r>
      <w:r>
        <w:t xml:space="preserve"> any relevant requirements in AS/NZS 5601.</w:t>
      </w:r>
    </w:p>
    <w:p w:rsidR="00EA2503" w:rsidRDefault="00AE6AE5">
      <w:pPr>
        <w:pStyle w:val="yFootnotesection"/>
      </w:pPr>
      <w:r>
        <w:tab/>
        <w:t>[Clause 301 amended: Gazette 19 Dec 2000 p. 7281; 31 Jan 2003 p. 280; 21 Apr 2006 p. 1578; 18 Jan 2011 p. 147.]</w:t>
      </w:r>
    </w:p>
    <w:p w:rsidR="00EA2503" w:rsidRDefault="00AE6AE5">
      <w:pPr>
        <w:pStyle w:val="yHeading5"/>
        <w:spacing w:before="240"/>
        <w:outlineLvl w:val="9"/>
      </w:pPr>
      <w:bookmarkStart w:id="107" w:name="_Toc75759113"/>
      <w:r>
        <w:rPr>
          <w:rStyle w:val="CharSClsNo"/>
        </w:rPr>
        <w:t>302</w:t>
      </w:r>
      <w:r>
        <w:t>.</w:t>
      </w:r>
      <w:r>
        <w:tab/>
        <w:t>Housings for cylinders</w:t>
      </w:r>
      <w:bookmarkEnd w:id="107"/>
      <w:r>
        <w:fldChar w:fldCharType="begin"/>
      </w:r>
      <w:r>
        <w:instrText xml:space="preserve"> </w:instrText>
      </w:r>
      <w:r>
        <w:fldChar w:fldCharType="begin"/>
      </w:r>
      <w:r>
        <w:instrText xml:space="preserve">  </w:instrText>
      </w:r>
      <w:r>
        <w:fldChar w:fldCharType="end"/>
      </w:r>
      <w:r>
        <w:instrText xml:space="preserve"> </w:instrText>
      </w:r>
      <w:r>
        <w:fldChar w:fldCharType="end"/>
      </w:r>
    </w:p>
    <w:p w:rsidR="00EA2503" w:rsidRDefault="00AE6AE5">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rsidR="00EA2503" w:rsidRDefault="00AE6AE5">
      <w:pPr>
        <w:pStyle w:val="ySubsection"/>
      </w:pPr>
      <w:r>
        <w:tab/>
        <w:t>(2)</w:t>
      </w:r>
      <w:r>
        <w:tab/>
      </w:r>
      <w:r>
        <w:rPr>
          <w:snapToGrid w:val="0"/>
        </w:rPr>
        <w:t>This clause applies in addition to</w:t>
      </w:r>
      <w:r>
        <w:t xml:space="preserve"> any relevant requirements in AS/NZS 5601.</w:t>
      </w:r>
    </w:p>
    <w:p w:rsidR="00EA2503" w:rsidRDefault="00AE6AE5">
      <w:pPr>
        <w:pStyle w:val="yFootnotesection"/>
      </w:pPr>
      <w:r>
        <w:tab/>
        <w:t>[Clause 302 amended: Gazette 31 Jan 2003 p. 280; 21 Apr 2006 p. 1579; 18 Jan 2011 p. 147.]</w:t>
      </w:r>
    </w:p>
    <w:p w:rsidR="00EA2503" w:rsidRDefault="00AE6AE5">
      <w:pPr>
        <w:pStyle w:val="yHeading5"/>
        <w:keepNext w:val="0"/>
        <w:keepLines w:val="0"/>
        <w:outlineLvl w:val="9"/>
      </w:pPr>
      <w:bookmarkStart w:id="108" w:name="_Toc75759114"/>
      <w:r>
        <w:rPr>
          <w:rStyle w:val="CharSClsNo"/>
        </w:rPr>
        <w:t>303</w:t>
      </w:r>
      <w:r>
        <w:t>.</w:t>
      </w:r>
      <w:r>
        <w:tab/>
        <w:t>Pressure relief valve outlets, position of</w:t>
      </w:r>
      <w:bookmarkEnd w:id="108"/>
    </w:p>
    <w:p w:rsidR="00EA2503" w:rsidRDefault="00AE6AE5">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rsidR="00EA2503" w:rsidRDefault="00AE6AE5">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rsidR="00EA2503" w:rsidRDefault="00AE6AE5">
      <w:pPr>
        <w:pStyle w:val="ySubsection"/>
      </w:pPr>
      <w:r>
        <w:tab/>
        <w:t>(3)</w:t>
      </w:r>
      <w:r>
        <w:tab/>
      </w:r>
      <w:r>
        <w:rPr>
          <w:snapToGrid w:val="0"/>
        </w:rPr>
        <w:t>This clause applies</w:t>
      </w:r>
      <w:r>
        <w:t xml:space="preserve"> in addition to any relevant requirements in AS/NZS 5601.</w:t>
      </w:r>
    </w:p>
    <w:p w:rsidR="00EA2503" w:rsidRDefault="00AE6AE5">
      <w:pPr>
        <w:pStyle w:val="yFootnotesection"/>
      </w:pPr>
      <w:r>
        <w:tab/>
        <w:t>[Clause 303 amended: Gazette 19 Dec 2000 p. 7281; 31 Jan 2003 p. 281; 21 Apr 2006 p. 1579; 18 Jan 2011 p. 147.]</w:t>
      </w:r>
    </w:p>
    <w:p w:rsidR="00EA2503" w:rsidRDefault="00AE6AE5">
      <w:pPr>
        <w:pStyle w:val="yHeading5"/>
        <w:outlineLvl w:val="9"/>
      </w:pPr>
      <w:bookmarkStart w:id="109" w:name="_Toc75759115"/>
      <w:r>
        <w:rPr>
          <w:rStyle w:val="CharSClsNo"/>
        </w:rPr>
        <w:t>304</w:t>
      </w:r>
      <w:r>
        <w:t>.</w:t>
      </w:r>
      <w:r>
        <w:tab/>
        <w:t>Appliances not to be connected to gas supply for mobile engines</w:t>
      </w:r>
      <w:bookmarkEnd w:id="109"/>
    </w:p>
    <w:p w:rsidR="00EA2503" w:rsidRDefault="00AE6AE5">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rsidR="00EA2503" w:rsidRDefault="00AE6AE5">
      <w:pPr>
        <w:pStyle w:val="yHeading3"/>
        <w:outlineLvl w:val="9"/>
      </w:pPr>
      <w:bookmarkStart w:id="110" w:name="_Toc75416396"/>
      <w:bookmarkStart w:id="111" w:name="_Toc75416888"/>
      <w:bookmarkStart w:id="112" w:name="_Toc75759116"/>
      <w:r>
        <w:rPr>
          <w:rStyle w:val="CharSDivNo"/>
        </w:rPr>
        <w:lastRenderedPageBreak/>
        <w:t>Division 4</w:t>
      </w:r>
      <w:r>
        <w:rPr>
          <w:rStyle w:val="CharDivNo"/>
        </w:rPr>
        <w:t xml:space="preserve"> — </w:t>
      </w:r>
      <w:r>
        <w:rPr>
          <w:rStyle w:val="CharSDivText"/>
        </w:rPr>
        <w:t>Fitting lines and fittings</w:t>
      </w:r>
      <w:bookmarkEnd w:id="110"/>
      <w:bookmarkEnd w:id="111"/>
      <w:bookmarkEnd w:id="112"/>
    </w:p>
    <w:p w:rsidR="00EA2503" w:rsidRDefault="00AE6AE5">
      <w:pPr>
        <w:pStyle w:val="yHeading5"/>
        <w:spacing w:before="180"/>
        <w:outlineLvl w:val="9"/>
      </w:pPr>
      <w:bookmarkStart w:id="113" w:name="_Toc75759117"/>
      <w:r>
        <w:rPr>
          <w:rStyle w:val="CharSClsNo"/>
        </w:rPr>
        <w:t>401</w:t>
      </w:r>
      <w:r>
        <w:t>.</w:t>
      </w:r>
      <w:r>
        <w:tab/>
        <w:t>Fitting lines and fittings</w:t>
      </w:r>
      <w:bookmarkEnd w:id="113"/>
    </w:p>
    <w:p w:rsidR="00EA2503" w:rsidRDefault="00AE6AE5">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rsidR="00EA2503" w:rsidRDefault="00AE6AE5">
      <w:pPr>
        <w:pStyle w:val="ySubsection"/>
        <w:spacing w:before="140"/>
      </w:pPr>
      <w:r>
        <w:tab/>
        <w:t>(2)</w:t>
      </w:r>
      <w:r>
        <w:tab/>
        <w:t xml:space="preserve">A fitting line or fitting on a consumer’s gas installation that is to operate at a pressure exceeding 200 kPa must comply with the following standards — </w:t>
      </w:r>
    </w:p>
    <w:p w:rsidR="00EA2503" w:rsidRDefault="00AE6AE5">
      <w:pPr>
        <w:pStyle w:val="yIndenta"/>
        <w:spacing w:before="60"/>
      </w:pPr>
      <w:r>
        <w:tab/>
        <w:t>(a)</w:t>
      </w:r>
      <w:r>
        <w:tab/>
        <w:t>AS 4041 — for above ground steel piping;</w:t>
      </w:r>
    </w:p>
    <w:p w:rsidR="00EA2503" w:rsidRDefault="00AE6AE5">
      <w:pPr>
        <w:pStyle w:val="yIndenta"/>
        <w:spacing w:before="60"/>
      </w:pPr>
      <w:r>
        <w:tab/>
        <w:t>(b)</w:t>
      </w:r>
      <w:r>
        <w:tab/>
        <w:t>AS 4645.2 — for below ground steel piping, operating at a pressure not exceeding 1050 kPa;</w:t>
      </w:r>
    </w:p>
    <w:p w:rsidR="00EA2503" w:rsidRDefault="00AE6AE5">
      <w:pPr>
        <w:pStyle w:val="yIndenta"/>
        <w:spacing w:before="60"/>
      </w:pPr>
      <w:r>
        <w:tab/>
        <w:t>(c)</w:t>
      </w:r>
      <w:r>
        <w:tab/>
        <w:t>AS 2885 — for below ground steel piping, operating at a pressure of or exceeding 1050 kPa;</w:t>
      </w:r>
    </w:p>
    <w:p w:rsidR="00EA2503" w:rsidRDefault="00AE6AE5">
      <w:pPr>
        <w:pStyle w:val="yIndenta"/>
        <w:spacing w:before="60"/>
      </w:pPr>
      <w:r>
        <w:tab/>
        <w:t>(d)</w:t>
      </w:r>
      <w:r>
        <w:tab/>
        <w:t>AS 4645.3 — for below ground plastic piping.</w:t>
      </w:r>
    </w:p>
    <w:p w:rsidR="00EA2503" w:rsidRDefault="00AE6AE5">
      <w:pPr>
        <w:pStyle w:val="yFootnotesection"/>
      </w:pPr>
      <w:r>
        <w:tab/>
        <w:t>[Clause 401 amended: Gazette 19 Dec 2000 p. 7281; 31 Jan 2003 p. 281; 21 Apr 2006 p. 1579; 26 Nov 2010 p. 5932; 18 Jan 2011 p. 147.]</w:t>
      </w:r>
    </w:p>
    <w:p w:rsidR="00EA2503" w:rsidRDefault="00AE6AE5">
      <w:pPr>
        <w:pStyle w:val="yHeading5"/>
        <w:keepNext w:val="0"/>
        <w:keepLines w:val="0"/>
        <w:spacing w:before="160"/>
        <w:outlineLvl w:val="9"/>
      </w:pPr>
      <w:bookmarkStart w:id="114" w:name="_Toc75759118"/>
      <w:r>
        <w:rPr>
          <w:rStyle w:val="CharSClsNo"/>
        </w:rPr>
        <w:t>402</w:t>
      </w:r>
      <w:r>
        <w:t>.</w:t>
      </w:r>
      <w:r>
        <w:tab/>
        <w:t>PVC or PE fitting lines</w:t>
      </w:r>
      <w:bookmarkEnd w:id="114"/>
    </w:p>
    <w:p w:rsidR="00EA2503" w:rsidRDefault="00AE6AE5">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rsidR="00EA2503" w:rsidRDefault="00AE6AE5">
      <w:pPr>
        <w:pStyle w:val="ySubsection"/>
        <w:spacing w:before="120"/>
      </w:pPr>
      <w:r>
        <w:tab/>
        <w:t>(2)</w:t>
      </w:r>
      <w:r>
        <w:tab/>
      </w:r>
      <w:r>
        <w:rPr>
          <w:snapToGrid w:val="0"/>
        </w:rPr>
        <w:t xml:space="preserve">This clause applies in addition to </w:t>
      </w:r>
      <w:r>
        <w:t>the Table on consumer piping and materials and duty limits in AS/NZS 5601.</w:t>
      </w:r>
    </w:p>
    <w:p w:rsidR="00EA2503" w:rsidRDefault="00AE6AE5">
      <w:pPr>
        <w:pStyle w:val="yFootnotesection"/>
        <w:spacing w:before="80"/>
      </w:pPr>
      <w:r>
        <w:tab/>
        <w:t>[Clause 402 amended: Gazette 19 Dec 2000 p. 7281; 31 Jan 2003 p. 281; 21 Apr 2006 p. 1579; 18 Jan 2011 p. 147.]</w:t>
      </w:r>
    </w:p>
    <w:p w:rsidR="00EA2503" w:rsidRDefault="00AE6AE5">
      <w:pPr>
        <w:pStyle w:val="yEdnotesection"/>
        <w:spacing w:before="200"/>
      </w:pPr>
      <w:r>
        <w:t>[</w:t>
      </w:r>
      <w:r>
        <w:rPr>
          <w:b/>
        </w:rPr>
        <w:t>403.</w:t>
      </w:r>
      <w:r>
        <w:tab/>
        <w:t>Deleted: Gazette 19 Dec 2000 p. 7281.]</w:t>
      </w:r>
    </w:p>
    <w:p w:rsidR="00EA2503" w:rsidRDefault="00AE6AE5">
      <w:pPr>
        <w:pStyle w:val="yEdnotesection"/>
        <w:spacing w:before="200"/>
      </w:pPr>
      <w:r>
        <w:t>[</w:t>
      </w:r>
      <w:r>
        <w:rPr>
          <w:b/>
          <w:bCs/>
        </w:rPr>
        <w:t>404.</w:t>
      </w:r>
      <w:r>
        <w:tab/>
        <w:t>Deleted: Gazette 21 Apr 2006 p. 1579.]</w:t>
      </w:r>
    </w:p>
    <w:p w:rsidR="00EA2503" w:rsidRDefault="00AE6AE5">
      <w:pPr>
        <w:pStyle w:val="yHeading5"/>
        <w:spacing w:before="200"/>
        <w:outlineLvl w:val="9"/>
      </w:pPr>
      <w:bookmarkStart w:id="115" w:name="_Toc75759119"/>
      <w:r>
        <w:rPr>
          <w:rStyle w:val="CharSClsNo"/>
        </w:rPr>
        <w:t>405</w:t>
      </w:r>
      <w:r>
        <w:t>.</w:t>
      </w:r>
      <w:r>
        <w:tab/>
        <w:t>Pressure holding capability of consumer’s gas installations</w:t>
      </w:r>
      <w:bookmarkEnd w:id="115"/>
    </w:p>
    <w:p w:rsidR="00EA2503" w:rsidRDefault="00AE6AE5">
      <w:pPr>
        <w:pStyle w:val="ySubsection"/>
        <w:spacing w:before="120"/>
        <w:rPr>
          <w:snapToGrid w:val="0"/>
        </w:rPr>
      </w:pPr>
      <w:r>
        <w:tab/>
      </w:r>
      <w:r>
        <w:tab/>
      </w:r>
      <w:r>
        <w:rPr>
          <w:snapToGrid w:val="0"/>
        </w:rPr>
        <w:t>A consumer’s gas installation must not leak when subjected to an approved test.</w:t>
      </w:r>
    </w:p>
    <w:p w:rsidR="00EA2503" w:rsidRDefault="00AE6AE5">
      <w:pPr>
        <w:pStyle w:val="yHeading5"/>
        <w:spacing w:before="200"/>
        <w:outlineLvl w:val="9"/>
      </w:pPr>
      <w:bookmarkStart w:id="116" w:name="_Toc75759120"/>
      <w:r>
        <w:rPr>
          <w:rStyle w:val="CharSClsNo"/>
        </w:rPr>
        <w:lastRenderedPageBreak/>
        <w:t>406</w:t>
      </w:r>
      <w:r>
        <w:t>.</w:t>
      </w:r>
      <w:r>
        <w:tab/>
        <w:t>Protection from excessive pressure</w:t>
      </w:r>
      <w:bookmarkEnd w:id="116"/>
    </w:p>
    <w:p w:rsidR="00EA2503" w:rsidRDefault="00AE6AE5">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rsidR="00EA2503" w:rsidRDefault="00AE6AE5">
      <w:pPr>
        <w:pStyle w:val="ySubsection"/>
        <w:spacing w:before="120"/>
      </w:pPr>
      <w:r>
        <w:tab/>
        <w:t>(2)</w:t>
      </w:r>
      <w:r>
        <w:tab/>
        <w:t>In subclause (1) —</w:t>
      </w:r>
    </w:p>
    <w:p w:rsidR="00EA2503" w:rsidRDefault="00AE6AE5">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rsidR="00EA2503" w:rsidRDefault="00AE6AE5">
      <w:pPr>
        <w:pStyle w:val="yFootnotesection"/>
        <w:spacing w:before="80"/>
      </w:pPr>
      <w:r>
        <w:tab/>
        <w:t>[Clause 406 amended: Gazette 19 Dec 2000 p. 7281; 31 Jan 2003 p. 281; 21 Apr 2006 p. 1579.]</w:t>
      </w:r>
    </w:p>
    <w:p w:rsidR="00EA2503" w:rsidRDefault="00AE6AE5">
      <w:pPr>
        <w:pStyle w:val="yHeading3"/>
        <w:outlineLvl w:val="9"/>
      </w:pPr>
      <w:bookmarkStart w:id="117" w:name="_Toc75416401"/>
      <w:bookmarkStart w:id="118" w:name="_Toc75416893"/>
      <w:bookmarkStart w:id="119" w:name="_Toc75759121"/>
      <w:r>
        <w:rPr>
          <w:rStyle w:val="CharSDivNo"/>
        </w:rPr>
        <w:t>Division 5</w:t>
      </w:r>
      <w:r>
        <w:rPr>
          <w:rStyle w:val="CharDivNo"/>
        </w:rPr>
        <w:t xml:space="preserve"> — </w:t>
      </w:r>
      <w:r>
        <w:rPr>
          <w:rStyle w:val="CharSDivText"/>
        </w:rPr>
        <w:t>Appliances generally</w:t>
      </w:r>
      <w:bookmarkEnd w:id="117"/>
      <w:bookmarkEnd w:id="118"/>
      <w:bookmarkEnd w:id="119"/>
    </w:p>
    <w:p w:rsidR="00EA2503" w:rsidRDefault="00AE6AE5">
      <w:pPr>
        <w:pStyle w:val="yHeading5"/>
        <w:keepLines w:val="0"/>
        <w:spacing w:before="180"/>
        <w:outlineLvl w:val="9"/>
      </w:pPr>
      <w:bookmarkStart w:id="120" w:name="_Toc75759122"/>
      <w:r>
        <w:rPr>
          <w:rStyle w:val="CharSClsNo"/>
        </w:rPr>
        <w:t>501</w:t>
      </w:r>
      <w:r>
        <w:t>.</w:t>
      </w:r>
      <w:r>
        <w:tab/>
        <w:t>Appliances to be approved</w:t>
      </w:r>
      <w:bookmarkEnd w:id="120"/>
    </w:p>
    <w:p w:rsidR="00EA2503" w:rsidRDefault="00AE6AE5">
      <w:pPr>
        <w:pStyle w:val="ySubsection"/>
        <w:keepNext/>
        <w:spacing w:before="120"/>
        <w:rPr>
          <w:snapToGrid w:val="0"/>
        </w:rPr>
      </w:pPr>
      <w:r>
        <w:tab/>
        <w:t>(1)</w:t>
      </w:r>
      <w:r>
        <w:tab/>
        <w:t>A Type A gas appliance must not</w:t>
      </w:r>
      <w:r>
        <w:rPr>
          <w:snapToGrid w:val="0"/>
        </w:rPr>
        <w:t xml:space="preserve"> be installed in a consumer’s gas installation unless —</w:t>
      </w:r>
    </w:p>
    <w:p w:rsidR="00EA2503" w:rsidRDefault="00AE6AE5">
      <w:pPr>
        <w:pStyle w:val="yIndenta"/>
      </w:pPr>
      <w:r>
        <w:tab/>
        <w:t>(a)</w:t>
      </w:r>
      <w:r>
        <w:tab/>
      </w:r>
      <w:r>
        <w:rPr>
          <w:snapToGrid w:val="0"/>
        </w:rPr>
        <w:t>it is the same as an appliance that is currently approved for such installation by the Director; or</w:t>
      </w:r>
    </w:p>
    <w:p w:rsidR="00EA2503" w:rsidRDefault="00AE6AE5">
      <w:pPr>
        <w:pStyle w:val="yIndenta"/>
        <w:rPr>
          <w:snapToGrid w:val="0"/>
        </w:rPr>
      </w:pPr>
      <w:r>
        <w:tab/>
        <w:t>(b)</w:t>
      </w:r>
      <w:r>
        <w:tab/>
      </w:r>
      <w:r>
        <w:rPr>
          <w:snapToGrid w:val="0"/>
        </w:rPr>
        <w:t>it is individually approved for such installation by an inspector,</w:t>
      </w:r>
    </w:p>
    <w:p w:rsidR="00EA2503" w:rsidRDefault="00AE6AE5">
      <w:pPr>
        <w:pStyle w:val="ySubsection"/>
        <w:rPr>
          <w:snapToGrid w:val="0"/>
        </w:rPr>
      </w:pPr>
      <w:r>
        <w:tab/>
      </w:r>
      <w:r>
        <w:tab/>
      </w:r>
      <w:r>
        <w:rPr>
          <w:snapToGrid w:val="0"/>
        </w:rPr>
        <w:t>and is marked with a badge or label to this effect.</w:t>
      </w:r>
    </w:p>
    <w:p w:rsidR="00EA2503" w:rsidRDefault="00AE6AE5">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rsidR="00EA2503" w:rsidRDefault="00AE6AE5">
      <w:pPr>
        <w:pStyle w:val="yIndenta"/>
      </w:pPr>
      <w:r>
        <w:tab/>
        <w:t>(a)</w:t>
      </w:r>
      <w:r>
        <w:tab/>
      </w:r>
      <w:r>
        <w:rPr>
          <w:snapToGrid w:val="0"/>
        </w:rPr>
        <w:t>it is the same as an appliance that is currently approved for such installation by the Director; or</w:t>
      </w:r>
    </w:p>
    <w:p w:rsidR="00EA2503" w:rsidRDefault="00AE6AE5">
      <w:pPr>
        <w:pStyle w:val="yIndenta"/>
        <w:rPr>
          <w:snapToGrid w:val="0"/>
        </w:rPr>
      </w:pPr>
      <w:r>
        <w:tab/>
        <w:t>(b)</w:t>
      </w:r>
      <w:r>
        <w:tab/>
      </w:r>
      <w:r>
        <w:rPr>
          <w:snapToGrid w:val="0"/>
        </w:rPr>
        <w:t>it is individually approved in writing for such installation by an inspector.</w:t>
      </w:r>
    </w:p>
    <w:p w:rsidR="00EA2503" w:rsidRDefault="00AE6AE5">
      <w:pPr>
        <w:pStyle w:val="ySubsection"/>
      </w:pPr>
      <w:r>
        <w:rPr>
          <w:snapToGrid w:val="0"/>
        </w:rPr>
        <w:tab/>
      </w:r>
      <w:r>
        <w:t>(3)</w:t>
      </w:r>
      <w:r>
        <w:tab/>
        <w:t>Before a Type B appliance is installed by a gas fitter, the gas fitter must either —</w:t>
      </w:r>
    </w:p>
    <w:p w:rsidR="00EA2503" w:rsidRDefault="00AE6AE5">
      <w:pPr>
        <w:pStyle w:val="yIndenta"/>
      </w:pPr>
      <w:r>
        <w:tab/>
        <w:t>(a)</w:t>
      </w:r>
      <w:r>
        <w:tab/>
        <w:t>obtain a copy of the appropriate approval by the Director under paragraph (2)(a) and satisfy himself or herself that the appliance is covered by that approval; or</w:t>
      </w:r>
    </w:p>
    <w:p w:rsidR="00EA2503" w:rsidRDefault="00AE6AE5">
      <w:pPr>
        <w:pStyle w:val="yIndenta"/>
      </w:pPr>
      <w:r>
        <w:lastRenderedPageBreak/>
        <w:tab/>
        <w:t>(b)</w:t>
      </w:r>
      <w:r>
        <w:tab/>
        <w:t>determine that the appliance has been individually approved for installation under paragraph (2)(b), by obtaining a copy of the approval.</w:t>
      </w:r>
    </w:p>
    <w:p w:rsidR="00EA2503" w:rsidRDefault="00AE6AE5">
      <w:pPr>
        <w:pStyle w:val="yFootnotesection"/>
      </w:pPr>
      <w:r>
        <w:tab/>
        <w:t>[Clause 501 amended: Gazette 30 Nov 2007 p. 5937.]</w:t>
      </w:r>
    </w:p>
    <w:p w:rsidR="00EA2503" w:rsidRDefault="00AE6AE5">
      <w:pPr>
        <w:pStyle w:val="yHeading5"/>
        <w:outlineLvl w:val="9"/>
      </w:pPr>
      <w:bookmarkStart w:id="121" w:name="_Toc75759123"/>
      <w:r>
        <w:rPr>
          <w:rStyle w:val="CharSClsNo"/>
        </w:rPr>
        <w:t>502</w:t>
      </w:r>
      <w:r>
        <w:t>.</w:t>
      </w:r>
      <w:r>
        <w:tab/>
        <w:t>Appliances not to be connected to wrong type of gas</w:t>
      </w:r>
      <w:bookmarkEnd w:id="121"/>
    </w:p>
    <w:p w:rsidR="00EA2503" w:rsidRDefault="00AE6AE5">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rsidR="00EA2503" w:rsidRDefault="00AE6AE5">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rsidR="00EA2503" w:rsidRDefault="00AE6AE5">
      <w:pPr>
        <w:pStyle w:val="yIndenta"/>
      </w:pPr>
      <w:r>
        <w:rPr>
          <w:snapToGrid w:val="0"/>
        </w:rPr>
        <w:tab/>
        <w:t>(a)</w:t>
      </w:r>
      <w:r>
        <w:rPr>
          <w:snapToGrid w:val="0"/>
        </w:rPr>
        <w:tab/>
      </w:r>
      <w:r>
        <w:t>in accordance with the manufacturer’s instructions using a conversion kit specifically approved for that purpose; or</w:t>
      </w:r>
    </w:p>
    <w:p w:rsidR="00EA2503" w:rsidRDefault="00AE6AE5">
      <w:pPr>
        <w:pStyle w:val="yIndenta"/>
      </w:pPr>
      <w:r>
        <w:rPr>
          <w:snapToGrid w:val="0"/>
        </w:rPr>
        <w:tab/>
        <w:t>(b)</w:t>
      </w:r>
      <w:r>
        <w:rPr>
          <w:snapToGrid w:val="0"/>
        </w:rPr>
        <w:tab/>
      </w:r>
      <w:r>
        <w:t>with the written approval of an inspector.</w:t>
      </w:r>
    </w:p>
    <w:p w:rsidR="00EA2503" w:rsidRDefault="00AE6AE5">
      <w:pPr>
        <w:pStyle w:val="yHeading5"/>
        <w:outlineLvl w:val="9"/>
      </w:pPr>
      <w:bookmarkStart w:id="122" w:name="_Toc75759124"/>
      <w:r>
        <w:rPr>
          <w:rStyle w:val="CharSClsNo"/>
        </w:rPr>
        <w:t>503</w:t>
      </w:r>
      <w:r>
        <w:t>.</w:t>
      </w:r>
      <w:r>
        <w:tab/>
        <w:t>Avoidance of hazards</w:t>
      </w:r>
      <w:bookmarkEnd w:id="122"/>
    </w:p>
    <w:p w:rsidR="00EA2503" w:rsidRDefault="00AE6AE5">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rsidR="00EA2503" w:rsidRDefault="00AE6AE5">
      <w:pPr>
        <w:pStyle w:val="ySubsection"/>
        <w:rPr>
          <w:snapToGrid w:val="0"/>
        </w:rPr>
      </w:pPr>
      <w:r>
        <w:tab/>
        <w:t>(2)</w:t>
      </w:r>
      <w:r>
        <w:tab/>
      </w:r>
      <w:r>
        <w:rPr>
          <w:snapToGrid w:val="0"/>
        </w:rPr>
        <w:t>Nothing in this Schedule limits the generality of subclause (1).</w:t>
      </w:r>
    </w:p>
    <w:p w:rsidR="00EA2503" w:rsidRDefault="00AE6AE5">
      <w:pPr>
        <w:pStyle w:val="yFootnotesection"/>
      </w:pPr>
      <w:r>
        <w:tab/>
        <w:t>[Clause 501 inserted: Gazette 19 Dec 2000 p. 7280.]</w:t>
      </w:r>
    </w:p>
    <w:p w:rsidR="00EA2503" w:rsidRDefault="00AE6AE5">
      <w:pPr>
        <w:pStyle w:val="yHeading5"/>
        <w:outlineLvl w:val="9"/>
      </w:pPr>
      <w:bookmarkStart w:id="123" w:name="_Toc75759125"/>
      <w:r>
        <w:rPr>
          <w:rStyle w:val="CharSClsNo"/>
        </w:rPr>
        <w:t>504</w:t>
      </w:r>
      <w:r>
        <w:t>.</w:t>
      </w:r>
      <w:r>
        <w:tab/>
        <w:t>Certain appliances not to be installed in certain rooms</w:t>
      </w:r>
      <w:bookmarkEnd w:id="123"/>
    </w:p>
    <w:p w:rsidR="00EA2503" w:rsidRDefault="00AE6AE5">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rsidR="00EA2503" w:rsidRDefault="00AE6AE5">
      <w:pPr>
        <w:pStyle w:val="yIndenta"/>
        <w:rPr>
          <w:snapToGrid w:val="0"/>
        </w:rPr>
      </w:pPr>
      <w:r>
        <w:rPr>
          <w:snapToGrid w:val="0"/>
        </w:rPr>
        <w:tab/>
        <w:t>(a)</w:t>
      </w:r>
      <w:r>
        <w:rPr>
          <w:snapToGrid w:val="0"/>
        </w:rPr>
        <w:tab/>
        <w:t>any appliance that is not fitted with a flue; or</w:t>
      </w:r>
    </w:p>
    <w:p w:rsidR="00EA2503" w:rsidRDefault="00AE6AE5">
      <w:pPr>
        <w:pStyle w:val="yIndenta"/>
      </w:pPr>
      <w:r>
        <w:tab/>
        <w:t>(b)</w:t>
      </w:r>
      <w:r>
        <w:tab/>
      </w:r>
      <w:r>
        <w:rPr>
          <w:snapToGrid w:val="0"/>
        </w:rPr>
        <w:t>the outlet plug of any bayonet fitting for a portable appliance.</w:t>
      </w:r>
    </w:p>
    <w:p w:rsidR="00EA2503" w:rsidRDefault="00AE6AE5">
      <w:pPr>
        <w:pStyle w:val="ySubsection"/>
        <w:rPr>
          <w:snapToGrid w:val="0"/>
        </w:rPr>
      </w:pPr>
      <w:r>
        <w:tab/>
        <w:t>(2)</w:t>
      </w:r>
      <w:r>
        <w:tab/>
      </w:r>
      <w:r>
        <w:rPr>
          <w:snapToGrid w:val="0"/>
        </w:rPr>
        <w:t>The outlet plug of a bayonet fitting can be installed in a room to which subclause (1) does not apply only if —</w:t>
      </w:r>
    </w:p>
    <w:p w:rsidR="00EA2503" w:rsidRDefault="00AE6AE5">
      <w:pPr>
        <w:pStyle w:val="yIndenta"/>
        <w:rPr>
          <w:snapToGrid w:val="0"/>
        </w:rPr>
      </w:pPr>
      <w:r>
        <w:tab/>
        <w:t>(a)</w:t>
      </w:r>
      <w:r>
        <w:tab/>
      </w:r>
      <w:r>
        <w:rPr>
          <w:snapToGrid w:val="0"/>
        </w:rPr>
        <w:t>the room is used as a kitchen; or</w:t>
      </w:r>
    </w:p>
    <w:p w:rsidR="00EA2503" w:rsidRDefault="00AE6AE5">
      <w:pPr>
        <w:pStyle w:val="yIndenta"/>
        <w:keepNext/>
        <w:rPr>
          <w:snapToGrid w:val="0"/>
        </w:rPr>
      </w:pPr>
      <w:r>
        <w:lastRenderedPageBreak/>
        <w:tab/>
        <w:t>(b)</w:t>
      </w:r>
      <w:r>
        <w:tab/>
      </w:r>
      <w:r>
        <w:rPr>
          <w:snapToGrid w:val="0"/>
        </w:rPr>
        <w:t>the room has a volume of more than 30 m</w:t>
      </w:r>
      <w:r>
        <w:rPr>
          <w:snapToGrid w:val="0"/>
          <w:vertAlign w:val="superscript"/>
        </w:rPr>
        <w:t>3</w:t>
      </w:r>
      <w:r>
        <w:rPr>
          <w:snapToGrid w:val="0"/>
        </w:rPr>
        <w:t>, and 2 permanent ventilation openings —</w:t>
      </w:r>
    </w:p>
    <w:p w:rsidR="00EA2503" w:rsidRDefault="00AE6AE5">
      <w:pPr>
        <w:pStyle w:val="yIndenti0"/>
      </w:pPr>
      <w:r>
        <w:tab/>
        <w:t>(i)</w:t>
      </w:r>
      <w:r>
        <w:tab/>
      </w:r>
      <w:r>
        <w:rPr>
          <w:snapToGrid w:val="0"/>
        </w:rPr>
        <w:t>one of which is situated near the top of the room and the other near the bottom of the room; and</w:t>
      </w:r>
    </w:p>
    <w:p w:rsidR="00EA2503" w:rsidRDefault="00AE6AE5">
      <w:pPr>
        <w:pStyle w:val="yIndenti0"/>
        <w:rPr>
          <w:snapToGrid w:val="0"/>
        </w:rPr>
      </w:pPr>
      <w:r>
        <w:tab/>
        <w:t>(ii)</w:t>
      </w:r>
      <w:r>
        <w:tab/>
        <w:t>that</w:t>
      </w:r>
      <w:r>
        <w:rPr>
          <w:snapToGrid w:val="0"/>
        </w:rPr>
        <w:t xml:space="preserve"> are separated by a distance of not less than 1.5 m measured vertically; and</w:t>
      </w:r>
    </w:p>
    <w:p w:rsidR="00EA2503" w:rsidRDefault="00AE6AE5">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rsidR="00EA2503" w:rsidRDefault="00AE6AE5">
      <w:pPr>
        <w:pStyle w:val="yIndenta"/>
      </w:pPr>
      <w:r>
        <w:tab/>
      </w:r>
      <w:r>
        <w:tab/>
        <w:t>or</w:t>
      </w:r>
    </w:p>
    <w:p w:rsidR="00EA2503" w:rsidRDefault="00AE6AE5">
      <w:pPr>
        <w:pStyle w:val="yIndenta"/>
        <w:rPr>
          <w:snapToGrid w:val="0"/>
        </w:rPr>
      </w:pPr>
      <w:r>
        <w:tab/>
        <w:t>(c)</w:t>
      </w:r>
      <w:r>
        <w:tab/>
      </w:r>
      <w:r>
        <w:rPr>
          <w:snapToGrid w:val="0"/>
        </w:rPr>
        <w:t>the installation is approved in each case by an inspector.</w:t>
      </w:r>
    </w:p>
    <w:p w:rsidR="00EA2503" w:rsidRDefault="00AE6AE5">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rsidR="00EA2503" w:rsidRDefault="00AE6AE5">
      <w:pPr>
        <w:pStyle w:val="ySubsection"/>
      </w:pPr>
      <w:r>
        <w:tab/>
        <w:t>(4)</w:t>
      </w:r>
      <w:r>
        <w:tab/>
        <w:t>In this clause —</w:t>
      </w:r>
    </w:p>
    <w:p w:rsidR="00EA2503" w:rsidRDefault="00AE6AE5">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rsidR="00EA2503" w:rsidRDefault="00AE6AE5">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rsidR="00EA2503" w:rsidRDefault="00AE6AE5">
      <w:pPr>
        <w:pStyle w:val="yHeading5"/>
        <w:outlineLvl w:val="9"/>
      </w:pPr>
      <w:bookmarkStart w:id="124" w:name="_Toc75759126"/>
      <w:r>
        <w:rPr>
          <w:rStyle w:val="CharSClsNo"/>
        </w:rPr>
        <w:t>505</w:t>
      </w:r>
      <w:r>
        <w:t>.</w:t>
      </w:r>
      <w:r>
        <w:tab/>
        <w:t>Safety devices required for certain appliances</w:t>
      </w:r>
      <w:bookmarkEnd w:id="124"/>
    </w:p>
    <w:p w:rsidR="00EA2503" w:rsidRDefault="00AE6AE5">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rsidR="00EA2503" w:rsidRDefault="00AE6AE5">
      <w:pPr>
        <w:pStyle w:val="yHeading5"/>
        <w:outlineLvl w:val="9"/>
      </w:pPr>
      <w:bookmarkStart w:id="125" w:name="_Toc75759127"/>
      <w:r>
        <w:rPr>
          <w:rStyle w:val="CharSClsNo"/>
        </w:rPr>
        <w:t>506</w:t>
      </w:r>
      <w:r>
        <w:t>.</w:t>
      </w:r>
      <w:r>
        <w:tab/>
        <w:t>Flues</w:t>
      </w:r>
      <w:bookmarkEnd w:id="125"/>
    </w:p>
    <w:p w:rsidR="00EA2503" w:rsidRDefault="00AE6AE5">
      <w:pPr>
        <w:pStyle w:val="yEdnotesubsection"/>
      </w:pPr>
      <w:r>
        <w:tab/>
        <w:t>[(1), (2)</w:t>
      </w:r>
      <w:r>
        <w:tab/>
        <w:t>deleted]</w:t>
      </w:r>
    </w:p>
    <w:p w:rsidR="00EA2503" w:rsidRDefault="00AE6AE5">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rsidR="00EA2503" w:rsidRDefault="00AE6AE5">
      <w:pPr>
        <w:pStyle w:val="yEdnotesubsection"/>
      </w:pPr>
      <w:r>
        <w:lastRenderedPageBreak/>
        <w:tab/>
        <w:t>[(4)</w:t>
      </w:r>
      <w:r>
        <w:noBreakHyphen/>
        <w:t>(7)</w:t>
      </w:r>
      <w:r>
        <w:tab/>
        <w:t>deleted]</w:t>
      </w:r>
    </w:p>
    <w:p w:rsidR="00EA2503" w:rsidRDefault="00AE6AE5">
      <w:pPr>
        <w:pStyle w:val="ySubsection"/>
      </w:pPr>
      <w:r>
        <w:rPr>
          <w:snapToGrid w:val="0"/>
        </w:rPr>
        <w:tab/>
        <w:t>(8)</w:t>
      </w:r>
      <w:r>
        <w:rPr>
          <w:snapToGrid w:val="0"/>
        </w:rPr>
        <w:tab/>
        <w:t>This clause applies in addition to</w:t>
      </w:r>
      <w:r>
        <w:t xml:space="preserve"> any relevant requirements in AS/NZS 5601.</w:t>
      </w:r>
    </w:p>
    <w:p w:rsidR="00EA2503" w:rsidRDefault="00AE6AE5">
      <w:pPr>
        <w:pStyle w:val="yFootnotesection"/>
      </w:pPr>
      <w:r>
        <w:tab/>
        <w:t>[Clause 506 amended: Gazette 19 Dec 2000 p. 7281; 31 Jan 2003 p. 281; 21 Apr 2006 p. 1579; 18 Jan 2011 p. 147.]</w:t>
      </w:r>
    </w:p>
    <w:p w:rsidR="00EA2503" w:rsidRDefault="00AE6AE5">
      <w:pPr>
        <w:pStyle w:val="yHeading5"/>
        <w:outlineLvl w:val="9"/>
        <w:rPr>
          <w:snapToGrid w:val="0"/>
        </w:rPr>
      </w:pPr>
      <w:bookmarkStart w:id="126" w:name="_Toc75759128"/>
      <w:r>
        <w:rPr>
          <w:rStyle w:val="CharSClsNo"/>
        </w:rPr>
        <w:t>507</w:t>
      </w:r>
      <w:r>
        <w:rPr>
          <w:snapToGrid w:val="0"/>
        </w:rPr>
        <w:t>.</w:t>
      </w:r>
      <w:r>
        <w:rPr>
          <w:snapToGrid w:val="0"/>
        </w:rPr>
        <w:tab/>
      </w:r>
      <w:r>
        <w:t>Hoods or canopies</w:t>
      </w:r>
      <w:bookmarkEnd w:id="126"/>
    </w:p>
    <w:p w:rsidR="00EA2503" w:rsidRDefault="00AE6AE5">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rsidR="00EA2503" w:rsidRDefault="00AE6AE5">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rsidR="00EA2503" w:rsidRDefault="00AE6AE5">
      <w:pPr>
        <w:pStyle w:val="yIndenta"/>
        <w:rPr>
          <w:snapToGrid w:val="0"/>
        </w:rPr>
      </w:pPr>
      <w:r>
        <w:rPr>
          <w:snapToGrid w:val="0"/>
        </w:rPr>
        <w:tab/>
        <w:t>(b)</w:t>
      </w:r>
      <w:r>
        <w:rPr>
          <w:snapToGrid w:val="0"/>
        </w:rPr>
        <w:tab/>
        <w:t>must be positioned vertically above the centre of the appliance exhaust outlet opening; and</w:t>
      </w:r>
    </w:p>
    <w:p w:rsidR="00EA2503" w:rsidRDefault="00AE6AE5">
      <w:pPr>
        <w:pStyle w:val="yIndenta"/>
        <w:rPr>
          <w:snapToGrid w:val="0"/>
        </w:rPr>
      </w:pPr>
      <w:r>
        <w:rPr>
          <w:snapToGrid w:val="0"/>
        </w:rPr>
        <w:tab/>
        <w:t>(c)</w:t>
      </w:r>
      <w:r>
        <w:rPr>
          <w:snapToGrid w:val="0"/>
        </w:rPr>
        <w:tab/>
        <w:t>must be positioned so that the lowest part is not more than 200 mm from the appliance exhaust outlet opening.</w:t>
      </w:r>
    </w:p>
    <w:p w:rsidR="00EA2503" w:rsidRDefault="00AE6AE5">
      <w:pPr>
        <w:pStyle w:val="ySubsection"/>
      </w:pPr>
      <w:r>
        <w:rPr>
          <w:snapToGrid w:val="0"/>
        </w:rPr>
        <w:tab/>
        <w:t>(2)</w:t>
      </w:r>
      <w:r>
        <w:rPr>
          <w:snapToGrid w:val="0"/>
        </w:rPr>
        <w:tab/>
        <w:t xml:space="preserve">This clause applies in addition to </w:t>
      </w:r>
      <w:r>
        <w:t>any relevant requirements in AS/NZS 5601.</w:t>
      </w:r>
    </w:p>
    <w:p w:rsidR="00EA2503" w:rsidRDefault="00AE6AE5">
      <w:pPr>
        <w:pStyle w:val="yFootnotesection"/>
      </w:pPr>
      <w:r>
        <w:tab/>
        <w:t>[Clause 507 amended: Gazette 19 Dec 2000 p. 7281; 31 Jan 2003 p. 281; 21 Apr 2006 p. 1579; 18 Jan 2011 p. 147.]</w:t>
      </w:r>
    </w:p>
    <w:p w:rsidR="00EA2503" w:rsidRDefault="00AE6AE5">
      <w:pPr>
        <w:pStyle w:val="yHeading5"/>
        <w:outlineLvl w:val="9"/>
        <w:rPr>
          <w:snapToGrid w:val="0"/>
        </w:rPr>
      </w:pPr>
      <w:bookmarkStart w:id="127" w:name="_Toc75759129"/>
      <w:r>
        <w:rPr>
          <w:rStyle w:val="CharSClsNo"/>
        </w:rPr>
        <w:t>508</w:t>
      </w:r>
      <w:r>
        <w:rPr>
          <w:snapToGrid w:val="0"/>
        </w:rPr>
        <w:t>.</w:t>
      </w:r>
      <w:r>
        <w:rPr>
          <w:snapToGrid w:val="0"/>
        </w:rPr>
        <w:tab/>
      </w:r>
      <w:r>
        <w:t>Electrical apparatus in appliances</w:t>
      </w:r>
      <w:bookmarkEnd w:id="127"/>
    </w:p>
    <w:p w:rsidR="00EA2503" w:rsidRDefault="00AE6AE5">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rsidR="00EA2503" w:rsidRDefault="00AE6AE5">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rsidR="00EA2503" w:rsidRDefault="00AE6AE5">
      <w:pPr>
        <w:pStyle w:val="yIndenta"/>
        <w:rPr>
          <w:snapToGrid w:val="0"/>
        </w:rPr>
      </w:pPr>
      <w:r>
        <w:rPr>
          <w:snapToGrid w:val="0"/>
        </w:rPr>
        <w:tab/>
        <w:t>(a)</w:t>
      </w:r>
      <w:r>
        <w:rPr>
          <w:snapToGrid w:val="0"/>
        </w:rPr>
        <w:tab/>
        <w:t>does not need tools to effect the isolation; and</w:t>
      </w:r>
    </w:p>
    <w:p w:rsidR="00EA2503" w:rsidRDefault="00AE6AE5">
      <w:pPr>
        <w:pStyle w:val="yIndenta"/>
        <w:rPr>
          <w:snapToGrid w:val="0"/>
        </w:rPr>
      </w:pPr>
      <w:r>
        <w:rPr>
          <w:snapToGrid w:val="0"/>
        </w:rPr>
        <w:tab/>
        <w:t>(b)</w:t>
      </w:r>
      <w:r>
        <w:rPr>
          <w:snapToGrid w:val="0"/>
        </w:rPr>
        <w:tab/>
        <w:t>is located adjacent to the appliance and in a readily accessible position.</w:t>
      </w:r>
    </w:p>
    <w:p w:rsidR="00EA2503" w:rsidRDefault="00AE6AE5">
      <w:pPr>
        <w:pStyle w:val="yFootnotesection"/>
      </w:pPr>
      <w:r>
        <w:tab/>
        <w:t>[Clause 508 amended: Gazette 31 Jan 2003 p. 281; 21 Apr 2006 p. 1579.]</w:t>
      </w:r>
    </w:p>
    <w:p w:rsidR="00EA2503" w:rsidRDefault="00AE6AE5">
      <w:pPr>
        <w:pStyle w:val="yHeading3"/>
        <w:outlineLvl w:val="9"/>
      </w:pPr>
      <w:bookmarkStart w:id="128" w:name="_Toc75416410"/>
      <w:bookmarkStart w:id="129" w:name="_Toc75416902"/>
      <w:bookmarkStart w:id="130" w:name="_Toc75759130"/>
      <w:r>
        <w:rPr>
          <w:rStyle w:val="CharSDivNo"/>
        </w:rPr>
        <w:lastRenderedPageBreak/>
        <w:t>Division 6</w:t>
      </w:r>
      <w:r>
        <w:rPr>
          <w:rStyle w:val="CharDivNo"/>
        </w:rPr>
        <w:t xml:space="preserve"> — </w:t>
      </w:r>
      <w:r>
        <w:rPr>
          <w:rStyle w:val="CharSDivText"/>
        </w:rPr>
        <w:t>Additional requirements for particular appliances</w:t>
      </w:r>
      <w:bookmarkEnd w:id="128"/>
      <w:bookmarkEnd w:id="129"/>
      <w:bookmarkEnd w:id="130"/>
    </w:p>
    <w:p w:rsidR="00EA2503" w:rsidRDefault="00AE6AE5">
      <w:pPr>
        <w:pStyle w:val="yHeading5"/>
        <w:outlineLvl w:val="9"/>
        <w:rPr>
          <w:snapToGrid w:val="0"/>
        </w:rPr>
      </w:pPr>
      <w:bookmarkStart w:id="131" w:name="_Toc75759131"/>
      <w:r>
        <w:rPr>
          <w:rStyle w:val="CharSClsNo"/>
        </w:rPr>
        <w:t>601</w:t>
      </w:r>
      <w:r>
        <w:rPr>
          <w:snapToGrid w:val="0"/>
        </w:rPr>
        <w:t>.</w:t>
      </w:r>
      <w:r>
        <w:rPr>
          <w:snapToGrid w:val="0"/>
        </w:rPr>
        <w:tab/>
        <w:t>Cooking appliances, fryers etc.</w:t>
      </w:r>
      <w:bookmarkEnd w:id="131"/>
    </w:p>
    <w:p w:rsidR="00EA2503" w:rsidRDefault="00AE6AE5">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rsidR="00EA2503" w:rsidRDefault="00AE6AE5">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rsidR="00EA2503" w:rsidRDefault="00AE6AE5">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rsidR="00EA2503" w:rsidRDefault="00AE6AE5">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rsidR="00EA2503" w:rsidRDefault="00AE6AE5">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rsidR="00EA2503" w:rsidRDefault="00AE6AE5">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rsidR="00EA2503" w:rsidRDefault="00AE6AE5">
      <w:pPr>
        <w:pStyle w:val="ySubsection"/>
      </w:pPr>
      <w:r>
        <w:rPr>
          <w:snapToGrid w:val="0"/>
        </w:rPr>
        <w:tab/>
        <w:t>(5)</w:t>
      </w:r>
      <w:r>
        <w:rPr>
          <w:snapToGrid w:val="0"/>
        </w:rPr>
        <w:tab/>
        <w:t xml:space="preserve">This clause applies in addition to </w:t>
      </w:r>
      <w:r>
        <w:t>any relevant requirements in AS/NZS 5601.</w:t>
      </w:r>
    </w:p>
    <w:p w:rsidR="00EA2503" w:rsidRDefault="00AE6AE5">
      <w:pPr>
        <w:pStyle w:val="yFootnotesection"/>
      </w:pPr>
      <w:r>
        <w:tab/>
        <w:t>[Clause 601 amended: Gazette 19 Dec 2000 p. 7281; 31 Jan 2003 p. 281; 21 Apr 2006 p. 1580; 18 Jan 2011 p. 147.]</w:t>
      </w:r>
    </w:p>
    <w:p w:rsidR="00EA2503" w:rsidRDefault="00AE6AE5">
      <w:pPr>
        <w:pStyle w:val="yHeading5"/>
        <w:outlineLvl w:val="9"/>
        <w:rPr>
          <w:snapToGrid w:val="0"/>
        </w:rPr>
      </w:pPr>
      <w:bookmarkStart w:id="132" w:name="_Toc75759132"/>
      <w:r>
        <w:rPr>
          <w:rStyle w:val="CharSClsNo"/>
        </w:rPr>
        <w:t>602</w:t>
      </w:r>
      <w:r>
        <w:rPr>
          <w:snapToGrid w:val="0"/>
        </w:rPr>
        <w:t>.</w:t>
      </w:r>
      <w:r>
        <w:rPr>
          <w:snapToGrid w:val="0"/>
        </w:rPr>
        <w:tab/>
        <w:t>Water heaters</w:t>
      </w:r>
      <w:bookmarkEnd w:id="132"/>
    </w:p>
    <w:p w:rsidR="00EA2503" w:rsidRDefault="00AE6AE5">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rsidR="00EA2503" w:rsidRDefault="00AE6AE5">
      <w:pPr>
        <w:pStyle w:val="yIndenta"/>
        <w:rPr>
          <w:snapToGrid w:val="0"/>
        </w:rPr>
      </w:pPr>
      <w:r>
        <w:rPr>
          <w:snapToGrid w:val="0"/>
        </w:rPr>
        <w:tab/>
        <w:t>(a)</w:t>
      </w:r>
      <w:r>
        <w:rPr>
          <w:snapToGrid w:val="0"/>
        </w:rPr>
        <w:tab/>
        <w:t>suitable fire resistant material that extends at least 150 mm beyond the projection onto the wall of the heater; or</w:t>
      </w:r>
    </w:p>
    <w:p w:rsidR="00EA2503" w:rsidRDefault="00AE6AE5" w:rsidP="00313D44">
      <w:pPr>
        <w:pStyle w:val="yIndenta"/>
        <w:keepNext/>
        <w:rPr>
          <w:snapToGrid w:val="0"/>
        </w:rPr>
      </w:pPr>
      <w:r>
        <w:rPr>
          <w:snapToGrid w:val="0"/>
        </w:rPr>
        <w:lastRenderedPageBreak/>
        <w:tab/>
        <w:t>(b)</w:t>
      </w:r>
      <w:r>
        <w:rPr>
          <w:snapToGrid w:val="0"/>
        </w:rPr>
        <w:tab/>
        <w:t>spacers such that there is an air space of not less than 25 mm between the case of the heater and any combustible material.</w:t>
      </w:r>
    </w:p>
    <w:p w:rsidR="00EA2503" w:rsidRDefault="00AE6AE5">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rsidR="00EA2503" w:rsidRDefault="00AE6AE5">
      <w:pPr>
        <w:pStyle w:val="ySubsection"/>
        <w:rPr>
          <w:snapToGrid w:val="0"/>
        </w:rPr>
      </w:pPr>
      <w:r>
        <w:rPr>
          <w:snapToGrid w:val="0"/>
        </w:rPr>
        <w:tab/>
        <w:t>(3)</w:t>
      </w:r>
      <w:r>
        <w:rPr>
          <w:snapToGrid w:val="0"/>
        </w:rPr>
        <w:tab/>
        <w:t>A gas water heater that is mounted externally to any building or other structure must be so located that the heater —</w:t>
      </w:r>
    </w:p>
    <w:p w:rsidR="00EA2503" w:rsidRDefault="00AE6AE5">
      <w:pPr>
        <w:pStyle w:val="yIndenta"/>
        <w:keepNext/>
        <w:rPr>
          <w:snapToGrid w:val="0"/>
        </w:rPr>
      </w:pPr>
      <w:r>
        <w:rPr>
          <w:snapToGrid w:val="0"/>
        </w:rPr>
        <w:tab/>
        <w:t>(a)</w:t>
      </w:r>
      <w:r>
        <w:rPr>
          <w:snapToGrid w:val="0"/>
        </w:rPr>
        <w:tab/>
        <w:t>is sufficiently clear of trees, shrubs, and other combustible material so as not to constitute a fire hazard; and</w:t>
      </w:r>
    </w:p>
    <w:p w:rsidR="00EA2503" w:rsidRDefault="00AE6AE5">
      <w:pPr>
        <w:pStyle w:val="yIndenta"/>
        <w:rPr>
          <w:snapToGrid w:val="0"/>
        </w:rPr>
      </w:pPr>
      <w:r>
        <w:rPr>
          <w:snapToGrid w:val="0"/>
        </w:rPr>
        <w:tab/>
        <w:t>(b)</w:t>
      </w:r>
      <w:r>
        <w:rPr>
          <w:snapToGrid w:val="0"/>
        </w:rPr>
        <w:tab/>
        <w:t>has sufficient clearance for the necessary plumbing connections.</w:t>
      </w:r>
    </w:p>
    <w:p w:rsidR="00EA2503" w:rsidRDefault="00AE6AE5">
      <w:pPr>
        <w:pStyle w:val="ySubsection"/>
      </w:pPr>
      <w:r>
        <w:rPr>
          <w:snapToGrid w:val="0"/>
        </w:rPr>
        <w:tab/>
        <w:t>(4)</w:t>
      </w:r>
      <w:r>
        <w:rPr>
          <w:snapToGrid w:val="0"/>
        </w:rPr>
        <w:tab/>
        <w:t xml:space="preserve">This clause applies in addition to </w:t>
      </w:r>
      <w:r>
        <w:t>any relevant requirements in AS/NZS 5601.</w:t>
      </w:r>
    </w:p>
    <w:p w:rsidR="00EA2503" w:rsidRDefault="00AE6AE5">
      <w:pPr>
        <w:pStyle w:val="yFootnotesection"/>
      </w:pPr>
      <w:r>
        <w:tab/>
        <w:t>[Clause 602 amended: Gazette 19 Dec 2000 p. 7281; 31 Jan 2003 p. 281; 21 Apr 2006 p. 1580; 18 Jan 2011 p. 147.]</w:t>
      </w:r>
    </w:p>
    <w:p w:rsidR="00EA2503" w:rsidRDefault="00AE6AE5">
      <w:pPr>
        <w:pStyle w:val="yHeading5"/>
        <w:spacing w:before="180"/>
        <w:outlineLvl w:val="9"/>
        <w:rPr>
          <w:snapToGrid w:val="0"/>
        </w:rPr>
      </w:pPr>
      <w:bookmarkStart w:id="133" w:name="_Toc75759133"/>
      <w:r>
        <w:rPr>
          <w:rStyle w:val="CharSClsNo"/>
        </w:rPr>
        <w:t>603</w:t>
      </w:r>
      <w:r>
        <w:rPr>
          <w:snapToGrid w:val="0"/>
        </w:rPr>
        <w:t>.</w:t>
      </w:r>
      <w:r>
        <w:rPr>
          <w:snapToGrid w:val="0"/>
        </w:rPr>
        <w:tab/>
        <w:t>Space heating appliances</w:t>
      </w:r>
      <w:bookmarkEnd w:id="133"/>
    </w:p>
    <w:p w:rsidR="00EA2503" w:rsidRDefault="00AE6AE5">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rsidR="00EA2503" w:rsidRDefault="00AE6AE5">
      <w:pPr>
        <w:pStyle w:val="ySubsection"/>
        <w:rPr>
          <w:snapToGrid w:val="0"/>
        </w:rPr>
      </w:pPr>
      <w:r>
        <w:rPr>
          <w:snapToGrid w:val="0"/>
        </w:rPr>
        <w:tab/>
        <w:t>(2)</w:t>
      </w:r>
      <w:r>
        <w:rPr>
          <w:snapToGrid w:val="0"/>
        </w:rPr>
        <w:tab/>
        <w:t>If the room or space in which there is installed —</w:t>
      </w:r>
    </w:p>
    <w:p w:rsidR="00EA2503" w:rsidRDefault="00AE6AE5">
      <w:pPr>
        <w:pStyle w:val="yIndenta"/>
        <w:rPr>
          <w:snapToGrid w:val="0"/>
        </w:rPr>
      </w:pPr>
      <w:r>
        <w:rPr>
          <w:snapToGrid w:val="0"/>
        </w:rPr>
        <w:tab/>
        <w:t>(a)</w:t>
      </w:r>
      <w:r>
        <w:rPr>
          <w:snapToGrid w:val="0"/>
        </w:rPr>
        <w:tab/>
        <w:t>an appliance referred to in subclause (1); or</w:t>
      </w:r>
    </w:p>
    <w:p w:rsidR="00EA2503" w:rsidRDefault="00AE6AE5">
      <w:pPr>
        <w:pStyle w:val="yIndenta"/>
        <w:keepNext/>
        <w:rPr>
          <w:snapToGrid w:val="0"/>
        </w:rPr>
      </w:pPr>
      <w:r>
        <w:rPr>
          <w:snapToGrid w:val="0"/>
        </w:rPr>
        <w:tab/>
        <w:t>(b)</w:t>
      </w:r>
      <w:r>
        <w:rPr>
          <w:snapToGrid w:val="0"/>
        </w:rPr>
        <w:tab/>
        <w:t>a bayonet point enabling the connection of such an appliance,</w:t>
      </w:r>
    </w:p>
    <w:p w:rsidR="00EA2503" w:rsidRDefault="00AE6AE5">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rsidR="00EA2503" w:rsidRDefault="00AE6AE5">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rsidR="00EA2503" w:rsidRDefault="00AE6AE5" w:rsidP="00313D44">
      <w:pPr>
        <w:pStyle w:val="ySubsection"/>
        <w:keepNext/>
      </w:pPr>
      <w:r>
        <w:rPr>
          <w:snapToGrid w:val="0"/>
        </w:rPr>
        <w:lastRenderedPageBreak/>
        <w:tab/>
        <w:t>(4)</w:t>
      </w:r>
      <w:r>
        <w:rPr>
          <w:snapToGrid w:val="0"/>
        </w:rPr>
        <w:tab/>
        <w:t xml:space="preserve">This clause applies in addition to </w:t>
      </w:r>
      <w:r>
        <w:t>any relevant requirements in AS/NZS 5601.</w:t>
      </w:r>
    </w:p>
    <w:p w:rsidR="00EA2503" w:rsidRDefault="00AE6AE5">
      <w:pPr>
        <w:pStyle w:val="yFootnotesection"/>
      </w:pPr>
      <w:r>
        <w:tab/>
        <w:t>[Clause 603 amended: Gazette 19 Dec 2000 p. 7281; 31 Jan 2003 p. 281; 21 Apr 2006 p. 1580; 18 Jan 2011 p. 147.]</w:t>
      </w:r>
    </w:p>
    <w:p w:rsidR="00EA2503" w:rsidRDefault="00AE6AE5">
      <w:pPr>
        <w:pStyle w:val="yHeading5"/>
      </w:pPr>
      <w:bookmarkStart w:id="134" w:name="_Toc75759134"/>
      <w:r>
        <w:rPr>
          <w:rStyle w:val="CharSClsNo"/>
        </w:rPr>
        <w:t>604A</w:t>
      </w:r>
      <w:r>
        <w:t>.</w:t>
      </w:r>
      <w:r>
        <w:rPr>
          <w:b w:val="0"/>
        </w:rPr>
        <w:tab/>
      </w:r>
      <w:r>
        <w:t>Flueless gas space heaters in schools and child care centres</w:t>
      </w:r>
      <w:bookmarkEnd w:id="134"/>
    </w:p>
    <w:p w:rsidR="00EA2503" w:rsidRDefault="00AE6AE5">
      <w:pPr>
        <w:pStyle w:val="ySubsection"/>
      </w:pPr>
      <w:r>
        <w:tab/>
        <w:t>(1)</w:t>
      </w:r>
      <w:r>
        <w:tab/>
        <w:t xml:space="preserve">In this clause — </w:t>
      </w:r>
    </w:p>
    <w:p w:rsidR="00EA2503" w:rsidRDefault="00AE6AE5">
      <w:pPr>
        <w:pStyle w:val="yDefstart"/>
      </w:pPr>
      <w:r>
        <w:tab/>
      </w:r>
      <w:r>
        <w:rPr>
          <w:rStyle w:val="CharDefText"/>
        </w:rPr>
        <w:t>child care centre</w:t>
      </w:r>
      <w:r>
        <w:t xml:space="preserve"> </w:t>
      </w:r>
      <w:r>
        <w:rPr>
          <w:szCs w:val="22"/>
        </w:rPr>
        <w:t xml:space="preserve">means a place where — </w:t>
      </w:r>
    </w:p>
    <w:p w:rsidR="00EA2503" w:rsidRDefault="00AE6AE5">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rsidR="00EA2503" w:rsidRDefault="00AE6AE5">
      <w:pPr>
        <w:pStyle w:val="yDefpara"/>
      </w:pPr>
      <w:r>
        <w:tab/>
        <w:t>(b)</w:t>
      </w:r>
      <w:r>
        <w:tab/>
        <w:t xml:space="preserve">a child care service, as defined in the </w:t>
      </w:r>
      <w:r>
        <w:rPr>
          <w:i/>
        </w:rPr>
        <w:t>Child Care Services Act 2007</w:t>
      </w:r>
      <w:r>
        <w:t xml:space="preserve"> section 4, is provided;</w:t>
      </w:r>
    </w:p>
    <w:p w:rsidR="00EA2503" w:rsidRDefault="00AE6AE5">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rsidR="00EA2503" w:rsidRDefault="00AE6AE5">
      <w:pPr>
        <w:pStyle w:val="ySubsection"/>
      </w:pPr>
      <w:r>
        <w:tab/>
        <w:t>(2)</w:t>
      </w:r>
      <w:r>
        <w:tab/>
        <w:t xml:space="preserve">A gas space heating appliance that is not fitted with a flue must not be installed in a child care centre or school except in an area — </w:t>
      </w:r>
    </w:p>
    <w:p w:rsidR="00EA2503" w:rsidRDefault="00AE6AE5">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rsidR="00EA2503" w:rsidRDefault="00AE6AE5">
      <w:pPr>
        <w:pStyle w:val="yIndenta"/>
      </w:pPr>
      <w:r>
        <w:tab/>
        <w:t>(b)</w:t>
      </w:r>
      <w:r>
        <w:tab/>
        <w:t>that is large and well ventilated, for example, a gymnasium or semi</w:t>
      </w:r>
      <w:r>
        <w:noBreakHyphen/>
        <w:t>enclosed recreation area.</w:t>
      </w:r>
    </w:p>
    <w:p w:rsidR="00EA2503" w:rsidRDefault="00AE6AE5">
      <w:pPr>
        <w:pStyle w:val="yFootnotesection"/>
      </w:pPr>
      <w:r>
        <w:tab/>
        <w:t>[Clause 604A inserted: Gazette 26 Nov 2010 p. 5932; amended: Gazette 12 Dec 2014 p. 4711-12.]</w:t>
      </w:r>
    </w:p>
    <w:p w:rsidR="00EA2503" w:rsidRDefault="00AE6AE5">
      <w:pPr>
        <w:pStyle w:val="yHeading5"/>
        <w:outlineLvl w:val="9"/>
        <w:rPr>
          <w:snapToGrid w:val="0"/>
        </w:rPr>
      </w:pPr>
      <w:bookmarkStart w:id="135" w:name="_Toc75759135"/>
      <w:r>
        <w:rPr>
          <w:rStyle w:val="CharSClsNo"/>
        </w:rPr>
        <w:t>604</w:t>
      </w:r>
      <w:r>
        <w:rPr>
          <w:snapToGrid w:val="0"/>
        </w:rPr>
        <w:t>.</w:t>
      </w:r>
      <w:r>
        <w:rPr>
          <w:snapToGrid w:val="0"/>
        </w:rPr>
        <w:tab/>
        <w:t>Swimming pool heaters</w:t>
      </w:r>
      <w:bookmarkEnd w:id="135"/>
    </w:p>
    <w:p w:rsidR="00EA2503" w:rsidRDefault="00AE6AE5">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rsidR="00EA2503" w:rsidRDefault="00AE6AE5">
      <w:pPr>
        <w:pStyle w:val="ySubsection"/>
      </w:pPr>
      <w:r>
        <w:rPr>
          <w:snapToGrid w:val="0"/>
        </w:rPr>
        <w:tab/>
        <w:t>(2)</w:t>
      </w:r>
      <w:r>
        <w:rPr>
          <w:snapToGrid w:val="0"/>
        </w:rPr>
        <w:tab/>
        <w:t xml:space="preserve">This clause applies in addition to </w:t>
      </w:r>
      <w:r>
        <w:t>any relevant requirements in AS/NZS 5601.</w:t>
      </w:r>
    </w:p>
    <w:p w:rsidR="00EA2503" w:rsidRDefault="00AE6AE5">
      <w:pPr>
        <w:pStyle w:val="yFootnotesection"/>
      </w:pPr>
      <w:r>
        <w:lastRenderedPageBreak/>
        <w:tab/>
        <w:t>[Clause 604 amended: Gazette 19 Dec 2000 p. 7281; 31 Jan 2003 p. 281; 21 Apr 2006 p. 1580; 18 Jan 2011 p. 147.]</w:t>
      </w:r>
    </w:p>
    <w:p w:rsidR="00EA2503" w:rsidRDefault="00AE6AE5">
      <w:pPr>
        <w:pStyle w:val="yHeading3"/>
        <w:outlineLvl w:val="9"/>
        <w:rPr>
          <w:snapToGrid w:val="0"/>
        </w:rPr>
      </w:pPr>
      <w:bookmarkStart w:id="136" w:name="_Toc75416416"/>
      <w:bookmarkStart w:id="137" w:name="_Toc75416908"/>
      <w:bookmarkStart w:id="138" w:name="_Toc75759136"/>
      <w:r>
        <w:rPr>
          <w:rStyle w:val="CharSDivNo"/>
        </w:rPr>
        <w:t>Division 7</w:t>
      </w:r>
      <w:r>
        <w:rPr>
          <w:snapToGrid w:val="0"/>
        </w:rPr>
        <w:t xml:space="preserve"> — </w:t>
      </w:r>
      <w:r>
        <w:rPr>
          <w:rStyle w:val="CharSDivText"/>
        </w:rPr>
        <w:t>Caravans</w:t>
      </w:r>
      <w:bookmarkEnd w:id="136"/>
      <w:bookmarkEnd w:id="137"/>
      <w:bookmarkEnd w:id="138"/>
    </w:p>
    <w:p w:rsidR="00EA2503" w:rsidRDefault="00AE6AE5">
      <w:pPr>
        <w:pStyle w:val="yHeading5"/>
        <w:outlineLvl w:val="9"/>
        <w:rPr>
          <w:snapToGrid w:val="0"/>
        </w:rPr>
      </w:pPr>
      <w:bookmarkStart w:id="139" w:name="_Toc75759137"/>
      <w:r>
        <w:rPr>
          <w:rStyle w:val="CharSClsNo"/>
        </w:rPr>
        <w:t>701</w:t>
      </w:r>
      <w:r>
        <w:rPr>
          <w:snapToGrid w:val="0"/>
        </w:rPr>
        <w:t>.</w:t>
      </w:r>
      <w:r>
        <w:rPr>
          <w:snapToGrid w:val="0"/>
        </w:rPr>
        <w:tab/>
        <w:t>Application of this Division</w:t>
      </w:r>
      <w:bookmarkEnd w:id="139"/>
    </w:p>
    <w:p w:rsidR="00EA2503" w:rsidRDefault="00AE6AE5">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rsidR="00EA2503" w:rsidRDefault="00AE6AE5">
      <w:pPr>
        <w:pStyle w:val="ySubsection"/>
      </w:pPr>
      <w:r>
        <w:rPr>
          <w:snapToGrid w:val="0"/>
        </w:rPr>
        <w:tab/>
        <w:t>(2)</w:t>
      </w:r>
      <w:r>
        <w:rPr>
          <w:snapToGrid w:val="0"/>
        </w:rPr>
        <w:tab/>
        <w:t>This Division applies in addition to</w:t>
      </w:r>
      <w:r>
        <w:t xml:space="preserve"> any relevant requirements in AS/NZS 5601.</w:t>
      </w:r>
    </w:p>
    <w:p w:rsidR="00EA2503" w:rsidRDefault="00AE6AE5">
      <w:pPr>
        <w:pStyle w:val="yFootnotesection"/>
      </w:pPr>
      <w:r>
        <w:tab/>
        <w:t>[Clause 701 amended: Gazette 19 Dec 2000 p. 7281; 31 Jan 2003 p. 281; 21 Apr 2006 p. 1580; 18 Jan 2011 p. 147.]</w:t>
      </w:r>
    </w:p>
    <w:p w:rsidR="00EA2503" w:rsidRDefault="00AE6AE5">
      <w:pPr>
        <w:pStyle w:val="yEdnotesection"/>
      </w:pPr>
      <w:r>
        <w:t>[</w:t>
      </w:r>
      <w:r>
        <w:rPr>
          <w:b/>
        </w:rPr>
        <w:t>702.</w:t>
      </w:r>
      <w:r>
        <w:tab/>
        <w:t>Deleted: Gazette 26 Nov 2010 p. 5933.]</w:t>
      </w:r>
    </w:p>
    <w:p w:rsidR="00EA2503" w:rsidRDefault="00AE6AE5">
      <w:pPr>
        <w:pStyle w:val="yHeading5"/>
        <w:outlineLvl w:val="9"/>
        <w:rPr>
          <w:snapToGrid w:val="0"/>
        </w:rPr>
      </w:pPr>
      <w:bookmarkStart w:id="140" w:name="_Toc75759138"/>
      <w:r>
        <w:rPr>
          <w:rStyle w:val="CharSClsNo"/>
        </w:rPr>
        <w:t>703</w:t>
      </w:r>
      <w:r>
        <w:rPr>
          <w:snapToGrid w:val="0"/>
        </w:rPr>
        <w:t>.</w:t>
      </w:r>
      <w:r>
        <w:rPr>
          <w:snapToGrid w:val="0"/>
        </w:rPr>
        <w:tab/>
        <w:t>Location of appliances</w:t>
      </w:r>
      <w:bookmarkEnd w:id="140"/>
    </w:p>
    <w:p w:rsidR="00EA2503" w:rsidRDefault="00AE6AE5">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rsidR="00EA2503" w:rsidRDefault="00AE6AE5">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rsidR="00EA2503" w:rsidRDefault="00AE6AE5">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rsidR="00EA2503" w:rsidRDefault="00AE6AE5">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rsidR="00EA2503" w:rsidRDefault="00AE6AE5">
      <w:pPr>
        <w:pStyle w:val="yHeading5"/>
        <w:outlineLvl w:val="9"/>
        <w:rPr>
          <w:snapToGrid w:val="0"/>
        </w:rPr>
      </w:pPr>
      <w:bookmarkStart w:id="141" w:name="_Toc75759139"/>
      <w:r>
        <w:rPr>
          <w:rStyle w:val="CharSClsNo"/>
        </w:rPr>
        <w:t>704</w:t>
      </w:r>
      <w:r>
        <w:rPr>
          <w:snapToGrid w:val="0"/>
        </w:rPr>
        <w:t>.</w:t>
      </w:r>
      <w:r>
        <w:rPr>
          <w:snapToGrid w:val="0"/>
        </w:rPr>
        <w:tab/>
        <w:t>Pressure</w:t>
      </w:r>
      <w:bookmarkEnd w:id="141"/>
    </w:p>
    <w:p w:rsidR="00EA2503" w:rsidRDefault="00AE6AE5">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rsidR="00EA2503" w:rsidRDefault="00AE6AE5" w:rsidP="00313D44">
      <w:pPr>
        <w:pStyle w:val="ySubsection"/>
        <w:keepNext/>
        <w:rPr>
          <w:snapToGrid w:val="0"/>
        </w:rPr>
      </w:pPr>
      <w:r>
        <w:rPr>
          <w:snapToGrid w:val="0"/>
        </w:rPr>
        <w:lastRenderedPageBreak/>
        <w:tab/>
        <w:t>(2)</w:t>
      </w:r>
      <w:r>
        <w:rPr>
          <w:snapToGrid w:val="0"/>
        </w:rPr>
        <w:tab/>
        <w:t>Subclause (1) does not apply in respect of —</w:t>
      </w:r>
    </w:p>
    <w:p w:rsidR="00EA2503" w:rsidRDefault="00AE6AE5" w:rsidP="00313D44">
      <w:pPr>
        <w:pStyle w:val="yEdnotepara"/>
        <w:keepNext/>
        <w:rPr>
          <w:snapToGrid w:val="0"/>
        </w:rPr>
      </w:pPr>
      <w:r>
        <w:rPr>
          <w:snapToGrid w:val="0"/>
        </w:rPr>
        <w:tab/>
        <w:t>[(a)</w:t>
      </w:r>
      <w:r>
        <w:rPr>
          <w:snapToGrid w:val="0"/>
        </w:rPr>
        <w:tab/>
        <w:t>deleted]</w:t>
      </w:r>
    </w:p>
    <w:p w:rsidR="00EA2503" w:rsidRDefault="00AE6AE5">
      <w:pPr>
        <w:pStyle w:val="yIndenta"/>
        <w:rPr>
          <w:snapToGrid w:val="0"/>
        </w:rPr>
      </w:pPr>
      <w:r>
        <w:rPr>
          <w:snapToGrid w:val="0"/>
        </w:rPr>
        <w:tab/>
        <w:t>(b)</w:t>
      </w:r>
      <w:r>
        <w:rPr>
          <w:snapToGrid w:val="0"/>
        </w:rPr>
        <w:tab/>
        <w:t>an appliance that depends on a pressure exceeding the prescribed pressure for its proper operation, if —</w:t>
      </w:r>
    </w:p>
    <w:p w:rsidR="00EA2503" w:rsidRDefault="00AE6AE5">
      <w:pPr>
        <w:pStyle w:val="yIndenti0"/>
        <w:rPr>
          <w:snapToGrid w:val="0"/>
        </w:rPr>
      </w:pPr>
      <w:r>
        <w:rPr>
          <w:snapToGrid w:val="0"/>
        </w:rPr>
        <w:tab/>
        <w:t>(i)</w:t>
      </w:r>
      <w:r>
        <w:rPr>
          <w:snapToGrid w:val="0"/>
        </w:rPr>
        <w:tab/>
        <w:t>the appliance is installed in a mobile workshop that is not used for accommodation; and</w:t>
      </w:r>
    </w:p>
    <w:p w:rsidR="00EA2503" w:rsidRDefault="00AE6AE5">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rsidR="00EA2503" w:rsidRDefault="00AE6AE5">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rsidR="00EA2503" w:rsidRDefault="00AE6AE5">
      <w:pPr>
        <w:pStyle w:val="yFootnotesection"/>
      </w:pPr>
      <w:r>
        <w:tab/>
        <w:t>[Clause 704 amended: Gazette 26 Nov 2010 p. 5933.]</w:t>
      </w:r>
    </w:p>
    <w:p w:rsidR="00EA2503" w:rsidRDefault="00AE6AE5">
      <w:pPr>
        <w:pStyle w:val="yHeading5"/>
        <w:outlineLvl w:val="9"/>
        <w:rPr>
          <w:snapToGrid w:val="0"/>
        </w:rPr>
      </w:pPr>
      <w:bookmarkStart w:id="142" w:name="_Toc75759140"/>
      <w:r>
        <w:rPr>
          <w:rStyle w:val="CharSClsNo"/>
        </w:rPr>
        <w:t>705</w:t>
      </w:r>
      <w:r>
        <w:rPr>
          <w:snapToGrid w:val="0"/>
        </w:rPr>
        <w:t>.</w:t>
      </w:r>
      <w:r>
        <w:rPr>
          <w:snapToGrid w:val="0"/>
        </w:rPr>
        <w:tab/>
        <w:t>Warnings</w:t>
      </w:r>
      <w:bookmarkEnd w:id="142"/>
    </w:p>
    <w:p w:rsidR="00EA2503" w:rsidRDefault="00AE6AE5">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rsidR="00EA2503" w:rsidRDefault="00AE6AE5">
      <w:pPr>
        <w:pStyle w:val="yIndenta"/>
      </w:pPr>
      <w:r>
        <w:rPr>
          <w:snapToGrid w:val="0"/>
        </w:rPr>
        <w:tab/>
        <w:t>(a)</w:t>
      </w:r>
      <w:r>
        <w:rPr>
          <w:snapToGrid w:val="0"/>
        </w:rPr>
        <w:tab/>
      </w:r>
      <w:r>
        <w:t>legible and clear; and</w:t>
      </w:r>
    </w:p>
    <w:p w:rsidR="00EA2503" w:rsidRDefault="00AE6AE5">
      <w:pPr>
        <w:pStyle w:val="yIndenta"/>
      </w:pPr>
      <w:r>
        <w:tab/>
        <w:t>(b)</w:t>
      </w:r>
      <w:r>
        <w:tab/>
        <w:t>in a permanent form measuring not less than 200 mm by 200 mm; and</w:t>
      </w:r>
    </w:p>
    <w:p w:rsidR="00EA2503" w:rsidRDefault="00AE6AE5">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rsidR="00EA2503" w:rsidRDefault="00AE6AE5">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rsidR="00EA2503">
        <w:trPr>
          <w:trHeight w:val="532"/>
        </w:trPr>
        <w:tc>
          <w:tcPr>
            <w:tcW w:w="6237" w:type="dxa"/>
          </w:tcPr>
          <w:p w:rsidR="00EA2503" w:rsidRDefault="00AE6AE5">
            <w:pPr>
              <w:pStyle w:val="yTableNAm"/>
              <w:tabs>
                <w:tab w:val="clear" w:pos="567"/>
              </w:tabs>
              <w:spacing w:before="60"/>
              <w:jc w:val="center"/>
              <w:rPr>
                <w:b/>
                <w:bCs/>
                <w:snapToGrid w:val="0"/>
              </w:rPr>
            </w:pPr>
            <w:r>
              <w:rPr>
                <w:b/>
                <w:bCs/>
                <w:snapToGrid w:val="0"/>
              </w:rPr>
              <w:t>DANGER</w:t>
            </w:r>
          </w:p>
          <w:p w:rsidR="00EA2503" w:rsidRDefault="00AE6AE5">
            <w:pPr>
              <w:pStyle w:val="yTableNAm"/>
              <w:spacing w:before="0" w:after="60"/>
              <w:jc w:val="center"/>
            </w:pPr>
            <w:r>
              <w:rPr>
                <w:b/>
                <w:bCs/>
                <w:snapToGrid w:val="0"/>
              </w:rPr>
              <w:t>Ensure all gas appliances are turned off before refuelling.</w:t>
            </w:r>
          </w:p>
        </w:tc>
      </w:tr>
    </w:tbl>
    <w:p w:rsidR="00EA2503" w:rsidRDefault="00AE6AE5">
      <w:pPr>
        <w:pStyle w:val="yFootnotesection"/>
      </w:pPr>
      <w:r>
        <w:tab/>
        <w:t>[Clause 705 amended: Gazette 19 Dec 2000 p. 7281; 31 Jan 2003 p. 281; 21 Apr 2006 p. 1580; 18 Jan 2011 p. 147.]</w:t>
      </w:r>
    </w:p>
    <w:p w:rsidR="00EA2503" w:rsidRDefault="00AE6AE5">
      <w:pPr>
        <w:pStyle w:val="yHeading3"/>
        <w:outlineLvl w:val="9"/>
      </w:pPr>
      <w:bookmarkStart w:id="143" w:name="_Toc75416421"/>
      <w:bookmarkStart w:id="144" w:name="_Toc75416913"/>
      <w:bookmarkStart w:id="145" w:name="_Toc75759141"/>
      <w:r>
        <w:rPr>
          <w:rStyle w:val="CharSDivNo"/>
        </w:rPr>
        <w:lastRenderedPageBreak/>
        <w:t>Division 8</w:t>
      </w:r>
      <w:r>
        <w:rPr>
          <w:rStyle w:val="CharDivNo"/>
        </w:rPr>
        <w:t xml:space="preserve"> — </w:t>
      </w:r>
      <w:r>
        <w:rPr>
          <w:rStyle w:val="CharSDivText"/>
        </w:rPr>
        <w:t>Marine craft</w:t>
      </w:r>
      <w:bookmarkEnd w:id="143"/>
      <w:bookmarkEnd w:id="144"/>
      <w:bookmarkEnd w:id="145"/>
    </w:p>
    <w:p w:rsidR="00EA2503" w:rsidRDefault="00AE6AE5">
      <w:pPr>
        <w:pStyle w:val="yHeading5"/>
        <w:outlineLvl w:val="9"/>
        <w:rPr>
          <w:snapToGrid w:val="0"/>
        </w:rPr>
      </w:pPr>
      <w:bookmarkStart w:id="146" w:name="_Toc75759142"/>
      <w:r>
        <w:rPr>
          <w:rStyle w:val="CharSClsNo"/>
        </w:rPr>
        <w:t>801</w:t>
      </w:r>
      <w:r>
        <w:rPr>
          <w:snapToGrid w:val="0"/>
        </w:rPr>
        <w:t>.</w:t>
      </w:r>
      <w:r>
        <w:rPr>
          <w:snapToGrid w:val="0"/>
        </w:rPr>
        <w:tab/>
        <w:t>Application of this Division</w:t>
      </w:r>
      <w:bookmarkEnd w:id="146"/>
    </w:p>
    <w:p w:rsidR="00EA2503" w:rsidRDefault="00AE6AE5">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rsidR="00EA2503" w:rsidRDefault="00AE6AE5">
      <w:pPr>
        <w:pStyle w:val="ySubsection"/>
      </w:pPr>
      <w:r>
        <w:rPr>
          <w:snapToGrid w:val="0"/>
        </w:rPr>
        <w:tab/>
        <w:t>(2)</w:t>
      </w:r>
      <w:r>
        <w:rPr>
          <w:snapToGrid w:val="0"/>
        </w:rPr>
        <w:tab/>
        <w:t>This Division applies in addition to</w:t>
      </w:r>
      <w:r>
        <w:t xml:space="preserve"> any relevant requirements in AS/NZS 5601.</w:t>
      </w:r>
    </w:p>
    <w:p w:rsidR="00EA2503" w:rsidRDefault="00AE6AE5">
      <w:pPr>
        <w:pStyle w:val="yFootnotesection"/>
      </w:pPr>
      <w:r>
        <w:tab/>
        <w:t>[Clause 801 amended: Gazette 19 Dec 2000 p. 7281; 31 Jan 2003 p. 281; 21 Apr 2006 p. 1580; 18 Jan 2011 p. 147.]</w:t>
      </w:r>
    </w:p>
    <w:p w:rsidR="00EA2503" w:rsidRDefault="00AE6AE5">
      <w:pPr>
        <w:pStyle w:val="yHeading5"/>
        <w:outlineLvl w:val="9"/>
        <w:rPr>
          <w:snapToGrid w:val="0"/>
        </w:rPr>
      </w:pPr>
      <w:bookmarkStart w:id="147" w:name="_Toc75759143"/>
      <w:r>
        <w:rPr>
          <w:rStyle w:val="CharSClsNo"/>
        </w:rPr>
        <w:t>802</w:t>
      </w:r>
      <w:r>
        <w:rPr>
          <w:snapToGrid w:val="0"/>
        </w:rPr>
        <w:t>.</w:t>
      </w:r>
      <w:r>
        <w:rPr>
          <w:snapToGrid w:val="0"/>
        </w:rPr>
        <w:tab/>
        <w:t>Cylinders and their valves to be accessible</w:t>
      </w:r>
      <w:bookmarkEnd w:id="147"/>
    </w:p>
    <w:p w:rsidR="00EA2503" w:rsidRDefault="00AE6AE5">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rsidR="00EA2503" w:rsidRDefault="00AE6AE5">
      <w:pPr>
        <w:pStyle w:val="yHeading5"/>
        <w:outlineLvl w:val="9"/>
        <w:rPr>
          <w:snapToGrid w:val="0"/>
        </w:rPr>
      </w:pPr>
      <w:bookmarkStart w:id="148" w:name="_Toc75759144"/>
      <w:r>
        <w:rPr>
          <w:rStyle w:val="CharSClsNo"/>
        </w:rPr>
        <w:t>803</w:t>
      </w:r>
      <w:r>
        <w:rPr>
          <w:snapToGrid w:val="0"/>
        </w:rPr>
        <w:t>.</w:t>
      </w:r>
      <w:r>
        <w:rPr>
          <w:snapToGrid w:val="0"/>
        </w:rPr>
        <w:tab/>
        <w:t>Cylinders and their compartments</w:t>
      </w:r>
      <w:bookmarkEnd w:id="148"/>
    </w:p>
    <w:p w:rsidR="00EA2503" w:rsidRDefault="00AE6AE5">
      <w:pPr>
        <w:pStyle w:val="ySubsection"/>
        <w:rPr>
          <w:snapToGrid w:val="0"/>
        </w:rPr>
      </w:pPr>
      <w:r>
        <w:rPr>
          <w:snapToGrid w:val="0"/>
        </w:rPr>
        <w:tab/>
        <w:t>(1)</w:t>
      </w:r>
      <w:r>
        <w:rPr>
          <w:snapToGrid w:val="0"/>
        </w:rPr>
        <w:tab/>
      </w:r>
      <w:r>
        <w:t>A cylinder compartment drain must be connected directly to the outside of the marine craft.</w:t>
      </w:r>
    </w:p>
    <w:p w:rsidR="00EA2503" w:rsidRDefault="00AE6AE5">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rsidR="00EA2503" w:rsidRDefault="00AE6AE5">
      <w:pPr>
        <w:pStyle w:val="ySubsection"/>
        <w:rPr>
          <w:snapToGrid w:val="0"/>
        </w:rPr>
      </w:pPr>
      <w:r>
        <w:rPr>
          <w:snapToGrid w:val="0"/>
        </w:rPr>
        <w:tab/>
        <w:t>(3)</w:t>
      </w:r>
      <w:r>
        <w:rPr>
          <w:snapToGrid w:val="0"/>
        </w:rPr>
        <w:tab/>
        <w:t>This clause applies both to —</w:t>
      </w:r>
    </w:p>
    <w:p w:rsidR="00EA2503" w:rsidRDefault="00AE6AE5">
      <w:pPr>
        <w:pStyle w:val="yIndenta"/>
        <w:rPr>
          <w:snapToGrid w:val="0"/>
        </w:rPr>
      </w:pPr>
      <w:r>
        <w:rPr>
          <w:snapToGrid w:val="0"/>
        </w:rPr>
        <w:tab/>
        <w:t>(a)</w:t>
      </w:r>
      <w:r>
        <w:rPr>
          <w:snapToGrid w:val="0"/>
        </w:rPr>
        <w:tab/>
        <w:t>a cylinder that is not connected to an appliance; and</w:t>
      </w:r>
    </w:p>
    <w:p w:rsidR="00EA2503" w:rsidRDefault="00AE6AE5">
      <w:pPr>
        <w:pStyle w:val="yIndenta"/>
        <w:rPr>
          <w:snapToGrid w:val="0"/>
        </w:rPr>
      </w:pPr>
      <w:r>
        <w:rPr>
          <w:snapToGrid w:val="0"/>
        </w:rPr>
        <w:tab/>
        <w:t>(b)</w:t>
      </w:r>
      <w:r>
        <w:rPr>
          <w:snapToGrid w:val="0"/>
        </w:rPr>
        <w:tab/>
        <w:t>a cylinder that is connected to an appliance.</w:t>
      </w:r>
    </w:p>
    <w:p w:rsidR="00EA2503" w:rsidRDefault="00AE6AE5">
      <w:pPr>
        <w:pStyle w:val="yFootnotesection"/>
      </w:pPr>
      <w:r>
        <w:tab/>
        <w:t>[Clause 803 amended: Gazette 19 Dec 2000 p. 7281; 31 Jan 2003 p. 281; 21 Apr 2006 p. 1580.]</w:t>
      </w:r>
    </w:p>
    <w:p w:rsidR="00EA2503" w:rsidRDefault="00AE6AE5">
      <w:pPr>
        <w:pStyle w:val="yHeading5"/>
        <w:outlineLvl w:val="9"/>
        <w:rPr>
          <w:snapToGrid w:val="0"/>
        </w:rPr>
      </w:pPr>
      <w:bookmarkStart w:id="149" w:name="_Toc75759145"/>
      <w:r>
        <w:rPr>
          <w:rStyle w:val="CharSClsNo"/>
        </w:rPr>
        <w:t>804</w:t>
      </w:r>
      <w:r>
        <w:rPr>
          <w:snapToGrid w:val="0"/>
        </w:rPr>
        <w:t>.</w:t>
      </w:r>
      <w:r>
        <w:rPr>
          <w:snapToGrid w:val="0"/>
        </w:rPr>
        <w:tab/>
        <w:t>Appliances etc. not be installed in some places</w:t>
      </w:r>
      <w:bookmarkEnd w:id="149"/>
    </w:p>
    <w:p w:rsidR="00EA2503" w:rsidRDefault="00AE6AE5">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rsidR="00EA2503" w:rsidRDefault="00AE6AE5">
      <w:pPr>
        <w:pStyle w:val="ySubsection"/>
        <w:rPr>
          <w:snapToGrid w:val="0"/>
        </w:rPr>
      </w:pPr>
      <w:r>
        <w:rPr>
          <w:snapToGrid w:val="0"/>
        </w:rPr>
        <w:lastRenderedPageBreak/>
        <w:tab/>
        <w:t>(2)</w:t>
      </w:r>
      <w:r>
        <w:rPr>
          <w:snapToGrid w:val="0"/>
        </w:rPr>
        <w:tab/>
        <w:t xml:space="preserve">A fitting line </w:t>
      </w:r>
      <w:r>
        <w:t>must not</w:t>
      </w:r>
      <w:r>
        <w:rPr>
          <w:snapToGrid w:val="0"/>
        </w:rPr>
        <w:t xml:space="preserve"> be installed in any area intended primarily for sleeping.</w:t>
      </w:r>
    </w:p>
    <w:p w:rsidR="00EA2503" w:rsidRDefault="00AE6AE5">
      <w:pPr>
        <w:pStyle w:val="yHeading5"/>
        <w:outlineLvl w:val="9"/>
        <w:rPr>
          <w:snapToGrid w:val="0"/>
        </w:rPr>
      </w:pPr>
      <w:bookmarkStart w:id="150" w:name="_Toc75759146"/>
      <w:r>
        <w:rPr>
          <w:rStyle w:val="CharSClsNo"/>
        </w:rPr>
        <w:t>805</w:t>
      </w:r>
      <w:r>
        <w:rPr>
          <w:snapToGrid w:val="0"/>
        </w:rPr>
        <w:t>.</w:t>
      </w:r>
      <w:r>
        <w:rPr>
          <w:snapToGrid w:val="0"/>
        </w:rPr>
        <w:tab/>
        <w:t>Fitting lines, location of</w:t>
      </w:r>
      <w:bookmarkEnd w:id="150"/>
    </w:p>
    <w:p w:rsidR="00EA2503" w:rsidRDefault="00AE6AE5">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rsidR="00EA2503" w:rsidRDefault="00AE6AE5">
      <w:pPr>
        <w:pStyle w:val="yHeading5"/>
        <w:outlineLvl w:val="9"/>
        <w:rPr>
          <w:snapToGrid w:val="0"/>
        </w:rPr>
      </w:pPr>
      <w:bookmarkStart w:id="151" w:name="_Toc75759147"/>
      <w:r>
        <w:rPr>
          <w:rStyle w:val="CharSClsNo"/>
        </w:rPr>
        <w:t>806</w:t>
      </w:r>
      <w:r>
        <w:rPr>
          <w:snapToGrid w:val="0"/>
        </w:rPr>
        <w:t>.</w:t>
      </w:r>
      <w:r>
        <w:rPr>
          <w:snapToGrid w:val="0"/>
        </w:rPr>
        <w:tab/>
        <w:t>Appliances, location of</w:t>
      </w:r>
      <w:bookmarkEnd w:id="151"/>
    </w:p>
    <w:p w:rsidR="00EA2503" w:rsidRDefault="00AE6AE5">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rsidR="00EA2503" w:rsidRDefault="00AE6AE5">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rsidR="00EA2503" w:rsidRDefault="00AE6AE5">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rsidR="00EA2503" w:rsidRDefault="00AE6AE5">
      <w:pPr>
        <w:pStyle w:val="ySubsection"/>
        <w:rPr>
          <w:snapToGrid w:val="0"/>
        </w:rPr>
      </w:pPr>
      <w:r>
        <w:rPr>
          <w:snapToGrid w:val="0"/>
        </w:rPr>
        <w:tab/>
        <w:t>(4)</w:t>
      </w:r>
      <w:r>
        <w:rPr>
          <w:snapToGrid w:val="0"/>
        </w:rPr>
        <w:tab/>
        <w:t>An appliance must be so located that it is not likely to be exposed to air turbulence that would extinguish the flame.</w:t>
      </w:r>
    </w:p>
    <w:p w:rsidR="00EA2503" w:rsidRDefault="00AE6AE5">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rsidR="00EA2503" w:rsidRDefault="00AE6AE5">
      <w:pPr>
        <w:pStyle w:val="ySubsection"/>
        <w:keepNext/>
        <w:rPr>
          <w:snapToGrid w:val="0"/>
        </w:rPr>
      </w:pPr>
      <w:r>
        <w:rPr>
          <w:snapToGrid w:val="0"/>
        </w:rPr>
        <w:tab/>
        <w:t>(6)</w:t>
      </w:r>
      <w:r>
        <w:rPr>
          <w:snapToGrid w:val="0"/>
        </w:rPr>
        <w:tab/>
        <w:t>The device for detecting flammable gas referred to in subclause (5) must be in operation —</w:t>
      </w:r>
    </w:p>
    <w:p w:rsidR="00EA2503" w:rsidRDefault="00AE6AE5">
      <w:pPr>
        <w:pStyle w:val="yIndenta"/>
        <w:rPr>
          <w:snapToGrid w:val="0"/>
        </w:rPr>
      </w:pPr>
      <w:r>
        <w:rPr>
          <w:snapToGrid w:val="0"/>
        </w:rPr>
        <w:tab/>
        <w:t>(a)</w:t>
      </w:r>
      <w:r>
        <w:rPr>
          <w:snapToGrid w:val="0"/>
        </w:rPr>
        <w:tab/>
        <w:t>before any appliance is lit; and</w:t>
      </w:r>
    </w:p>
    <w:p w:rsidR="00EA2503" w:rsidRDefault="00AE6AE5">
      <w:pPr>
        <w:pStyle w:val="yIndenta"/>
        <w:rPr>
          <w:snapToGrid w:val="0"/>
        </w:rPr>
      </w:pPr>
      <w:r>
        <w:rPr>
          <w:snapToGrid w:val="0"/>
        </w:rPr>
        <w:tab/>
        <w:t>(b)</w:t>
      </w:r>
      <w:r>
        <w:rPr>
          <w:snapToGrid w:val="0"/>
        </w:rPr>
        <w:tab/>
        <w:t>while the marine craft is being refuelled; and</w:t>
      </w:r>
    </w:p>
    <w:p w:rsidR="00EA2503" w:rsidRDefault="00AE6AE5">
      <w:pPr>
        <w:pStyle w:val="yIndenta"/>
        <w:rPr>
          <w:snapToGrid w:val="0"/>
        </w:rPr>
      </w:pPr>
      <w:r>
        <w:rPr>
          <w:snapToGrid w:val="0"/>
        </w:rPr>
        <w:tab/>
        <w:t>(c)</w:t>
      </w:r>
      <w:r>
        <w:rPr>
          <w:snapToGrid w:val="0"/>
        </w:rPr>
        <w:tab/>
        <w:t>while the marine craft is in use.</w:t>
      </w:r>
    </w:p>
    <w:p w:rsidR="00EA2503" w:rsidRDefault="00AE6AE5">
      <w:pPr>
        <w:pStyle w:val="yHeading5"/>
        <w:outlineLvl w:val="9"/>
        <w:rPr>
          <w:snapToGrid w:val="0"/>
        </w:rPr>
      </w:pPr>
      <w:bookmarkStart w:id="152" w:name="_Toc75759148"/>
      <w:r>
        <w:rPr>
          <w:rStyle w:val="CharSClsNo"/>
        </w:rPr>
        <w:t>807</w:t>
      </w:r>
      <w:r>
        <w:rPr>
          <w:snapToGrid w:val="0"/>
        </w:rPr>
        <w:t>.</w:t>
      </w:r>
      <w:r>
        <w:rPr>
          <w:snapToGrid w:val="0"/>
        </w:rPr>
        <w:tab/>
        <w:t>Pressure</w:t>
      </w:r>
      <w:bookmarkEnd w:id="152"/>
    </w:p>
    <w:p w:rsidR="00EA2503" w:rsidRDefault="00AE6AE5">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rsidR="00EA2503" w:rsidRDefault="00AE6AE5">
      <w:pPr>
        <w:pStyle w:val="ySubsection"/>
        <w:rPr>
          <w:snapToGrid w:val="0"/>
        </w:rPr>
      </w:pPr>
      <w:r>
        <w:rPr>
          <w:snapToGrid w:val="0"/>
        </w:rPr>
        <w:lastRenderedPageBreak/>
        <w:tab/>
        <w:t>(2)</w:t>
      </w:r>
      <w:r>
        <w:rPr>
          <w:snapToGrid w:val="0"/>
        </w:rPr>
        <w:tab/>
        <w:t>Subclause (1) does not apply in respect of —</w:t>
      </w:r>
    </w:p>
    <w:p w:rsidR="00EA2503" w:rsidRDefault="00AE6AE5">
      <w:pPr>
        <w:pStyle w:val="yIndenta"/>
        <w:rPr>
          <w:snapToGrid w:val="0"/>
        </w:rPr>
      </w:pPr>
      <w:r>
        <w:rPr>
          <w:snapToGrid w:val="0"/>
        </w:rPr>
        <w:tab/>
        <w:t>(a)</w:t>
      </w:r>
      <w:r>
        <w:rPr>
          <w:snapToGrid w:val="0"/>
        </w:rPr>
        <w:tab/>
        <w:t>a portable appliance that incorporates its own cylinder the installation of which is in accordance with clause 803(2); or</w:t>
      </w:r>
    </w:p>
    <w:p w:rsidR="00EA2503" w:rsidRDefault="00AE6AE5">
      <w:pPr>
        <w:pStyle w:val="yIndenta"/>
        <w:keepNext/>
        <w:rPr>
          <w:snapToGrid w:val="0"/>
        </w:rPr>
      </w:pPr>
      <w:r>
        <w:rPr>
          <w:snapToGrid w:val="0"/>
        </w:rPr>
        <w:tab/>
        <w:t>(b)</w:t>
      </w:r>
      <w:r>
        <w:rPr>
          <w:snapToGrid w:val="0"/>
        </w:rPr>
        <w:tab/>
        <w:t>an appliance that depends on a pressure exceeding the prescribed pressure for its proper operation, if —</w:t>
      </w:r>
    </w:p>
    <w:p w:rsidR="00EA2503" w:rsidRDefault="00AE6AE5">
      <w:pPr>
        <w:pStyle w:val="yIndenti0"/>
        <w:rPr>
          <w:snapToGrid w:val="0"/>
        </w:rPr>
      </w:pPr>
      <w:r>
        <w:rPr>
          <w:snapToGrid w:val="0"/>
        </w:rPr>
        <w:tab/>
        <w:t>(i)</w:t>
      </w:r>
      <w:r>
        <w:rPr>
          <w:snapToGrid w:val="0"/>
        </w:rPr>
        <w:tab/>
        <w:t>the appliance is installed in a mobile workshop that is not used for accommodation; and</w:t>
      </w:r>
    </w:p>
    <w:p w:rsidR="00EA2503" w:rsidRDefault="00AE6AE5">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rsidR="00EA2503" w:rsidRDefault="00AE6AE5">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rsidR="00EA2503" w:rsidRDefault="00AE6AE5">
      <w:pPr>
        <w:pStyle w:val="yHeading5"/>
        <w:keepLines w:val="0"/>
        <w:outlineLvl w:val="9"/>
        <w:rPr>
          <w:snapToGrid w:val="0"/>
        </w:rPr>
      </w:pPr>
      <w:bookmarkStart w:id="153" w:name="_Toc75759149"/>
      <w:r>
        <w:rPr>
          <w:rStyle w:val="CharSClsNo"/>
        </w:rPr>
        <w:t>808</w:t>
      </w:r>
      <w:r>
        <w:rPr>
          <w:snapToGrid w:val="0"/>
        </w:rPr>
        <w:t>.</w:t>
      </w:r>
      <w:r>
        <w:rPr>
          <w:snapToGrid w:val="0"/>
        </w:rPr>
        <w:tab/>
        <w:t>Ventilation</w:t>
      </w:r>
      <w:bookmarkEnd w:id="153"/>
    </w:p>
    <w:p w:rsidR="00EA2503" w:rsidRDefault="00AE6AE5">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rsidR="00EA2503" w:rsidRDefault="00AE6AE5">
      <w:pPr>
        <w:pStyle w:val="ySubsection"/>
        <w:rPr>
          <w:snapToGrid w:val="0"/>
        </w:rPr>
      </w:pPr>
      <w:r>
        <w:rPr>
          <w:snapToGrid w:val="0"/>
        </w:rPr>
        <w:tab/>
        <w:t>(2)</w:t>
      </w:r>
      <w:r>
        <w:rPr>
          <w:snapToGrid w:val="0"/>
        </w:rPr>
        <w:tab/>
        <w:t>If mechanical ventilation is provided in a space of which any cylinder or appliance is installed —</w:t>
      </w:r>
    </w:p>
    <w:p w:rsidR="00EA2503" w:rsidRDefault="00AE6AE5">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rsidR="00EA2503" w:rsidRDefault="00AE6AE5">
      <w:pPr>
        <w:pStyle w:val="yIndenta"/>
        <w:rPr>
          <w:snapToGrid w:val="0"/>
        </w:rPr>
      </w:pPr>
      <w:r>
        <w:rPr>
          <w:snapToGrid w:val="0"/>
        </w:rPr>
        <w:tab/>
        <w:t>(b)</w:t>
      </w:r>
      <w:r>
        <w:rPr>
          <w:snapToGrid w:val="0"/>
        </w:rPr>
        <w:tab/>
        <w:t>any electric motor driving a fan must be located —</w:t>
      </w:r>
    </w:p>
    <w:p w:rsidR="00EA2503" w:rsidRDefault="00AE6AE5">
      <w:pPr>
        <w:pStyle w:val="yIndenti0"/>
        <w:spacing w:before="90"/>
        <w:rPr>
          <w:snapToGrid w:val="0"/>
        </w:rPr>
      </w:pPr>
      <w:r>
        <w:rPr>
          <w:snapToGrid w:val="0"/>
        </w:rPr>
        <w:tab/>
        <w:t>(i)</w:t>
      </w:r>
      <w:r>
        <w:rPr>
          <w:snapToGrid w:val="0"/>
        </w:rPr>
        <w:tab/>
        <w:t>outside the space ventilated; or</w:t>
      </w:r>
    </w:p>
    <w:p w:rsidR="00EA2503" w:rsidRDefault="00AE6AE5">
      <w:pPr>
        <w:pStyle w:val="yIndenti0"/>
        <w:spacing w:before="90"/>
        <w:rPr>
          <w:snapToGrid w:val="0"/>
        </w:rPr>
      </w:pPr>
      <w:r>
        <w:rPr>
          <w:snapToGrid w:val="0"/>
        </w:rPr>
        <w:tab/>
        <w:t>(ii)</w:t>
      </w:r>
      <w:r>
        <w:rPr>
          <w:snapToGrid w:val="0"/>
        </w:rPr>
        <w:tab/>
        <w:t>within the space ventilated but clear of the ventilation trunking and outlets; or</w:t>
      </w:r>
    </w:p>
    <w:p w:rsidR="00EA2503" w:rsidRDefault="00AE6AE5">
      <w:pPr>
        <w:pStyle w:val="yIndenti0"/>
        <w:spacing w:before="90"/>
        <w:rPr>
          <w:snapToGrid w:val="0"/>
        </w:rPr>
      </w:pPr>
      <w:r>
        <w:rPr>
          <w:snapToGrid w:val="0"/>
        </w:rPr>
        <w:tab/>
        <w:t>(iii)</w:t>
      </w:r>
      <w:r>
        <w:rPr>
          <w:snapToGrid w:val="0"/>
        </w:rPr>
        <w:tab/>
        <w:t>in such other position as is approved in each case by an inspector;</w:t>
      </w:r>
    </w:p>
    <w:p w:rsidR="00EA2503" w:rsidRDefault="00AE6AE5">
      <w:pPr>
        <w:pStyle w:val="yIndenta"/>
        <w:spacing w:before="90"/>
        <w:rPr>
          <w:snapToGrid w:val="0"/>
        </w:rPr>
      </w:pPr>
      <w:r>
        <w:rPr>
          <w:snapToGrid w:val="0"/>
        </w:rPr>
        <w:tab/>
      </w:r>
      <w:r>
        <w:rPr>
          <w:snapToGrid w:val="0"/>
        </w:rPr>
        <w:tab/>
        <w:t>and</w:t>
      </w:r>
    </w:p>
    <w:p w:rsidR="00EA2503" w:rsidRDefault="00AE6AE5">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rsidR="00EA2503" w:rsidRDefault="00AE6AE5">
      <w:pPr>
        <w:pStyle w:val="yIndenta"/>
        <w:spacing w:before="90"/>
        <w:rPr>
          <w:snapToGrid w:val="0"/>
        </w:rPr>
      </w:pPr>
      <w:r>
        <w:rPr>
          <w:snapToGrid w:val="0"/>
        </w:rPr>
        <w:lastRenderedPageBreak/>
        <w:tab/>
        <w:t>(d)</w:t>
      </w:r>
      <w:r>
        <w:rPr>
          <w:snapToGrid w:val="0"/>
        </w:rPr>
        <w:tab/>
        <w:t>exhaust ventilation trunking must extend to a position near to the bottom of the space and adjacent to any appliance by reason of which mechanical ventilation is required.</w:t>
      </w:r>
    </w:p>
    <w:p w:rsidR="00EA2503" w:rsidRDefault="00AE6AE5">
      <w:pPr>
        <w:pStyle w:val="yHeading5"/>
        <w:spacing w:before="240"/>
        <w:outlineLvl w:val="9"/>
        <w:rPr>
          <w:snapToGrid w:val="0"/>
        </w:rPr>
      </w:pPr>
      <w:bookmarkStart w:id="154" w:name="_Toc75759150"/>
      <w:r>
        <w:rPr>
          <w:rStyle w:val="CharSClsNo"/>
        </w:rPr>
        <w:t>809</w:t>
      </w:r>
      <w:r>
        <w:rPr>
          <w:snapToGrid w:val="0"/>
        </w:rPr>
        <w:t>.</w:t>
      </w:r>
      <w:r>
        <w:rPr>
          <w:snapToGrid w:val="0"/>
        </w:rPr>
        <w:tab/>
        <w:t>Flues</w:t>
      </w:r>
      <w:bookmarkEnd w:id="154"/>
    </w:p>
    <w:p w:rsidR="00EA2503" w:rsidRDefault="00AE6AE5">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rsidR="00EA2503" w:rsidRDefault="00AE6AE5">
      <w:pPr>
        <w:pStyle w:val="yIndenta"/>
        <w:spacing w:before="90"/>
        <w:rPr>
          <w:snapToGrid w:val="0"/>
        </w:rPr>
      </w:pPr>
      <w:r>
        <w:rPr>
          <w:snapToGrid w:val="0"/>
        </w:rPr>
        <w:tab/>
        <w:t>(a)</w:t>
      </w:r>
      <w:r>
        <w:rPr>
          <w:snapToGrid w:val="0"/>
        </w:rPr>
        <w:tab/>
        <w:t>in the case of copper, not less than 0.6 mm; or</w:t>
      </w:r>
    </w:p>
    <w:p w:rsidR="00EA2503" w:rsidRDefault="00AE6AE5">
      <w:pPr>
        <w:pStyle w:val="yIndenta"/>
        <w:spacing w:before="90"/>
        <w:rPr>
          <w:snapToGrid w:val="0"/>
        </w:rPr>
      </w:pPr>
      <w:r>
        <w:rPr>
          <w:snapToGrid w:val="0"/>
        </w:rPr>
        <w:tab/>
        <w:t>(b)</w:t>
      </w:r>
      <w:r>
        <w:rPr>
          <w:snapToGrid w:val="0"/>
        </w:rPr>
        <w:tab/>
        <w:t>in the case of stainless steel, not less than 0.45 mm.</w:t>
      </w:r>
    </w:p>
    <w:p w:rsidR="00EA2503" w:rsidRDefault="00AE6AE5">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rsidR="00EA2503" w:rsidRDefault="00AE6AE5">
      <w:pPr>
        <w:pStyle w:val="ySubsection"/>
        <w:rPr>
          <w:snapToGrid w:val="0"/>
        </w:rPr>
      </w:pPr>
      <w:r>
        <w:rPr>
          <w:snapToGrid w:val="0"/>
        </w:rPr>
        <w:tab/>
        <w:t>(3)</w:t>
      </w:r>
      <w:r>
        <w:rPr>
          <w:snapToGrid w:val="0"/>
        </w:rPr>
        <w:tab/>
        <w:t>A flue fitted to an appliance —</w:t>
      </w:r>
    </w:p>
    <w:p w:rsidR="00EA2503" w:rsidRDefault="00AE6AE5">
      <w:pPr>
        <w:pStyle w:val="yIndenta"/>
        <w:spacing w:before="90"/>
        <w:rPr>
          <w:snapToGrid w:val="0"/>
        </w:rPr>
      </w:pPr>
      <w:r>
        <w:rPr>
          <w:snapToGrid w:val="0"/>
        </w:rPr>
        <w:tab/>
        <w:t>(a)</w:t>
      </w:r>
      <w:r>
        <w:rPr>
          <w:snapToGrid w:val="0"/>
        </w:rPr>
        <w:tab/>
        <w:t>must not be fitted with a damper; and</w:t>
      </w:r>
    </w:p>
    <w:p w:rsidR="00EA2503" w:rsidRDefault="00AE6AE5">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rsidR="00EA2503" w:rsidRDefault="00AE6AE5">
      <w:pPr>
        <w:pStyle w:val="yHeading5"/>
        <w:spacing w:before="240"/>
        <w:outlineLvl w:val="9"/>
        <w:rPr>
          <w:snapToGrid w:val="0"/>
        </w:rPr>
      </w:pPr>
      <w:bookmarkStart w:id="155" w:name="_Toc75759151"/>
      <w:r>
        <w:rPr>
          <w:rStyle w:val="CharSClsNo"/>
        </w:rPr>
        <w:t>810</w:t>
      </w:r>
      <w:r>
        <w:rPr>
          <w:snapToGrid w:val="0"/>
        </w:rPr>
        <w:t>.</w:t>
      </w:r>
      <w:r>
        <w:rPr>
          <w:snapToGrid w:val="0"/>
        </w:rPr>
        <w:tab/>
        <w:t>Water or room heaters</w:t>
      </w:r>
      <w:bookmarkEnd w:id="155"/>
    </w:p>
    <w:p w:rsidR="00EA2503" w:rsidRDefault="00AE6AE5">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rsidR="00EA2503" w:rsidRDefault="00AE6AE5">
      <w:pPr>
        <w:pStyle w:val="ySubsection"/>
        <w:keepNext/>
        <w:rPr>
          <w:snapToGrid w:val="0"/>
        </w:rPr>
      </w:pPr>
      <w:r>
        <w:rPr>
          <w:snapToGrid w:val="0"/>
        </w:rPr>
        <w:tab/>
        <w:t>(2)</w:t>
      </w:r>
      <w:r>
        <w:rPr>
          <w:snapToGrid w:val="0"/>
        </w:rPr>
        <w:tab/>
        <w:t>A gas water heater or a gas room heater —</w:t>
      </w:r>
    </w:p>
    <w:p w:rsidR="00EA2503" w:rsidRDefault="00AE6AE5">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rsidR="00EA2503" w:rsidRDefault="00AE6AE5">
      <w:pPr>
        <w:pStyle w:val="yIndenta"/>
        <w:rPr>
          <w:snapToGrid w:val="0"/>
        </w:rPr>
      </w:pPr>
      <w:r>
        <w:rPr>
          <w:snapToGrid w:val="0"/>
        </w:rPr>
        <w:tab/>
        <w:t>(b)</w:t>
      </w:r>
      <w:r>
        <w:rPr>
          <w:snapToGrid w:val="0"/>
        </w:rPr>
        <w:tab/>
        <w:t>must be fitted with a flue and a flame safeguard system.</w:t>
      </w:r>
    </w:p>
    <w:p w:rsidR="00EA2503" w:rsidRDefault="00AE6AE5">
      <w:pPr>
        <w:pStyle w:val="yHeading5"/>
        <w:outlineLvl w:val="9"/>
        <w:rPr>
          <w:snapToGrid w:val="0"/>
        </w:rPr>
      </w:pPr>
      <w:bookmarkStart w:id="156" w:name="_Toc75759152"/>
      <w:r>
        <w:rPr>
          <w:rStyle w:val="CharSClsNo"/>
        </w:rPr>
        <w:t>811</w:t>
      </w:r>
      <w:r>
        <w:rPr>
          <w:snapToGrid w:val="0"/>
        </w:rPr>
        <w:t>.</w:t>
      </w:r>
      <w:r>
        <w:rPr>
          <w:snapToGrid w:val="0"/>
        </w:rPr>
        <w:tab/>
        <w:t>Cooking appliances</w:t>
      </w:r>
      <w:bookmarkEnd w:id="156"/>
    </w:p>
    <w:p w:rsidR="00EA2503" w:rsidRDefault="00AE6AE5">
      <w:pPr>
        <w:pStyle w:val="ySubsection"/>
        <w:rPr>
          <w:snapToGrid w:val="0"/>
        </w:rPr>
      </w:pPr>
      <w:r>
        <w:rPr>
          <w:snapToGrid w:val="0"/>
        </w:rPr>
        <w:tab/>
      </w:r>
      <w:r>
        <w:rPr>
          <w:snapToGrid w:val="0"/>
        </w:rPr>
        <w:tab/>
        <w:t>If a gas cooking appliance is mounted on gimbals —</w:t>
      </w:r>
    </w:p>
    <w:p w:rsidR="00EA2503" w:rsidRDefault="00AE6AE5">
      <w:pPr>
        <w:pStyle w:val="yIndenta"/>
        <w:rPr>
          <w:snapToGrid w:val="0"/>
        </w:rPr>
      </w:pPr>
      <w:r>
        <w:rPr>
          <w:snapToGrid w:val="0"/>
        </w:rPr>
        <w:tab/>
        <w:t>(a)</w:t>
      </w:r>
      <w:r>
        <w:rPr>
          <w:snapToGrid w:val="0"/>
        </w:rPr>
        <w:tab/>
        <w:t>the cooking appliance must be fitted with fiddle rails; and</w:t>
      </w:r>
    </w:p>
    <w:p w:rsidR="00EA2503" w:rsidRDefault="00AE6AE5">
      <w:pPr>
        <w:pStyle w:val="yIndenta"/>
        <w:rPr>
          <w:snapToGrid w:val="0"/>
        </w:rPr>
      </w:pPr>
      <w:r>
        <w:rPr>
          <w:snapToGrid w:val="0"/>
        </w:rPr>
        <w:lastRenderedPageBreak/>
        <w:tab/>
        <w:t>(b)</w:t>
      </w:r>
      <w:r>
        <w:rPr>
          <w:snapToGrid w:val="0"/>
        </w:rPr>
        <w:tab/>
        <w:t>the cooking appliance must be sufficiently clear of surrounding objects and structures to allow for gimbal movement.</w:t>
      </w:r>
    </w:p>
    <w:p w:rsidR="00EA2503" w:rsidRDefault="00AE6AE5">
      <w:pPr>
        <w:pStyle w:val="yHeading5"/>
        <w:outlineLvl w:val="9"/>
        <w:rPr>
          <w:snapToGrid w:val="0"/>
        </w:rPr>
      </w:pPr>
      <w:bookmarkStart w:id="157" w:name="_Toc75759153"/>
      <w:r>
        <w:rPr>
          <w:rStyle w:val="CharSClsNo"/>
        </w:rPr>
        <w:t>812</w:t>
      </w:r>
      <w:r>
        <w:rPr>
          <w:snapToGrid w:val="0"/>
        </w:rPr>
        <w:t>.</w:t>
      </w:r>
      <w:r>
        <w:rPr>
          <w:snapToGrid w:val="0"/>
        </w:rPr>
        <w:tab/>
        <w:t>Warnings</w:t>
      </w:r>
      <w:bookmarkEnd w:id="157"/>
    </w:p>
    <w:p w:rsidR="00EA2503" w:rsidRDefault="00AE6AE5">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rsidR="00EA2503">
        <w:trPr>
          <w:trHeight w:val="532"/>
        </w:trPr>
        <w:tc>
          <w:tcPr>
            <w:tcW w:w="6237" w:type="dxa"/>
          </w:tcPr>
          <w:p w:rsidR="00EA2503" w:rsidRDefault="00AE6AE5">
            <w:pPr>
              <w:pStyle w:val="yTableNAm"/>
              <w:spacing w:before="60" w:after="60"/>
              <w:jc w:val="center"/>
              <w:rPr>
                <w:b/>
                <w:bCs/>
              </w:rPr>
            </w:pPr>
            <w:r>
              <w:rPr>
                <w:b/>
                <w:bCs/>
                <w:snapToGrid w:val="0"/>
              </w:rPr>
              <w:t>Approval of an inspector is required before appliances may be altered.</w:t>
            </w:r>
          </w:p>
        </w:tc>
      </w:tr>
    </w:tbl>
    <w:p w:rsidR="00EA2503" w:rsidRDefault="00EA2503">
      <w:pPr>
        <w:sectPr w:rsidR="00EA2503">
          <w:headerReference w:type="even" r:id="rId30"/>
          <w:headerReference w:type="default" r:id="rId31"/>
          <w:pgSz w:w="11907" w:h="16840" w:code="9"/>
          <w:pgMar w:top="2376" w:right="2405" w:bottom="3542" w:left="2405" w:header="706" w:footer="3380" w:gutter="0"/>
          <w:cols w:space="720"/>
          <w:noEndnote/>
          <w:docGrid w:linePitch="326"/>
        </w:sectPr>
      </w:pPr>
    </w:p>
    <w:p w:rsidR="00EA2503" w:rsidRDefault="00AE6AE5">
      <w:pPr>
        <w:pStyle w:val="yScheduleHeading"/>
      </w:pPr>
      <w:bookmarkStart w:id="158" w:name="_Toc75416434"/>
      <w:bookmarkStart w:id="159" w:name="_Toc75416926"/>
      <w:bookmarkStart w:id="160" w:name="_Toc75759154"/>
      <w:r>
        <w:rPr>
          <w:rStyle w:val="CharSchNo"/>
        </w:rPr>
        <w:lastRenderedPageBreak/>
        <w:t>Schedule 7</w:t>
      </w:r>
      <w:r>
        <w:rPr>
          <w:rStyle w:val="CharSDivNo"/>
        </w:rPr>
        <w:t> </w:t>
      </w:r>
      <w:r>
        <w:t>—</w:t>
      </w:r>
      <w:r>
        <w:rPr>
          <w:rStyle w:val="CharSDivText"/>
        </w:rPr>
        <w:t> </w:t>
      </w:r>
      <w:r>
        <w:rPr>
          <w:rStyle w:val="CharSchText"/>
        </w:rPr>
        <w:t>Standards containing requirements for consumers’ gas installations</w:t>
      </w:r>
      <w:bookmarkEnd w:id="158"/>
      <w:bookmarkEnd w:id="159"/>
      <w:bookmarkEnd w:id="160"/>
    </w:p>
    <w:p w:rsidR="00EA2503" w:rsidRDefault="00AE6AE5">
      <w:pPr>
        <w:pStyle w:val="yShoulderClause"/>
        <w:spacing w:after="120"/>
      </w:pPr>
      <w:r>
        <w:t>[r. 32(1)(b)]</w:t>
      </w:r>
    </w:p>
    <w:p w:rsidR="00EA2503" w:rsidRDefault="00AE6AE5">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rsidR="00EA2503">
        <w:trPr>
          <w:tblHeader/>
        </w:trPr>
        <w:tc>
          <w:tcPr>
            <w:tcW w:w="720" w:type="dxa"/>
            <w:tcBorders>
              <w:top w:val="single" w:sz="4" w:space="0" w:color="auto"/>
              <w:bottom w:val="single" w:sz="4" w:space="0" w:color="auto"/>
            </w:tcBorders>
          </w:tcPr>
          <w:p w:rsidR="00EA2503" w:rsidRDefault="00AE6AE5">
            <w:pPr>
              <w:pStyle w:val="yTableNAm"/>
              <w:rPr>
                <w:b/>
                <w:bCs/>
              </w:rPr>
            </w:pPr>
            <w:r>
              <w:rPr>
                <w:b/>
                <w:bCs/>
              </w:rPr>
              <w:t>Item</w:t>
            </w:r>
          </w:p>
        </w:tc>
        <w:tc>
          <w:tcPr>
            <w:tcW w:w="4667" w:type="dxa"/>
            <w:tcBorders>
              <w:top w:val="single" w:sz="4" w:space="0" w:color="auto"/>
              <w:bottom w:val="single" w:sz="4" w:space="0" w:color="auto"/>
            </w:tcBorders>
          </w:tcPr>
          <w:p w:rsidR="00EA2503" w:rsidRDefault="00AE6AE5">
            <w:pPr>
              <w:pStyle w:val="yTableNAm"/>
              <w:rPr>
                <w:b/>
                <w:bCs/>
              </w:rPr>
            </w:pPr>
            <w:r>
              <w:rPr>
                <w:b/>
                <w:bCs/>
              </w:rPr>
              <w:t>Title</w:t>
            </w:r>
          </w:p>
        </w:tc>
        <w:tc>
          <w:tcPr>
            <w:tcW w:w="1693" w:type="dxa"/>
            <w:tcBorders>
              <w:top w:val="single" w:sz="4" w:space="0" w:color="auto"/>
              <w:bottom w:val="single" w:sz="4" w:space="0" w:color="auto"/>
            </w:tcBorders>
          </w:tcPr>
          <w:p w:rsidR="00EA2503" w:rsidRDefault="00AE6AE5">
            <w:pPr>
              <w:pStyle w:val="yTableNAm"/>
              <w:rPr>
                <w:b/>
                <w:bCs/>
              </w:rPr>
            </w:pPr>
            <w:r>
              <w:rPr>
                <w:b/>
                <w:bCs/>
              </w:rPr>
              <w:t>Standard</w:t>
            </w:r>
          </w:p>
        </w:tc>
      </w:tr>
      <w:tr w:rsidR="00EA2503">
        <w:tc>
          <w:tcPr>
            <w:tcW w:w="720" w:type="dxa"/>
            <w:tcBorders>
              <w:top w:val="single" w:sz="4" w:space="0" w:color="auto"/>
            </w:tcBorders>
          </w:tcPr>
          <w:p w:rsidR="00EA2503" w:rsidRDefault="00AE6AE5">
            <w:pPr>
              <w:pStyle w:val="yTableNAm"/>
            </w:pPr>
            <w:r>
              <w:t>1.</w:t>
            </w:r>
          </w:p>
        </w:tc>
        <w:tc>
          <w:tcPr>
            <w:tcW w:w="4667" w:type="dxa"/>
            <w:tcBorders>
              <w:top w:val="single" w:sz="4" w:space="0" w:color="auto"/>
            </w:tcBorders>
          </w:tcPr>
          <w:p w:rsidR="00EA2503" w:rsidRDefault="00AE6AE5">
            <w:pPr>
              <w:pStyle w:val="yTableNAm"/>
            </w:pPr>
            <w:r>
              <w:t>Gas installations</w:t>
            </w:r>
          </w:p>
        </w:tc>
        <w:tc>
          <w:tcPr>
            <w:tcW w:w="1693" w:type="dxa"/>
            <w:tcBorders>
              <w:top w:val="single" w:sz="4" w:space="0" w:color="auto"/>
            </w:tcBorders>
          </w:tcPr>
          <w:p w:rsidR="00EA2503" w:rsidRDefault="00AE6AE5">
            <w:pPr>
              <w:pStyle w:val="yTableNAm"/>
            </w:pPr>
            <w:r>
              <w:t>AS/NZS 5601</w:t>
            </w:r>
          </w:p>
        </w:tc>
      </w:tr>
      <w:tr w:rsidR="00EA2503">
        <w:tc>
          <w:tcPr>
            <w:tcW w:w="720" w:type="dxa"/>
          </w:tcPr>
          <w:p w:rsidR="00EA2503" w:rsidRDefault="00AE6AE5">
            <w:pPr>
              <w:pStyle w:val="yTableNAm"/>
            </w:pPr>
            <w:r>
              <w:t>2.</w:t>
            </w:r>
          </w:p>
        </w:tc>
        <w:tc>
          <w:tcPr>
            <w:tcW w:w="4667" w:type="dxa"/>
          </w:tcPr>
          <w:p w:rsidR="00EA2503" w:rsidRDefault="00AE6AE5">
            <w:pPr>
              <w:pStyle w:val="yTableNAm"/>
            </w:pPr>
            <w:r>
              <w:t>Industrial and commercial gas</w:t>
            </w:r>
            <w:r>
              <w:noBreakHyphen/>
              <w:t>fired appliances</w:t>
            </w:r>
          </w:p>
        </w:tc>
        <w:tc>
          <w:tcPr>
            <w:tcW w:w="1693" w:type="dxa"/>
          </w:tcPr>
          <w:p w:rsidR="00EA2503" w:rsidRDefault="00AE6AE5">
            <w:pPr>
              <w:pStyle w:val="yTableNAm"/>
            </w:pPr>
            <w:r>
              <w:t>AS 3814</w:t>
            </w:r>
          </w:p>
        </w:tc>
      </w:tr>
      <w:tr w:rsidR="00EA2503">
        <w:tc>
          <w:tcPr>
            <w:tcW w:w="720" w:type="dxa"/>
          </w:tcPr>
          <w:p w:rsidR="00EA2503" w:rsidRDefault="00AE6AE5">
            <w:pPr>
              <w:pStyle w:val="yTableNAm"/>
            </w:pPr>
            <w:r>
              <w:t>3.</w:t>
            </w:r>
          </w:p>
        </w:tc>
        <w:tc>
          <w:tcPr>
            <w:tcW w:w="4667" w:type="dxa"/>
          </w:tcPr>
          <w:p w:rsidR="00EA2503" w:rsidRDefault="00AE6AE5">
            <w:pPr>
              <w:pStyle w:val="yTableNAm"/>
            </w:pPr>
            <w:r>
              <w:t>Storage and handling of LP Gas</w:t>
            </w:r>
          </w:p>
        </w:tc>
        <w:tc>
          <w:tcPr>
            <w:tcW w:w="1693" w:type="dxa"/>
          </w:tcPr>
          <w:p w:rsidR="00EA2503" w:rsidRDefault="00AE6AE5">
            <w:pPr>
              <w:pStyle w:val="yTableNAm"/>
            </w:pPr>
            <w:r>
              <w:t>AS/NZS 1596</w:t>
            </w:r>
          </w:p>
        </w:tc>
      </w:tr>
      <w:tr w:rsidR="00EA2503">
        <w:tc>
          <w:tcPr>
            <w:tcW w:w="720" w:type="dxa"/>
          </w:tcPr>
          <w:p w:rsidR="00EA2503" w:rsidRDefault="00AE6AE5">
            <w:pPr>
              <w:pStyle w:val="yTableNAm"/>
            </w:pPr>
            <w:r>
              <w:t>4.</w:t>
            </w:r>
          </w:p>
        </w:tc>
        <w:tc>
          <w:tcPr>
            <w:tcW w:w="4667" w:type="dxa"/>
          </w:tcPr>
          <w:p w:rsidR="00EA2503" w:rsidRDefault="00AE6AE5">
            <w:pPr>
              <w:pStyle w:val="yTableNAm"/>
            </w:pPr>
            <w:r>
              <w:t>LP Gas fuel systems for marine engines</w:t>
            </w:r>
          </w:p>
        </w:tc>
        <w:tc>
          <w:tcPr>
            <w:tcW w:w="1693" w:type="dxa"/>
          </w:tcPr>
          <w:p w:rsidR="00EA2503" w:rsidRDefault="00AE6AE5">
            <w:pPr>
              <w:pStyle w:val="yTableNAm"/>
            </w:pPr>
            <w:r>
              <w:t>AS 4732</w:t>
            </w:r>
          </w:p>
        </w:tc>
      </w:tr>
      <w:tr w:rsidR="00EA2503">
        <w:tc>
          <w:tcPr>
            <w:tcW w:w="720" w:type="dxa"/>
          </w:tcPr>
          <w:p w:rsidR="00EA2503" w:rsidRDefault="00AE6AE5">
            <w:pPr>
              <w:pStyle w:val="yTableNAm"/>
            </w:pPr>
            <w:r>
              <w:t>5.</w:t>
            </w:r>
          </w:p>
        </w:tc>
        <w:tc>
          <w:tcPr>
            <w:tcW w:w="4667" w:type="dxa"/>
          </w:tcPr>
          <w:p w:rsidR="00EA2503" w:rsidRDefault="00AE6AE5">
            <w:pPr>
              <w:pStyle w:val="yTableNAm"/>
            </w:pPr>
            <w:r>
              <w:t>LP Gas for fuel systems for vehicle engines</w:t>
            </w:r>
          </w:p>
        </w:tc>
        <w:tc>
          <w:tcPr>
            <w:tcW w:w="1693" w:type="dxa"/>
          </w:tcPr>
          <w:p w:rsidR="00EA2503" w:rsidRDefault="00AE6AE5">
            <w:pPr>
              <w:pStyle w:val="yTableNAm"/>
            </w:pPr>
            <w:r>
              <w:t>AS/NZS 1425</w:t>
            </w:r>
          </w:p>
        </w:tc>
      </w:tr>
      <w:tr w:rsidR="00EA2503">
        <w:tc>
          <w:tcPr>
            <w:tcW w:w="720" w:type="dxa"/>
          </w:tcPr>
          <w:p w:rsidR="00EA2503" w:rsidRDefault="00AE6AE5">
            <w:pPr>
              <w:pStyle w:val="yTableNAm"/>
            </w:pPr>
            <w:r>
              <w:t>6.</w:t>
            </w:r>
          </w:p>
        </w:tc>
        <w:tc>
          <w:tcPr>
            <w:tcW w:w="4667" w:type="dxa"/>
          </w:tcPr>
          <w:p w:rsidR="00EA2503" w:rsidRDefault="00AE6AE5">
            <w:pPr>
              <w:pStyle w:val="yTableNAm"/>
            </w:pPr>
            <w:r>
              <w:t>Natural gas (NG) fuel systems for vehicle engines</w:t>
            </w:r>
          </w:p>
        </w:tc>
        <w:tc>
          <w:tcPr>
            <w:tcW w:w="1693" w:type="dxa"/>
          </w:tcPr>
          <w:p w:rsidR="00EA2503" w:rsidRDefault="00AE6AE5">
            <w:pPr>
              <w:pStyle w:val="yTableNAm"/>
            </w:pPr>
            <w:r>
              <w:t>AS 2739</w:t>
            </w:r>
          </w:p>
        </w:tc>
      </w:tr>
      <w:tr w:rsidR="00EA2503">
        <w:tc>
          <w:tcPr>
            <w:tcW w:w="720" w:type="dxa"/>
          </w:tcPr>
          <w:p w:rsidR="00EA2503" w:rsidRDefault="00AE6AE5">
            <w:pPr>
              <w:pStyle w:val="yTableNAm"/>
            </w:pPr>
            <w:r>
              <w:t>7.</w:t>
            </w:r>
          </w:p>
        </w:tc>
        <w:tc>
          <w:tcPr>
            <w:tcW w:w="4667" w:type="dxa"/>
          </w:tcPr>
          <w:p w:rsidR="00EA2503" w:rsidRDefault="00AE6AE5">
            <w:pPr>
              <w:pStyle w:val="yTableNAm"/>
            </w:pPr>
            <w:r>
              <w:t>Gas fuel systems for forklifts and industrial engines</w:t>
            </w:r>
          </w:p>
        </w:tc>
        <w:tc>
          <w:tcPr>
            <w:tcW w:w="1693" w:type="dxa"/>
          </w:tcPr>
          <w:p w:rsidR="00EA2503" w:rsidRDefault="00AE6AE5">
            <w:pPr>
              <w:pStyle w:val="yTableNAm"/>
            </w:pPr>
            <w:r>
              <w:br/>
              <w:t>AS 4983</w:t>
            </w:r>
          </w:p>
        </w:tc>
      </w:tr>
      <w:tr w:rsidR="00EA2503">
        <w:tc>
          <w:tcPr>
            <w:tcW w:w="720" w:type="dxa"/>
          </w:tcPr>
          <w:p w:rsidR="00EA2503" w:rsidRDefault="00AE6AE5">
            <w:pPr>
              <w:pStyle w:val="yTableNAm"/>
            </w:pPr>
            <w:r>
              <w:t>8.</w:t>
            </w:r>
          </w:p>
        </w:tc>
        <w:tc>
          <w:tcPr>
            <w:tcW w:w="4667" w:type="dxa"/>
          </w:tcPr>
          <w:p w:rsidR="00EA2503" w:rsidRDefault="00AE6AE5">
            <w:pPr>
              <w:pStyle w:val="yTableNAm"/>
            </w:pPr>
            <w:r>
              <w:t>CNG refuelling stations</w:t>
            </w:r>
          </w:p>
        </w:tc>
        <w:tc>
          <w:tcPr>
            <w:tcW w:w="1693" w:type="dxa"/>
          </w:tcPr>
          <w:p w:rsidR="00EA2503" w:rsidRDefault="00AE6AE5">
            <w:pPr>
              <w:pStyle w:val="yTableNAm"/>
            </w:pPr>
            <w:r>
              <w:t>AS 5092</w:t>
            </w:r>
          </w:p>
        </w:tc>
      </w:tr>
      <w:tr w:rsidR="00EA2503">
        <w:tc>
          <w:tcPr>
            <w:tcW w:w="720" w:type="dxa"/>
          </w:tcPr>
          <w:p w:rsidR="00EA2503" w:rsidRDefault="00AE6AE5">
            <w:pPr>
              <w:pStyle w:val="yTableNAm"/>
            </w:pPr>
            <w:r>
              <w:t>9.</w:t>
            </w:r>
          </w:p>
        </w:tc>
        <w:tc>
          <w:tcPr>
            <w:tcW w:w="4667" w:type="dxa"/>
          </w:tcPr>
          <w:p w:rsidR="00EA2503" w:rsidRDefault="00AE6AE5">
            <w:pPr>
              <w:pStyle w:val="yTableNAm"/>
            </w:pPr>
            <w:r>
              <w:t>The storage and handling of liquefied natural gas</w:t>
            </w:r>
          </w:p>
        </w:tc>
        <w:tc>
          <w:tcPr>
            <w:tcW w:w="1693" w:type="dxa"/>
          </w:tcPr>
          <w:p w:rsidR="00EA2503" w:rsidRDefault="00AE6AE5">
            <w:pPr>
              <w:pStyle w:val="yTableNAm"/>
            </w:pPr>
            <w:r>
              <w:t>AS 3961</w:t>
            </w:r>
          </w:p>
        </w:tc>
      </w:tr>
      <w:tr w:rsidR="00EA2503">
        <w:tc>
          <w:tcPr>
            <w:tcW w:w="720" w:type="dxa"/>
          </w:tcPr>
          <w:p w:rsidR="00EA2503" w:rsidRDefault="00AE6AE5">
            <w:pPr>
              <w:pStyle w:val="yTableNAm"/>
            </w:pPr>
            <w:r>
              <w:t>10.</w:t>
            </w:r>
          </w:p>
        </w:tc>
        <w:tc>
          <w:tcPr>
            <w:tcW w:w="4667" w:type="dxa"/>
          </w:tcPr>
          <w:p w:rsidR="00EA2503" w:rsidRDefault="00AE6AE5">
            <w:pPr>
              <w:pStyle w:val="yTableNAm"/>
            </w:pPr>
            <w:r>
              <w:t>Gas distribution networks — Plastic pipe systems</w:t>
            </w:r>
          </w:p>
        </w:tc>
        <w:tc>
          <w:tcPr>
            <w:tcW w:w="1693" w:type="dxa"/>
          </w:tcPr>
          <w:p w:rsidR="00EA2503" w:rsidRDefault="00AE6AE5">
            <w:pPr>
              <w:pStyle w:val="yTableNAm"/>
            </w:pPr>
            <w:r>
              <w:t>AS 4645.3</w:t>
            </w:r>
          </w:p>
        </w:tc>
      </w:tr>
      <w:tr w:rsidR="00EA2503">
        <w:tc>
          <w:tcPr>
            <w:tcW w:w="720" w:type="dxa"/>
          </w:tcPr>
          <w:p w:rsidR="00EA2503" w:rsidRDefault="00AE6AE5">
            <w:pPr>
              <w:pStyle w:val="yTableNAm"/>
            </w:pPr>
            <w:r>
              <w:t>11.</w:t>
            </w:r>
          </w:p>
        </w:tc>
        <w:tc>
          <w:tcPr>
            <w:tcW w:w="4667" w:type="dxa"/>
          </w:tcPr>
          <w:p w:rsidR="00EA2503" w:rsidRDefault="00AE6AE5">
            <w:pPr>
              <w:pStyle w:val="yTableNAm"/>
            </w:pPr>
            <w:r>
              <w:t>Gas distribution networks — Steel pipe systems</w:t>
            </w:r>
          </w:p>
        </w:tc>
        <w:tc>
          <w:tcPr>
            <w:tcW w:w="1693" w:type="dxa"/>
          </w:tcPr>
          <w:p w:rsidR="00EA2503" w:rsidRDefault="00AE6AE5">
            <w:pPr>
              <w:pStyle w:val="yTableNAm"/>
            </w:pPr>
            <w:r>
              <w:t>AS 4645.2</w:t>
            </w:r>
          </w:p>
        </w:tc>
      </w:tr>
      <w:tr w:rsidR="00EA2503">
        <w:tc>
          <w:tcPr>
            <w:tcW w:w="720" w:type="dxa"/>
          </w:tcPr>
          <w:p w:rsidR="00EA2503" w:rsidRDefault="00AE6AE5">
            <w:pPr>
              <w:pStyle w:val="yTableNAm"/>
            </w:pPr>
            <w:r>
              <w:t>12.</w:t>
            </w:r>
          </w:p>
        </w:tc>
        <w:tc>
          <w:tcPr>
            <w:tcW w:w="4667" w:type="dxa"/>
          </w:tcPr>
          <w:p w:rsidR="00EA2503" w:rsidRDefault="00AE6AE5">
            <w:pPr>
              <w:pStyle w:val="yTableNAm"/>
            </w:pPr>
            <w:r>
              <w:t>Pipelines — Gas and liquid petroleum — Design and construction</w:t>
            </w:r>
          </w:p>
        </w:tc>
        <w:tc>
          <w:tcPr>
            <w:tcW w:w="1693" w:type="dxa"/>
          </w:tcPr>
          <w:p w:rsidR="00EA2503" w:rsidRDefault="00AE6AE5">
            <w:pPr>
              <w:pStyle w:val="yTableNAm"/>
            </w:pPr>
            <w:r>
              <w:br/>
              <w:t>AS 2885.1</w:t>
            </w:r>
          </w:p>
        </w:tc>
      </w:tr>
      <w:tr w:rsidR="00EA2503">
        <w:tc>
          <w:tcPr>
            <w:tcW w:w="720" w:type="dxa"/>
          </w:tcPr>
          <w:p w:rsidR="00EA2503" w:rsidRDefault="00AE6AE5">
            <w:pPr>
              <w:pStyle w:val="yTableNAm"/>
            </w:pPr>
            <w:r>
              <w:t>13.</w:t>
            </w:r>
          </w:p>
        </w:tc>
        <w:tc>
          <w:tcPr>
            <w:tcW w:w="4667" w:type="dxa"/>
          </w:tcPr>
          <w:p w:rsidR="00EA2503" w:rsidRDefault="00AE6AE5">
            <w:pPr>
              <w:pStyle w:val="yTableNAm"/>
            </w:pPr>
            <w:r>
              <w:t>Pipelines — Gas and liquid petroleum — Welding</w:t>
            </w:r>
          </w:p>
        </w:tc>
        <w:tc>
          <w:tcPr>
            <w:tcW w:w="1693" w:type="dxa"/>
          </w:tcPr>
          <w:p w:rsidR="00EA2503" w:rsidRDefault="00AE6AE5">
            <w:pPr>
              <w:pStyle w:val="yTableNAm"/>
            </w:pPr>
            <w:r>
              <w:br/>
              <w:t>AS 2885.2</w:t>
            </w:r>
          </w:p>
        </w:tc>
      </w:tr>
      <w:tr w:rsidR="00EA2503">
        <w:tc>
          <w:tcPr>
            <w:tcW w:w="720" w:type="dxa"/>
          </w:tcPr>
          <w:p w:rsidR="00EA2503" w:rsidRDefault="00AE6AE5">
            <w:pPr>
              <w:pStyle w:val="yTableNAm"/>
            </w:pPr>
            <w:r>
              <w:t>14.</w:t>
            </w:r>
          </w:p>
        </w:tc>
        <w:tc>
          <w:tcPr>
            <w:tcW w:w="4667" w:type="dxa"/>
          </w:tcPr>
          <w:p w:rsidR="00EA2503" w:rsidRDefault="00AE6AE5">
            <w:pPr>
              <w:pStyle w:val="yTableNAm"/>
            </w:pPr>
            <w:r>
              <w:t>Pipelines — Gas and liquid petroleum — Field pressure testing</w:t>
            </w:r>
          </w:p>
        </w:tc>
        <w:tc>
          <w:tcPr>
            <w:tcW w:w="1693" w:type="dxa"/>
          </w:tcPr>
          <w:p w:rsidR="00EA2503" w:rsidRDefault="00AE6AE5">
            <w:pPr>
              <w:pStyle w:val="yTableNAm"/>
            </w:pPr>
            <w:r>
              <w:br/>
              <w:t>AS/NZS 2885.5</w:t>
            </w:r>
          </w:p>
        </w:tc>
      </w:tr>
      <w:tr w:rsidR="00EA2503">
        <w:tc>
          <w:tcPr>
            <w:tcW w:w="720" w:type="dxa"/>
          </w:tcPr>
          <w:p w:rsidR="00EA2503" w:rsidRDefault="00AE6AE5">
            <w:pPr>
              <w:pStyle w:val="yTableNAm"/>
            </w:pPr>
            <w:r>
              <w:t>15.</w:t>
            </w:r>
          </w:p>
        </w:tc>
        <w:tc>
          <w:tcPr>
            <w:tcW w:w="4667" w:type="dxa"/>
          </w:tcPr>
          <w:p w:rsidR="00EA2503" w:rsidRDefault="00AE6AE5">
            <w:pPr>
              <w:pStyle w:val="yTableNAm"/>
            </w:pPr>
            <w:r>
              <w:t>Pressure piping</w:t>
            </w:r>
          </w:p>
        </w:tc>
        <w:tc>
          <w:tcPr>
            <w:tcW w:w="1693" w:type="dxa"/>
          </w:tcPr>
          <w:p w:rsidR="00EA2503" w:rsidRDefault="00AE6AE5">
            <w:pPr>
              <w:pStyle w:val="yTableNAm"/>
            </w:pPr>
            <w:r>
              <w:t>AS 4041</w:t>
            </w:r>
          </w:p>
        </w:tc>
      </w:tr>
      <w:tr w:rsidR="00EA2503">
        <w:tc>
          <w:tcPr>
            <w:tcW w:w="720" w:type="dxa"/>
          </w:tcPr>
          <w:p w:rsidR="00EA2503" w:rsidRDefault="00AE6AE5">
            <w:pPr>
              <w:pStyle w:val="yTableNAm"/>
            </w:pPr>
            <w:r>
              <w:lastRenderedPageBreak/>
              <w:t>16.</w:t>
            </w:r>
          </w:p>
        </w:tc>
        <w:tc>
          <w:tcPr>
            <w:tcW w:w="4667" w:type="dxa"/>
          </w:tcPr>
          <w:p w:rsidR="00EA2503" w:rsidRDefault="00AE6AE5">
            <w:pPr>
              <w:pStyle w:val="yTableNAm"/>
            </w:pPr>
            <w:r>
              <w:t>Approval and test specification — General requirements for electrical equipment</w:t>
            </w:r>
          </w:p>
        </w:tc>
        <w:tc>
          <w:tcPr>
            <w:tcW w:w="1693" w:type="dxa"/>
          </w:tcPr>
          <w:p w:rsidR="00EA2503" w:rsidRDefault="00AE6AE5">
            <w:pPr>
              <w:pStyle w:val="yTableNAm"/>
            </w:pPr>
            <w:r>
              <w:br/>
              <w:t>AS/NZS 3100</w:t>
            </w:r>
          </w:p>
        </w:tc>
      </w:tr>
      <w:tr w:rsidR="00EA2503">
        <w:tc>
          <w:tcPr>
            <w:tcW w:w="720" w:type="dxa"/>
            <w:tcBorders>
              <w:bottom w:val="single" w:sz="4" w:space="0" w:color="auto"/>
            </w:tcBorders>
          </w:tcPr>
          <w:p w:rsidR="00EA2503" w:rsidRDefault="00AE6AE5">
            <w:pPr>
              <w:pStyle w:val="yTableNAm"/>
            </w:pPr>
            <w:r>
              <w:t>17.</w:t>
            </w:r>
          </w:p>
        </w:tc>
        <w:tc>
          <w:tcPr>
            <w:tcW w:w="4667" w:type="dxa"/>
            <w:tcBorders>
              <w:bottom w:val="single" w:sz="4" w:space="0" w:color="auto"/>
            </w:tcBorders>
          </w:tcPr>
          <w:p w:rsidR="00EA2503" w:rsidRDefault="00AE6AE5">
            <w:pPr>
              <w:pStyle w:val="yTableNAm"/>
            </w:pPr>
            <w:r>
              <w:t>Household and similar electrical appliances — Safety</w:t>
            </w:r>
          </w:p>
          <w:p w:rsidR="00EA2503" w:rsidRDefault="00AE6AE5">
            <w:pPr>
              <w:pStyle w:val="yTableNAm"/>
            </w:pPr>
            <w:r>
              <w:t>Part 2.102: Particular requirements for gas, oil and solid fuel burning appliances having electrical connections</w:t>
            </w:r>
          </w:p>
        </w:tc>
        <w:tc>
          <w:tcPr>
            <w:tcW w:w="1693" w:type="dxa"/>
            <w:tcBorders>
              <w:bottom w:val="single" w:sz="4" w:space="0" w:color="auto"/>
            </w:tcBorders>
          </w:tcPr>
          <w:p w:rsidR="00EA2503" w:rsidRDefault="00AE6AE5">
            <w:pPr>
              <w:pStyle w:val="yTableNAm"/>
            </w:pPr>
            <w:r>
              <w:br/>
            </w:r>
          </w:p>
          <w:p w:rsidR="00EA2503" w:rsidRDefault="00AE6AE5">
            <w:pPr>
              <w:pStyle w:val="yTableNAm"/>
            </w:pPr>
            <w:r>
              <w:br/>
              <w:t>AS/NZS 60335</w:t>
            </w:r>
            <w:r>
              <w:noBreakHyphen/>
              <w:t>2</w:t>
            </w:r>
            <w:r>
              <w:noBreakHyphen/>
              <w:t>102</w:t>
            </w:r>
          </w:p>
        </w:tc>
      </w:tr>
    </w:tbl>
    <w:p w:rsidR="00EA2503" w:rsidRDefault="00AE6AE5">
      <w:pPr>
        <w:pStyle w:val="yFootnotesection"/>
      </w:pPr>
      <w:r>
        <w:tab/>
        <w:t>[Schedule 7 inserted: Gazette 26 Nov 2010 p. 5933-4; amended: Gazette 18 Jan 2011 p. 147.]</w:t>
      </w:r>
    </w:p>
    <w:p w:rsidR="00EA2503" w:rsidRDefault="00AE6AE5">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A2503" w:rsidRDefault="00EA2503">
      <w:pPr>
        <w:tabs>
          <w:tab w:val="left" w:pos="567"/>
        </w:tabs>
        <w:ind w:left="567" w:hanging="567"/>
      </w:pPr>
    </w:p>
    <w:p w:rsidR="00EA2503" w:rsidRDefault="00EA2503">
      <w:pPr>
        <w:tabs>
          <w:tab w:val="left" w:pos="567"/>
        </w:tabs>
        <w:ind w:left="567" w:hanging="567"/>
        <w:sectPr w:rsidR="00EA2503">
          <w:headerReference w:type="even" r:id="rId33"/>
          <w:headerReference w:type="default" r:id="rId34"/>
          <w:pgSz w:w="11907" w:h="16840" w:code="9"/>
          <w:pgMar w:top="2376" w:right="2405" w:bottom="3542" w:left="2405" w:header="706" w:footer="3380" w:gutter="0"/>
          <w:cols w:space="720"/>
          <w:noEndnote/>
          <w:docGrid w:linePitch="326"/>
        </w:sectPr>
      </w:pPr>
    </w:p>
    <w:p w:rsidR="00EA2503" w:rsidRDefault="00AE6AE5">
      <w:pPr>
        <w:pStyle w:val="nHeading2"/>
      </w:pPr>
      <w:bookmarkStart w:id="161" w:name="_Toc75416435"/>
      <w:bookmarkStart w:id="162" w:name="_Toc75416927"/>
      <w:bookmarkStart w:id="163" w:name="_Toc75759155"/>
      <w:r>
        <w:lastRenderedPageBreak/>
        <w:t>Notes</w:t>
      </w:r>
      <w:bookmarkEnd w:id="161"/>
      <w:bookmarkEnd w:id="162"/>
      <w:bookmarkEnd w:id="163"/>
    </w:p>
    <w:p w:rsidR="00EA2503" w:rsidRDefault="00AE6AE5">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 </w:t>
      </w:r>
    </w:p>
    <w:p w:rsidR="00EA2503" w:rsidRDefault="00AE6AE5">
      <w:pPr>
        <w:pStyle w:val="nHeading3"/>
      </w:pPr>
      <w:bookmarkStart w:id="164" w:name="_Toc75759156"/>
      <w:r>
        <w:t>Compilation table</w:t>
      </w:r>
      <w:bookmarkEnd w:id="16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rsidR="00EA2503" w:rsidTr="00A8438C">
        <w:trPr>
          <w:tblHeader/>
        </w:trPr>
        <w:tc>
          <w:tcPr>
            <w:tcW w:w="3113" w:type="dxa"/>
          </w:tcPr>
          <w:p w:rsidR="00EA2503" w:rsidRDefault="00AE6AE5">
            <w:pPr>
              <w:pStyle w:val="nTable"/>
              <w:spacing w:after="40"/>
              <w:rPr>
                <w:b/>
              </w:rPr>
            </w:pPr>
            <w:r>
              <w:rPr>
                <w:b/>
              </w:rPr>
              <w:t>Citation</w:t>
            </w:r>
          </w:p>
        </w:tc>
        <w:tc>
          <w:tcPr>
            <w:tcW w:w="1281" w:type="dxa"/>
          </w:tcPr>
          <w:p w:rsidR="00EA2503" w:rsidRDefault="00AE6AE5">
            <w:pPr>
              <w:pStyle w:val="nTable"/>
              <w:spacing w:after="40"/>
              <w:rPr>
                <w:b/>
              </w:rPr>
            </w:pPr>
            <w:r>
              <w:rPr>
                <w:b/>
              </w:rPr>
              <w:t>Published</w:t>
            </w:r>
          </w:p>
        </w:tc>
        <w:tc>
          <w:tcPr>
            <w:tcW w:w="2694" w:type="dxa"/>
          </w:tcPr>
          <w:p w:rsidR="00EA2503" w:rsidRDefault="00AE6AE5">
            <w:pPr>
              <w:pStyle w:val="nTable"/>
              <w:spacing w:after="40"/>
              <w:rPr>
                <w:b/>
              </w:rPr>
            </w:pPr>
            <w:r>
              <w:rPr>
                <w:b/>
              </w:rPr>
              <w:t>Commencement</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pPr>
            <w:r>
              <w:rPr>
                <w:i/>
                <w:snapToGrid w:val="0"/>
              </w:rPr>
              <w:t>Gas Standards (Gasfitting and Consumer Gas Installations) Regulations 1999</w:t>
            </w:r>
          </w:p>
        </w:tc>
        <w:tc>
          <w:tcPr>
            <w:tcW w:w="1281" w:type="dxa"/>
          </w:tcPr>
          <w:p w:rsidR="00EA2503" w:rsidRDefault="00AE6AE5">
            <w:pPr>
              <w:pStyle w:val="nTable"/>
              <w:spacing w:after="40"/>
            </w:pPr>
            <w:r>
              <w:t>30 Jul 1999 p. 3499</w:t>
            </w:r>
            <w:r>
              <w:noBreakHyphen/>
              <w:t>539</w:t>
            </w:r>
          </w:p>
        </w:tc>
        <w:tc>
          <w:tcPr>
            <w:tcW w:w="2694" w:type="dxa"/>
          </w:tcPr>
          <w:p w:rsidR="00EA2503" w:rsidRDefault="00AE6AE5">
            <w:pPr>
              <w:pStyle w:val="nTable"/>
              <w:spacing w:after="40"/>
            </w:pPr>
            <w:r>
              <w:t>30 Jul 1999 (see r. 2)</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 xml:space="preserve">Gas Standards (Gasfitting and Consumer Gas Installations) Amendment Regulations 2000 </w:t>
            </w:r>
          </w:p>
        </w:tc>
        <w:tc>
          <w:tcPr>
            <w:tcW w:w="1281" w:type="dxa"/>
          </w:tcPr>
          <w:p w:rsidR="00EA2503" w:rsidRDefault="00AE6AE5">
            <w:pPr>
              <w:pStyle w:val="nTable"/>
              <w:spacing w:after="40"/>
            </w:pPr>
            <w:r>
              <w:t>2 May 2000 p. 2114</w:t>
            </w:r>
          </w:p>
        </w:tc>
        <w:tc>
          <w:tcPr>
            <w:tcW w:w="2694" w:type="dxa"/>
          </w:tcPr>
          <w:p w:rsidR="00EA2503" w:rsidRDefault="00AE6AE5">
            <w:pPr>
              <w:pStyle w:val="nTable"/>
              <w:spacing w:after="40"/>
            </w:pPr>
            <w:r>
              <w:t>2 May 2000</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1" w:type="dxa"/>
          </w:tcPr>
          <w:p w:rsidR="00EA2503" w:rsidRDefault="00AE6AE5">
            <w:pPr>
              <w:pStyle w:val="nTable"/>
              <w:spacing w:after="40"/>
            </w:pPr>
            <w:r>
              <w:t>19 Dec 2000 p. 7275</w:t>
            </w:r>
            <w:r>
              <w:noBreakHyphen/>
              <w:t>82</w:t>
            </w:r>
          </w:p>
        </w:tc>
        <w:tc>
          <w:tcPr>
            <w:tcW w:w="2694" w:type="dxa"/>
          </w:tcPr>
          <w:p w:rsidR="00EA2503" w:rsidRDefault="00AE6AE5">
            <w:pPr>
              <w:pStyle w:val="nTable"/>
              <w:spacing w:after="40"/>
            </w:pPr>
            <w:r>
              <w:t>19 Dec 2000 (see r. 2)</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2001</w:t>
            </w:r>
          </w:p>
        </w:tc>
        <w:tc>
          <w:tcPr>
            <w:tcW w:w="1281" w:type="dxa"/>
          </w:tcPr>
          <w:p w:rsidR="00EA2503" w:rsidRDefault="00AE6AE5">
            <w:pPr>
              <w:pStyle w:val="nTable"/>
              <w:spacing w:after="40"/>
            </w:pPr>
            <w:r>
              <w:t>23 Nov 2001 p. 6029</w:t>
            </w:r>
          </w:p>
        </w:tc>
        <w:tc>
          <w:tcPr>
            <w:tcW w:w="2694" w:type="dxa"/>
          </w:tcPr>
          <w:p w:rsidR="00EA2503" w:rsidRDefault="00AE6AE5">
            <w:pPr>
              <w:pStyle w:val="nTable"/>
              <w:spacing w:after="40"/>
            </w:pPr>
            <w:r>
              <w:t>23 Nov 2001</w:t>
            </w:r>
          </w:p>
        </w:tc>
      </w:tr>
      <w:tr w:rsidR="00EA2503">
        <w:tblPrEx>
          <w:tblBorders>
            <w:top w:val="none" w:sz="0" w:space="0" w:color="auto"/>
            <w:bottom w:val="none" w:sz="0" w:space="0" w:color="auto"/>
            <w:insideH w:val="none" w:sz="0" w:space="0" w:color="auto"/>
          </w:tblBorders>
        </w:tblPrEx>
        <w:trPr>
          <w:cantSplit/>
        </w:trPr>
        <w:tc>
          <w:tcPr>
            <w:tcW w:w="7088" w:type="dxa"/>
            <w:gridSpan w:val="3"/>
          </w:tcPr>
          <w:p w:rsidR="00EA2503" w:rsidRDefault="00AE6AE5">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2003</w:t>
            </w:r>
          </w:p>
        </w:tc>
        <w:tc>
          <w:tcPr>
            <w:tcW w:w="1281" w:type="dxa"/>
          </w:tcPr>
          <w:p w:rsidR="00EA2503" w:rsidRDefault="00AE6AE5">
            <w:pPr>
              <w:pStyle w:val="nTable"/>
              <w:spacing w:after="40"/>
            </w:pPr>
            <w:r>
              <w:t>31 Jan 2003 p. 280</w:t>
            </w:r>
            <w:r>
              <w:noBreakHyphen/>
              <w:t>2</w:t>
            </w:r>
          </w:p>
        </w:tc>
        <w:tc>
          <w:tcPr>
            <w:tcW w:w="2694" w:type="dxa"/>
          </w:tcPr>
          <w:p w:rsidR="00EA2503" w:rsidRDefault="00AE6AE5">
            <w:pPr>
              <w:pStyle w:val="nTable"/>
              <w:spacing w:after="40"/>
            </w:pPr>
            <w:r>
              <w:t>31 Jan 2003</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2004</w:t>
            </w:r>
          </w:p>
        </w:tc>
        <w:tc>
          <w:tcPr>
            <w:tcW w:w="1281" w:type="dxa"/>
          </w:tcPr>
          <w:p w:rsidR="00EA2503" w:rsidRDefault="00AE6AE5">
            <w:pPr>
              <w:pStyle w:val="nTable"/>
              <w:spacing w:after="40"/>
            </w:pPr>
            <w:r>
              <w:t>13 Jul 2004 p. 2822</w:t>
            </w:r>
            <w:r>
              <w:noBreakHyphen/>
              <w:t>3</w:t>
            </w:r>
          </w:p>
        </w:tc>
        <w:tc>
          <w:tcPr>
            <w:tcW w:w="2694" w:type="dxa"/>
          </w:tcPr>
          <w:p w:rsidR="00EA2503" w:rsidRDefault="00AE6AE5">
            <w:pPr>
              <w:pStyle w:val="nTable"/>
              <w:spacing w:after="40"/>
            </w:pPr>
            <w:r>
              <w:t>13 Jul 2004</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(No. 2) 2004</w:t>
            </w:r>
          </w:p>
        </w:tc>
        <w:tc>
          <w:tcPr>
            <w:tcW w:w="1281" w:type="dxa"/>
          </w:tcPr>
          <w:p w:rsidR="00EA2503" w:rsidRDefault="00AE6AE5">
            <w:pPr>
              <w:pStyle w:val="nTable"/>
              <w:spacing w:after="40"/>
            </w:pPr>
            <w:r>
              <w:t>30 Dec 2004 p. 6988</w:t>
            </w:r>
            <w:r>
              <w:noBreakHyphen/>
              <w:t>9</w:t>
            </w:r>
          </w:p>
        </w:tc>
        <w:tc>
          <w:tcPr>
            <w:tcW w:w="2694" w:type="dxa"/>
          </w:tcPr>
          <w:p w:rsidR="00EA2503" w:rsidRDefault="00AE6AE5">
            <w:pPr>
              <w:pStyle w:val="nTable"/>
              <w:spacing w:after="40"/>
            </w:pPr>
            <w:r>
              <w:t xml:space="preserve">1 Jan 2005 (see r. 2 and </w:t>
            </w:r>
            <w:r>
              <w:rPr>
                <w:i/>
              </w:rPr>
              <w:t>Gazette</w:t>
            </w:r>
            <w:r>
              <w:t xml:space="preserve"> 31 Dec 2004 p. 7130)</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(No. 2) 2005</w:t>
            </w:r>
          </w:p>
        </w:tc>
        <w:tc>
          <w:tcPr>
            <w:tcW w:w="1281" w:type="dxa"/>
          </w:tcPr>
          <w:p w:rsidR="00EA2503" w:rsidRDefault="00AE6AE5">
            <w:pPr>
              <w:pStyle w:val="nTable"/>
              <w:spacing w:after="40"/>
            </w:pPr>
            <w:r>
              <w:t>19 Aug 2005 p. 3867</w:t>
            </w:r>
          </w:p>
        </w:tc>
        <w:tc>
          <w:tcPr>
            <w:tcW w:w="2694" w:type="dxa"/>
          </w:tcPr>
          <w:p w:rsidR="00EA2503" w:rsidRDefault="00AE6AE5">
            <w:pPr>
              <w:pStyle w:val="nTable"/>
              <w:spacing w:after="40"/>
            </w:pPr>
            <w:r>
              <w:t>19 Aug 2005</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2006</w:t>
            </w:r>
          </w:p>
        </w:tc>
        <w:tc>
          <w:tcPr>
            <w:tcW w:w="1281" w:type="dxa"/>
          </w:tcPr>
          <w:p w:rsidR="00EA2503" w:rsidRDefault="00AE6AE5">
            <w:pPr>
              <w:pStyle w:val="nTable"/>
              <w:spacing w:after="40"/>
            </w:pPr>
            <w:r>
              <w:t>21 Apr 2006 p. 1575</w:t>
            </w:r>
            <w:r>
              <w:noBreakHyphen/>
              <w:t>81</w:t>
            </w:r>
          </w:p>
        </w:tc>
        <w:tc>
          <w:tcPr>
            <w:tcW w:w="2694" w:type="dxa"/>
          </w:tcPr>
          <w:p w:rsidR="00EA2503" w:rsidRDefault="00AE6AE5">
            <w:pPr>
              <w:pStyle w:val="nTable"/>
              <w:spacing w:after="40"/>
            </w:pPr>
            <w:r>
              <w:t>21 Apr 2006</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(No. 2) 2006</w:t>
            </w:r>
          </w:p>
        </w:tc>
        <w:tc>
          <w:tcPr>
            <w:tcW w:w="1281" w:type="dxa"/>
          </w:tcPr>
          <w:p w:rsidR="00EA2503" w:rsidRDefault="00AE6AE5">
            <w:pPr>
              <w:pStyle w:val="nTable"/>
              <w:spacing w:after="40"/>
            </w:pPr>
            <w:r>
              <w:t>27 Jun 2006 p. 2284</w:t>
            </w:r>
            <w:r>
              <w:noBreakHyphen/>
              <w:t>5</w:t>
            </w:r>
          </w:p>
        </w:tc>
        <w:tc>
          <w:tcPr>
            <w:tcW w:w="2694" w:type="dxa"/>
          </w:tcPr>
          <w:p w:rsidR="00EA2503" w:rsidRDefault="00AE6AE5">
            <w:pPr>
              <w:pStyle w:val="nTable"/>
              <w:spacing w:after="40"/>
            </w:pPr>
            <w:r>
              <w:t>1 Jul 2006 (see r. 2)</w:t>
            </w:r>
          </w:p>
        </w:tc>
      </w:tr>
      <w:tr w:rsidR="00EA2503">
        <w:tblPrEx>
          <w:tblBorders>
            <w:top w:val="none" w:sz="0" w:space="0" w:color="auto"/>
            <w:bottom w:val="none" w:sz="0" w:space="0" w:color="auto"/>
            <w:insideH w:val="none" w:sz="0" w:space="0" w:color="auto"/>
          </w:tblBorders>
        </w:tblPrEx>
        <w:trPr>
          <w:cantSplit/>
        </w:trPr>
        <w:tc>
          <w:tcPr>
            <w:tcW w:w="7088" w:type="dxa"/>
            <w:gridSpan w:val="3"/>
          </w:tcPr>
          <w:p w:rsidR="00EA2503" w:rsidRDefault="00AE6AE5">
            <w:pPr>
              <w:pStyle w:val="nTable"/>
              <w:spacing w:after="40"/>
            </w:pPr>
            <w:r>
              <w:rPr>
                <w:b/>
              </w:rPr>
              <w:lastRenderedPageBreak/>
              <w:t xml:space="preserve">Reprint 2:  The </w:t>
            </w:r>
            <w:r>
              <w:rPr>
                <w:b/>
                <w:i/>
              </w:rPr>
              <w:t xml:space="preserve">Gas Standards (Gasfitting and Consumer Gas Installations) Regulations 1999 </w:t>
            </w:r>
            <w:r>
              <w:rPr>
                <w:b/>
              </w:rPr>
              <w:t xml:space="preserve">as at 14 Jul 2006 </w:t>
            </w:r>
            <w:r>
              <w:t>(includes amendments listed above)</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2007</w:t>
            </w:r>
          </w:p>
        </w:tc>
        <w:tc>
          <w:tcPr>
            <w:tcW w:w="1281" w:type="dxa"/>
          </w:tcPr>
          <w:p w:rsidR="00EA2503" w:rsidRDefault="00AE6AE5">
            <w:pPr>
              <w:pStyle w:val="nTable"/>
              <w:spacing w:after="40"/>
            </w:pPr>
            <w:r>
              <w:t>15 Jun 2007 p. 2784</w:t>
            </w:r>
            <w:r>
              <w:noBreakHyphen/>
              <w:t>5</w:t>
            </w:r>
          </w:p>
        </w:tc>
        <w:tc>
          <w:tcPr>
            <w:tcW w:w="2694" w:type="dxa"/>
          </w:tcPr>
          <w:p w:rsidR="00EA2503" w:rsidRDefault="00AE6AE5">
            <w:pPr>
              <w:pStyle w:val="nTable"/>
              <w:spacing w:after="40"/>
            </w:pPr>
            <w:r>
              <w:t>r. 1 and 2: 15 Jun 2007 (see r. 2(a));</w:t>
            </w:r>
            <w:r>
              <w:br/>
              <w:t>Regulations other than r. 1 and 2: 1 Jul 2007 (see r. 2(b))</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(No. 2) 2007</w:t>
            </w:r>
          </w:p>
        </w:tc>
        <w:tc>
          <w:tcPr>
            <w:tcW w:w="1281" w:type="dxa"/>
          </w:tcPr>
          <w:p w:rsidR="00EA2503" w:rsidRDefault="00AE6AE5">
            <w:pPr>
              <w:pStyle w:val="nTable"/>
              <w:spacing w:after="40"/>
            </w:pPr>
            <w:r>
              <w:t>30 Nov 2007 p. 5933</w:t>
            </w:r>
            <w:r>
              <w:noBreakHyphen/>
              <w:t>7</w:t>
            </w:r>
          </w:p>
        </w:tc>
        <w:tc>
          <w:tcPr>
            <w:tcW w:w="2694" w:type="dxa"/>
          </w:tcPr>
          <w:p w:rsidR="00EA2503" w:rsidRDefault="00AE6AE5">
            <w:pPr>
              <w:pStyle w:val="nTable"/>
              <w:spacing w:after="40"/>
            </w:pPr>
            <w:r>
              <w:t>r. 1 and 2: 30 Nov 2007 (see r. 2(a));</w:t>
            </w:r>
            <w:r>
              <w:br/>
              <w:t xml:space="preserve">Regulations other than r. 1 and 2: 1 Dec 2007 (see r. 2(b) and </w:t>
            </w:r>
            <w:r>
              <w:rPr>
                <w:i/>
                <w:iCs/>
              </w:rPr>
              <w:t>Gazette</w:t>
            </w:r>
            <w:r>
              <w:t xml:space="preserve"> 30 Nov 2007 p. 5927)</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2008</w:t>
            </w:r>
          </w:p>
        </w:tc>
        <w:tc>
          <w:tcPr>
            <w:tcW w:w="1281" w:type="dxa"/>
          </w:tcPr>
          <w:p w:rsidR="00EA2503" w:rsidRDefault="00AE6AE5">
            <w:pPr>
              <w:pStyle w:val="nTable"/>
              <w:spacing w:after="40"/>
            </w:pPr>
            <w:r>
              <w:t>17 Jun 2008 p. 2565</w:t>
            </w:r>
            <w:r>
              <w:noBreakHyphen/>
              <w:t>6</w:t>
            </w:r>
          </w:p>
        </w:tc>
        <w:tc>
          <w:tcPr>
            <w:tcW w:w="2694" w:type="dxa"/>
          </w:tcPr>
          <w:p w:rsidR="00EA2503" w:rsidRDefault="00AE6AE5">
            <w:pPr>
              <w:pStyle w:val="nTable"/>
              <w:spacing w:after="40"/>
            </w:pPr>
            <w:r>
              <w:t>r. 1 and 2: 17 Jun 2008 (see r. 2(a));</w:t>
            </w:r>
            <w:r>
              <w:br/>
              <w:t>Regulations other than r. 1 and 2: 1 Jul 2008 (see r. 2(b))</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2009</w:t>
            </w:r>
          </w:p>
        </w:tc>
        <w:tc>
          <w:tcPr>
            <w:tcW w:w="1281" w:type="dxa"/>
          </w:tcPr>
          <w:p w:rsidR="00EA2503" w:rsidRDefault="00AE6AE5">
            <w:pPr>
              <w:pStyle w:val="nTable"/>
              <w:spacing w:after="40"/>
            </w:pPr>
            <w:r>
              <w:t>23 Jun 2009 p. 2441</w:t>
            </w:r>
            <w:r>
              <w:noBreakHyphen/>
              <w:t>2</w:t>
            </w:r>
          </w:p>
        </w:tc>
        <w:tc>
          <w:tcPr>
            <w:tcW w:w="2694" w:type="dxa"/>
          </w:tcPr>
          <w:p w:rsidR="00EA2503" w:rsidRDefault="00AE6AE5">
            <w:pPr>
              <w:pStyle w:val="nTable"/>
              <w:spacing w:after="40"/>
            </w:pPr>
            <w:r>
              <w:rPr>
                <w:snapToGrid w:val="0"/>
              </w:rPr>
              <w:t>r. 1 and 2: 23 Jun 2009 (see r. 2(a));</w:t>
            </w:r>
            <w:r>
              <w:rPr>
                <w:snapToGrid w:val="0"/>
              </w:rPr>
              <w:br/>
              <w:t>Regulations other than r. 1 and 2: 1 Jul 2009 (see r. 2(b))</w:t>
            </w:r>
          </w:p>
        </w:tc>
      </w:tr>
      <w:tr w:rsidR="00EA2503">
        <w:tblPrEx>
          <w:tblBorders>
            <w:top w:val="none" w:sz="0" w:space="0" w:color="auto"/>
            <w:bottom w:val="none" w:sz="0" w:space="0" w:color="auto"/>
            <w:insideH w:val="none" w:sz="0" w:space="0" w:color="auto"/>
          </w:tblBorders>
        </w:tblPrEx>
        <w:trPr>
          <w:cantSplit/>
        </w:trPr>
        <w:tc>
          <w:tcPr>
            <w:tcW w:w="7088" w:type="dxa"/>
            <w:gridSpan w:val="3"/>
          </w:tcPr>
          <w:p w:rsidR="00EA2503" w:rsidRDefault="00AE6AE5">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(No. 2) 2010</w:t>
            </w:r>
          </w:p>
        </w:tc>
        <w:tc>
          <w:tcPr>
            <w:tcW w:w="1281" w:type="dxa"/>
          </w:tcPr>
          <w:p w:rsidR="00EA2503" w:rsidRDefault="00AE6AE5">
            <w:pPr>
              <w:pStyle w:val="nTable"/>
              <w:spacing w:after="40"/>
            </w:pPr>
            <w:r>
              <w:t>25 Jun 2010 p. 2865-6</w:t>
            </w:r>
          </w:p>
        </w:tc>
        <w:tc>
          <w:tcPr>
            <w:tcW w:w="2694" w:type="dxa"/>
          </w:tcPr>
          <w:p w:rsidR="00EA2503" w:rsidRDefault="00AE6AE5">
            <w:pPr>
              <w:pStyle w:val="nTable"/>
              <w:spacing w:after="40"/>
            </w:pPr>
            <w:r>
              <w:rPr>
                <w:snapToGrid w:val="0"/>
              </w:rPr>
              <w:t>r. 1 and 2: 25 Jun 2010 (see r. 2(a));</w:t>
            </w:r>
            <w:r>
              <w:rPr>
                <w:snapToGrid w:val="0"/>
              </w:rPr>
              <w:br/>
              <w:t>Regulations other than r. 1 and 2: 1 Jul 2010 (see r. 2(b))</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2010</w:t>
            </w:r>
          </w:p>
        </w:tc>
        <w:tc>
          <w:tcPr>
            <w:tcW w:w="1281" w:type="dxa"/>
          </w:tcPr>
          <w:p w:rsidR="00EA2503" w:rsidRDefault="00AE6AE5">
            <w:pPr>
              <w:pStyle w:val="nTable"/>
              <w:spacing w:after="40"/>
            </w:pPr>
            <w:r>
              <w:t>26 Nov 2010 p. 5928-34</w:t>
            </w:r>
          </w:p>
        </w:tc>
        <w:tc>
          <w:tcPr>
            <w:tcW w:w="2694" w:type="dxa"/>
          </w:tcPr>
          <w:p w:rsidR="00EA2503" w:rsidRDefault="00AE6AE5">
            <w:pPr>
              <w:pStyle w:val="nTable"/>
              <w:spacing w:after="40"/>
              <w:rPr>
                <w:snapToGrid w:val="0"/>
              </w:rPr>
            </w:pPr>
            <w:r>
              <w:rPr>
                <w:snapToGrid w:val="0"/>
              </w:rPr>
              <w:t>r. 1 and 2: 26 Nov 2010 (see r. 2(a));</w:t>
            </w:r>
            <w:r>
              <w:rPr>
                <w:snapToGrid w:val="0"/>
              </w:rPr>
              <w:br/>
              <w:t>Regulations other than r. 1 and 2: 27 Nov 2010 (see r. 2(b))</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(No. 3) 2010</w:t>
            </w:r>
          </w:p>
        </w:tc>
        <w:tc>
          <w:tcPr>
            <w:tcW w:w="1281" w:type="dxa"/>
          </w:tcPr>
          <w:p w:rsidR="00EA2503" w:rsidRDefault="00AE6AE5">
            <w:pPr>
              <w:pStyle w:val="nTable"/>
              <w:spacing w:after="40"/>
            </w:pPr>
            <w:r>
              <w:t>18 Jan 2011 p. 146-7</w:t>
            </w:r>
          </w:p>
        </w:tc>
        <w:tc>
          <w:tcPr>
            <w:tcW w:w="2694" w:type="dxa"/>
          </w:tcPr>
          <w:p w:rsidR="00EA2503" w:rsidRDefault="00AE6AE5">
            <w:pPr>
              <w:pStyle w:val="nTable"/>
              <w:spacing w:after="40"/>
              <w:rPr>
                <w:snapToGrid w:val="0"/>
                <w:spacing w:val="-2"/>
              </w:rPr>
            </w:pPr>
            <w:r>
              <w:rPr>
                <w:snapToGrid w:val="0"/>
              </w:rPr>
              <w:t>r. 1 and 2: 18 Jan 2011 (see r. 2(a));</w:t>
            </w:r>
            <w:r>
              <w:rPr>
                <w:snapToGrid w:val="0"/>
              </w:rPr>
              <w:br/>
              <w:t>Regulations other than r. 1 and 2: 19 Jan 2011 (see r. 2(b))</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rPr>
              <w:t>Public Sector Reform (Consequential Amendments) Regulations 2011</w:t>
            </w:r>
            <w:r>
              <w:t xml:space="preserve"> r. 20</w:t>
            </w:r>
          </w:p>
        </w:tc>
        <w:tc>
          <w:tcPr>
            <w:tcW w:w="1281" w:type="dxa"/>
          </w:tcPr>
          <w:p w:rsidR="00EA2503" w:rsidRDefault="00AE6AE5">
            <w:pPr>
              <w:pStyle w:val="nTable"/>
              <w:spacing w:after="40"/>
            </w:pPr>
            <w:r>
              <w:t>11 Feb 2011 p. 502</w:t>
            </w:r>
            <w:r>
              <w:noBreakHyphen/>
              <w:t>7</w:t>
            </w:r>
          </w:p>
        </w:tc>
        <w:tc>
          <w:tcPr>
            <w:tcW w:w="2694" w:type="dxa"/>
          </w:tcPr>
          <w:p w:rsidR="00EA2503" w:rsidRDefault="00AE6AE5">
            <w:pPr>
              <w:pStyle w:val="nTable"/>
              <w:spacing w:after="40"/>
              <w:rPr>
                <w:snapToGrid w:val="0"/>
              </w:rPr>
            </w:pPr>
            <w:r>
              <w:rPr>
                <w:snapToGrid w:val="0"/>
              </w:rPr>
              <w:t>12 Feb 2011 (see r. 2(d))</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rPr>
            </w:pPr>
            <w:r>
              <w:rPr>
                <w:i/>
                <w:snapToGrid w:val="0"/>
              </w:rPr>
              <w:t>Gas Standards (Gasfitting and Consumer Gas Installations) Amendment Regulations 2011</w:t>
            </w:r>
          </w:p>
        </w:tc>
        <w:tc>
          <w:tcPr>
            <w:tcW w:w="1281" w:type="dxa"/>
          </w:tcPr>
          <w:p w:rsidR="00EA2503" w:rsidRDefault="00AE6AE5">
            <w:pPr>
              <w:pStyle w:val="nTable"/>
              <w:spacing w:after="40"/>
            </w:pPr>
            <w:r>
              <w:t>22 Jun 2011 p. 2315</w:t>
            </w:r>
            <w:r>
              <w:noBreakHyphen/>
              <w:t>16</w:t>
            </w:r>
          </w:p>
        </w:tc>
        <w:tc>
          <w:tcPr>
            <w:tcW w:w="2694" w:type="dxa"/>
          </w:tcPr>
          <w:p w:rsidR="00EA2503" w:rsidRDefault="00AE6AE5">
            <w:pPr>
              <w:pStyle w:val="nTable"/>
              <w:spacing w:after="40"/>
              <w:rPr>
                <w:snapToGrid w:val="0"/>
              </w:rPr>
            </w:pPr>
            <w:r>
              <w:rPr>
                <w:snapToGrid w:val="0"/>
              </w:rPr>
              <w:t>r. 1 and 2: 22 Jun 2011 (see r. 2(a));</w:t>
            </w:r>
            <w:r>
              <w:rPr>
                <w:snapToGrid w:val="0"/>
              </w:rPr>
              <w:br/>
              <w:t>Regulations other than r. 1 and 2: 1 Jul 2011 (see r. 2(b))</w:t>
            </w:r>
          </w:p>
        </w:tc>
      </w:tr>
      <w:tr w:rsidR="00EA2503">
        <w:tblPrEx>
          <w:tblBorders>
            <w:top w:val="none" w:sz="0" w:space="0" w:color="auto"/>
            <w:bottom w:val="none" w:sz="0" w:space="0" w:color="auto"/>
            <w:insideH w:val="none" w:sz="0" w:space="0" w:color="auto"/>
          </w:tblBorders>
        </w:tblPrEx>
        <w:trPr>
          <w:cantSplit/>
        </w:trPr>
        <w:tc>
          <w:tcPr>
            <w:tcW w:w="7088" w:type="dxa"/>
            <w:gridSpan w:val="3"/>
          </w:tcPr>
          <w:p w:rsidR="00EA2503" w:rsidRDefault="00AE6AE5">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rPr>
            </w:pPr>
            <w:r>
              <w:rPr>
                <w:i/>
                <w:snapToGrid w:val="0"/>
              </w:rPr>
              <w:lastRenderedPageBreak/>
              <w:t>Gas Standards (Gasfitting and Consumer Gas Installations) Amendment Regulations 2012</w:t>
            </w:r>
          </w:p>
        </w:tc>
        <w:tc>
          <w:tcPr>
            <w:tcW w:w="1281" w:type="dxa"/>
          </w:tcPr>
          <w:p w:rsidR="00EA2503" w:rsidRDefault="00AE6AE5">
            <w:pPr>
              <w:pStyle w:val="nTable"/>
              <w:spacing w:after="40"/>
            </w:pPr>
            <w:r>
              <w:t>15 Jun 2012 p. 2609-10</w:t>
            </w:r>
          </w:p>
        </w:tc>
        <w:tc>
          <w:tcPr>
            <w:tcW w:w="2694" w:type="dxa"/>
          </w:tcPr>
          <w:p w:rsidR="00EA2503" w:rsidRDefault="00AE6AE5">
            <w:pPr>
              <w:pStyle w:val="nTable"/>
              <w:spacing w:after="40"/>
              <w:rPr>
                <w:snapToGrid w:val="0"/>
              </w:rPr>
            </w:pPr>
            <w:r>
              <w:rPr>
                <w:snapToGrid w:val="0"/>
              </w:rPr>
              <w:t>r. 1 and 2: 15 Jun 2012 (see r. 2(a));</w:t>
            </w:r>
            <w:r>
              <w:rPr>
                <w:snapToGrid w:val="0"/>
              </w:rPr>
              <w:br/>
              <w:t>Regulations other than r. 1 and 2: 1 Jul 2012 (see r. 2(b))</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snapToGrid w:val="0"/>
              </w:rPr>
              <w:t>Gas Standards (Gasfitting and Consumer Gas Installations) Amendment Regulations (No. 2) 2013</w:t>
            </w:r>
          </w:p>
        </w:tc>
        <w:tc>
          <w:tcPr>
            <w:tcW w:w="1281" w:type="dxa"/>
          </w:tcPr>
          <w:p w:rsidR="00EA2503" w:rsidRDefault="00AE6AE5">
            <w:pPr>
              <w:pStyle w:val="nTable"/>
              <w:spacing w:after="40"/>
            </w:pPr>
            <w:r>
              <w:t>27 Jun 2013 p. 2711-12</w:t>
            </w:r>
          </w:p>
        </w:tc>
        <w:tc>
          <w:tcPr>
            <w:tcW w:w="2694" w:type="dxa"/>
          </w:tcPr>
          <w:p w:rsidR="00EA2503" w:rsidRDefault="00AE6AE5">
            <w:pPr>
              <w:pStyle w:val="nTable"/>
              <w:spacing w:after="40"/>
              <w:rPr>
                <w:snapToGrid w:val="0"/>
              </w:rPr>
            </w:pPr>
            <w:r>
              <w:rPr>
                <w:snapToGrid w:val="0"/>
              </w:rPr>
              <w:t>r. 1 and 2: 27 Jun 2013 (see r. 2(a));</w:t>
            </w:r>
            <w:r>
              <w:rPr>
                <w:snapToGrid w:val="0"/>
              </w:rPr>
              <w:br/>
              <w:t>Regulations other than r. 1 and 2: 1 Jul 2013 (see r. 2(b))</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snapToGrid w:val="0"/>
              </w:rPr>
            </w:pPr>
            <w:r>
              <w:rPr>
                <w:i/>
              </w:rPr>
              <w:t>Gas Standards (Gasfitting and Consumer Gas Installations) Amendment Regulations (No. 2) 2014</w:t>
            </w:r>
          </w:p>
        </w:tc>
        <w:tc>
          <w:tcPr>
            <w:tcW w:w="1281" w:type="dxa"/>
          </w:tcPr>
          <w:p w:rsidR="00EA2503" w:rsidRDefault="00AE6AE5">
            <w:pPr>
              <w:pStyle w:val="nTable"/>
              <w:spacing w:after="40"/>
            </w:pPr>
            <w:r>
              <w:t>17 Jun 2014 p. 1966</w:t>
            </w:r>
            <w:r>
              <w:noBreakHyphen/>
              <w:t>7</w:t>
            </w:r>
          </w:p>
        </w:tc>
        <w:tc>
          <w:tcPr>
            <w:tcW w:w="2694" w:type="dxa"/>
          </w:tcPr>
          <w:p w:rsidR="00EA2503" w:rsidRDefault="00AE6AE5">
            <w:pPr>
              <w:pStyle w:val="nTable"/>
              <w:spacing w:after="40"/>
              <w:rPr>
                <w:snapToGrid w:val="0"/>
              </w:rPr>
            </w:pPr>
            <w:r>
              <w:rPr>
                <w:bCs/>
                <w:snapToGrid w:val="0"/>
              </w:rPr>
              <w:t>r. 1 and 2: 17 Jun 2014 (see r. 2(a));</w:t>
            </w:r>
            <w:r>
              <w:rPr>
                <w:bCs/>
                <w:snapToGrid w:val="0"/>
              </w:rPr>
              <w:br/>
              <w:t>Regulations other than r. 1 and 2: 1 Jul 2014 (see r. 2(b))</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rPr>
            </w:pPr>
            <w:r>
              <w:rPr>
                <w:i/>
              </w:rPr>
              <w:t>Gas Standards (Gasfitting and Consumer Gas Installations) Amendment Regulations (No. 3) 2014</w:t>
            </w:r>
          </w:p>
        </w:tc>
        <w:tc>
          <w:tcPr>
            <w:tcW w:w="1281" w:type="dxa"/>
          </w:tcPr>
          <w:p w:rsidR="00EA2503" w:rsidRDefault="00AE6AE5">
            <w:pPr>
              <w:pStyle w:val="nTable"/>
              <w:spacing w:after="40"/>
            </w:pPr>
            <w:r>
              <w:t>12 Dec 2014 p. 4711-12</w:t>
            </w:r>
          </w:p>
        </w:tc>
        <w:tc>
          <w:tcPr>
            <w:tcW w:w="2694" w:type="dxa"/>
          </w:tcPr>
          <w:p w:rsidR="00EA2503" w:rsidRDefault="00AE6AE5">
            <w:pPr>
              <w:pStyle w:val="nTable"/>
              <w:spacing w:after="40"/>
              <w:rPr>
                <w:bCs/>
                <w:snapToGrid w:val="0"/>
              </w:rPr>
            </w:pPr>
            <w:r>
              <w:rPr>
                <w:bCs/>
                <w:snapToGrid w:val="0"/>
              </w:rPr>
              <w:t>r. 1 and 2: 12 Dec 2014 (see r. 2(a));</w:t>
            </w:r>
            <w:r>
              <w:rPr>
                <w:bCs/>
                <w:snapToGrid w:val="0"/>
              </w:rPr>
              <w:br/>
              <w:t>Regulations other than r. 1 and 2: 13 Dec 2014 (see r. 2(b))</w:t>
            </w:r>
          </w:p>
        </w:tc>
      </w:tr>
      <w:tr w:rsidR="00EA2503" w:rsidTr="00A8438C">
        <w:tblPrEx>
          <w:tblBorders>
            <w:top w:val="none" w:sz="0" w:space="0" w:color="auto"/>
            <w:bottom w:val="none" w:sz="0" w:space="0" w:color="auto"/>
            <w:insideH w:val="none" w:sz="0" w:space="0" w:color="auto"/>
          </w:tblBorders>
        </w:tblPrEx>
        <w:trPr>
          <w:cantSplit/>
        </w:trPr>
        <w:tc>
          <w:tcPr>
            <w:tcW w:w="3113" w:type="dxa"/>
            <w:shd w:val="clear" w:color="auto" w:fill="auto"/>
          </w:tcPr>
          <w:p w:rsidR="00EA2503" w:rsidRDefault="00AE6AE5">
            <w:pPr>
              <w:pStyle w:val="nTable"/>
              <w:spacing w:after="40"/>
              <w:rPr>
                <w:i/>
              </w:rPr>
            </w:pPr>
            <w:r>
              <w:rPr>
                <w:i/>
              </w:rPr>
              <w:t>Gas Standards (Gasfitting and Consumer Gas Installations) Amendment Regulations 2014</w:t>
            </w:r>
          </w:p>
        </w:tc>
        <w:tc>
          <w:tcPr>
            <w:tcW w:w="1281" w:type="dxa"/>
            <w:shd w:val="clear" w:color="auto" w:fill="auto"/>
          </w:tcPr>
          <w:p w:rsidR="00EA2503" w:rsidRDefault="00AE6AE5">
            <w:pPr>
              <w:pStyle w:val="nTable"/>
              <w:spacing w:after="40"/>
            </w:pPr>
            <w:r>
              <w:t>8 Jan 2015 p. 99</w:t>
            </w:r>
            <w:r>
              <w:noBreakHyphen/>
              <w:t>100</w:t>
            </w:r>
          </w:p>
        </w:tc>
        <w:tc>
          <w:tcPr>
            <w:tcW w:w="2694" w:type="dxa"/>
            <w:shd w:val="clear" w:color="auto" w:fill="auto"/>
          </w:tcPr>
          <w:p w:rsidR="00EA2503" w:rsidRDefault="00AE6AE5">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rsidR="00EA2503" w:rsidTr="00A8438C">
        <w:tblPrEx>
          <w:tblBorders>
            <w:top w:val="none" w:sz="0" w:space="0" w:color="auto"/>
            <w:bottom w:val="none" w:sz="0" w:space="0" w:color="auto"/>
            <w:insideH w:val="none" w:sz="0" w:space="0" w:color="auto"/>
          </w:tblBorders>
        </w:tblPrEx>
        <w:trPr>
          <w:cantSplit/>
        </w:trPr>
        <w:tc>
          <w:tcPr>
            <w:tcW w:w="3113" w:type="dxa"/>
            <w:shd w:val="clear" w:color="auto" w:fill="auto"/>
          </w:tcPr>
          <w:p w:rsidR="00EA2503" w:rsidRDefault="00AE6AE5">
            <w:pPr>
              <w:pStyle w:val="nTable"/>
              <w:spacing w:after="40"/>
              <w:rPr>
                <w:i/>
              </w:rPr>
            </w:pPr>
            <w:r>
              <w:rPr>
                <w:i/>
              </w:rPr>
              <w:t>Gas Standards (Gasfitting and Consumer Gas Installations) Amendment Regulations 2015</w:t>
            </w:r>
          </w:p>
        </w:tc>
        <w:tc>
          <w:tcPr>
            <w:tcW w:w="1281" w:type="dxa"/>
            <w:shd w:val="clear" w:color="auto" w:fill="auto"/>
          </w:tcPr>
          <w:p w:rsidR="00EA2503" w:rsidRDefault="00AE6AE5">
            <w:pPr>
              <w:pStyle w:val="nTable"/>
              <w:spacing w:after="40"/>
            </w:pPr>
            <w:r>
              <w:t>23 Jun 2015 p. 2175</w:t>
            </w:r>
          </w:p>
        </w:tc>
        <w:tc>
          <w:tcPr>
            <w:tcW w:w="2694" w:type="dxa"/>
            <w:shd w:val="clear" w:color="auto" w:fill="auto"/>
          </w:tcPr>
          <w:p w:rsidR="00EA2503" w:rsidRDefault="00AE6AE5">
            <w:pPr>
              <w:pStyle w:val="nTable"/>
              <w:spacing w:after="40"/>
              <w:rPr>
                <w:bCs/>
                <w:snapToGrid w:val="0"/>
              </w:rPr>
            </w:pPr>
            <w:r>
              <w:rPr>
                <w:bCs/>
                <w:snapToGrid w:val="0"/>
              </w:rPr>
              <w:t>r. 1 and 2: 23 Jun 2015 (see r. 2(a));</w:t>
            </w:r>
            <w:r>
              <w:rPr>
                <w:bCs/>
                <w:snapToGrid w:val="0"/>
              </w:rPr>
              <w:br/>
              <w:t>Regulations other than r. 1 and 2: 1 Jul 2015 (see r. 2(b))</w:t>
            </w:r>
          </w:p>
        </w:tc>
      </w:tr>
      <w:tr w:rsidR="00EA2503">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EA2503" w:rsidRDefault="00AE6AE5">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rsidR="00EA2503" w:rsidTr="00A8438C">
        <w:trPr>
          <w:cantSplit/>
        </w:trPr>
        <w:tc>
          <w:tcPr>
            <w:tcW w:w="3113" w:type="dxa"/>
            <w:tcBorders>
              <w:top w:val="nil"/>
              <w:bottom w:val="nil"/>
            </w:tcBorders>
          </w:tcPr>
          <w:p w:rsidR="00EA2503" w:rsidRDefault="00AE6AE5">
            <w:pPr>
              <w:pStyle w:val="nTable"/>
              <w:spacing w:after="40"/>
            </w:pPr>
            <w:r>
              <w:rPr>
                <w:i/>
              </w:rPr>
              <w:t>Commerce Regulations Amendment (Fees and Charges) Regulations 2016</w:t>
            </w:r>
            <w:r>
              <w:t xml:space="preserve"> Pt. 10</w:t>
            </w:r>
          </w:p>
        </w:tc>
        <w:tc>
          <w:tcPr>
            <w:tcW w:w="1281" w:type="dxa"/>
            <w:tcBorders>
              <w:top w:val="nil"/>
              <w:bottom w:val="nil"/>
            </w:tcBorders>
          </w:tcPr>
          <w:p w:rsidR="00EA2503" w:rsidRDefault="00AE6AE5">
            <w:pPr>
              <w:pStyle w:val="nTable"/>
              <w:spacing w:after="40"/>
            </w:pPr>
            <w:r>
              <w:t>3 Jun 2016 p. 1745-73</w:t>
            </w:r>
          </w:p>
        </w:tc>
        <w:tc>
          <w:tcPr>
            <w:tcW w:w="2694" w:type="dxa"/>
            <w:tcBorders>
              <w:top w:val="nil"/>
              <w:bottom w:val="nil"/>
            </w:tcBorders>
          </w:tcPr>
          <w:p w:rsidR="00EA2503" w:rsidRDefault="00AE6AE5">
            <w:pPr>
              <w:pStyle w:val="nTable"/>
              <w:spacing w:after="40"/>
            </w:pPr>
            <w:r>
              <w:t>1 Jul 2016 (see r. 2(b))</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noProof/>
                <w:snapToGrid w:val="0"/>
              </w:rPr>
            </w:pPr>
            <w:r>
              <w:rPr>
                <w:i/>
              </w:rPr>
              <w:t xml:space="preserve">Commerce Regulations Amendment (Fees and Charges) Regulations 2017 </w:t>
            </w:r>
            <w:r>
              <w:t>Pt. 12</w:t>
            </w:r>
          </w:p>
        </w:tc>
        <w:tc>
          <w:tcPr>
            <w:tcW w:w="1281" w:type="dxa"/>
          </w:tcPr>
          <w:p w:rsidR="00EA2503" w:rsidRDefault="00AE6AE5">
            <w:pPr>
              <w:pStyle w:val="nTable"/>
              <w:spacing w:after="40"/>
            </w:pPr>
            <w:r>
              <w:t>23 Jun 2017 p. 3213</w:t>
            </w:r>
            <w:r>
              <w:noBreakHyphen/>
              <w:t>52</w:t>
            </w:r>
          </w:p>
        </w:tc>
        <w:tc>
          <w:tcPr>
            <w:tcW w:w="2694" w:type="dxa"/>
          </w:tcPr>
          <w:p w:rsidR="00EA2503" w:rsidRDefault="00AE6AE5">
            <w:pPr>
              <w:pStyle w:val="nTable"/>
              <w:spacing w:after="40"/>
            </w:pPr>
            <w:r>
              <w:t>1 Jul 2017 (see r. 2(b))</w:t>
            </w:r>
          </w:p>
        </w:tc>
      </w:tr>
      <w:tr w:rsidR="00EA2503" w:rsidTr="00A8438C">
        <w:tblPrEx>
          <w:tblBorders>
            <w:top w:val="none" w:sz="0" w:space="0" w:color="auto"/>
            <w:bottom w:val="none" w:sz="0" w:space="0" w:color="auto"/>
            <w:insideH w:val="none" w:sz="0" w:space="0" w:color="auto"/>
          </w:tblBorders>
        </w:tblPrEx>
        <w:trPr>
          <w:cantSplit/>
        </w:trPr>
        <w:tc>
          <w:tcPr>
            <w:tcW w:w="3113" w:type="dxa"/>
          </w:tcPr>
          <w:p w:rsidR="00EA2503" w:rsidRDefault="00AE6AE5">
            <w:pPr>
              <w:pStyle w:val="nTable"/>
              <w:spacing w:after="40"/>
              <w:rPr>
                <w:i/>
              </w:rPr>
            </w:pPr>
            <w:r>
              <w:rPr>
                <w:i/>
              </w:rPr>
              <w:t>Gas Standards (Gasfitting and Consumer Gas Installations) Amendment Regulations (No. 2) 2017</w:t>
            </w:r>
          </w:p>
        </w:tc>
        <w:tc>
          <w:tcPr>
            <w:tcW w:w="1281" w:type="dxa"/>
          </w:tcPr>
          <w:p w:rsidR="00EA2503" w:rsidRDefault="00AE6AE5">
            <w:pPr>
              <w:pStyle w:val="nTable"/>
              <w:spacing w:after="40"/>
            </w:pPr>
            <w:r>
              <w:t>22 Dec 2017 p. 5987</w:t>
            </w:r>
            <w:r>
              <w:noBreakHyphen/>
              <w:t>9</w:t>
            </w:r>
          </w:p>
        </w:tc>
        <w:tc>
          <w:tcPr>
            <w:tcW w:w="2694" w:type="dxa"/>
          </w:tcPr>
          <w:p w:rsidR="00EA2503" w:rsidRDefault="00AE6AE5">
            <w:pPr>
              <w:pStyle w:val="nTable"/>
              <w:spacing w:after="40"/>
            </w:pPr>
            <w:r>
              <w:rPr>
                <w:bCs/>
                <w:snapToGrid w:val="0"/>
                <w:spacing w:val="-2"/>
              </w:rPr>
              <w:t>r. 1 and 2: 22 Dec 2017 (see r. 2(a));</w:t>
            </w:r>
            <w:r>
              <w:rPr>
                <w:bCs/>
                <w:snapToGrid w:val="0"/>
                <w:spacing w:val="-2"/>
              </w:rPr>
              <w:br/>
              <w:t>Regulations other than r. 1 and 2: 23 Dec 2017 (see r. 2(b))</w:t>
            </w:r>
          </w:p>
        </w:tc>
      </w:tr>
      <w:tr w:rsidR="00EA2503" w:rsidTr="00A8438C">
        <w:trPr>
          <w:cantSplit/>
        </w:trPr>
        <w:tc>
          <w:tcPr>
            <w:tcW w:w="3113" w:type="dxa"/>
            <w:tcBorders>
              <w:top w:val="nil"/>
              <w:bottom w:val="nil"/>
            </w:tcBorders>
          </w:tcPr>
          <w:p w:rsidR="00EA2503" w:rsidRDefault="00AE6AE5">
            <w:pPr>
              <w:pStyle w:val="nTable"/>
              <w:spacing w:after="40"/>
              <w:rPr>
                <w:noProof/>
              </w:rPr>
            </w:pPr>
            <w:r>
              <w:rPr>
                <w:i/>
              </w:rPr>
              <w:t>Commerce and Industrial Relations Regulations Amendment (Fees and Charges) Regulations 2018</w:t>
            </w:r>
            <w:r>
              <w:t xml:space="preserve"> Pt. 11</w:t>
            </w:r>
          </w:p>
        </w:tc>
        <w:tc>
          <w:tcPr>
            <w:tcW w:w="1281" w:type="dxa"/>
            <w:tcBorders>
              <w:top w:val="nil"/>
              <w:bottom w:val="nil"/>
            </w:tcBorders>
          </w:tcPr>
          <w:p w:rsidR="00EA2503" w:rsidRDefault="00AE6AE5">
            <w:pPr>
              <w:pStyle w:val="nTable"/>
              <w:spacing w:after="40"/>
            </w:pPr>
            <w:r>
              <w:t>25 Jun 2018 p. 2325</w:t>
            </w:r>
            <w:r>
              <w:noBreakHyphen/>
              <w:t>53</w:t>
            </w:r>
          </w:p>
        </w:tc>
        <w:tc>
          <w:tcPr>
            <w:tcW w:w="2694" w:type="dxa"/>
            <w:tcBorders>
              <w:top w:val="nil"/>
              <w:bottom w:val="nil"/>
            </w:tcBorders>
          </w:tcPr>
          <w:p w:rsidR="00EA2503" w:rsidRDefault="00AE6AE5">
            <w:pPr>
              <w:pStyle w:val="nTable"/>
              <w:spacing w:after="40"/>
              <w:rPr>
                <w:bCs/>
                <w:snapToGrid w:val="0"/>
                <w:spacing w:val="-2"/>
              </w:rPr>
            </w:pPr>
            <w:r>
              <w:rPr>
                <w:bCs/>
                <w:snapToGrid w:val="0"/>
                <w:spacing w:val="-2"/>
              </w:rPr>
              <w:t>1 Jul 2018 (see r. 2(b))</w:t>
            </w:r>
          </w:p>
        </w:tc>
      </w:tr>
      <w:tr w:rsidR="00EA2503" w:rsidTr="00A8438C">
        <w:trPr>
          <w:cantSplit/>
        </w:trPr>
        <w:tc>
          <w:tcPr>
            <w:tcW w:w="3113" w:type="dxa"/>
            <w:tcBorders>
              <w:top w:val="nil"/>
              <w:bottom w:val="nil"/>
            </w:tcBorders>
          </w:tcPr>
          <w:p w:rsidR="00EA2503" w:rsidRDefault="00AE6AE5">
            <w:pPr>
              <w:pStyle w:val="nTable"/>
              <w:spacing w:after="40"/>
              <w:rPr>
                <w:i/>
              </w:rPr>
            </w:pPr>
            <w:r>
              <w:rPr>
                <w:i/>
              </w:rPr>
              <w:lastRenderedPageBreak/>
              <w:t>Gas Standards (Gasfitting and Consumer Gas Installations) Amendment Regulations (No. 2) 2018</w:t>
            </w:r>
          </w:p>
        </w:tc>
        <w:tc>
          <w:tcPr>
            <w:tcW w:w="1281" w:type="dxa"/>
            <w:tcBorders>
              <w:top w:val="nil"/>
              <w:bottom w:val="nil"/>
            </w:tcBorders>
          </w:tcPr>
          <w:p w:rsidR="00EA2503" w:rsidRDefault="00AE6AE5">
            <w:pPr>
              <w:pStyle w:val="nTable"/>
              <w:keepNext/>
              <w:spacing w:after="40"/>
            </w:pPr>
            <w:r>
              <w:t>2 Oct 2018 p. 3783</w:t>
            </w:r>
            <w:r>
              <w:noBreakHyphen/>
              <w:t>4</w:t>
            </w:r>
          </w:p>
        </w:tc>
        <w:tc>
          <w:tcPr>
            <w:tcW w:w="2694" w:type="dxa"/>
            <w:tcBorders>
              <w:top w:val="nil"/>
              <w:bottom w:val="nil"/>
            </w:tcBorders>
          </w:tcPr>
          <w:p w:rsidR="00EA2503" w:rsidRDefault="00AE6AE5">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rsidR="00EA2503" w:rsidTr="00A8438C">
        <w:trPr>
          <w:cantSplit/>
        </w:trPr>
        <w:tc>
          <w:tcPr>
            <w:tcW w:w="3113" w:type="dxa"/>
            <w:tcBorders>
              <w:top w:val="nil"/>
              <w:bottom w:val="nil"/>
            </w:tcBorders>
          </w:tcPr>
          <w:p w:rsidR="00EA2503" w:rsidRDefault="00AE6AE5">
            <w:pPr>
              <w:pStyle w:val="nTable"/>
              <w:spacing w:after="40"/>
              <w:rPr>
                <w:i/>
              </w:rPr>
            </w:pPr>
            <w:r>
              <w:rPr>
                <w:i/>
              </w:rPr>
              <w:t xml:space="preserve">Commerce Regulations Amendment (Fees and Charges) Regulations 2019 </w:t>
            </w:r>
            <w:r>
              <w:t>Pt. 11</w:t>
            </w:r>
          </w:p>
        </w:tc>
        <w:tc>
          <w:tcPr>
            <w:tcW w:w="1281" w:type="dxa"/>
            <w:tcBorders>
              <w:top w:val="nil"/>
              <w:bottom w:val="nil"/>
            </w:tcBorders>
          </w:tcPr>
          <w:p w:rsidR="00EA2503" w:rsidRDefault="00AE6AE5">
            <w:pPr>
              <w:pStyle w:val="nTable"/>
              <w:keepNext/>
              <w:spacing w:after="40"/>
            </w:pPr>
            <w:r>
              <w:t>18 Jun 2019 p. 2077</w:t>
            </w:r>
            <w:r>
              <w:noBreakHyphen/>
              <w:t>115</w:t>
            </w:r>
          </w:p>
        </w:tc>
        <w:tc>
          <w:tcPr>
            <w:tcW w:w="2694" w:type="dxa"/>
            <w:tcBorders>
              <w:top w:val="nil"/>
              <w:bottom w:val="nil"/>
            </w:tcBorders>
          </w:tcPr>
          <w:p w:rsidR="00EA2503" w:rsidRDefault="00AE6AE5">
            <w:pPr>
              <w:pStyle w:val="nTable"/>
              <w:keepNext/>
              <w:spacing w:after="40"/>
              <w:rPr>
                <w:bCs/>
                <w:snapToGrid w:val="0"/>
                <w:spacing w:val="-2"/>
              </w:rPr>
            </w:pPr>
            <w:r>
              <w:t>1 Jul 2019 (see r. 2(b))</w:t>
            </w:r>
          </w:p>
        </w:tc>
      </w:tr>
      <w:tr w:rsidR="00EA2503" w:rsidTr="00313D44">
        <w:trPr>
          <w:cantSplit/>
        </w:trPr>
        <w:tc>
          <w:tcPr>
            <w:tcW w:w="3113" w:type="dxa"/>
            <w:tcBorders>
              <w:top w:val="nil"/>
              <w:bottom w:val="nil"/>
            </w:tcBorders>
          </w:tcPr>
          <w:p w:rsidR="00EA2503" w:rsidRDefault="00AE6AE5">
            <w:pPr>
              <w:pStyle w:val="nTable"/>
              <w:spacing w:after="40"/>
              <w:rPr>
                <w:i/>
              </w:rPr>
            </w:pPr>
            <w:r>
              <w:rPr>
                <w:i/>
              </w:rPr>
              <w:t>Commerce Regulations Amendment (COVID-19 Response) Regulations (No. 2) 2020</w:t>
            </w:r>
            <w:r>
              <w:t xml:space="preserve"> Pt. 10</w:t>
            </w:r>
          </w:p>
        </w:tc>
        <w:tc>
          <w:tcPr>
            <w:tcW w:w="1281" w:type="dxa"/>
            <w:tcBorders>
              <w:top w:val="nil"/>
              <w:bottom w:val="nil"/>
            </w:tcBorders>
          </w:tcPr>
          <w:p w:rsidR="00EA2503" w:rsidRDefault="00AE6AE5">
            <w:pPr>
              <w:pStyle w:val="nTable"/>
              <w:spacing w:after="40"/>
            </w:pPr>
            <w:r>
              <w:t>SL 2020/196 27 Oct 2020</w:t>
            </w:r>
          </w:p>
        </w:tc>
        <w:tc>
          <w:tcPr>
            <w:tcW w:w="2694" w:type="dxa"/>
            <w:tcBorders>
              <w:top w:val="nil"/>
              <w:bottom w:val="nil"/>
            </w:tcBorders>
          </w:tcPr>
          <w:p w:rsidR="00EA2503" w:rsidRDefault="00AE6AE5">
            <w:pPr>
              <w:pStyle w:val="nTable"/>
              <w:keepNext/>
              <w:spacing w:after="40"/>
            </w:pPr>
            <w:r>
              <w:t>28 Oct 2020 (see r. 2(b))</w:t>
            </w:r>
          </w:p>
        </w:tc>
      </w:tr>
      <w:tr w:rsidR="00A8438C" w:rsidTr="00A8438C">
        <w:trPr>
          <w:cantSplit/>
        </w:trPr>
        <w:tc>
          <w:tcPr>
            <w:tcW w:w="3113" w:type="dxa"/>
            <w:tcBorders>
              <w:top w:val="nil"/>
              <w:bottom w:val="single" w:sz="4" w:space="0" w:color="auto"/>
            </w:tcBorders>
          </w:tcPr>
          <w:p w:rsidR="00A8438C" w:rsidRDefault="00A8438C" w:rsidP="00A8438C">
            <w:pPr>
              <w:pStyle w:val="nTable"/>
              <w:spacing w:after="40"/>
              <w:rPr>
                <w:i/>
              </w:rPr>
            </w:pPr>
            <w:r>
              <w:rPr>
                <w:i/>
              </w:rPr>
              <w:t>Commerce Regulations Amendment (Fees and Charges) Regulations 2021</w:t>
            </w:r>
            <w:r>
              <w:t xml:space="preserve"> Pt. 12</w:t>
            </w:r>
          </w:p>
        </w:tc>
        <w:tc>
          <w:tcPr>
            <w:tcW w:w="1281" w:type="dxa"/>
            <w:tcBorders>
              <w:top w:val="nil"/>
              <w:bottom w:val="single" w:sz="4" w:space="0" w:color="auto"/>
            </w:tcBorders>
          </w:tcPr>
          <w:p w:rsidR="00A8438C" w:rsidRDefault="00A8438C" w:rsidP="00A8438C">
            <w:pPr>
              <w:pStyle w:val="nTable"/>
              <w:spacing w:after="40"/>
            </w:pPr>
            <w:r>
              <w:t>SL 2021/86 21 Jun 2021</w:t>
            </w:r>
          </w:p>
        </w:tc>
        <w:tc>
          <w:tcPr>
            <w:tcW w:w="2694" w:type="dxa"/>
            <w:tcBorders>
              <w:top w:val="nil"/>
              <w:bottom w:val="single" w:sz="4" w:space="0" w:color="auto"/>
            </w:tcBorders>
          </w:tcPr>
          <w:p w:rsidR="00A8438C" w:rsidRDefault="00A8438C" w:rsidP="00A8438C">
            <w:pPr>
              <w:pStyle w:val="nTable"/>
              <w:keepNext/>
              <w:spacing w:after="40"/>
            </w:pPr>
            <w:r>
              <w:t>1 Jul 2021 (see r. 2(b))</w:t>
            </w:r>
          </w:p>
        </w:tc>
      </w:tr>
    </w:tbl>
    <w:p w:rsidR="00EA2503" w:rsidRDefault="00AE6AE5">
      <w:pPr>
        <w:pStyle w:val="nHeading3"/>
      </w:pPr>
      <w:bookmarkStart w:id="165" w:name="_Toc75759157"/>
      <w:r>
        <w:t>Other notes</w:t>
      </w:r>
      <w:bookmarkEnd w:id="165"/>
    </w:p>
    <w:p w:rsidR="00EA2503" w:rsidRDefault="00AE6AE5">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rsidR="00EA2503" w:rsidRDefault="00EA2503"/>
    <w:p w:rsidR="00EA2503" w:rsidRDefault="00EA2503">
      <w:pPr>
        <w:sectPr w:rsidR="00EA2503">
          <w:headerReference w:type="even" r:id="rId35"/>
          <w:headerReference w:type="default" r:id="rId36"/>
          <w:pgSz w:w="11907" w:h="16840" w:code="9"/>
          <w:pgMar w:top="2376" w:right="2404" w:bottom="3544" w:left="2404" w:header="720" w:footer="3380" w:gutter="0"/>
          <w:cols w:space="720"/>
          <w:noEndnote/>
          <w:docGrid w:linePitch="326"/>
        </w:sectPr>
      </w:pPr>
    </w:p>
    <w:p w:rsidR="00313D44" w:rsidRDefault="00313D44">
      <w:pPr>
        <w:pStyle w:val="nHeading2"/>
        <w:rPr>
          <w:sz w:val="28"/>
        </w:rPr>
      </w:pPr>
      <w:bookmarkStart w:id="167" w:name="_Toc75759158"/>
      <w:r>
        <w:rPr>
          <w:sz w:val="28"/>
        </w:rPr>
        <w:lastRenderedPageBreak/>
        <w:t>Defined terms</w:t>
      </w:r>
      <w:bookmarkEnd w:id="167"/>
    </w:p>
    <w:p w:rsidR="00313D44" w:rsidRDefault="00313D44">
      <w:pPr>
        <w:ind w:left="850" w:right="850"/>
        <w:jc w:val="center"/>
        <w:rPr>
          <w:i/>
          <w:sz w:val="18"/>
        </w:rPr>
      </w:pPr>
    </w:p>
    <w:p w:rsidR="00313D44" w:rsidRDefault="00313D44">
      <w:pPr>
        <w:ind w:left="850" w:right="850"/>
        <w:jc w:val="center"/>
        <w:rPr>
          <w:i/>
          <w:sz w:val="18"/>
        </w:rPr>
      </w:pPr>
      <w:r>
        <w:rPr>
          <w:i/>
          <w:sz w:val="18"/>
        </w:rPr>
        <w:t>[This is a list of terms defined and the provisions where they are defined.  The list is not part of the law.]</w:t>
      </w:r>
    </w:p>
    <w:p w:rsidR="00313D44" w:rsidRDefault="00313D44">
      <w:pPr>
        <w:pBdr>
          <w:bottom w:val="single" w:sz="4" w:space="1" w:color="auto"/>
        </w:pBdr>
        <w:tabs>
          <w:tab w:val="right" w:pos="7070"/>
        </w:tabs>
        <w:ind w:left="578"/>
        <w:rPr>
          <w:b/>
          <w:sz w:val="20"/>
        </w:rPr>
      </w:pPr>
      <w:r>
        <w:rPr>
          <w:b/>
          <w:sz w:val="20"/>
        </w:rPr>
        <w:t>Defined term</w:t>
      </w:r>
      <w:r>
        <w:rPr>
          <w:b/>
          <w:sz w:val="20"/>
        </w:rPr>
        <w:tab/>
        <w:t>Provision(s)</w:t>
      </w:r>
    </w:p>
    <w:p w:rsidR="00EA2503" w:rsidRDefault="00313D44" w:rsidP="00313D44">
      <w:pPr>
        <w:pStyle w:val="DefinedTerms"/>
      </w:pPr>
      <w:r>
        <w:t>apparatus</w:t>
      </w:r>
      <w:r>
        <w:tab/>
        <w:t>3(1)</w:t>
      </w:r>
    </w:p>
    <w:p w:rsidR="00313D44" w:rsidRDefault="00313D44" w:rsidP="00313D44">
      <w:pPr>
        <w:pStyle w:val="DefinedTerms"/>
      </w:pPr>
      <w:r>
        <w:t>appeal</w:t>
      </w:r>
      <w:r>
        <w:tab/>
        <w:t>31A</w:t>
      </w:r>
    </w:p>
    <w:p w:rsidR="00313D44" w:rsidRDefault="00313D44" w:rsidP="00313D44">
      <w:pPr>
        <w:pStyle w:val="DefinedTerms"/>
      </w:pPr>
      <w:r>
        <w:t>appellant</w:t>
      </w:r>
      <w:r>
        <w:tab/>
        <w:t>31A</w:t>
      </w:r>
    </w:p>
    <w:p w:rsidR="00313D44" w:rsidRDefault="00313D44" w:rsidP="00313D44">
      <w:pPr>
        <w:pStyle w:val="DefinedTerms"/>
      </w:pPr>
      <w:r>
        <w:t>appliance</w:t>
      </w:r>
      <w:r>
        <w:tab/>
        <w:t>3(1)</w:t>
      </w:r>
    </w:p>
    <w:p w:rsidR="00313D44" w:rsidRDefault="00313D44" w:rsidP="00313D44">
      <w:pPr>
        <w:pStyle w:val="DefinedTerms"/>
      </w:pPr>
      <w:r>
        <w:t>approved</w:t>
      </w:r>
      <w:r>
        <w:tab/>
        <w:t>3(1), Sch. 6 cl. 101</w:t>
      </w:r>
    </w:p>
    <w:p w:rsidR="00313D44" w:rsidRDefault="00313D44" w:rsidP="00313D44">
      <w:pPr>
        <w:pStyle w:val="DefinedTerms"/>
      </w:pPr>
      <w:r>
        <w:t>AS</w:t>
      </w:r>
      <w:r>
        <w:tab/>
        <w:t>3(1)</w:t>
      </w:r>
    </w:p>
    <w:p w:rsidR="00313D44" w:rsidRDefault="00313D44" w:rsidP="00313D44">
      <w:pPr>
        <w:pStyle w:val="DefinedTerms"/>
      </w:pPr>
      <w:r>
        <w:t>AS/NZS</w:t>
      </w:r>
      <w:r>
        <w:tab/>
        <w:t>3(1)</w:t>
      </w:r>
    </w:p>
    <w:p w:rsidR="00313D44" w:rsidRDefault="00313D44" w:rsidP="00313D44">
      <w:pPr>
        <w:pStyle w:val="DefinedTerms"/>
      </w:pPr>
      <w:r>
        <w:t>authorisation</w:t>
      </w:r>
      <w:r>
        <w:tab/>
        <w:t>3(1)</w:t>
      </w:r>
    </w:p>
    <w:p w:rsidR="00313D44" w:rsidRDefault="00313D44" w:rsidP="00313D44">
      <w:pPr>
        <w:pStyle w:val="DefinedTerms"/>
      </w:pPr>
      <w:r>
        <w:t>bathroom</w:t>
      </w:r>
      <w:r>
        <w:tab/>
        <w:t>Sch. 6 cl. 504(4)</w:t>
      </w:r>
    </w:p>
    <w:p w:rsidR="00313D44" w:rsidRDefault="00313D44" w:rsidP="00313D44">
      <w:pPr>
        <w:pStyle w:val="DefinedTerms"/>
      </w:pPr>
      <w:r>
        <w:t>bayonet fitting</w:t>
      </w:r>
      <w:r>
        <w:tab/>
        <w:t>Sch. 6 cl. 504(4)</w:t>
      </w:r>
    </w:p>
    <w:p w:rsidR="00313D44" w:rsidRDefault="00313D44" w:rsidP="00313D44">
      <w:pPr>
        <w:pStyle w:val="DefinedTerms"/>
      </w:pPr>
      <w:r>
        <w:t>bedroom</w:t>
      </w:r>
      <w:r>
        <w:tab/>
        <w:t>Sch. 6 cl. 101</w:t>
      </w:r>
    </w:p>
    <w:p w:rsidR="00313D44" w:rsidRDefault="00313D44" w:rsidP="00313D44">
      <w:pPr>
        <w:pStyle w:val="DefinedTerms"/>
      </w:pPr>
      <w:r>
        <w:t>caravan</w:t>
      </w:r>
      <w:r>
        <w:tab/>
        <w:t>3(1)</w:t>
      </w:r>
    </w:p>
    <w:p w:rsidR="00313D44" w:rsidRDefault="00313D44" w:rsidP="00313D44">
      <w:pPr>
        <w:pStyle w:val="DefinedTerms"/>
      </w:pPr>
      <w:r>
        <w:t>certificate of competency</w:t>
      </w:r>
      <w:r>
        <w:tab/>
        <w:t>3(1)</w:t>
      </w:r>
    </w:p>
    <w:p w:rsidR="00313D44" w:rsidRDefault="00313D44" w:rsidP="00313D44">
      <w:pPr>
        <w:pStyle w:val="DefinedTerms"/>
      </w:pPr>
      <w:r>
        <w:t>child care centre</w:t>
      </w:r>
      <w:r>
        <w:tab/>
        <w:t>Sch. 6 cl. 604A(1)</w:t>
      </w:r>
    </w:p>
    <w:p w:rsidR="00313D44" w:rsidRDefault="00313D44" w:rsidP="00313D44">
      <w:pPr>
        <w:pStyle w:val="DefinedTerms"/>
      </w:pPr>
      <w:r>
        <w:t xml:space="preserve">Class I permit </w:t>
      </w:r>
      <w:r>
        <w:tab/>
        <w:t>3(1)</w:t>
      </w:r>
    </w:p>
    <w:p w:rsidR="00313D44" w:rsidRDefault="00313D44" w:rsidP="00313D44">
      <w:pPr>
        <w:pStyle w:val="DefinedTerms"/>
      </w:pPr>
      <w:r>
        <w:t>commercial</w:t>
      </w:r>
      <w:r>
        <w:tab/>
        <w:t>42B(1)</w:t>
      </w:r>
    </w:p>
    <w:p w:rsidR="00313D44" w:rsidRDefault="00313D44" w:rsidP="00313D44">
      <w:pPr>
        <w:pStyle w:val="DefinedTerms"/>
      </w:pPr>
      <w:r>
        <w:t>commission</w:t>
      </w:r>
      <w:r>
        <w:tab/>
        <w:t>17</w:t>
      </w:r>
    </w:p>
    <w:p w:rsidR="00313D44" w:rsidRDefault="00313D44" w:rsidP="00313D44">
      <w:pPr>
        <w:pStyle w:val="DefinedTerms"/>
      </w:pPr>
      <w:r>
        <w:t>domestic</w:t>
      </w:r>
      <w:r>
        <w:tab/>
        <w:t>42B(1)</w:t>
      </w:r>
    </w:p>
    <w:p w:rsidR="00313D44" w:rsidRDefault="00313D44" w:rsidP="00313D44">
      <w:pPr>
        <w:pStyle w:val="DefinedTerms"/>
      </w:pPr>
      <w:r>
        <w:t>employer</w:t>
      </w:r>
      <w:r>
        <w:tab/>
        <w:t>16(3)</w:t>
      </w:r>
    </w:p>
    <w:p w:rsidR="00313D44" w:rsidRDefault="00313D44" w:rsidP="00313D44">
      <w:pPr>
        <w:pStyle w:val="DefinedTerms"/>
      </w:pPr>
      <w:r>
        <w:t>fitting</w:t>
      </w:r>
      <w:r>
        <w:tab/>
        <w:t>3(1)</w:t>
      </w:r>
    </w:p>
    <w:p w:rsidR="00313D44" w:rsidRDefault="00313D44" w:rsidP="00313D44">
      <w:pPr>
        <w:pStyle w:val="DefinedTerms"/>
      </w:pPr>
      <w:r>
        <w:t>fitting line</w:t>
      </w:r>
      <w:r>
        <w:tab/>
        <w:t>3(1)</w:t>
      </w:r>
    </w:p>
    <w:p w:rsidR="00313D44" w:rsidRDefault="00313D44" w:rsidP="00313D44">
      <w:pPr>
        <w:pStyle w:val="DefinedTerms"/>
      </w:pPr>
      <w:r>
        <w:t>fitting line regulator</w:t>
      </w:r>
      <w:r>
        <w:tab/>
        <w:t>Sch. 6 cl. 406(2)</w:t>
      </w:r>
    </w:p>
    <w:p w:rsidR="00313D44" w:rsidRDefault="00313D44" w:rsidP="00313D44">
      <w:pPr>
        <w:pStyle w:val="DefinedTerms"/>
      </w:pPr>
      <w:r>
        <w:t>flame safeguard system</w:t>
      </w:r>
      <w:r>
        <w:tab/>
        <w:t>Sch. 6 cl. 101</w:t>
      </w:r>
    </w:p>
    <w:p w:rsidR="00313D44" w:rsidRDefault="00313D44" w:rsidP="00313D44">
      <w:pPr>
        <w:pStyle w:val="DefinedTerms"/>
      </w:pPr>
      <w:r>
        <w:t>flue</w:t>
      </w:r>
      <w:r>
        <w:tab/>
        <w:t>3(1)</w:t>
      </w:r>
    </w:p>
    <w:p w:rsidR="00313D44" w:rsidRDefault="00313D44" w:rsidP="00313D44">
      <w:pPr>
        <w:pStyle w:val="DefinedTerms"/>
      </w:pPr>
      <w:r>
        <w:t>flue gas</w:t>
      </w:r>
      <w:r>
        <w:tab/>
        <w:t>3(1)</w:t>
      </w:r>
    </w:p>
    <w:p w:rsidR="00313D44" w:rsidRDefault="00313D44" w:rsidP="00313D44">
      <w:pPr>
        <w:pStyle w:val="DefinedTerms"/>
      </w:pPr>
      <w:r>
        <w:t>flue terminal</w:t>
      </w:r>
      <w:r>
        <w:tab/>
        <w:t>3(1)</w:t>
      </w:r>
    </w:p>
    <w:p w:rsidR="00313D44" w:rsidRDefault="00313D44" w:rsidP="00313D44">
      <w:pPr>
        <w:pStyle w:val="DefinedTerms"/>
      </w:pPr>
      <w:r>
        <w:t>gas fitter</w:t>
      </w:r>
      <w:r>
        <w:tab/>
        <w:t>3(1)</w:t>
      </w:r>
    </w:p>
    <w:p w:rsidR="00313D44" w:rsidRDefault="00313D44" w:rsidP="00313D44">
      <w:pPr>
        <w:pStyle w:val="DefinedTerms"/>
      </w:pPr>
      <w:r>
        <w:t>gas supplier</w:t>
      </w:r>
      <w:r>
        <w:tab/>
        <w:t>3(1)</w:t>
      </w:r>
    </w:p>
    <w:p w:rsidR="00313D44" w:rsidRDefault="00313D44" w:rsidP="00313D44">
      <w:pPr>
        <w:pStyle w:val="DefinedTerms"/>
      </w:pPr>
      <w:r>
        <w:t>incident</w:t>
      </w:r>
      <w:r>
        <w:tab/>
        <w:t>42(3)</w:t>
      </w:r>
    </w:p>
    <w:p w:rsidR="00313D44" w:rsidRDefault="00313D44" w:rsidP="00313D44">
      <w:pPr>
        <w:pStyle w:val="DefinedTerms"/>
      </w:pPr>
      <w:r>
        <w:t>LPG</w:t>
      </w:r>
      <w:r>
        <w:tab/>
        <w:t>3(1)</w:t>
      </w:r>
    </w:p>
    <w:p w:rsidR="00313D44" w:rsidRDefault="00313D44" w:rsidP="00313D44">
      <w:pPr>
        <w:pStyle w:val="DefinedTerms"/>
      </w:pPr>
      <w:r>
        <w:t>master meter</w:t>
      </w:r>
      <w:r>
        <w:tab/>
        <w:t>3(1)</w:t>
      </w:r>
    </w:p>
    <w:p w:rsidR="00313D44" w:rsidRDefault="00313D44" w:rsidP="00313D44">
      <w:pPr>
        <w:pStyle w:val="DefinedTerms"/>
      </w:pPr>
      <w:r>
        <w:t>maximum hourly input rate</w:t>
      </w:r>
      <w:r>
        <w:tab/>
        <w:t>3(1)</w:t>
      </w:r>
    </w:p>
    <w:p w:rsidR="00313D44" w:rsidRDefault="00313D44" w:rsidP="00313D44">
      <w:pPr>
        <w:pStyle w:val="DefinedTerms"/>
      </w:pPr>
      <w:r>
        <w:t>meter</w:t>
      </w:r>
      <w:r>
        <w:tab/>
        <w:t>3(1)</w:t>
      </w:r>
    </w:p>
    <w:p w:rsidR="00313D44" w:rsidRDefault="00313D44" w:rsidP="00313D44">
      <w:pPr>
        <w:pStyle w:val="DefinedTerms"/>
      </w:pPr>
      <w:r>
        <w:t>mobile engine</w:t>
      </w:r>
      <w:r>
        <w:tab/>
        <w:t>3(1)</w:t>
      </w:r>
    </w:p>
    <w:p w:rsidR="00313D44" w:rsidRDefault="00313D44" w:rsidP="00313D44">
      <w:pPr>
        <w:pStyle w:val="DefinedTerms"/>
      </w:pPr>
      <w:r>
        <w:t>natural gas</w:t>
      </w:r>
      <w:r>
        <w:tab/>
        <w:t>3(1)</w:t>
      </w:r>
    </w:p>
    <w:p w:rsidR="00313D44" w:rsidRDefault="00313D44" w:rsidP="00313D44">
      <w:pPr>
        <w:pStyle w:val="DefinedTerms"/>
      </w:pPr>
      <w:r>
        <w:t>notice of completion</w:t>
      </w:r>
      <w:r>
        <w:tab/>
        <w:t>3(1)</w:t>
      </w:r>
    </w:p>
    <w:p w:rsidR="00313D44" w:rsidRDefault="00313D44" w:rsidP="00313D44">
      <w:pPr>
        <w:pStyle w:val="DefinedTerms"/>
      </w:pPr>
      <w:r>
        <w:t>notice of defects</w:t>
      </w:r>
      <w:r>
        <w:tab/>
        <w:t>17</w:t>
      </w:r>
    </w:p>
    <w:p w:rsidR="00313D44" w:rsidRDefault="00313D44" w:rsidP="00313D44">
      <w:pPr>
        <w:pStyle w:val="DefinedTerms"/>
      </w:pPr>
      <w:r>
        <w:t>permit</w:t>
      </w:r>
      <w:r>
        <w:tab/>
        <w:t>3(1)</w:t>
      </w:r>
    </w:p>
    <w:p w:rsidR="00313D44" w:rsidRDefault="00313D44" w:rsidP="00313D44">
      <w:pPr>
        <w:pStyle w:val="DefinedTerms"/>
      </w:pPr>
      <w:r>
        <w:t>prescribed pressure</w:t>
      </w:r>
      <w:r>
        <w:tab/>
        <w:t>Sch. 6 cl. 101</w:t>
      </w:r>
    </w:p>
    <w:p w:rsidR="00313D44" w:rsidRDefault="00313D44" w:rsidP="00313D44">
      <w:pPr>
        <w:pStyle w:val="DefinedTerms"/>
      </w:pPr>
      <w:r>
        <w:t>pressure raising device</w:t>
      </w:r>
      <w:r>
        <w:tab/>
        <w:t>3(1)</w:t>
      </w:r>
    </w:p>
    <w:p w:rsidR="00313D44" w:rsidRDefault="00313D44" w:rsidP="00313D44">
      <w:pPr>
        <w:pStyle w:val="DefinedTerms"/>
      </w:pPr>
      <w:r>
        <w:lastRenderedPageBreak/>
        <w:t>registered gas fitter</w:t>
      </w:r>
      <w:r>
        <w:tab/>
        <w:t>3(1)</w:t>
      </w:r>
    </w:p>
    <w:p w:rsidR="00313D44" w:rsidRDefault="00313D44" w:rsidP="00313D44">
      <w:pPr>
        <w:pStyle w:val="DefinedTerms"/>
      </w:pPr>
      <w:r>
        <w:t>regulator</w:t>
      </w:r>
      <w:r>
        <w:tab/>
        <w:t>3(1)</w:t>
      </w:r>
    </w:p>
    <w:p w:rsidR="00313D44" w:rsidRDefault="00313D44" w:rsidP="00313D44">
      <w:pPr>
        <w:pStyle w:val="DefinedTerms"/>
      </w:pPr>
      <w:r>
        <w:t>repealed regulations</w:t>
      </w:r>
      <w:r>
        <w:tab/>
        <w:t>43(2)</w:t>
      </w:r>
    </w:p>
    <w:p w:rsidR="00313D44" w:rsidRDefault="00313D44" w:rsidP="00313D44">
      <w:pPr>
        <w:pStyle w:val="DefinedTerms"/>
      </w:pPr>
      <w:r>
        <w:t>school</w:t>
      </w:r>
      <w:r>
        <w:tab/>
        <w:t>Sch. 6 cl. 604A(1)</w:t>
      </w:r>
    </w:p>
    <w:p w:rsidR="00313D44" w:rsidRDefault="00313D44" w:rsidP="00313D44">
      <w:pPr>
        <w:pStyle w:val="DefinedTerms"/>
      </w:pPr>
      <w:r>
        <w:t>service apparatus</w:t>
      </w:r>
      <w:r>
        <w:tab/>
        <w:t>37(2)</w:t>
      </w:r>
    </w:p>
    <w:p w:rsidR="00313D44" w:rsidRDefault="00313D44" w:rsidP="00313D44">
      <w:pPr>
        <w:pStyle w:val="DefinedTerms"/>
      </w:pPr>
      <w:r>
        <w:t>service information</w:t>
      </w:r>
      <w:r>
        <w:tab/>
        <w:t>23(4)</w:t>
      </w:r>
    </w:p>
    <w:p w:rsidR="00313D44" w:rsidRDefault="00313D44" w:rsidP="00313D44">
      <w:pPr>
        <w:pStyle w:val="DefinedTerms"/>
      </w:pPr>
      <w:r>
        <w:t>servicing</w:t>
      </w:r>
      <w:r>
        <w:tab/>
        <w:t>3(1)</w:t>
      </w:r>
    </w:p>
    <w:p w:rsidR="00313D44" w:rsidRDefault="00313D44" w:rsidP="00313D44">
      <w:pPr>
        <w:pStyle w:val="DefinedTerms"/>
      </w:pPr>
      <w:r>
        <w:t>specified</w:t>
      </w:r>
      <w:r>
        <w:tab/>
        <w:t>16(3)</w:t>
      </w:r>
    </w:p>
    <w:p w:rsidR="00313D44" w:rsidRDefault="00313D44" w:rsidP="00313D44">
      <w:pPr>
        <w:pStyle w:val="DefinedTerms"/>
      </w:pPr>
      <w:r>
        <w:t>supervised gas fitter</w:t>
      </w:r>
      <w:r>
        <w:tab/>
        <w:t>3(1)</w:t>
      </w:r>
    </w:p>
    <w:p w:rsidR="00313D44" w:rsidRDefault="00313D44" w:rsidP="00313D44">
      <w:pPr>
        <w:pStyle w:val="DefinedTerms"/>
      </w:pPr>
      <w:r>
        <w:t>supervising gas fitter</w:t>
      </w:r>
      <w:r>
        <w:tab/>
        <w:t>3(1)</w:t>
      </w:r>
    </w:p>
    <w:p w:rsidR="00313D44" w:rsidRDefault="00313D44" w:rsidP="00313D44">
      <w:pPr>
        <w:pStyle w:val="DefinedTerms"/>
      </w:pPr>
      <w:r>
        <w:t>technical review panel</w:t>
      </w:r>
      <w:r>
        <w:tab/>
        <w:t>31A</w:t>
      </w:r>
    </w:p>
    <w:p w:rsidR="00313D44" w:rsidRDefault="00313D44" w:rsidP="00313D44">
      <w:pPr>
        <w:pStyle w:val="DefinedTerms"/>
      </w:pPr>
      <w:r>
        <w:t>Type B appliance</w:t>
      </w:r>
      <w:r>
        <w:tab/>
        <w:t>3(1)</w:t>
      </w:r>
    </w:p>
    <w:p w:rsidR="00313D44" w:rsidRDefault="00313D44" w:rsidP="00313D44">
      <w:pPr>
        <w:pStyle w:val="DefinedTerms"/>
      </w:pPr>
      <w:r>
        <w:t>valve</w:t>
      </w:r>
      <w:r>
        <w:tab/>
        <w:t>3(1)</w:t>
      </w:r>
    </w:p>
    <w:p w:rsidR="00313D44" w:rsidRDefault="00313D44" w:rsidP="00313D44"/>
    <w:p w:rsidR="00313D44" w:rsidRDefault="00313D44">
      <w:pPr>
        <w:sectPr w:rsidR="00313D44">
          <w:headerReference w:type="even" r:id="rId37"/>
          <w:headerReference w:type="default" r:id="rId38"/>
          <w:pgSz w:w="11907" w:h="16840" w:code="9"/>
          <w:pgMar w:top="2381" w:right="2409" w:bottom="3543" w:left="2409" w:header="720" w:footer="3380" w:gutter="0"/>
          <w:cols w:space="720"/>
          <w:noEndnote/>
          <w:docGrid w:linePitch="326"/>
        </w:sectPr>
      </w:pPr>
    </w:p>
    <w:p w:rsidR="00EA2503" w:rsidRDefault="00EA2503"/>
    <w:sectPr w:rsidR="00EA2503">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503" w:rsidRDefault="00AE6AE5">
      <w:r>
        <w:separator/>
      </w:r>
    </w:p>
  </w:endnote>
  <w:endnote w:type="continuationSeparator" w:id="0">
    <w:p w:rsidR="00EA2503" w:rsidRDefault="00AE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Footer"/>
      <w:pBdr>
        <w:bottom w:val="single" w:sz="4" w:space="1" w:color="auto"/>
      </w:pBdr>
      <w:rPr>
        <w:sz w:val="20"/>
      </w:rPr>
    </w:pPr>
  </w:p>
  <w:p w:rsidR="00EA2503" w:rsidRDefault="00AE6AE5">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655B25">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55B25">
      <w:rPr>
        <w:sz w:val="20"/>
      </w:rPr>
      <w:t>01 Jul 2021</w:t>
    </w:r>
    <w:r>
      <w:rPr>
        <w:sz w:val="20"/>
      </w:rPr>
      <w:fldChar w:fldCharType="end"/>
    </w:r>
  </w:p>
  <w:p w:rsidR="00EA2503" w:rsidRDefault="00AE6AE5">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Footer"/>
      <w:pBdr>
        <w:bottom w:val="single" w:sz="4" w:space="1" w:color="auto"/>
      </w:pBdr>
      <w:rPr>
        <w:sz w:val="20"/>
      </w:rPr>
    </w:pPr>
  </w:p>
  <w:p w:rsidR="00EA2503" w:rsidRDefault="00AE6A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55B2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55B25">
      <w:rPr>
        <w:sz w:val="20"/>
      </w:rPr>
      <w:t>05-l0-00</w:t>
    </w:r>
    <w:r>
      <w:rPr>
        <w:sz w:val="20"/>
      </w:rPr>
      <w:fldChar w:fldCharType="end"/>
    </w:r>
  </w:p>
  <w:p w:rsidR="00EA2503" w:rsidRDefault="00AE6AE5">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Footer"/>
      <w:pBdr>
        <w:bottom w:val="single" w:sz="4" w:space="1" w:color="auto"/>
      </w:pBdr>
      <w:rPr>
        <w:sz w:val="20"/>
      </w:rPr>
    </w:pPr>
  </w:p>
  <w:p w:rsidR="00EA2503" w:rsidRDefault="00AE6A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55B2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55B25">
      <w:rPr>
        <w:sz w:val="20"/>
      </w:rPr>
      <w:t>05-l0-00</w:t>
    </w:r>
    <w:r>
      <w:rPr>
        <w:sz w:val="20"/>
      </w:rPr>
      <w:fldChar w:fldCharType="end"/>
    </w:r>
  </w:p>
  <w:p w:rsidR="00EA2503" w:rsidRDefault="00AE6AE5">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Footer"/>
      <w:pBdr>
        <w:bottom w:val="single" w:sz="4" w:space="1" w:color="auto"/>
      </w:pBdr>
      <w:rPr>
        <w:sz w:val="20"/>
      </w:rPr>
    </w:pPr>
  </w:p>
  <w:p w:rsidR="00EA2503" w:rsidRDefault="00AE6AE5">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55B25">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655B25">
      <w:rPr>
        <w:sz w:val="20"/>
      </w:rPr>
      <w:t>01 Jul 2021</w:t>
    </w:r>
    <w:r>
      <w:rPr>
        <w:sz w:val="20"/>
      </w:rPr>
      <w:fldChar w:fldCharType="end"/>
    </w:r>
  </w:p>
  <w:p w:rsidR="00EA2503" w:rsidRDefault="00AE6AE5">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Footer"/>
      <w:pBdr>
        <w:bottom w:val="single" w:sz="4" w:space="1" w:color="auto"/>
      </w:pBdr>
      <w:rPr>
        <w:sz w:val="20"/>
      </w:rPr>
    </w:pPr>
  </w:p>
  <w:p w:rsidR="00EA2503" w:rsidRDefault="00AE6A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55B2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55B25">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rsidR="00EA2503" w:rsidRDefault="00AE6AE5">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Footer"/>
      <w:pBdr>
        <w:bottom w:val="single" w:sz="4" w:space="1" w:color="auto"/>
      </w:pBdr>
      <w:rPr>
        <w:sz w:val="20"/>
      </w:rPr>
    </w:pPr>
  </w:p>
  <w:p w:rsidR="00EA2503" w:rsidRDefault="00AE6AE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655B25">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655B25">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A2503" w:rsidRDefault="00AE6AE5">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503" w:rsidRDefault="00AE6AE5">
      <w:r>
        <w:separator/>
      </w:r>
    </w:p>
  </w:footnote>
  <w:footnote w:type="continuationSeparator" w:id="0">
    <w:p w:rsidR="00EA2503" w:rsidRDefault="00AE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25" w:rsidRDefault="00655B2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A2503">
      <w:trPr>
        <w:cantSplit/>
        <w:jc w:val="center"/>
      </w:trPr>
      <w:tc>
        <w:tcPr>
          <w:tcW w:w="7258" w:type="dxa"/>
          <w:gridSpan w:val="2"/>
        </w:tcPr>
        <w:p w:rsidR="00EA2503" w:rsidRDefault="00AE6AE5">
          <w:pPr>
            <w:pStyle w:val="Header"/>
            <w:ind w:right="315"/>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styleref CharSchno</w:instrText>
          </w:r>
          <w:r>
            <w:rPr>
              <w:b/>
            </w:rPr>
            <w:fldChar w:fldCharType="end"/>
          </w:r>
        </w:p>
      </w:tc>
      <w:tc>
        <w:tcPr>
          <w:tcW w:w="5715" w:type="dxa"/>
        </w:tcPr>
        <w:p w:rsidR="00EA2503" w:rsidRDefault="00AE6AE5">
          <w:pPr>
            <w:pStyle w:val="Header"/>
            <w:spacing w:before="40"/>
          </w:pPr>
          <w:r>
            <w:fldChar w:fldCharType="begin"/>
          </w:r>
          <w:r>
            <w:instrText>styleref CharSchText</w:instrText>
          </w:r>
          <w: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rsidR="00EA2503" w:rsidRDefault="00AE6AE5">
          <w:pPr>
            <w:pStyle w:val="Header"/>
            <w:spacing w:before="40"/>
          </w:pPr>
          <w:r>
            <w:fldChar w:fldCharType="begin"/>
          </w:r>
          <w:r>
            <w:instrText xml:space="preserve"> styleref CharSDivText </w:instrText>
          </w:r>
          <w:r>
            <w:fldChar w:fldCharType="end"/>
          </w:r>
        </w:p>
      </w:tc>
    </w:tr>
    <w:tr w:rsidR="00EA2503">
      <w:trPr>
        <w:jc w:val="center"/>
      </w:trPr>
      <w:tc>
        <w:tcPr>
          <w:tcW w:w="1548" w:type="dxa"/>
        </w:tcPr>
        <w:p w:rsidR="00EA2503" w:rsidRDefault="00EA2503">
          <w:pPr>
            <w:pStyle w:val="Header"/>
            <w:spacing w:before="40"/>
          </w:pPr>
        </w:p>
      </w:tc>
      <w:tc>
        <w:tcPr>
          <w:tcW w:w="5715" w:type="dxa"/>
        </w:tcPr>
        <w:p w:rsidR="00EA2503" w:rsidRDefault="00EA2503">
          <w:pPr>
            <w:pStyle w:val="Header"/>
            <w:spacing w:before="40"/>
          </w:pPr>
        </w:p>
      </w:tc>
    </w:tr>
  </w:tbl>
  <w:p w:rsidR="00EA2503" w:rsidRDefault="00EA250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A2503">
      <w:trPr>
        <w:cantSplit/>
        <w:jc w:val="center"/>
      </w:trPr>
      <w:tc>
        <w:tcPr>
          <w:tcW w:w="7263" w:type="dxa"/>
          <w:gridSpan w:val="2"/>
        </w:tcPr>
        <w:p w:rsidR="00EA2503" w:rsidRDefault="00AE6AE5">
          <w:pPr>
            <w:pStyle w:val="Header"/>
            <w:ind w:left="284" w:right="17"/>
            <w:jc w:val="right"/>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5715" w:type="dxa"/>
          <w:vAlign w:val="bottom"/>
        </w:tcPr>
        <w:p w:rsidR="00EA2503" w:rsidRDefault="00AE6AE5">
          <w:pPr>
            <w:pStyle w:val="Header"/>
            <w:spacing w:before="40"/>
            <w:jc w:val="right"/>
          </w:pPr>
          <w:r>
            <w:fldChar w:fldCharType="begin"/>
          </w:r>
          <w:r>
            <w:instrText>styleref CharSchText</w:instrText>
          </w:r>
          <w:r>
            <w:fldChar w:fldCharType="end"/>
          </w:r>
        </w:p>
      </w:tc>
      <w:tc>
        <w:tcPr>
          <w:tcW w:w="1548" w:type="dxa"/>
        </w:tcPr>
        <w:p w:rsidR="00EA2503" w:rsidRDefault="00AE6AE5">
          <w:pPr>
            <w:pStyle w:val="Header"/>
            <w:spacing w:before="40"/>
            <w:ind w:right="17"/>
            <w:jc w:val="right"/>
          </w:pPr>
          <w:r>
            <w:rPr>
              <w:b/>
            </w:rPr>
            <w:fldChar w:fldCharType="begin"/>
          </w:r>
          <w:r>
            <w:rPr>
              <w:b/>
            </w:rPr>
            <w:instrText>styleref CharSchno</w:instrText>
          </w:r>
          <w:r>
            <w:rPr>
              <w:b/>
            </w:rPr>
            <w:fldChar w:fldCharType="end"/>
          </w:r>
        </w:p>
      </w:tc>
    </w:tr>
    <w:tr w:rsidR="00EA2503">
      <w:trPr>
        <w:jc w:val="center"/>
      </w:trPr>
      <w:tc>
        <w:tcPr>
          <w:tcW w:w="5715" w:type="dxa"/>
        </w:tcPr>
        <w:p w:rsidR="00EA2503" w:rsidRDefault="00AE6AE5">
          <w:pPr>
            <w:pStyle w:val="Header"/>
            <w:spacing w:before="40"/>
            <w:jc w:val="right"/>
          </w:pPr>
          <w:r>
            <w:fldChar w:fldCharType="begin"/>
          </w:r>
          <w:r>
            <w:instrText xml:space="preserve"> styleref CharSDivText </w:instrText>
          </w:r>
          <w:r>
            <w:fldChar w:fldCharType="end"/>
          </w:r>
        </w:p>
      </w:tc>
      <w:tc>
        <w:tcPr>
          <w:tcW w:w="1548" w:type="dxa"/>
        </w:tcPr>
        <w:p w:rsidR="00EA2503" w:rsidRDefault="00AE6AE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A2503">
      <w:trPr>
        <w:jc w:val="center"/>
      </w:trPr>
      <w:tc>
        <w:tcPr>
          <w:tcW w:w="5715" w:type="dxa"/>
        </w:tcPr>
        <w:p w:rsidR="00EA2503" w:rsidRDefault="00EA2503">
          <w:pPr>
            <w:pStyle w:val="Header"/>
            <w:spacing w:before="40"/>
            <w:jc w:val="right"/>
          </w:pPr>
        </w:p>
      </w:tc>
      <w:tc>
        <w:tcPr>
          <w:tcW w:w="1548" w:type="dxa"/>
        </w:tcPr>
        <w:p w:rsidR="00EA2503" w:rsidRDefault="00EA2503">
          <w:pPr>
            <w:pStyle w:val="Header"/>
            <w:spacing w:before="40"/>
            <w:ind w:right="17"/>
            <w:jc w:val="right"/>
          </w:pPr>
        </w:p>
      </w:tc>
    </w:tr>
  </w:tbl>
  <w:p w:rsidR="00EA2503" w:rsidRDefault="00EA2503">
    <w:pPr>
      <w:pStyle w:val="Header"/>
      <w:pBdr>
        <w:top w:val="single" w:sz="4" w:space="1" w:color="auto"/>
      </w:pBdr>
    </w:pPr>
    <w:bookmarkStart w:id="83" w:name="Schedule"/>
    <w:bookmarkEnd w:id="8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A2503">
      <w:trPr>
        <w:cantSplit/>
        <w:jc w:val="center"/>
      </w:trPr>
      <w:tc>
        <w:tcPr>
          <w:tcW w:w="7258" w:type="dxa"/>
          <w:gridSpan w:val="2"/>
        </w:tcPr>
        <w:p w:rsidR="00EA2503" w:rsidRDefault="00AE6AE5">
          <w:pPr>
            <w:pStyle w:val="Header"/>
            <w:ind w:right="315"/>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 xml:space="preserve"> styleref CharSchno </w:instrText>
          </w:r>
          <w:r>
            <w:rPr>
              <w:b/>
            </w:rPr>
            <w:fldChar w:fldCharType="separate"/>
          </w:r>
          <w:r w:rsidR="00655B25">
            <w:rPr>
              <w:b/>
            </w:rPr>
            <w:t>Schedule 2</w:t>
          </w:r>
          <w:r>
            <w:rPr>
              <w:b/>
            </w:rPr>
            <w:fldChar w:fldCharType="end"/>
          </w:r>
        </w:p>
      </w:tc>
      <w:tc>
        <w:tcPr>
          <w:tcW w:w="5715" w:type="dxa"/>
        </w:tcPr>
        <w:p w:rsidR="00EA2503" w:rsidRDefault="00AE6AE5">
          <w:pPr>
            <w:pStyle w:val="Header"/>
            <w:spacing w:before="40"/>
          </w:pPr>
          <w:r>
            <w:fldChar w:fldCharType="begin"/>
          </w:r>
          <w:r>
            <w:instrText xml:space="preserve"> styleref CharSchText </w:instrText>
          </w:r>
          <w:r>
            <w:fldChar w:fldCharType="separate"/>
          </w:r>
          <w:r w:rsidR="00655B25">
            <w:t>Forms</w:t>
          </w:r>
          <w: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EA2503" w:rsidRDefault="00AE6AE5">
          <w:pPr>
            <w:pStyle w:val="Header"/>
            <w:spacing w:before="40"/>
          </w:pPr>
          <w:r>
            <w:fldChar w:fldCharType="begin"/>
          </w:r>
          <w:r>
            <w:instrText xml:space="preserve"> styleref CharSDivText </w:instrText>
          </w:r>
          <w:r>
            <w:fldChar w:fldCharType="end"/>
          </w:r>
        </w:p>
      </w:tc>
    </w:tr>
    <w:tr w:rsidR="00EA2503">
      <w:trPr>
        <w:jc w:val="center"/>
      </w:trPr>
      <w:tc>
        <w:tcPr>
          <w:tcW w:w="1548" w:type="dxa"/>
        </w:tcPr>
        <w:p w:rsidR="00EA2503" w:rsidRDefault="00AE6AE5">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55B25">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55B25">
            <w:rPr>
              <w:b/>
            </w:rPr>
            <w:instrText>1</w:instrText>
          </w:r>
          <w:r>
            <w:rPr>
              <w:b/>
            </w:rPr>
            <w:fldChar w:fldCharType="end"/>
          </w:r>
          <w:r>
            <w:rPr>
              <w:b/>
            </w:rPr>
            <w:instrText xml:space="preserve"> </w:instrText>
          </w:r>
          <w:r>
            <w:rPr>
              <w:b/>
            </w:rPr>
            <w:fldChar w:fldCharType="separate"/>
          </w:r>
          <w:r w:rsidR="00655B25">
            <w:rPr>
              <w:b/>
            </w:rPr>
            <w:t>1</w:t>
          </w:r>
          <w:r>
            <w:rPr>
              <w:b/>
            </w:rPr>
            <w:fldChar w:fldCharType="end"/>
          </w:r>
        </w:p>
      </w:tc>
      <w:tc>
        <w:tcPr>
          <w:tcW w:w="5715" w:type="dxa"/>
        </w:tcPr>
        <w:p w:rsidR="00EA2503" w:rsidRDefault="00EA2503">
          <w:pPr>
            <w:pStyle w:val="Header"/>
            <w:spacing w:before="40"/>
          </w:pPr>
        </w:p>
      </w:tc>
    </w:tr>
  </w:tbl>
  <w:p w:rsidR="00EA2503" w:rsidRDefault="00EA250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A2503">
      <w:trPr>
        <w:cantSplit/>
        <w:jc w:val="center"/>
      </w:trPr>
      <w:tc>
        <w:tcPr>
          <w:tcW w:w="7263" w:type="dxa"/>
          <w:gridSpan w:val="2"/>
        </w:tcPr>
        <w:p w:rsidR="00EA2503" w:rsidRDefault="00AE6AE5">
          <w:pPr>
            <w:pStyle w:val="Header"/>
            <w:ind w:right="17"/>
            <w:jc w:val="right"/>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5715" w:type="dxa"/>
          <w:vAlign w:val="bottom"/>
        </w:tcPr>
        <w:p w:rsidR="00EA2503" w:rsidRDefault="00AE6AE5">
          <w:pPr>
            <w:pStyle w:val="Header"/>
            <w:spacing w:before="40"/>
            <w:jc w:val="right"/>
          </w:pPr>
          <w:r>
            <w:fldChar w:fldCharType="begin"/>
          </w:r>
          <w:r>
            <w:instrText xml:space="preserve"> styleref CharSchText </w:instrText>
          </w:r>
          <w:r>
            <w:fldChar w:fldCharType="separate"/>
          </w:r>
          <w:r w:rsidR="00655B25">
            <w:t>Forms</w:t>
          </w:r>
          <w:r>
            <w:fldChar w:fldCharType="end"/>
          </w:r>
        </w:p>
      </w:tc>
      <w:tc>
        <w:tcPr>
          <w:tcW w:w="1548" w:type="dxa"/>
        </w:tcPr>
        <w:p w:rsidR="00EA2503" w:rsidRDefault="00AE6AE5">
          <w:pPr>
            <w:pStyle w:val="Header"/>
            <w:spacing w:before="40"/>
            <w:ind w:right="17"/>
            <w:jc w:val="right"/>
          </w:pPr>
          <w:r>
            <w:rPr>
              <w:b/>
            </w:rPr>
            <w:fldChar w:fldCharType="begin"/>
          </w:r>
          <w:r>
            <w:rPr>
              <w:b/>
            </w:rPr>
            <w:instrText xml:space="preserve"> styleref CharSchno </w:instrText>
          </w:r>
          <w:r>
            <w:rPr>
              <w:b/>
            </w:rPr>
            <w:fldChar w:fldCharType="separate"/>
          </w:r>
          <w:r w:rsidR="00655B25">
            <w:rPr>
              <w:b/>
            </w:rPr>
            <w:t>Schedule 2</w:t>
          </w:r>
          <w:r>
            <w:rPr>
              <w:b/>
            </w:rPr>
            <w:fldChar w:fldCharType="end"/>
          </w:r>
        </w:p>
      </w:tc>
    </w:tr>
    <w:tr w:rsidR="00EA2503">
      <w:trPr>
        <w:jc w:val="center"/>
      </w:trPr>
      <w:tc>
        <w:tcPr>
          <w:tcW w:w="5715" w:type="dxa"/>
        </w:tcPr>
        <w:p w:rsidR="00EA2503" w:rsidRDefault="00AE6AE5">
          <w:pPr>
            <w:pStyle w:val="Header"/>
            <w:spacing w:before="40"/>
            <w:jc w:val="right"/>
          </w:pPr>
          <w:r>
            <w:fldChar w:fldCharType="begin"/>
          </w:r>
          <w:r>
            <w:instrText xml:space="preserve"> styleref CharSDivText </w:instrText>
          </w:r>
          <w:r>
            <w:fldChar w:fldCharType="end"/>
          </w:r>
        </w:p>
      </w:tc>
      <w:tc>
        <w:tcPr>
          <w:tcW w:w="1548" w:type="dxa"/>
        </w:tcPr>
        <w:p w:rsidR="00EA2503" w:rsidRDefault="00AE6AE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A2503">
      <w:trPr>
        <w:jc w:val="center"/>
      </w:trPr>
      <w:tc>
        <w:tcPr>
          <w:tcW w:w="5715" w:type="dxa"/>
        </w:tcPr>
        <w:p w:rsidR="00EA2503" w:rsidRDefault="00EA2503">
          <w:pPr>
            <w:pStyle w:val="Header"/>
            <w:spacing w:before="40"/>
            <w:jc w:val="right"/>
          </w:pPr>
        </w:p>
      </w:tc>
      <w:tc>
        <w:tcPr>
          <w:tcW w:w="1548" w:type="dxa"/>
        </w:tcPr>
        <w:p w:rsidR="00EA2503" w:rsidRDefault="00AE6AE5">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55B25">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55B25">
            <w:rPr>
              <w:b/>
            </w:rPr>
            <w:instrText>1</w:instrText>
          </w:r>
          <w:r>
            <w:rPr>
              <w:b/>
            </w:rPr>
            <w:fldChar w:fldCharType="end"/>
          </w:r>
          <w:r>
            <w:rPr>
              <w:b/>
            </w:rPr>
            <w:instrText xml:space="preserve"> </w:instrText>
          </w:r>
          <w:r>
            <w:rPr>
              <w:b/>
            </w:rPr>
            <w:fldChar w:fldCharType="separate"/>
          </w:r>
          <w:r w:rsidR="00655B25">
            <w:rPr>
              <w:b/>
            </w:rPr>
            <w:t>1</w:t>
          </w:r>
          <w:r>
            <w:rPr>
              <w:b/>
            </w:rPr>
            <w:fldChar w:fldCharType="end"/>
          </w:r>
        </w:p>
      </w:tc>
    </w:tr>
  </w:tbl>
  <w:p w:rsidR="00EA2503" w:rsidRDefault="00EA2503">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A2503">
      <w:trPr>
        <w:cantSplit/>
        <w:jc w:val="center"/>
      </w:trPr>
      <w:tc>
        <w:tcPr>
          <w:tcW w:w="7258" w:type="dxa"/>
          <w:gridSpan w:val="2"/>
        </w:tcPr>
        <w:p w:rsidR="00EA2503" w:rsidRDefault="00AE6AE5">
          <w:pPr>
            <w:pStyle w:val="Header"/>
            <w:ind w:right="315"/>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 xml:space="preserve"> styleref CharSchno </w:instrText>
          </w:r>
          <w:r>
            <w:rPr>
              <w:b/>
            </w:rPr>
            <w:fldChar w:fldCharType="separate"/>
          </w:r>
          <w:r w:rsidR="00655B25">
            <w:rPr>
              <w:b/>
            </w:rPr>
            <w:t>Schedule 3</w:t>
          </w:r>
          <w:r>
            <w:rPr>
              <w:b/>
            </w:rPr>
            <w:fldChar w:fldCharType="end"/>
          </w:r>
        </w:p>
      </w:tc>
      <w:tc>
        <w:tcPr>
          <w:tcW w:w="5715" w:type="dxa"/>
        </w:tcPr>
        <w:p w:rsidR="00EA2503" w:rsidRDefault="00AE6AE5">
          <w:pPr>
            <w:pStyle w:val="Header"/>
            <w:spacing w:before="40"/>
          </w:pPr>
          <w:r>
            <w:fldChar w:fldCharType="begin"/>
          </w:r>
          <w:r>
            <w:instrText xml:space="preserve"> styleref CharSchText </w:instrText>
          </w:r>
          <w:r>
            <w:fldChar w:fldCharType="separate"/>
          </w:r>
          <w:r w:rsidR="00655B25">
            <w:t>Witness fees and allowances</w:t>
          </w:r>
          <w: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rsidR="00EA2503" w:rsidRDefault="00AE6AE5">
          <w:pPr>
            <w:pStyle w:val="Header"/>
            <w:spacing w:before="40"/>
          </w:pPr>
          <w:r>
            <w:fldChar w:fldCharType="begin"/>
          </w:r>
          <w:r>
            <w:instrText xml:space="preserve"> styleref CharSDivText </w:instrText>
          </w:r>
          <w:r>
            <w:fldChar w:fldCharType="end"/>
          </w:r>
        </w:p>
      </w:tc>
    </w:tr>
    <w:tr w:rsidR="00EA2503">
      <w:trPr>
        <w:jc w:val="center"/>
      </w:trPr>
      <w:tc>
        <w:tcPr>
          <w:tcW w:w="1548" w:type="dxa"/>
        </w:tcPr>
        <w:p w:rsidR="00EA2503" w:rsidRDefault="00EA2503">
          <w:pPr>
            <w:pStyle w:val="Header"/>
            <w:spacing w:before="40"/>
          </w:pPr>
        </w:p>
      </w:tc>
      <w:tc>
        <w:tcPr>
          <w:tcW w:w="5715" w:type="dxa"/>
        </w:tcPr>
        <w:p w:rsidR="00EA2503" w:rsidRDefault="00EA2503">
          <w:pPr>
            <w:pStyle w:val="Header"/>
            <w:spacing w:before="40"/>
          </w:pPr>
        </w:p>
      </w:tc>
    </w:tr>
  </w:tbl>
  <w:p w:rsidR="00EA2503" w:rsidRDefault="00EA2503">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A2503">
      <w:trPr>
        <w:cantSplit/>
        <w:jc w:val="center"/>
      </w:trPr>
      <w:tc>
        <w:tcPr>
          <w:tcW w:w="7263" w:type="dxa"/>
          <w:gridSpan w:val="2"/>
        </w:tcPr>
        <w:p w:rsidR="00EA2503" w:rsidRDefault="00AE6AE5">
          <w:pPr>
            <w:pStyle w:val="Header"/>
            <w:ind w:left="284" w:right="17"/>
            <w:jc w:val="right"/>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5715" w:type="dxa"/>
          <w:vAlign w:val="bottom"/>
        </w:tcPr>
        <w:p w:rsidR="00EA2503" w:rsidRDefault="00AE6AE5">
          <w:pPr>
            <w:pStyle w:val="Header"/>
            <w:spacing w:before="40"/>
            <w:jc w:val="right"/>
          </w:pPr>
          <w:r>
            <w:fldChar w:fldCharType="begin"/>
          </w:r>
          <w:r>
            <w:instrText xml:space="preserve"> styleref CharSchText </w:instrText>
          </w:r>
          <w:r>
            <w:fldChar w:fldCharType="separate"/>
          </w:r>
          <w:r w:rsidR="00655B25">
            <w:t>Witness fees and allowances</w:t>
          </w:r>
          <w:r>
            <w:fldChar w:fldCharType="end"/>
          </w:r>
        </w:p>
      </w:tc>
      <w:tc>
        <w:tcPr>
          <w:tcW w:w="1548" w:type="dxa"/>
        </w:tcPr>
        <w:p w:rsidR="00EA2503" w:rsidRDefault="00AE6AE5">
          <w:pPr>
            <w:pStyle w:val="Header"/>
            <w:spacing w:before="40"/>
            <w:ind w:right="17"/>
            <w:jc w:val="right"/>
          </w:pPr>
          <w:r>
            <w:rPr>
              <w:b/>
            </w:rPr>
            <w:fldChar w:fldCharType="begin"/>
          </w:r>
          <w:r>
            <w:rPr>
              <w:b/>
            </w:rPr>
            <w:instrText xml:space="preserve"> styleref CharSchno </w:instrText>
          </w:r>
          <w:r>
            <w:rPr>
              <w:b/>
            </w:rPr>
            <w:fldChar w:fldCharType="separate"/>
          </w:r>
          <w:r w:rsidR="00655B25">
            <w:rPr>
              <w:b/>
            </w:rPr>
            <w:t>Schedule 3</w:t>
          </w:r>
          <w:r>
            <w:rPr>
              <w:b/>
            </w:rPr>
            <w:fldChar w:fldCharType="end"/>
          </w:r>
        </w:p>
      </w:tc>
    </w:tr>
    <w:tr w:rsidR="00EA2503">
      <w:trPr>
        <w:jc w:val="center"/>
      </w:trPr>
      <w:tc>
        <w:tcPr>
          <w:tcW w:w="5715" w:type="dxa"/>
        </w:tcPr>
        <w:p w:rsidR="00EA2503" w:rsidRDefault="00AE6AE5">
          <w:pPr>
            <w:pStyle w:val="Header"/>
            <w:spacing w:before="40"/>
            <w:jc w:val="right"/>
          </w:pPr>
          <w:r>
            <w:fldChar w:fldCharType="begin"/>
          </w:r>
          <w:r>
            <w:instrText xml:space="preserve"> styleref CharSDivText </w:instrText>
          </w:r>
          <w:r>
            <w:fldChar w:fldCharType="end"/>
          </w:r>
        </w:p>
      </w:tc>
      <w:tc>
        <w:tcPr>
          <w:tcW w:w="1548" w:type="dxa"/>
        </w:tcPr>
        <w:p w:rsidR="00EA2503" w:rsidRDefault="00AE6AE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A2503">
      <w:trPr>
        <w:jc w:val="center"/>
      </w:trPr>
      <w:tc>
        <w:tcPr>
          <w:tcW w:w="5715" w:type="dxa"/>
        </w:tcPr>
        <w:p w:rsidR="00EA2503" w:rsidRDefault="00EA2503">
          <w:pPr>
            <w:pStyle w:val="Header"/>
            <w:spacing w:before="40"/>
            <w:jc w:val="right"/>
          </w:pPr>
        </w:p>
      </w:tc>
      <w:tc>
        <w:tcPr>
          <w:tcW w:w="1548" w:type="dxa"/>
        </w:tcPr>
        <w:p w:rsidR="00EA2503" w:rsidRDefault="00EA2503">
          <w:pPr>
            <w:pStyle w:val="Header"/>
            <w:spacing w:before="40"/>
            <w:ind w:right="17"/>
            <w:jc w:val="right"/>
          </w:pPr>
        </w:p>
      </w:tc>
    </w:tr>
  </w:tbl>
  <w:p w:rsidR="00EA2503" w:rsidRDefault="00EA2503">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A2503">
      <w:trPr>
        <w:cantSplit/>
        <w:jc w:val="center"/>
      </w:trPr>
      <w:tc>
        <w:tcPr>
          <w:tcW w:w="7258" w:type="dxa"/>
          <w:gridSpan w:val="2"/>
        </w:tcPr>
        <w:p w:rsidR="00EA2503" w:rsidRDefault="00AE6AE5">
          <w:pPr>
            <w:pStyle w:val="Header"/>
            <w:ind w:right="315"/>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 xml:space="preserve"> styleref CharSchno </w:instrText>
          </w:r>
          <w:r>
            <w:rPr>
              <w:b/>
            </w:rPr>
            <w:fldChar w:fldCharType="separate"/>
          </w:r>
          <w:r w:rsidR="00655B25">
            <w:rPr>
              <w:b/>
            </w:rPr>
            <w:t>Schedule 5</w:t>
          </w:r>
          <w:r>
            <w:rPr>
              <w:b/>
            </w:rPr>
            <w:fldChar w:fldCharType="end"/>
          </w:r>
        </w:p>
      </w:tc>
      <w:tc>
        <w:tcPr>
          <w:tcW w:w="5715" w:type="dxa"/>
        </w:tcPr>
        <w:p w:rsidR="00EA2503" w:rsidRDefault="00AE6AE5">
          <w:pPr>
            <w:pStyle w:val="Header"/>
            <w:spacing w:before="40"/>
          </w:pPr>
          <w:r>
            <w:fldChar w:fldCharType="begin"/>
          </w:r>
          <w:r>
            <w:instrText xml:space="preserve"> styleref CharSchText </w:instrText>
          </w:r>
          <w:r>
            <w:fldChar w:fldCharType="separate"/>
          </w:r>
          <w:r w:rsidR="00655B25">
            <w:t>Classes of gasfitting work</w:t>
          </w:r>
          <w: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EA2503" w:rsidRDefault="00AE6AE5">
          <w:pPr>
            <w:pStyle w:val="Header"/>
            <w:spacing w:before="40"/>
          </w:pPr>
          <w:r>
            <w:fldChar w:fldCharType="begin"/>
          </w:r>
          <w:r>
            <w:instrText>styleref CharSDivText</w:instrText>
          </w:r>
          <w:r>
            <w:fldChar w:fldCharType="end"/>
          </w:r>
        </w:p>
      </w:tc>
    </w:tr>
    <w:tr w:rsidR="00EA2503">
      <w:trPr>
        <w:jc w:val="center"/>
      </w:trPr>
      <w:tc>
        <w:tcPr>
          <w:tcW w:w="1548" w:type="dxa"/>
        </w:tcPr>
        <w:p w:rsidR="00EA2503" w:rsidRDefault="00AE6AE5">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55B25">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55B25">
            <w:rPr>
              <w:b/>
            </w:rPr>
            <w:instrText>3</w:instrText>
          </w:r>
          <w:r>
            <w:rPr>
              <w:b/>
            </w:rPr>
            <w:fldChar w:fldCharType="end"/>
          </w:r>
          <w:r>
            <w:rPr>
              <w:b/>
            </w:rPr>
            <w:instrText xml:space="preserve"> </w:instrText>
          </w:r>
          <w:r>
            <w:rPr>
              <w:b/>
            </w:rPr>
            <w:fldChar w:fldCharType="separate"/>
          </w:r>
          <w:r w:rsidR="00655B25">
            <w:rPr>
              <w:b/>
            </w:rPr>
            <w:t>3</w:t>
          </w:r>
          <w:r>
            <w:rPr>
              <w:b/>
            </w:rPr>
            <w:fldChar w:fldCharType="end"/>
          </w:r>
        </w:p>
      </w:tc>
      <w:tc>
        <w:tcPr>
          <w:tcW w:w="5715" w:type="dxa"/>
        </w:tcPr>
        <w:p w:rsidR="00EA2503" w:rsidRDefault="00EA2503">
          <w:pPr>
            <w:pStyle w:val="Header"/>
            <w:spacing w:before="40"/>
          </w:pPr>
        </w:p>
      </w:tc>
    </w:tr>
  </w:tbl>
  <w:p w:rsidR="00EA2503" w:rsidRDefault="00EA2503">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A2503">
      <w:trPr>
        <w:cantSplit/>
        <w:jc w:val="center"/>
      </w:trPr>
      <w:tc>
        <w:tcPr>
          <w:tcW w:w="7263" w:type="dxa"/>
          <w:gridSpan w:val="2"/>
        </w:tcPr>
        <w:p w:rsidR="00EA2503" w:rsidRDefault="00AE6AE5">
          <w:pPr>
            <w:pStyle w:val="Header"/>
            <w:ind w:left="284" w:right="17"/>
            <w:jc w:val="right"/>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5715" w:type="dxa"/>
          <w:vAlign w:val="bottom"/>
        </w:tcPr>
        <w:p w:rsidR="00EA2503" w:rsidRDefault="00AE6AE5">
          <w:pPr>
            <w:pStyle w:val="Header"/>
            <w:spacing w:before="40"/>
            <w:jc w:val="right"/>
          </w:pPr>
          <w:r>
            <w:fldChar w:fldCharType="begin"/>
          </w:r>
          <w:r>
            <w:instrText xml:space="preserve"> styleref CharSchText </w:instrText>
          </w:r>
          <w:r>
            <w:fldChar w:fldCharType="separate"/>
          </w:r>
          <w:r w:rsidR="00655B25">
            <w:t>Classes of gasfitting work</w:t>
          </w:r>
          <w:r>
            <w:fldChar w:fldCharType="end"/>
          </w:r>
        </w:p>
      </w:tc>
      <w:tc>
        <w:tcPr>
          <w:tcW w:w="1548" w:type="dxa"/>
        </w:tcPr>
        <w:p w:rsidR="00EA2503" w:rsidRDefault="00AE6AE5">
          <w:pPr>
            <w:pStyle w:val="Header"/>
            <w:spacing w:before="40"/>
            <w:ind w:right="17"/>
            <w:jc w:val="right"/>
          </w:pPr>
          <w:r>
            <w:rPr>
              <w:b/>
            </w:rPr>
            <w:fldChar w:fldCharType="begin"/>
          </w:r>
          <w:r>
            <w:rPr>
              <w:b/>
            </w:rPr>
            <w:instrText xml:space="preserve"> styleref CharSchno </w:instrText>
          </w:r>
          <w:r>
            <w:rPr>
              <w:b/>
            </w:rPr>
            <w:fldChar w:fldCharType="separate"/>
          </w:r>
          <w:r w:rsidR="00655B25">
            <w:rPr>
              <w:b/>
            </w:rPr>
            <w:t>Schedule 5</w:t>
          </w:r>
          <w:r>
            <w:rPr>
              <w:b/>
            </w:rPr>
            <w:fldChar w:fldCharType="end"/>
          </w:r>
        </w:p>
      </w:tc>
    </w:tr>
    <w:tr w:rsidR="00EA2503">
      <w:trPr>
        <w:jc w:val="center"/>
      </w:trPr>
      <w:tc>
        <w:tcPr>
          <w:tcW w:w="5715" w:type="dxa"/>
        </w:tcPr>
        <w:p w:rsidR="00EA2503" w:rsidRDefault="00AE6AE5">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rsidR="00EA2503" w:rsidRDefault="00AE6AE5">
          <w:pPr>
            <w:pStyle w:val="Header"/>
            <w:spacing w:before="40"/>
            <w:ind w:right="17"/>
            <w:jc w:val="right"/>
          </w:pPr>
          <w:r>
            <w:rPr>
              <w:b/>
            </w:rPr>
            <w:fldChar w:fldCharType="begin"/>
          </w:r>
          <w:r>
            <w:rPr>
              <w:b/>
            </w:rPr>
            <w:instrText xml:space="preserve"> STYLEREF CharSDivNo \* charformat</w:instrText>
          </w:r>
          <w:r>
            <w:rPr>
              <w:b/>
            </w:rPr>
            <w:fldChar w:fldCharType="end"/>
          </w:r>
        </w:p>
      </w:tc>
    </w:tr>
    <w:tr w:rsidR="00EA2503">
      <w:trPr>
        <w:jc w:val="center"/>
      </w:trPr>
      <w:tc>
        <w:tcPr>
          <w:tcW w:w="5715" w:type="dxa"/>
        </w:tcPr>
        <w:p w:rsidR="00EA2503" w:rsidRDefault="00EA2503">
          <w:pPr>
            <w:pStyle w:val="Header"/>
            <w:spacing w:before="40"/>
            <w:jc w:val="right"/>
          </w:pPr>
        </w:p>
      </w:tc>
      <w:tc>
        <w:tcPr>
          <w:tcW w:w="1548" w:type="dxa"/>
        </w:tcPr>
        <w:p w:rsidR="00EA2503" w:rsidRDefault="00AE6AE5">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655B25">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655B25">
            <w:rPr>
              <w:b/>
            </w:rPr>
            <w:instrText>3</w:instrText>
          </w:r>
          <w:r>
            <w:rPr>
              <w:b/>
            </w:rPr>
            <w:fldChar w:fldCharType="end"/>
          </w:r>
          <w:r>
            <w:rPr>
              <w:b/>
            </w:rPr>
            <w:instrText xml:space="preserve"> </w:instrText>
          </w:r>
          <w:r>
            <w:rPr>
              <w:b/>
            </w:rPr>
            <w:fldChar w:fldCharType="separate"/>
          </w:r>
          <w:r w:rsidR="00655B25">
            <w:rPr>
              <w:b/>
            </w:rPr>
            <w:t>3</w:t>
          </w:r>
          <w:r>
            <w:rPr>
              <w:b/>
            </w:rPr>
            <w:fldChar w:fldCharType="end"/>
          </w:r>
        </w:p>
      </w:tc>
    </w:tr>
  </w:tbl>
  <w:p w:rsidR="00EA2503" w:rsidRDefault="00EA2503">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A2503">
      <w:trPr>
        <w:cantSplit/>
        <w:jc w:val="center"/>
      </w:trPr>
      <w:tc>
        <w:tcPr>
          <w:tcW w:w="7258" w:type="dxa"/>
          <w:gridSpan w:val="2"/>
        </w:tcPr>
        <w:p w:rsidR="00EA2503" w:rsidRDefault="00AE6AE5">
          <w:pPr>
            <w:pStyle w:val="Header"/>
            <w:ind w:right="315"/>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 xml:space="preserve"> styleref CharSchno </w:instrText>
          </w:r>
          <w:r>
            <w:rPr>
              <w:b/>
            </w:rPr>
            <w:fldChar w:fldCharType="separate"/>
          </w:r>
          <w:r w:rsidR="00655B25">
            <w:rPr>
              <w:b/>
            </w:rPr>
            <w:t>Schedule 6</w:t>
          </w:r>
          <w:r>
            <w:rPr>
              <w:b/>
            </w:rPr>
            <w:fldChar w:fldCharType="end"/>
          </w:r>
        </w:p>
      </w:tc>
      <w:tc>
        <w:tcPr>
          <w:tcW w:w="5715" w:type="dxa"/>
        </w:tcPr>
        <w:p w:rsidR="00EA2503" w:rsidRDefault="00AE6AE5">
          <w:pPr>
            <w:pStyle w:val="Header"/>
            <w:spacing w:before="40"/>
          </w:pPr>
          <w:r>
            <w:fldChar w:fldCharType="begin"/>
          </w:r>
          <w:r>
            <w:instrText xml:space="preserve"> styleref CharSchText </w:instrText>
          </w:r>
          <w:r>
            <w:fldChar w:fldCharType="separate"/>
          </w:r>
          <w:r w:rsidR="00655B25">
            <w:t>Certain requirements as to consumers’ gas installations</w:t>
          </w:r>
          <w:r>
            <w:fldChar w:fldCharType="end"/>
          </w:r>
        </w:p>
      </w:tc>
    </w:tr>
    <w:tr w:rsidR="00EA2503">
      <w:trPr>
        <w:jc w:val="center"/>
      </w:trPr>
      <w:tc>
        <w:tcPr>
          <w:tcW w:w="1548" w:type="dxa"/>
        </w:tcPr>
        <w:p w:rsidR="00EA2503" w:rsidRDefault="00EA2503">
          <w:pPr>
            <w:pStyle w:val="Header"/>
            <w:spacing w:before="40"/>
          </w:pPr>
        </w:p>
      </w:tc>
      <w:tc>
        <w:tcPr>
          <w:tcW w:w="5715" w:type="dxa"/>
        </w:tcPr>
        <w:p w:rsidR="00EA2503" w:rsidRDefault="00EA2503">
          <w:pPr>
            <w:pStyle w:val="Header"/>
            <w:spacing w:before="40"/>
          </w:pPr>
        </w:p>
      </w:tc>
    </w:tr>
    <w:tr w:rsidR="00EA2503">
      <w:trPr>
        <w:jc w:val="center"/>
      </w:trPr>
      <w:tc>
        <w:tcPr>
          <w:tcW w:w="1548" w:type="dxa"/>
        </w:tcPr>
        <w:p w:rsidR="00EA2503" w:rsidRDefault="00EA2503">
          <w:pPr>
            <w:pStyle w:val="Header"/>
            <w:spacing w:before="40"/>
          </w:pPr>
        </w:p>
      </w:tc>
      <w:tc>
        <w:tcPr>
          <w:tcW w:w="5715" w:type="dxa"/>
        </w:tcPr>
        <w:p w:rsidR="00EA2503" w:rsidRDefault="00EA2503">
          <w:pPr>
            <w:pStyle w:val="Header"/>
            <w:spacing w:before="40"/>
          </w:pPr>
        </w:p>
      </w:tc>
    </w:tr>
  </w:tbl>
  <w:p w:rsidR="00EA2503" w:rsidRDefault="00EA2503">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EA2503">
      <w:trPr>
        <w:cantSplit/>
        <w:jc w:val="center"/>
      </w:trPr>
      <w:tc>
        <w:tcPr>
          <w:tcW w:w="7263" w:type="dxa"/>
          <w:gridSpan w:val="2"/>
        </w:tcPr>
        <w:p w:rsidR="00EA2503" w:rsidRDefault="00AE6AE5">
          <w:pPr>
            <w:pStyle w:val="Header"/>
            <w:ind w:left="284" w:right="17"/>
            <w:jc w:val="right"/>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5715" w:type="dxa"/>
          <w:vAlign w:val="bottom"/>
        </w:tcPr>
        <w:p w:rsidR="00EA2503" w:rsidRDefault="00AE6AE5">
          <w:pPr>
            <w:pStyle w:val="Header"/>
            <w:spacing w:before="40"/>
            <w:jc w:val="right"/>
          </w:pPr>
          <w:r>
            <w:fldChar w:fldCharType="begin"/>
          </w:r>
          <w:r>
            <w:instrText xml:space="preserve"> styleref CharSchText </w:instrText>
          </w:r>
          <w:r>
            <w:fldChar w:fldCharType="separate"/>
          </w:r>
          <w:r w:rsidR="00655B25">
            <w:t>Certain requirements as to consumers’ gas installations</w:t>
          </w:r>
          <w:r>
            <w:fldChar w:fldCharType="end"/>
          </w:r>
        </w:p>
      </w:tc>
      <w:tc>
        <w:tcPr>
          <w:tcW w:w="1548" w:type="dxa"/>
        </w:tcPr>
        <w:p w:rsidR="00EA2503" w:rsidRDefault="00AE6AE5">
          <w:pPr>
            <w:pStyle w:val="Header"/>
            <w:spacing w:before="40"/>
            <w:ind w:right="17"/>
            <w:jc w:val="right"/>
          </w:pPr>
          <w:r>
            <w:rPr>
              <w:b/>
            </w:rPr>
            <w:fldChar w:fldCharType="begin"/>
          </w:r>
          <w:r>
            <w:rPr>
              <w:b/>
            </w:rPr>
            <w:instrText xml:space="preserve"> styleref CharSchno </w:instrText>
          </w:r>
          <w:r>
            <w:rPr>
              <w:b/>
            </w:rPr>
            <w:fldChar w:fldCharType="separate"/>
          </w:r>
          <w:r w:rsidR="00655B25">
            <w:rPr>
              <w:b/>
            </w:rPr>
            <w:t>Schedule 6</w:t>
          </w:r>
          <w:r>
            <w:rPr>
              <w:b/>
            </w:rPr>
            <w:fldChar w:fldCharType="end"/>
          </w:r>
        </w:p>
      </w:tc>
    </w:tr>
    <w:tr w:rsidR="00EA2503">
      <w:trPr>
        <w:jc w:val="center"/>
      </w:trPr>
      <w:tc>
        <w:tcPr>
          <w:tcW w:w="5715" w:type="dxa"/>
        </w:tcPr>
        <w:p w:rsidR="00EA2503" w:rsidRDefault="00EA2503">
          <w:pPr>
            <w:pStyle w:val="Header"/>
            <w:spacing w:before="40"/>
            <w:jc w:val="right"/>
          </w:pPr>
        </w:p>
      </w:tc>
      <w:tc>
        <w:tcPr>
          <w:tcW w:w="1548" w:type="dxa"/>
        </w:tcPr>
        <w:p w:rsidR="00EA2503" w:rsidRDefault="00EA2503">
          <w:pPr>
            <w:pStyle w:val="Header"/>
            <w:spacing w:before="40"/>
            <w:ind w:right="17"/>
            <w:jc w:val="right"/>
          </w:pPr>
        </w:p>
      </w:tc>
    </w:tr>
    <w:tr w:rsidR="00EA2503">
      <w:trPr>
        <w:jc w:val="center"/>
      </w:trPr>
      <w:tc>
        <w:tcPr>
          <w:tcW w:w="5715" w:type="dxa"/>
        </w:tcPr>
        <w:p w:rsidR="00EA2503" w:rsidRDefault="00EA2503">
          <w:pPr>
            <w:pStyle w:val="Header"/>
            <w:spacing w:before="40"/>
            <w:jc w:val="right"/>
          </w:pPr>
        </w:p>
      </w:tc>
      <w:tc>
        <w:tcPr>
          <w:tcW w:w="1548" w:type="dxa"/>
        </w:tcPr>
        <w:p w:rsidR="00EA2503" w:rsidRDefault="00EA2503">
          <w:pPr>
            <w:pStyle w:val="Header"/>
            <w:spacing w:before="40"/>
            <w:ind w:right="17"/>
            <w:jc w:val="right"/>
          </w:pPr>
        </w:p>
      </w:tc>
    </w:tr>
  </w:tbl>
  <w:p w:rsidR="00EA2503" w:rsidRDefault="00EA2503">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25" w:rsidRDefault="00655B2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A2503">
      <w:trPr>
        <w:cantSplit/>
        <w:jc w:val="center"/>
      </w:trPr>
      <w:tc>
        <w:tcPr>
          <w:tcW w:w="7258" w:type="dxa"/>
          <w:gridSpan w:val="2"/>
        </w:tcPr>
        <w:p w:rsidR="00EA2503" w:rsidRDefault="00AE6AE5">
          <w:pPr>
            <w:pStyle w:val="Header"/>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 xml:space="preserve"> STYLEREF "nHeading 2" </w:instrText>
          </w:r>
          <w:r>
            <w:rPr>
              <w:b/>
            </w:rPr>
            <w:fldChar w:fldCharType="separate"/>
          </w:r>
          <w:r w:rsidR="00655B25">
            <w:rPr>
              <w:b/>
            </w:rPr>
            <w:t>Notes</w:t>
          </w:r>
          <w:r>
            <w:rPr>
              <w:b/>
            </w:rPr>
            <w:fldChar w:fldCharType="end"/>
          </w:r>
        </w:p>
      </w:tc>
      <w:tc>
        <w:tcPr>
          <w:tcW w:w="5715" w:type="dxa"/>
        </w:tcPr>
        <w:p w:rsidR="00EA2503" w:rsidRDefault="00AE6AE5">
          <w:pPr>
            <w:pStyle w:val="Header"/>
            <w:spacing w:before="40"/>
          </w:pPr>
          <w:r>
            <w:fldChar w:fldCharType="begin"/>
          </w:r>
          <w:r>
            <w:instrText xml:space="preserve"> STYLEREF "nHeading 3" </w:instrText>
          </w:r>
          <w:r>
            <w:fldChar w:fldCharType="separate"/>
          </w:r>
          <w:r w:rsidR="00655B25">
            <w:t>Compilation table</w:t>
          </w:r>
          <w:r>
            <w:fldChar w:fldCharType="end"/>
          </w:r>
        </w:p>
      </w:tc>
    </w:tr>
    <w:tr w:rsidR="00EA2503">
      <w:trPr>
        <w:jc w:val="center"/>
      </w:trPr>
      <w:tc>
        <w:tcPr>
          <w:tcW w:w="1548" w:type="dxa"/>
        </w:tcPr>
        <w:p w:rsidR="00EA2503" w:rsidRDefault="00EA2503">
          <w:pPr>
            <w:pStyle w:val="Header"/>
            <w:spacing w:before="40"/>
          </w:pPr>
        </w:p>
      </w:tc>
      <w:tc>
        <w:tcPr>
          <w:tcW w:w="5715" w:type="dxa"/>
        </w:tcPr>
        <w:p w:rsidR="00EA2503" w:rsidRDefault="00EA2503">
          <w:pPr>
            <w:pStyle w:val="Header"/>
            <w:spacing w:before="40"/>
          </w:pPr>
        </w:p>
      </w:tc>
    </w:tr>
    <w:tr w:rsidR="00EA2503">
      <w:trPr>
        <w:cantSplit/>
        <w:jc w:val="center"/>
      </w:trPr>
      <w:tc>
        <w:tcPr>
          <w:tcW w:w="7258" w:type="dxa"/>
          <w:gridSpan w:val="2"/>
        </w:tcPr>
        <w:p w:rsidR="00EA2503" w:rsidRDefault="00EA2503">
          <w:pPr>
            <w:pStyle w:val="Header"/>
            <w:spacing w:before="40"/>
          </w:pPr>
        </w:p>
      </w:tc>
    </w:tr>
  </w:tbl>
  <w:p w:rsidR="00EA2503" w:rsidRDefault="00EA2503">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A2503">
      <w:trPr>
        <w:cantSplit/>
        <w:jc w:val="center"/>
      </w:trPr>
      <w:tc>
        <w:tcPr>
          <w:tcW w:w="7258" w:type="dxa"/>
          <w:gridSpan w:val="2"/>
        </w:tcPr>
        <w:p w:rsidR="00EA2503" w:rsidRDefault="00AE6AE5">
          <w:pPr>
            <w:pStyle w:val="Header"/>
            <w:ind w:right="17"/>
            <w:jc w:val="right"/>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5715" w:type="dxa"/>
        </w:tcPr>
        <w:p w:rsidR="00EA2503" w:rsidRDefault="00AE6AE5">
          <w:pPr>
            <w:pStyle w:val="Header"/>
            <w:spacing w:before="40"/>
            <w:jc w:val="right"/>
          </w:pPr>
          <w:r>
            <w:fldChar w:fldCharType="begin"/>
          </w:r>
          <w:r>
            <w:instrText xml:space="preserve"> STYLEREF "nHeading 3" </w:instrText>
          </w:r>
          <w:r>
            <w:fldChar w:fldCharType="separate"/>
          </w:r>
          <w:r w:rsidR="00655B25">
            <w:t>Compilation table</w:t>
          </w:r>
          <w:r>
            <w:fldChar w:fldCharType="end"/>
          </w:r>
        </w:p>
      </w:tc>
      <w:tc>
        <w:tcPr>
          <w:tcW w:w="1548" w:type="dxa"/>
        </w:tcPr>
        <w:p w:rsidR="00EA2503" w:rsidRDefault="00AE6AE5">
          <w:pPr>
            <w:pStyle w:val="Header"/>
            <w:spacing w:before="40"/>
            <w:ind w:right="17"/>
            <w:jc w:val="right"/>
          </w:pPr>
          <w:r>
            <w:rPr>
              <w:b/>
            </w:rPr>
            <w:fldChar w:fldCharType="begin"/>
          </w:r>
          <w:r>
            <w:rPr>
              <w:b/>
            </w:rPr>
            <w:instrText xml:space="preserve"> STYLEREF "nHeading 2" </w:instrText>
          </w:r>
          <w:r>
            <w:rPr>
              <w:b/>
            </w:rPr>
            <w:fldChar w:fldCharType="separate"/>
          </w:r>
          <w:r w:rsidR="00655B25">
            <w:rPr>
              <w:b/>
            </w:rPr>
            <w:t>Notes</w:t>
          </w:r>
          <w:r>
            <w:rPr>
              <w:b/>
            </w:rPr>
            <w:fldChar w:fldCharType="end"/>
          </w:r>
        </w:p>
      </w:tc>
    </w:tr>
    <w:tr w:rsidR="00EA2503">
      <w:trPr>
        <w:jc w:val="center"/>
      </w:trPr>
      <w:tc>
        <w:tcPr>
          <w:tcW w:w="5715" w:type="dxa"/>
        </w:tcPr>
        <w:p w:rsidR="00EA2503" w:rsidRDefault="00EA2503">
          <w:pPr>
            <w:pStyle w:val="Header"/>
            <w:spacing w:before="40"/>
            <w:jc w:val="right"/>
          </w:pPr>
        </w:p>
      </w:tc>
      <w:tc>
        <w:tcPr>
          <w:tcW w:w="1548" w:type="dxa"/>
        </w:tcPr>
        <w:p w:rsidR="00EA2503" w:rsidRDefault="00EA2503">
          <w:pPr>
            <w:pStyle w:val="Header"/>
            <w:spacing w:before="40"/>
            <w:ind w:right="17"/>
            <w:jc w:val="right"/>
          </w:pPr>
        </w:p>
      </w:tc>
    </w:tr>
    <w:tr w:rsidR="00EA2503">
      <w:trPr>
        <w:cantSplit/>
        <w:jc w:val="center"/>
      </w:trPr>
      <w:tc>
        <w:tcPr>
          <w:tcW w:w="7258" w:type="dxa"/>
          <w:gridSpan w:val="2"/>
        </w:tcPr>
        <w:p w:rsidR="00EA2503" w:rsidRDefault="00EA2503">
          <w:pPr>
            <w:pStyle w:val="Header"/>
            <w:spacing w:before="40"/>
            <w:ind w:right="17"/>
            <w:jc w:val="right"/>
          </w:pPr>
        </w:p>
      </w:tc>
    </w:tr>
  </w:tbl>
  <w:p w:rsidR="00EA2503" w:rsidRDefault="00EA2503">
    <w:pPr>
      <w:pStyle w:val="Header"/>
      <w:pBdr>
        <w:top w:val="single" w:sz="4" w:space="1" w:color="auto"/>
      </w:pBdr>
    </w:pPr>
    <w:bookmarkStart w:id="166" w:name="Compilation"/>
    <w:bookmarkEnd w:id="166"/>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A2503">
      <w:trPr>
        <w:cantSplit/>
        <w:jc w:val="center"/>
      </w:trPr>
      <w:tc>
        <w:tcPr>
          <w:tcW w:w="7263" w:type="dxa"/>
          <w:gridSpan w:val="2"/>
        </w:tcPr>
        <w:p w:rsidR="00EA2503" w:rsidRDefault="00AE6AE5">
          <w:pPr>
            <w:pStyle w:val="Header"/>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1348" w:type="dxa"/>
        </w:tcPr>
        <w:p w:rsidR="00EA2503" w:rsidRDefault="00EA2503">
          <w:pPr>
            <w:pStyle w:val="Header"/>
            <w:spacing w:before="40"/>
          </w:pPr>
        </w:p>
      </w:tc>
      <w:tc>
        <w:tcPr>
          <w:tcW w:w="5915" w:type="dxa"/>
        </w:tcPr>
        <w:p w:rsidR="00EA2503" w:rsidRDefault="00EA2503">
          <w:pPr>
            <w:pStyle w:val="Header"/>
            <w:spacing w:before="40"/>
          </w:pPr>
        </w:p>
      </w:tc>
    </w:tr>
    <w:tr w:rsidR="00EA2503">
      <w:trPr>
        <w:jc w:val="center"/>
      </w:trPr>
      <w:tc>
        <w:tcPr>
          <w:tcW w:w="1348" w:type="dxa"/>
        </w:tcPr>
        <w:p w:rsidR="00EA2503" w:rsidRDefault="00EA2503">
          <w:pPr>
            <w:pStyle w:val="Header"/>
            <w:spacing w:before="40"/>
          </w:pPr>
        </w:p>
      </w:tc>
      <w:tc>
        <w:tcPr>
          <w:tcW w:w="5915" w:type="dxa"/>
        </w:tcPr>
        <w:p w:rsidR="00EA2503" w:rsidRDefault="00EA2503">
          <w:pPr>
            <w:pStyle w:val="Header"/>
            <w:spacing w:before="40"/>
          </w:pPr>
        </w:p>
      </w:tc>
    </w:tr>
    <w:tr w:rsidR="00EA2503">
      <w:trPr>
        <w:cantSplit/>
        <w:jc w:val="center"/>
      </w:trPr>
      <w:tc>
        <w:tcPr>
          <w:tcW w:w="7263" w:type="dxa"/>
          <w:gridSpan w:val="2"/>
        </w:tcPr>
        <w:p w:rsidR="00EA2503" w:rsidRDefault="00AE6AE5">
          <w:pPr>
            <w:pStyle w:val="Header"/>
            <w:spacing w:before="40"/>
          </w:pPr>
          <w:r>
            <w:fldChar w:fldCharType="begin"/>
          </w:r>
          <w:r>
            <w:instrText xml:space="preserve"> STYLEREF "nHeading 2" </w:instrText>
          </w:r>
          <w:r>
            <w:fldChar w:fldCharType="separate"/>
          </w:r>
          <w:r w:rsidR="00655B25">
            <w:t>Notes</w:t>
          </w:r>
          <w:r>
            <w:fldChar w:fldCharType="end"/>
          </w:r>
        </w:p>
      </w:tc>
    </w:tr>
  </w:tbl>
  <w:p w:rsidR="00EA2503" w:rsidRDefault="00EA2503">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A2503">
      <w:trPr>
        <w:cantSplit/>
        <w:jc w:val="center"/>
      </w:trPr>
      <w:tc>
        <w:tcPr>
          <w:tcW w:w="7263" w:type="dxa"/>
          <w:gridSpan w:val="2"/>
        </w:tcPr>
        <w:p w:rsidR="00EA2503" w:rsidRDefault="00AE6AE5">
          <w:pPr>
            <w:pStyle w:val="Header"/>
            <w:spacing w:before="40"/>
            <w:ind w:right="17"/>
            <w:jc w:val="right"/>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5884" w:type="dxa"/>
        </w:tcPr>
        <w:p w:rsidR="00EA2503" w:rsidRDefault="00EA2503">
          <w:pPr>
            <w:pStyle w:val="Header"/>
            <w:spacing w:before="40"/>
            <w:jc w:val="right"/>
          </w:pPr>
        </w:p>
      </w:tc>
      <w:tc>
        <w:tcPr>
          <w:tcW w:w="1379" w:type="dxa"/>
        </w:tcPr>
        <w:p w:rsidR="00EA2503" w:rsidRDefault="00EA2503">
          <w:pPr>
            <w:pStyle w:val="Header"/>
            <w:spacing w:before="40"/>
            <w:ind w:right="17"/>
            <w:jc w:val="right"/>
          </w:pPr>
        </w:p>
      </w:tc>
    </w:tr>
    <w:tr w:rsidR="00EA2503">
      <w:trPr>
        <w:jc w:val="center"/>
      </w:trPr>
      <w:tc>
        <w:tcPr>
          <w:tcW w:w="5884" w:type="dxa"/>
        </w:tcPr>
        <w:p w:rsidR="00EA2503" w:rsidRDefault="00EA2503">
          <w:pPr>
            <w:pStyle w:val="Header"/>
            <w:spacing w:before="40"/>
            <w:jc w:val="right"/>
          </w:pPr>
        </w:p>
      </w:tc>
      <w:tc>
        <w:tcPr>
          <w:tcW w:w="1379" w:type="dxa"/>
        </w:tcPr>
        <w:p w:rsidR="00EA2503" w:rsidRDefault="00EA2503">
          <w:pPr>
            <w:pStyle w:val="Header"/>
            <w:spacing w:before="40"/>
            <w:ind w:right="17"/>
            <w:jc w:val="right"/>
          </w:pPr>
        </w:p>
      </w:tc>
    </w:tr>
    <w:tr w:rsidR="00EA2503">
      <w:trPr>
        <w:cantSplit/>
        <w:jc w:val="center"/>
      </w:trPr>
      <w:tc>
        <w:tcPr>
          <w:tcW w:w="7263" w:type="dxa"/>
          <w:gridSpan w:val="2"/>
        </w:tcPr>
        <w:p w:rsidR="00EA2503" w:rsidRDefault="00AE6AE5">
          <w:pPr>
            <w:pStyle w:val="Header"/>
            <w:spacing w:before="40"/>
            <w:ind w:right="17"/>
            <w:jc w:val="right"/>
          </w:pPr>
          <w:r>
            <w:fldChar w:fldCharType="begin"/>
          </w:r>
          <w:r>
            <w:instrText xml:space="preserve"> STYLEREF "nHeading 2" </w:instrText>
          </w:r>
          <w:r>
            <w:fldChar w:fldCharType="separate"/>
          </w:r>
          <w:r w:rsidR="00655B25">
            <w:t>Notes</w:t>
          </w:r>
          <w:r>
            <w:fldChar w:fldCharType="end"/>
          </w:r>
        </w:p>
      </w:tc>
    </w:tr>
  </w:tbl>
  <w:p w:rsidR="00EA2503" w:rsidRDefault="00EA2503">
    <w:pPr>
      <w:pStyle w:val="Header"/>
      <w:pBdr>
        <w:top w:val="single" w:sz="4" w:space="1" w:color="auto"/>
      </w:pBdr>
    </w:pPr>
    <w:bookmarkStart w:id="168" w:name="DefinedTerms"/>
    <w:bookmarkEnd w:id="168"/>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Header"/>
    </w:pPr>
    <w:bookmarkStart w:id="169" w:name="Coversheet"/>
    <w:bookmarkEnd w:id="16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A2503">
      <w:trPr>
        <w:cantSplit/>
        <w:jc w:val="center"/>
      </w:trPr>
      <w:tc>
        <w:tcPr>
          <w:tcW w:w="7258" w:type="dxa"/>
          <w:gridSpan w:val="2"/>
        </w:tcPr>
        <w:p w:rsidR="00EA2503" w:rsidRDefault="00AE6AE5">
          <w:pPr>
            <w:pStyle w:val="Header"/>
            <w:ind w:right="315"/>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1548" w:type="dxa"/>
        </w:tcPr>
        <w:p w:rsidR="00EA2503" w:rsidRDefault="00EA2503">
          <w:pPr>
            <w:pStyle w:val="Header"/>
            <w:spacing w:before="40"/>
          </w:pPr>
        </w:p>
      </w:tc>
      <w:tc>
        <w:tcPr>
          <w:tcW w:w="5715" w:type="dxa"/>
        </w:tcPr>
        <w:p w:rsidR="00EA2503" w:rsidRDefault="00EA2503">
          <w:pPr>
            <w:pStyle w:val="Header"/>
            <w:spacing w:before="40"/>
          </w:pPr>
        </w:p>
      </w:tc>
    </w:tr>
    <w:tr w:rsidR="00EA2503">
      <w:trPr>
        <w:jc w:val="center"/>
      </w:trPr>
      <w:tc>
        <w:tcPr>
          <w:tcW w:w="1548" w:type="dxa"/>
        </w:tcPr>
        <w:p w:rsidR="00EA2503" w:rsidRDefault="00EA2503">
          <w:pPr>
            <w:pStyle w:val="Header"/>
            <w:spacing w:before="40"/>
          </w:pPr>
        </w:p>
      </w:tc>
      <w:tc>
        <w:tcPr>
          <w:tcW w:w="5715" w:type="dxa"/>
        </w:tcPr>
        <w:p w:rsidR="00EA2503" w:rsidRDefault="00EA2503">
          <w:pPr>
            <w:pStyle w:val="Header"/>
            <w:spacing w:before="40"/>
          </w:pPr>
        </w:p>
      </w:tc>
    </w:tr>
    <w:tr w:rsidR="00EA2503">
      <w:trPr>
        <w:cantSplit/>
        <w:jc w:val="center"/>
      </w:trPr>
      <w:tc>
        <w:tcPr>
          <w:tcW w:w="7258" w:type="dxa"/>
          <w:gridSpan w:val="2"/>
        </w:tcPr>
        <w:p w:rsidR="00EA2503" w:rsidRDefault="00AE6AE5">
          <w:pPr>
            <w:pStyle w:val="Header"/>
            <w:spacing w:before="40"/>
          </w:pPr>
          <w:r>
            <w:t>Contents</w:t>
          </w:r>
        </w:p>
      </w:tc>
    </w:tr>
  </w:tbl>
  <w:p w:rsidR="00EA2503" w:rsidRDefault="00EA250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A2503">
      <w:trPr>
        <w:cantSplit/>
        <w:jc w:val="center"/>
      </w:trPr>
      <w:tc>
        <w:tcPr>
          <w:tcW w:w="7258" w:type="dxa"/>
          <w:gridSpan w:val="2"/>
        </w:tcPr>
        <w:p w:rsidR="00EA2503" w:rsidRDefault="00AE6AE5">
          <w:pPr>
            <w:pStyle w:val="Header"/>
            <w:ind w:left="284" w:right="17"/>
            <w:jc w:val="right"/>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5715" w:type="dxa"/>
        </w:tcPr>
        <w:p w:rsidR="00EA2503" w:rsidRDefault="00EA2503">
          <w:pPr>
            <w:pStyle w:val="Header"/>
            <w:spacing w:before="40"/>
            <w:jc w:val="right"/>
          </w:pPr>
        </w:p>
      </w:tc>
      <w:tc>
        <w:tcPr>
          <w:tcW w:w="1548" w:type="dxa"/>
        </w:tcPr>
        <w:p w:rsidR="00EA2503" w:rsidRDefault="00EA2503">
          <w:pPr>
            <w:pStyle w:val="Header"/>
            <w:spacing w:before="40"/>
            <w:ind w:right="17"/>
            <w:jc w:val="right"/>
          </w:pPr>
        </w:p>
      </w:tc>
    </w:tr>
    <w:tr w:rsidR="00EA2503">
      <w:trPr>
        <w:jc w:val="center"/>
      </w:trPr>
      <w:tc>
        <w:tcPr>
          <w:tcW w:w="5715" w:type="dxa"/>
        </w:tcPr>
        <w:p w:rsidR="00EA2503" w:rsidRDefault="00EA2503">
          <w:pPr>
            <w:pStyle w:val="Header"/>
            <w:spacing w:before="40"/>
            <w:jc w:val="right"/>
          </w:pPr>
        </w:p>
      </w:tc>
      <w:tc>
        <w:tcPr>
          <w:tcW w:w="1548" w:type="dxa"/>
        </w:tcPr>
        <w:p w:rsidR="00EA2503" w:rsidRDefault="00EA2503">
          <w:pPr>
            <w:pStyle w:val="Header"/>
            <w:spacing w:before="40"/>
            <w:ind w:right="17"/>
            <w:jc w:val="right"/>
          </w:pPr>
        </w:p>
      </w:tc>
    </w:tr>
    <w:tr w:rsidR="00EA2503">
      <w:trPr>
        <w:cantSplit/>
        <w:jc w:val="center"/>
      </w:trPr>
      <w:tc>
        <w:tcPr>
          <w:tcW w:w="7258" w:type="dxa"/>
          <w:gridSpan w:val="2"/>
        </w:tcPr>
        <w:p w:rsidR="00EA2503" w:rsidRDefault="00AE6AE5">
          <w:pPr>
            <w:pStyle w:val="Header"/>
            <w:spacing w:before="40"/>
            <w:ind w:right="17"/>
            <w:jc w:val="right"/>
          </w:pPr>
          <w:r>
            <w:t>Contents</w:t>
          </w:r>
        </w:p>
      </w:tc>
    </w:tr>
  </w:tbl>
  <w:p w:rsidR="00EA2503" w:rsidRDefault="00EA250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A2503">
      <w:trPr>
        <w:cantSplit/>
        <w:jc w:val="center"/>
      </w:trPr>
      <w:tc>
        <w:tcPr>
          <w:tcW w:w="7258" w:type="dxa"/>
          <w:gridSpan w:val="2"/>
        </w:tcPr>
        <w:p w:rsidR="00EA2503" w:rsidRDefault="00AE6AE5">
          <w:pPr>
            <w:pStyle w:val="Header"/>
            <w:ind w:right="315"/>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styleref CharPartNo</w:instrText>
          </w:r>
          <w:r>
            <w:rPr>
              <w:b/>
            </w:rPr>
            <w:fldChar w:fldCharType="end"/>
          </w:r>
        </w:p>
      </w:tc>
      <w:tc>
        <w:tcPr>
          <w:tcW w:w="5715" w:type="dxa"/>
          <w:vAlign w:val="bottom"/>
        </w:tcPr>
        <w:p w:rsidR="00EA2503" w:rsidRDefault="00AE6AE5">
          <w:pPr>
            <w:pStyle w:val="Header"/>
            <w:spacing w:before="40"/>
          </w:pPr>
          <w:r>
            <w:fldChar w:fldCharType="begin"/>
          </w:r>
          <w:r>
            <w:instrText>styleref CharPartText</w:instrText>
          </w:r>
          <w:r>
            <w:fldChar w:fldCharType="end"/>
          </w:r>
        </w:p>
      </w:tc>
    </w:tr>
    <w:tr w:rsidR="00EA2503">
      <w:trPr>
        <w:jc w:val="center"/>
      </w:trPr>
      <w:tc>
        <w:tcPr>
          <w:tcW w:w="1548" w:type="dxa"/>
        </w:tcPr>
        <w:p w:rsidR="00EA2503" w:rsidRDefault="00AE6AE5">
          <w:pPr>
            <w:pStyle w:val="Header"/>
            <w:spacing w:before="40"/>
          </w:pPr>
          <w:r>
            <w:rPr>
              <w:b/>
            </w:rPr>
            <w:fldChar w:fldCharType="begin"/>
          </w:r>
          <w:r>
            <w:rPr>
              <w:b/>
            </w:rPr>
            <w:instrText xml:space="preserve"> styleref CharDivNo </w:instrText>
          </w:r>
          <w:r>
            <w:rPr>
              <w:b/>
            </w:rPr>
            <w:fldChar w:fldCharType="end"/>
          </w:r>
        </w:p>
      </w:tc>
      <w:tc>
        <w:tcPr>
          <w:tcW w:w="5715" w:type="dxa"/>
        </w:tcPr>
        <w:p w:rsidR="00EA2503" w:rsidRDefault="00AE6AE5">
          <w:pPr>
            <w:pStyle w:val="Header"/>
            <w:spacing w:before="40"/>
          </w:pPr>
          <w:r>
            <w:fldChar w:fldCharType="begin"/>
          </w:r>
          <w:r>
            <w:instrText xml:space="preserve"> styleref CharDivText </w:instrText>
          </w:r>
          <w:r>
            <w:fldChar w:fldCharType="end"/>
          </w:r>
        </w:p>
      </w:tc>
    </w:tr>
    <w:tr w:rsidR="00EA2503">
      <w:trPr>
        <w:cantSplit/>
        <w:jc w:val="center"/>
      </w:trPr>
      <w:tc>
        <w:tcPr>
          <w:tcW w:w="7258" w:type="dxa"/>
          <w:gridSpan w:val="2"/>
        </w:tcPr>
        <w:p w:rsidR="00EA2503" w:rsidRDefault="00AE6AE5">
          <w:pPr>
            <w:pStyle w:val="Header"/>
            <w:spacing w:before="40"/>
          </w:pPr>
          <w:r>
            <w:rPr>
              <w:b/>
            </w:rPr>
            <w:t xml:space="preserve">r. </w:t>
          </w:r>
          <w:r>
            <w:rPr>
              <w:b/>
            </w:rPr>
            <w:fldChar w:fldCharType="begin"/>
          </w:r>
          <w:r>
            <w:rPr>
              <w:b/>
            </w:rPr>
            <w:instrText xml:space="preserve"> styleref CharSectno </w:instrText>
          </w:r>
          <w:r>
            <w:rPr>
              <w:b/>
            </w:rPr>
            <w:fldChar w:fldCharType="separate"/>
          </w:r>
          <w:r w:rsidR="00655B25">
            <w:rPr>
              <w:b/>
            </w:rPr>
            <w:t>1</w:t>
          </w:r>
          <w:r>
            <w:rPr>
              <w:b/>
            </w:rPr>
            <w:fldChar w:fldCharType="end"/>
          </w:r>
        </w:p>
      </w:tc>
    </w:tr>
  </w:tbl>
  <w:p w:rsidR="00EA2503" w:rsidRDefault="00EA250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A2503">
      <w:trPr>
        <w:cantSplit/>
        <w:jc w:val="center"/>
      </w:trPr>
      <w:tc>
        <w:tcPr>
          <w:tcW w:w="7258" w:type="dxa"/>
          <w:gridSpan w:val="2"/>
        </w:tcPr>
        <w:p w:rsidR="00EA2503" w:rsidRDefault="00AE6AE5">
          <w:pPr>
            <w:pStyle w:val="Header"/>
            <w:ind w:left="426" w:right="17"/>
            <w:jc w:val="right"/>
          </w:pPr>
          <w:r>
            <w:rPr>
              <w:b/>
              <w:i/>
            </w:rPr>
            <w:fldChar w:fldCharType="begin"/>
          </w:r>
          <w:r>
            <w:rPr>
              <w:b/>
              <w:i/>
            </w:rPr>
            <w:instrText xml:space="preserve"> Styleref "Name of Act/Reg" </w:instrText>
          </w:r>
          <w:r>
            <w:rPr>
              <w:b/>
              <w:i/>
            </w:rPr>
            <w:fldChar w:fldCharType="separate"/>
          </w:r>
          <w:r w:rsidR="00655B25">
            <w:rPr>
              <w:b/>
              <w:i/>
            </w:rPr>
            <w:t>Gas Standards (Gasfitting and Consumer Gas Installations) Regulations 1999</w:t>
          </w:r>
          <w:r>
            <w:rPr>
              <w:b/>
              <w:i/>
            </w:rPr>
            <w:fldChar w:fldCharType="end"/>
          </w:r>
        </w:p>
      </w:tc>
    </w:tr>
    <w:tr w:rsidR="00EA2503">
      <w:trPr>
        <w:jc w:val="center"/>
      </w:trPr>
      <w:tc>
        <w:tcPr>
          <w:tcW w:w="5715" w:type="dxa"/>
        </w:tcPr>
        <w:p w:rsidR="00EA2503" w:rsidRDefault="00AE6AE5">
          <w:pPr>
            <w:pStyle w:val="Header"/>
            <w:spacing w:before="40"/>
            <w:jc w:val="right"/>
          </w:pPr>
          <w:r>
            <w:fldChar w:fldCharType="begin"/>
          </w:r>
          <w:r>
            <w:instrText>styleref CharPartText</w:instrText>
          </w:r>
          <w:r>
            <w:fldChar w:fldCharType="end"/>
          </w:r>
        </w:p>
      </w:tc>
      <w:tc>
        <w:tcPr>
          <w:tcW w:w="1548" w:type="dxa"/>
        </w:tcPr>
        <w:p w:rsidR="00EA2503" w:rsidRDefault="00AE6AE5">
          <w:pPr>
            <w:pStyle w:val="Header"/>
            <w:spacing w:before="40"/>
            <w:ind w:right="17"/>
            <w:jc w:val="right"/>
          </w:pPr>
          <w:r>
            <w:rPr>
              <w:b/>
            </w:rPr>
            <w:fldChar w:fldCharType="begin"/>
          </w:r>
          <w:r>
            <w:rPr>
              <w:b/>
            </w:rPr>
            <w:instrText>styleref CharPartNo</w:instrText>
          </w:r>
          <w:r>
            <w:rPr>
              <w:b/>
            </w:rPr>
            <w:fldChar w:fldCharType="end"/>
          </w:r>
        </w:p>
      </w:tc>
    </w:tr>
    <w:tr w:rsidR="00EA2503">
      <w:trPr>
        <w:jc w:val="center"/>
      </w:trPr>
      <w:tc>
        <w:tcPr>
          <w:tcW w:w="5715" w:type="dxa"/>
        </w:tcPr>
        <w:p w:rsidR="00EA2503" w:rsidRDefault="00AE6AE5">
          <w:pPr>
            <w:pStyle w:val="Header"/>
            <w:spacing w:before="40"/>
            <w:jc w:val="right"/>
          </w:pPr>
          <w:r>
            <w:fldChar w:fldCharType="begin"/>
          </w:r>
          <w:r>
            <w:instrText xml:space="preserve"> styleref CharDivText </w:instrText>
          </w:r>
          <w:r>
            <w:fldChar w:fldCharType="end"/>
          </w:r>
        </w:p>
      </w:tc>
      <w:tc>
        <w:tcPr>
          <w:tcW w:w="1548" w:type="dxa"/>
        </w:tcPr>
        <w:p w:rsidR="00EA2503" w:rsidRDefault="00AE6AE5">
          <w:pPr>
            <w:pStyle w:val="Header"/>
            <w:spacing w:before="40"/>
            <w:ind w:right="17"/>
            <w:jc w:val="right"/>
          </w:pPr>
          <w:r>
            <w:rPr>
              <w:b/>
            </w:rPr>
            <w:fldChar w:fldCharType="begin"/>
          </w:r>
          <w:r>
            <w:rPr>
              <w:b/>
            </w:rPr>
            <w:instrText xml:space="preserve"> styleref CharDivNo </w:instrText>
          </w:r>
          <w:r>
            <w:rPr>
              <w:b/>
            </w:rPr>
            <w:fldChar w:fldCharType="end"/>
          </w:r>
        </w:p>
      </w:tc>
    </w:tr>
    <w:tr w:rsidR="00EA2503">
      <w:trPr>
        <w:cantSplit/>
        <w:jc w:val="center"/>
      </w:trPr>
      <w:tc>
        <w:tcPr>
          <w:tcW w:w="7258" w:type="dxa"/>
          <w:gridSpan w:val="2"/>
        </w:tcPr>
        <w:p w:rsidR="00EA2503" w:rsidRDefault="00AE6AE5">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655B25">
            <w:rPr>
              <w:b/>
            </w:rPr>
            <w:t>1</w:t>
          </w:r>
          <w:r>
            <w:rPr>
              <w:b/>
            </w:rPr>
            <w:fldChar w:fldCharType="end"/>
          </w:r>
        </w:p>
      </w:tc>
    </w:tr>
  </w:tbl>
  <w:p w:rsidR="00EA2503" w:rsidRDefault="00EA250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03" w:rsidRDefault="00EA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82653"/>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 w:name="WAFER_20210624082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53_GUID" w:val="5f36d179-40a3-4c36-8fe5-de07dc7fff80"/>
  </w:docVars>
  <w:rsids>
    <w:rsidRoot w:val="00A8438C"/>
    <w:rsid w:val="00157CA8"/>
    <w:rsid w:val="00313D44"/>
    <w:rsid w:val="00655B25"/>
    <w:rsid w:val="006C0FFE"/>
    <w:rsid w:val="00A8438C"/>
    <w:rsid w:val="00AE6AE5"/>
    <w:rsid w:val="00EA2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B3EC-C2FB-4062-9061-D6A7479F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16372</Words>
  <Characters>79242</Characters>
  <Application>Microsoft Office Word</Application>
  <DocSecurity>0</DocSecurity>
  <Lines>2401</Lines>
  <Paragraphs>1448</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1999 - 05-l0-00</dc:title>
  <dc:subject/>
  <dc:creator/>
  <cp:keywords/>
  <dc:description/>
  <cp:lastModifiedBy>Master Repository Process</cp:lastModifiedBy>
  <cp:revision>4</cp:revision>
  <cp:lastPrinted>2018-10-02T08:06:00Z</cp:lastPrinted>
  <dcterms:created xsi:type="dcterms:W3CDTF">2021-06-30T02:28:00Z</dcterms:created>
  <dcterms:modified xsi:type="dcterms:W3CDTF">2021-06-30T02:29:00Z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01 Jul 2021</vt:lpwstr>
  </property>
  <property fmtid="{D5CDD505-2E9C-101B-9397-08002B2CF9AE}" pid="8" name="Suffix">
    <vt:lpwstr>05-l0-00</vt:lpwstr>
  </property>
  <property fmtid="{D5CDD505-2E9C-101B-9397-08002B2CF9AE}" pid="9" name="CommencementDate">
    <vt:lpwstr>20210701</vt:lpwstr>
  </property>
</Properties>
</file>